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AB39F2" w14:textId="77777777" w:rsidR="00087E52" w:rsidRPr="00087E52" w:rsidRDefault="00087E52" w:rsidP="00087E52">
      <w:pPr>
        <w:jc w:val="center"/>
        <w:rPr>
          <w:rFonts w:ascii="Calibri Light" w:hAnsi="Calibri Light" w:cs="Calibri Light"/>
          <w:b/>
          <w:bCs/>
          <w:sz w:val="28"/>
          <w:szCs w:val="28"/>
          <w:rtl/>
          <w:lang w:val="en-ID"/>
        </w:rPr>
      </w:pPr>
      <w:r w:rsidRPr="00087E52">
        <w:rPr>
          <w:rFonts w:ascii="Calibri Light" w:hAnsi="Calibri Light" w:cs="Calibri Light"/>
          <w:b/>
          <w:bCs/>
          <w:sz w:val="28"/>
          <w:szCs w:val="28"/>
          <w:lang w:val="en-ID"/>
        </w:rPr>
        <w:t xml:space="preserve">The Legal Evolution of Basel Accords and Their </w:t>
      </w:r>
      <w:commentRangeStart w:id="0"/>
      <w:r w:rsidRPr="00087E52">
        <w:rPr>
          <w:rFonts w:ascii="Calibri Light" w:hAnsi="Calibri Light" w:cs="Calibri Light"/>
          <w:b/>
          <w:bCs/>
          <w:sz w:val="28"/>
          <w:szCs w:val="28"/>
          <w:lang w:val="en-ID"/>
        </w:rPr>
        <w:t>Impact on Islamic Banking Regulations</w:t>
      </w:r>
      <w:commentRangeEnd w:id="0"/>
      <w:r w:rsidR="008F621C">
        <w:rPr>
          <w:rStyle w:val="CommentReference"/>
        </w:rPr>
        <w:commentReference w:id="0"/>
      </w:r>
      <w:r w:rsidRPr="00087E52">
        <w:rPr>
          <w:rFonts w:ascii="Calibri Light" w:hAnsi="Calibri Light" w:cs="Calibri Light"/>
          <w:b/>
          <w:bCs/>
          <w:sz w:val="28"/>
          <w:szCs w:val="28"/>
          <w:lang w:val="en-ID"/>
        </w:rPr>
        <w:t>: A Bibliometric Analysis</w:t>
      </w:r>
    </w:p>
    <w:p w14:paraId="52CF7133" w14:textId="77777777" w:rsidR="008A257B" w:rsidRPr="008A257B" w:rsidRDefault="008A257B" w:rsidP="00122F5F">
      <w:pPr>
        <w:rPr>
          <w:rFonts w:ascii="Calibri Light" w:hAnsi="Calibri Light" w:cs="Calibri Light"/>
          <w:b/>
          <w:bCs/>
          <w:sz w:val="28"/>
          <w:szCs w:val="28"/>
          <w:rtl/>
          <w:lang w:val="en-ID"/>
        </w:rPr>
      </w:pPr>
    </w:p>
    <w:p w14:paraId="1A568B8D" w14:textId="77777777" w:rsidR="00F97E21" w:rsidRPr="00B23F90" w:rsidRDefault="00F97E21" w:rsidP="00901F00">
      <w:pPr>
        <w:rPr>
          <w:rFonts w:ascii="Calibri Light" w:hAnsi="Calibri Light" w:cs="Calibri Light"/>
          <w:color w:val="A6A6A6"/>
          <w:sz w:val="24"/>
          <w:szCs w:val="24"/>
        </w:rPr>
      </w:pPr>
    </w:p>
    <w:p w14:paraId="5B84792D" w14:textId="588AFED1" w:rsidR="00EA2EA0" w:rsidRPr="001A410B" w:rsidRDefault="00EA2EA0" w:rsidP="001A410B">
      <w:pPr>
        <w:rPr>
          <w:rFonts w:ascii="Calibri Light" w:hAnsi="Calibri Light" w:cs="Calibri Light"/>
          <w:sz w:val="24"/>
          <w:szCs w:val="24"/>
        </w:rPr>
      </w:pPr>
    </w:p>
    <w:p w14:paraId="0429906A" w14:textId="08D4B59A" w:rsidR="009E4EBA" w:rsidRPr="00122F5F" w:rsidRDefault="009E4EBA" w:rsidP="00122F5F">
      <w:pPr>
        <w:rPr>
          <w:rFonts w:ascii="Calibri Light" w:hAnsi="Calibri Light" w:cs="Calibri Light"/>
          <w:sz w:val="24"/>
          <w:szCs w:val="24"/>
          <w:lang w:val="id-ID"/>
        </w:rPr>
      </w:pPr>
    </w:p>
    <w:p w14:paraId="4995D68C" w14:textId="77777777" w:rsidR="00DE1E48" w:rsidRPr="00122F5F" w:rsidRDefault="00DE1E48" w:rsidP="001D7DEE">
      <w:pPr>
        <w:jc w:val="center"/>
        <w:rPr>
          <w:rFonts w:ascii="Calibri Light" w:hAnsi="Calibri Light" w:cs="Calibri Light"/>
          <w:sz w:val="24"/>
          <w:szCs w:val="24"/>
        </w:rPr>
      </w:pPr>
    </w:p>
    <w:p w14:paraId="1454A0DD" w14:textId="63479D79"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 xml:space="preserve">Received: </w:t>
      </w:r>
    </w:p>
    <w:p w14:paraId="0DABF643" w14:textId="7E2B0D4A" w:rsidR="00863A78" w:rsidRPr="00863A78" w:rsidRDefault="00863A78" w:rsidP="00087E52">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p>
    <w:p w14:paraId="19130FC1" w14:textId="54A9C4D8" w:rsidR="00863A78" w:rsidRPr="00863A78" w:rsidRDefault="00863A78" w:rsidP="00087E52">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p>
    <w:p w14:paraId="0B50276C" w14:textId="77777777" w:rsidR="00863A78" w:rsidRPr="00863A78" w:rsidRDefault="00863A78" w:rsidP="00863A78">
      <w:pPr>
        <w:ind w:right="737"/>
        <w:rPr>
          <w:rFonts w:ascii="Calibri Light" w:hAnsi="Calibri Light" w:cs="Calibri Light"/>
          <w:b/>
          <w:bCs/>
        </w:rPr>
      </w:pPr>
    </w:p>
    <w:p w14:paraId="1D051894" w14:textId="0FF18124" w:rsidR="00863A78" w:rsidRPr="00863A78" w:rsidRDefault="005742A6"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6B4A0583" wp14:editId="350EF2ED">
            <wp:extent cx="263525" cy="25527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3525" cy="25527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p>
    <w:p w14:paraId="678C9E09"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4F766956" w14:textId="77777777" w:rsidTr="00540F02">
        <w:tc>
          <w:tcPr>
            <w:tcW w:w="9004" w:type="dxa"/>
            <w:tcBorders>
              <w:left w:val="nil"/>
              <w:right w:val="nil"/>
            </w:tcBorders>
          </w:tcPr>
          <w:p w14:paraId="1897A8EC" w14:textId="77777777" w:rsidR="00863A78" w:rsidRPr="00540F02" w:rsidRDefault="00863A78" w:rsidP="00540F02">
            <w:pPr>
              <w:ind w:right="2"/>
              <w:jc w:val="both"/>
              <w:rPr>
                <w:rFonts w:ascii="Calibri Light" w:hAnsi="Calibri Light" w:cs="Calibri Light"/>
                <w:sz w:val="12"/>
                <w:szCs w:val="12"/>
              </w:rPr>
            </w:pPr>
          </w:p>
          <w:p w14:paraId="7AC41569" w14:textId="77777777" w:rsidR="00863A78" w:rsidRPr="00540F02" w:rsidRDefault="00863A78" w:rsidP="002D33A7">
            <w:pPr>
              <w:ind w:right="2"/>
              <w:jc w:val="both"/>
              <w:rPr>
                <w:rFonts w:ascii="Calibri Light" w:hAnsi="Calibri Light" w:cs="Calibri Light"/>
                <w:b/>
                <w:bCs/>
                <w:sz w:val="12"/>
                <w:szCs w:val="12"/>
              </w:rPr>
            </w:pPr>
          </w:p>
        </w:tc>
      </w:tr>
    </w:tbl>
    <w:p w14:paraId="0CB3DC64" w14:textId="77777777" w:rsidR="00863A78" w:rsidRDefault="00863A78" w:rsidP="00863A78">
      <w:pPr>
        <w:ind w:right="737"/>
        <w:rPr>
          <w:rFonts w:ascii="Calibri Light" w:hAnsi="Calibri Light" w:cs="Calibri Light"/>
          <w:b/>
          <w:bCs/>
          <w:sz w:val="24"/>
          <w:szCs w:val="24"/>
        </w:rPr>
      </w:pPr>
    </w:p>
    <w:p w14:paraId="6B1A9B21" w14:textId="77777777" w:rsidR="00A762F0" w:rsidRDefault="00A27B34" w:rsidP="00540F02">
      <w:pPr>
        <w:ind w:right="-1"/>
        <w:jc w:val="both"/>
        <w:rPr>
          <w:rFonts w:ascii="Calibri Light" w:hAnsi="Calibri Light" w:cs="Calibri Light"/>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p>
    <w:p w14:paraId="08B2D4AC" w14:textId="77777777" w:rsidR="002D33A7" w:rsidRDefault="002D33A7" w:rsidP="00540F02">
      <w:pPr>
        <w:ind w:right="-1"/>
        <w:jc w:val="both"/>
        <w:rPr>
          <w:rFonts w:ascii="Calibri Light" w:hAnsi="Calibri Light" w:cs="Calibri Light"/>
          <w:sz w:val="24"/>
          <w:szCs w:val="24"/>
          <w:rtl/>
        </w:rPr>
      </w:pPr>
    </w:p>
    <w:p w14:paraId="296ABA86" w14:textId="19941EAF" w:rsidR="00944018" w:rsidRDefault="005C56C8" w:rsidP="005F6F53">
      <w:pPr>
        <w:ind w:right="566"/>
        <w:jc w:val="both"/>
        <w:rPr>
          <w:rFonts w:ascii="Calibri Light" w:hAnsi="Calibri Light" w:cs="Calibri Light"/>
          <w:i/>
          <w:iCs/>
          <w:noProof/>
          <w:color w:val="000000"/>
          <w:sz w:val="24"/>
          <w:szCs w:val="24"/>
          <w:lang w:val="en-ID"/>
        </w:rPr>
      </w:pPr>
      <w:r w:rsidRPr="005C56C8">
        <w:rPr>
          <w:rFonts w:ascii="Calibri Light" w:hAnsi="Calibri Light" w:cs="Calibri Light"/>
          <w:i/>
          <w:iCs/>
          <w:noProof/>
          <w:color w:val="000000"/>
          <w:sz w:val="24"/>
          <w:szCs w:val="24"/>
          <w:lang w:val="en-ID"/>
        </w:rPr>
        <w:t xml:space="preserve">This study aims to conduct a bibliometric analysis of research on the Basel Accords and Islamic banking to explore key trends, scholarly contributions, and the impact of Basel regulations on the Islamic financial sector. The research follows a systematic methodology based on the </w:t>
      </w:r>
      <w:commentRangeStart w:id="1"/>
      <w:r w:rsidRPr="005C56C8">
        <w:rPr>
          <w:rFonts w:ascii="Calibri Light" w:hAnsi="Calibri Light" w:cs="Calibri Light"/>
          <w:i/>
          <w:iCs/>
          <w:noProof/>
          <w:color w:val="000000"/>
          <w:sz w:val="24"/>
          <w:szCs w:val="24"/>
          <w:lang w:val="en-ID"/>
        </w:rPr>
        <w:t xml:space="preserve">PRISMA </w:t>
      </w:r>
      <w:commentRangeEnd w:id="1"/>
      <w:r w:rsidR="008F621C">
        <w:rPr>
          <w:rStyle w:val="CommentReference"/>
        </w:rPr>
        <w:commentReference w:id="1"/>
      </w:r>
      <w:r w:rsidRPr="005C56C8">
        <w:rPr>
          <w:rFonts w:ascii="Calibri Light" w:hAnsi="Calibri Light" w:cs="Calibri Light"/>
          <w:i/>
          <w:iCs/>
          <w:noProof/>
          <w:color w:val="000000"/>
          <w:sz w:val="24"/>
          <w:szCs w:val="24"/>
          <w:lang w:val="en-ID"/>
        </w:rPr>
        <w:t>framework to ensure a structured and transparent review process. Data for the study was collected from the Scopus database, allowing for a comprehensive examination of relevant literature.</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 xml:space="preserve">To analyze the collected data, the study employs VOSviewer, a widely used tool for visualizing bibliometric networks. Through co-citation, keyword analysis, and thematic mapping, the research identifies major research clusters, influential authors, and key areas of scholarly focus. </w:t>
      </w:r>
      <w:commentRangeStart w:id="2"/>
      <w:r w:rsidRPr="005C56C8">
        <w:rPr>
          <w:rFonts w:ascii="Calibri Light" w:hAnsi="Calibri Light" w:cs="Calibri Light"/>
          <w:i/>
          <w:iCs/>
          <w:noProof/>
          <w:color w:val="000000"/>
          <w:sz w:val="24"/>
          <w:szCs w:val="24"/>
          <w:lang w:val="en-ID"/>
        </w:rPr>
        <w:t>The findings indicate that while significant research has been conducted on both Basel regulations and Islamic banking, the intersection between the two remains a developing field with increasing academic attention in recent years</w:t>
      </w:r>
      <w:r w:rsidR="005F6F53">
        <w:rPr>
          <w:rFonts w:ascii="Calibri Light" w:hAnsi="Calibri Light" w:cs="Calibri Light"/>
          <w:i/>
          <w:iCs/>
          <w:noProof/>
          <w:color w:val="000000"/>
          <w:sz w:val="24"/>
          <w:szCs w:val="24"/>
          <w:lang w:val="en-ID"/>
        </w:rPr>
        <w:t xml:space="preserve"> ,</w:t>
      </w:r>
      <w:r w:rsidR="005F6F53">
        <w:rPr>
          <w:rFonts w:ascii="Calibri Light" w:hAnsi="Calibri Light" w:cs="Calibri Light"/>
          <w:i/>
          <w:iCs/>
          <w:noProof/>
          <w:color w:val="000000"/>
          <w:sz w:val="24"/>
          <w:szCs w:val="24"/>
        </w:rPr>
        <w:t>also</w:t>
      </w:r>
      <w:r w:rsidR="005F6F53">
        <w:rPr>
          <w:rFonts w:ascii="Calibri Light" w:hAnsi="Calibri Light" w:cs="Calibri Light" w:hint="cs"/>
          <w:i/>
          <w:iCs/>
          <w:noProof/>
          <w:color w:val="000000"/>
          <w:sz w:val="24"/>
          <w:szCs w:val="24"/>
          <w:rtl/>
          <w:lang w:val="en-ID"/>
        </w:rPr>
        <w:t xml:space="preserve"> </w:t>
      </w:r>
      <w:r w:rsidR="005F6F53" w:rsidRPr="005F6F53">
        <w:rPr>
          <w:rFonts w:ascii="Calibri Light" w:hAnsi="Calibri Light" w:cs="Calibri Light"/>
          <w:i/>
          <w:iCs/>
          <w:noProof/>
          <w:color w:val="000000"/>
          <w:sz w:val="24"/>
          <w:szCs w:val="24"/>
        </w:rPr>
        <w:t>reveal that while extensive research exists on both Basel regulations and Islamic banking individually, scholarly work examining their intersection—</w:t>
      </w:r>
      <w:commentRangeEnd w:id="2"/>
      <w:r w:rsidR="008F621C">
        <w:rPr>
          <w:rStyle w:val="CommentReference"/>
        </w:rPr>
        <w:commentReference w:id="2"/>
      </w:r>
      <w:r w:rsidR="005F6F53" w:rsidRPr="005F6F53">
        <w:rPr>
          <w:rFonts w:ascii="Calibri Light" w:hAnsi="Calibri Light" w:cs="Calibri Light"/>
          <w:i/>
          <w:iCs/>
          <w:noProof/>
          <w:color w:val="000000"/>
          <w:sz w:val="24"/>
          <w:szCs w:val="24"/>
        </w:rPr>
        <w:t>particularly from a legal and regulatory perspective—remains limited but growing</w:t>
      </w:r>
      <w:r w:rsidRPr="005C56C8">
        <w:rPr>
          <w:rFonts w:ascii="Calibri Light" w:hAnsi="Calibri Light" w:cs="Calibri Light"/>
          <w:i/>
          <w:iCs/>
          <w:noProof/>
          <w:color w:val="000000"/>
          <w:sz w:val="24"/>
          <w:szCs w:val="24"/>
          <w:lang w:val="en-ID"/>
        </w:rPr>
        <w:t>.</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The results highlight the growing importance of regulatory compliance for Islamic financial institutions and the evolving discourse on how Basel frameworks align with Sharia-compliant banking principles. Additionally, the study identifies gaps in the literature, suggesting potential areas for future research. By providing a structured bibliometric overview, this research contributes to a deeper understanding of the scholarly landscape surrounding Basel Accords and Islamic banking, offering insights for academics, policymakers, and industry professionals.</w:t>
      </w:r>
    </w:p>
    <w:p w14:paraId="45DC45A7" w14:textId="77777777" w:rsidR="002D33A7" w:rsidRPr="00534B65" w:rsidRDefault="002D33A7" w:rsidP="00534B65">
      <w:pPr>
        <w:ind w:right="566"/>
        <w:jc w:val="both"/>
        <w:rPr>
          <w:rFonts w:ascii="Calibri Light" w:hAnsi="Calibri Light" w:cs="Calibri Light"/>
          <w:i/>
          <w:iCs/>
          <w:noProof/>
          <w:color w:val="000000"/>
          <w:rtl/>
          <w:lang w:val="en-ID"/>
        </w:rPr>
      </w:pPr>
    </w:p>
    <w:p w14:paraId="05659731" w14:textId="17DE2EF7" w:rsidR="008F0CE5" w:rsidRPr="008F0CE5" w:rsidRDefault="008F0CE5" w:rsidP="008F0CE5">
      <w:pPr>
        <w:ind w:right="737"/>
        <w:jc w:val="both"/>
        <w:rPr>
          <w:rFonts w:ascii="Calibri Light" w:hAnsi="Calibri Light" w:cs="Calibri Light"/>
          <w:i/>
          <w:iCs/>
          <w:noProof/>
          <w:color w:val="000000"/>
          <w:sz w:val="24"/>
          <w:szCs w:val="24"/>
          <w:lang w:val="en-ID"/>
        </w:rPr>
      </w:pPr>
      <w:r w:rsidRPr="008F0CE5">
        <w:rPr>
          <w:rFonts w:ascii="Calibri Light" w:hAnsi="Calibri Light" w:cs="Calibri Light"/>
          <w:i/>
          <w:iCs/>
          <w:noProof/>
          <w:color w:val="000000"/>
          <w:sz w:val="24"/>
          <w:szCs w:val="24"/>
          <w:lang w:val="en-ID"/>
        </w:rPr>
        <w:t xml:space="preserve">Penelitian ini bertujuan untuk melakukan analisis bibliometrik terhadap kajian-kajian yang membahas Perjanjian Basel dan perbankan Islam, guna mengeksplorasi tren utama, kontribusi ilmiah, serta dampak regulasi Basel terhadap sektor keuangan Islam. Penelitian ini mengikuti metodologi sistematis berdasarkan kerangka kerja PRISMA untuk memastikan proses tinjauan yang terstruktur dan transparan. Data dalam studi ini dikumpulkan dari basis data Scopus, sehingga memungkinkan pemeriksaan literatur </w:t>
      </w:r>
      <w:r w:rsidRPr="008F0CE5">
        <w:rPr>
          <w:rFonts w:ascii="Calibri Light" w:hAnsi="Calibri Light" w:cs="Calibri Light"/>
          <w:i/>
          <w:iCs/>
          <w:noProof/>
          <w:color w:val="000000"/>
          <w:sz w:val="24"/>
          <w:szCs w:val="24"/>
          <w:lang w:val="en-ID"/>
        </w:rPr>
        <w:lastRenderedPageBreak/>
        <w:t>yang komprehensif dan relevan.</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 xml:space="preserve">Untuk menganalisis data yang dikumpulkan, studi ini menggunakan VOSviewer, sebuah alat yang banyak digunakan untuk memvisualisasikan jaringan bibliometrik. Melalui analisis co-citation (kutipan bersama), analisis kata kunci, dan pemetaan tematik, penelitian ini mengidentifikasi klaster-klaster utama dalam penelitian, penulis-penulis berpengaruh, serta area fokus keilmuan yang penting. </w:t>
      </w:r>
      <w:commentRangeStart w:id="3"/>
      <w:r w:rsidRPr="008F0CE5">
        <w:rPr>
          <w:rFonts w:ascii="Calibri Light" w:hAnsi="Calibri Light" w:cs="Calibri Light"/>
          <w:i/>
          <w:iCs/>
          <w:noProof/>
          <w:color w:val="000000"/>
          <w:sz w:val="24"/>
          <w:szCs w:val="24"/>
          <w:lang w:val="en-ID"/>
        </w:rPr>
        <w:t>Temuan menunjukkan bahwa meskipun telah banyak penelitian yang dilakukan baik pada regulasi Basel maupun perbankan Islam, keterkaitan antara keduanya masih merupakan bidang yang sedang berkembang dan mendapat perhatian akademik yang meningkat dalam beberapa tahun terakhir.</w:t>
      </w:r>
      <w:r>
        <w:rPr>
          <w:rFonts w:ascii="Calibri Light" w:hAnsi="Calibri Light" w:cs="Calibri Light" w:hint="cs"/>
          <w:i/>
          <w:iCs/>
          <w:noProof/>
          <w:color w:val="000000"/>
          <w:sz w:val="24"/>
          <w:szCs w:val="24"/>
          <w:rtl/>
          <w:lang w:val="en-ID"/>
        </w:rPr>
        <w:t xml:space="preserve"> </w:t>
      </w:r>
      <w:commentRangeEnd w:id="3"/>
      <w:r w:rsidR="008F621C">
        <w:rPr>
          <w:rStyle w:val="CommentReference"/>
        </w:rPr>
        <w:commentReference w:id="3"/>
      </w:r>
      <w:r w:rsidRPr="008F0CE5">
        <w:rPr>
          <w:rFonts w:ascii="Calibri Light" w:hAnsi="Calibri Light" w:cs="Calibri Light"/>
          <w:i/>
          <w:iCs/>
          <w:noProof/>
          <w:color w:val="000000"/>
          <w:sz w:val="24"/>
          <w:szCs w:val="24"/>
          <w:lang w:val="en-ID"/>
        </w:rPr>
        <w:t>Hasil penelitian ini menyoroti pentingnya kepatuhan terhadap regulasi bagi institusi keuangan Islam serta wacana yang terus berkembang mengenai keselarasan kerangka Basel dengan prinsip-prinsip perbankan yang sesuai syariah. Selain itu, studi ini juga mengidentifikasi kesenjangan dalam literatur, yang menunjukkan adanya potensi area untuk penelitian di masa depan. Dengan memberikan gambaran bibliometrik yang terstruktur, penelitian ini berkontribusi terhadap pemahaman yang lebih mendalam mengenai lanskap ilmiah seputar Perjanjian Basel dan perbankan Islam, serta menawarkan wawasan bagi akademisi, pembuat kebijakan, dan profesional industri.</w:t>
      </w:r>
    </w:p>
    <w:p w14:paraId="7CCEF7C8" w14:textId="77777777" w:rsidR="00486707" w:rsidRPr="008F0CE5" w:rsidRDefault="00486707" w:rsidP="003E7145">
      <w:pPr>
        <w:ind w:right="737"/>
        <w:jc w:val="both"/>
        <w:rPr>
          <w:rFonts w:ascii="Calibri Light" w:hAnsi="Calibri Light" w:cs="Calibri Light"/>
          <w:i/>
          <w:iCs/>
          <w:sz w:val="24"/>
          <w:szCs w:val="24"/>
          <w:lang w:val="en-ID"/>
        </w:rPr>
      </w:pPr>
    </w:p>
    <w:p w14:paraId="257F998D" w14:textId="5864A0BD" w:rsidR="00597AAB" w:rsidRPr="008C2547" w:rsidRDefault="0095288D" w:rsidP="00597AAB">
      <w:pPr>
        <w:pStyle w:val="NormalWeb"/>
        <w:jc w:val="both"/>
        <w:rPr>
          <w:rFonts w:ascii="Calibri Light" w:hAnsi="Calibri Light" w:cs="Calibri Light"/>
          <w:i/>
          <w:iCs/>
          <w:rtl/>
          <w:lang w:val="en-ID" w:eastAsia="en-ID"/>
        </w:rPr>
      </w:pPr>
      <w:r w:rsidRPr="00122F5F">
        <w:rPr>
          <w:rFonts w:ascii="Calibri Light" w:hAnsi="Calibri Light" w:cs="Calibri Light"/>
          <w:b/>
          <w:bCs/>
        </w:rPr>
        <w:t>Keyword</w:t>
      </w:r>
      <w:r w:rsidR="008C45DE" w:rsidRPr="00122F5F">
        <w:rPr>
          <w:rFonts w:ascii="Calibri Light" w:hAnsi="Calibri Light" w:cs="Calibri Light"/>
          <w:b/>
          <w:bCs/>
          <w:lang w:val="id-ID"/>
        </w:rPr>
        <w:t>s</w:t>
      </w:r>
      <w:r w:rsidR="00597AAB" w:rsidRPr="00597AAB">
        <w:rPr>
          <w:lang w:val="en-ID" w:eastAsia="en-ID"/>
        </w:rPr>
        <w:t xml:space="preserve"> </w:t>
      </w:r>
      <w:r w:rsidR="00BD5835" w:rsidRPr="008C2547">
        <w:rPr>
          <w:rFonts w:ascii="Calibri Light" w:hAnsi="Calibri Light" w:cs="Calibri Light"/>
          <w:i/>
          <w:iCs/>
          <w:lang w:val="en-ID" w:eastAsia="en-ID"/>
        </w:rPr>
        <w:t>Islamic Banking</w:t>
      </w:r>
      <w:r w:rsidR="00BD5835">
        <w:rPr>
          <w:rFonts w:ascii="Calibri Light" w:hAnsi="Calibri Light" w:cs="Calibri Light"/>
          <w:i/>
          <w:iCs/>
          <w:lang w:val="en-ID" w:eastAsia="en-ID"/>
        </w:rPr>
        <w:t>,</w:t>
      </w:r>
      <w:r w:rsidR="00590269">
        <w:rPr>
          <w:rFonts w:ascii="Calibri Light" w:hAnsi="Calibri Light" w:cs="Calibri Light"/>
          <w:i/>
          <w:iCs/>
          <w:lang w:val="en-ID" w:eastAsia="en-ID"/>
        </w:rPr>
        <w:t xml:space="preserve"> </w:t>
      </w:r>
      <w:r w:rsidR="00597AAB" w:rsidRPr="008C2547">
        <w:rPr>
          <w:rFonts w:ascii="Calibri Light" w:hAnsi="Calibri Light" w:cs="Calibri Light"/>
          <w:i/>
          <w:iCs/>
          <w:lang w:val="en-ID" w:eastAsia="en-ID"/>
        </w:rPr>
        <w:t>Bibliometric Analysis, Basel Accords, PRISMA Framework, Scopus Database.</w:t>
      </w:r>
    </w:p>
    <w:p w14:paraId="6BC00FE9" w14:textId="2B327038" w:rsidR="00F1027C" w:rsidRPr="00122F5F" w:rsidRDefault="00F1027C" w:rsidP="00597AAB">
      <w:pPr>
        <w:ind w:right="737"/>
        <w:jc w:val="both"/>
        <w:rPr>
          <w:rFonts w:ascii="Calibri Light" w:hAnsi="Calibri Light" w:cs="Calibri Light"/>
          <w:b/>
          <w:bCs/>
          <w:sz w:val="24"/>
          <w:szCs w:val="24"/>
          <w:lang w:val="id-ID"/>
        </w:rPr>
      </w:pPr>
    </w:p>
    <w:p w14:paraId="422F40B3" w14:textId="77777777" w:rsidR="007F5B9D" w:rsidRPr="007F5B9D" w:rsidRDefault="008C45DE" w:rsidP="007F5B9D">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28F6C93F" w14:textId="52598D02" w:rsidR="0057036A" w:rsidRPr="0057036A" w:rsidRDefault="0057036A" w:rsidP="002E1840">
      <w:pPr>
        <w:spacing w:before="120" w:after="120"/>
        <w:ind w:left="426"/>
        <w:jc w:val="both"/>
        <w:rPr>
          <w:rFonts w:ascii="Calibri Light" w:hAnsi="Calibri Light" w:cs="Calibri Light"/>
          <w:bCs/>
          <w:sz w:val="24"/>
          <w:szCs w:val="24"/>
          <w:lang w:val="en-ID"/>
        </w:rPr>
      </w:pPr>
      <w:commentRangeStart w:id="4"/>
      <w:r w:rsidRPr="0057036A">
        <w:rPr>
          <w:rFonts w:ascii="Calibri Light" w:hAnsi="Calibri Light" w:cs="Calibri Light"/>
          <w:bCs/>
          <w:sz w:val="24"/>
          <w:szCs w:val="24"/>
          <w:lang w:val="en-ID"/>
        </w:rPr>
        <w:t xml:space="preserve">The intersection of international regulatory frameworks and Islamic banking has become an increasingly important </w:t>
      </w:r>
      <w:commentRangeEnd w:id="4"/>
      <w:r w:rsidR="008F621C">
        <w:rPr>
          <w:rStyle w:val="CommentReference"/>
        </w:rPr>
        <w:commentReference w:id="4"/>
      </w:r>
      <w:r w:rsidRPr="0057036A">
        <w:rPr>
          <w:rFonts w:ascii="Calibri Light" w:hAnsi="Calibri Light" w:cs="Calibri Light"/>
          <w:bCs/>
          <w:sz w:val="24"/>
          <w:szCs w:val="24"/>
          <w:lang w:val="en-ID"/>
        </w:rPr>
        <w:t>topic in academic research, particularly regarding the impact of Basel Accords on the Islamic financial sector. The Basel Committee on Banking Supervision (BCBS) introduced these accords to enhance banking stability and reduce financial risks through capital adequacy requirements, risk management, and liquidity standards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(Barra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Since the introduction of Basel I in 1988 and the subsequent developments in Basel II and Basel III, these regulatory guidelines have had a profound impact on global banking systems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{"citationItems":[{"id":"ITEM-1","itemData":{"DOI":"10.1016/j.irfa.2024.103502","ISSN":"10575219 (ISSN)","abstract":"We develop a model to compare the changes in banks' equilibrium capital and liquidity holdings under various versions of Basel-style requirements across economic cycles. We find that banks' liquidity is countercyclical while capital buffer is procyclical. Countercyclical liquidity-holding behaviour causes a larger liquidation of loans in economic expansions. We also find that Basel-style liquidity requirements help to lower banks' loan liquidations in economic upturns, although it is of limited effectiveness in economic downturns. We thus suggest that similar to capital requirements, liquidity requirements should also be set in a countercyclical manner. Our results show that capital requirements and liquidity requirements are complements in economic upturns in terms of enhancing banking stability and obtaining social welfare. Furthermore, Basel III outperforms previous regulatory versions in enhancing bank stability and social welfare in extreme situations. © 2024 The Author(s)","author":[{"dropping-particle":"","family":"Huang","given":"C","non-dropping-particle":"","parse-names":false,"suffix":""},{"dropping-particle":"","family":"Moreira","given":"F","non-dropping-particle":"","parse-names":false,"suffix":""},{"dropping-particle":"","family":"Archibald","given":"T W","non-dropping-particle":"","parse-names":false,"suffix":""}],"container-title":"International Review of Financial Analysis","id":"ITEM-1","issued":{"date-parts":[["2024"]]},"language":"English","note":"Export Date: 24 April 2025; Cited By: 0; Correspondence Address: F. Moreira; University of Edinburgh Business School, United Kingdom; email: fernando.moreira@ed.ac.uk","publisher":"Elsevier Inc.","publisher-place":"School of Economics and Management, Beijing Jiaotong University, China","title":"Should Basel-style liquidity requirements be set countercyclically? Evidence from a numerical analysis","type":"article-journal","volume":"95"},"uris":["http://www.mendeley.com/documents/?uuid=e64307e3-a47e-427c-9c84-b2c2aa6ea31c"]}],"mendeley":{"formattedCitation":"(Huang et al., 2024)","plainTextFormattedCitation":"(Huang et al., 2024)","previouslyFormattedCitation":"(Huang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(Huang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However, their applicability to Islamic financial institutions (IFIs), which operate under Shariah principles, remains a subject of ongoing academic and regulatory debate.</w:t>
      </w:r>
    </w:p>
    <w:p w14:paraId="1E933055" w14:textId="1E5C4201" w:rsidR="0057036A" w:rsidRPr="0057036A" w:rsidRDefault="0057036A" w:rsidP="002E1840">
      <w:pPr>
        <w:spacing w:before="120" w:after="120"/>
        <w:ind w:left="426"/>
        <w:jc w:val="both"/>
        <w:rPr>
          <w:rFonts w:ascii="Calibri Light" w:hAnsi="Calibri Light" w:cs="Calibri Light"/>
          <w:bCs/>
          <w:sz w:val="24"/>
          <w:szCs w:val="24"/>
          <w:lang w:val="en-ID"/>
        </w:rPr>
      </w:pPr>
      <w:commentRangeStart w:id="5"/>
      <w:r w:rsidRPr="0057036A">
        <w:rPr>
          <w:rFonts w:ascii="Calibri Light" w:hAnsi="Calibri Light" w:cs="Calibri Light"/>
          <w:bCs/>
          <w:sz w:val="24"/>
          <w:szCs w:val="24"/>
          <w:lang w:val="en-ID"/>
        </w:rPr>
        <w:t xml:space="preserve">Islamic banks differ fundamentally from conventional banks due to their commitment to </w:t>
      </w:r>
      <w:proofErr w:type="spellStart"/>
      <w:r w:rsidRPr="0057036A">
        <w:rPr>
          <w:rFonts w:ascii="Calibri Light" w:hAnsi="Calibri Light" w:cs="Calibri Light"/>
          <w:bCs/>
          <w:sz w:val="24"/>
          <w:szCs w:val="24"/>
          <w:lang w:val="en-ID"/>
        </w:rPr>
        <w:t>Maqasid</w:t>
      </w:r>
      <w:proofErr w:type="spellEnd"/>
      <w:r w:rsidRPr="0057036A">
        <w:rPr>
          <w:rFonts w:ascii="Calibri Light" w:hAnsi="Calibri Light" w:cs="Calibri Light"/>
          <w:bCs/>
          <w:sz w:val="24"/>
          <w:szCs w:val="24"/>
          <w:lang w:val="en-ID"/>
        </w:rPr>
        <w:t xml:space="preserve"> al-Shariah</w:t>
      </w:r>
      <w:commentRangeEnd w:id="5"/>
      <w:r w:rsidR="008F621C">
        <w:rPr>
          <w:rStyle w:val="CommentReference"/>
        </w:rPr>
        <w:commentReference w:id="5"/>
      </w:r>
      <w:r w:rsidRPr="0057036A">
        <w:rPr>
          <w:rFonts w:ascii="Calibri Light" w:hAnsi="Calibri Light" w:cs="Calibri Light"/>
          <w:bCs/>
          <w:sz w:val="24"/>
          <w:szCs w:val="24"/>
          <w:lang w:val="en-ID"/>
        </w:rPr>
        <w:t xml:space="preserve"> (the higher objectives of Islamic law), which prohibit interest (</w:t>
      </w:r>
      <w:proofErr w:type="spellStart"/>
      <w:r w:rsidRPr="0057036A">
        <w:rPr>
          <w:rFonts w:ascii="Calibri Light" w:hAnsi="Calibri Light" w:cs="Calibri Light"/>
          <w:bCs/>
          <w:sz w:val="24"/>
          <w:szCs w:val="24"/>
          <w:lang w:val="en-ID"/>
        </w:rPr>
        <w:t>riba</w:t>
      </w:r>
      <w:proofErr w:type="spellEnd"/>
      <w:r w:rsidRPr="0057036A">
        <w:rPr>
          <w:rFonts w:ascii="Calibri Light" w:hAnsi="Calibri Light" w:cs="Calibri Light"/>
          <w:bCs/>
          <w:sz w:val="24"/>
          <w:szCs w:val="24"/>
          <w:lang w:val="en-ID"/>
        </w:rPr>
        <w:t>) and promote risk-sharing, ethical investment, and asset-backed financing</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{"citationItems":[{"id":"ITEM-1","itemData":{"DOI":"10.1007/s11156-022-01092-6","ISSN":"0924865X (ISSN)","abstract":"This study proposes a renewal of the contemporary Islamic banking Murabaha financing model as it aggravates financial fragility with waning economic efficiency. We adapt the working capital framework of successful US companies like Amazon and Walmart and model an innovative Murabaha facility as trade credit within the real sector of the economy. We then test its robustness in a range of simulation tests. Our approach is novel and stands in contrast to the familiar financial sector fixed-income facilities, characteristic of Western economies, stealthily mimicked as mark-up (interest rate based) Murabaha by Islamic banks. We argue that this is neither appropriate nor effective for Islamic economies, making them fragile under monetary pressures in crises like the current coronavirus and energy ones. Our simulation results indicate that the trade credit Murabaha not only transforms debt into a risk-sharing one but also offers more competitive financing rates, reduces systemic risk, and improves financial stability. Furthermore, our results imply that the trade credit Murabaha can increase the efficiency of Islamic financial systems and make them more resilient to shocks. Consequently, this paper discusses the integration of our novel Murabaha within a recreated architecture of Universal Banking. As an implication, this should promote business activity and contribute to global growth. Finally, we recommend how to deploy our novel Murabaha based on trade credit (as opposed to the currently deployed fixed-income-mimicked Murabaha) to alleviate twin agency debt costs (risk shifting, underinvestment) and solve the ownership transfer problem of modern Islamic banking. © 2022, The Author(s).","author":[{"dropping-particle":"","family":"Jatmiko","given":"W","non-dropping-particle":"","parse-names":false,"suffix":""},{"dropping-particle":"","family":"Ebrahim","given":"M S","non-dropping-particle":"","parse-names":false,"suffix":""},{"dropping-particle":"","family":"Iqbal","given":"A","non-dropping-particle":"","parse-names":false,"suffix":""},{"dropping-particle":"","family":"Wojakowski","given":"R M","non-dropping-particle":"","parse-names":false,"suffix":""}],"container-title":"Review of Quantitative Finance and Accounting","id":"ITEM-1","issue":"1","issued":{"date-parts":[["2023"]]},"language":"English","note":"Export Date: 30 January 2025; Cited By: 4; Correspondence Address: A. Iqbal; Kent Business School, University of Kent, Chatham, Medway Building, ME4 4AG, United Kingdom; email: A.Iqbal@kent.ac.uk","page":"111-146","publisher":"Springer","publisher-place":"Faculty of Economics and Business, University of Indonesia, West Java, Depok, 16424, Indonesia","title":"Can trade credit rejuvenate Islamic banking?","type":"article-journal","volume":"60"},"uris":["http://www.mendeley.com/documents/?uuid=4674edfc-f90d-4650-b8d5-09744f25a1fe"]}],"mendeley":{"formattedCitation":"(Jatmiko et al., 2023)","plainTextFormattedCitation":"(Jatmiko et al., 2023)","previouslyFormattedCitation":"(Jatmiko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(Jatmiko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As a result, applying Basel regulations to Islamic financial institutions presents unique challenges, as these accords rely on an interest-based risk assessment model to evaluate capital and risk exposure. In contrast, Islamic banks operate using financial instruments such as </w:t>
      </w:r>
      <w:proofErr w:type="spellStart"/>
      <w:r w:rsidRPr="0057036A">
        <w:rPr>
          <w:rFonts w:ascii="Calibri Light" w:hAnsi="Calibri Light" w:cs="Calibri Light"/>
          <w:bCs/>
          <w:sz w:val="24"/>
          <w:szCs w:val="24"/>
          <w:lang w:val="en-ID"/>
        </w:rPr>
        <w:t>murabaha</w:t>
      </w:r>
      <w:proofErr w:type="spellEnd"/>
      <w:r w:rsidRPr="0057036A">
        <w:rPr>
          <w:rFonts w:ascii="Calibri Light" w:hAnsi="Calibri Light" w:cs="Calibri Light"/>
          <w:bCs/>
          <w:sz w:val="24"/>
          <w:szCs w:val="24"/>
          <w:lang w:val="en-ID"/>
        </w:rPr>
        <w:t xml:space="preserve"> (cost-plus financing), </w:t>
      </w:r>
      <w:proofErr w:type="spellStart"/>
      <w:r w:rsidRPr="0057036A">
        <w:rPr>
          <w:rFonts w:ascii="Calibri Light" w:hAnsi="Calibri Light" w:cs="Calibri Light"/>
          <w:bCs/>
          <w:sz w:val="24"/>
          <w:szCs w:val="24"/>
          <w:lang w:val="en-ID"/>
        </w:rPr>
        <w:t>musharakah</w:t>
      </w:r>
      <w:proofErr w:type="spellEnd"/>
      <w:r w:rsidRPr="0057036A">
        <w:rPr>
          <w:rFonts w:ascii="Calibri Light" w:hAnsi="Calibri Light" w:cs="Calibri Light"/>
          <w:bCs/>
          <w:sz w:val="24"/>
          <w:szCs w:val="24"/>
          <w:lang w:val="en-ID"/>
        </w:rPr>
        <w:t xml:space="preserve"> (equity partnership), </w:t>
      </w:r>
      <w:proofErr w:type="spellStart"/>
      <w:r w:rsidRPr="0057036A">
        <w:rPr>
          <w:rFonts w:ascii="Calibri Light" w:hAnsi="Calibri Light" w:cs="Calibri Light"/>
          <w:bCs/>
          <w:sz w:val="24"/>
          <w:szCs w:val="24"/>
          <w:lang w:val="en-ID"/>
        </w:rPr>
        <w:t>mudarabah</w:t>
      </w:r>
      <w:proofErr w:type="spellEnd"/>
      <w:r w:rsidRPr="0057036A">
        <w:rPr>
          <w:rFonts w:ascii="Calibri Light" w:hAnsi="Calibri Light" w:cs="Calibri Light"/>
          <w:bCs/>
          <w:sz w:val="24"/>
          <w:szCs w:val="24"/>
          <w:lang w:val="en-ID"/>
        </w:rPr>
        <w:t xml:space="preserve"> (profit-sharing), and ijarah (leasing). These differences raise critical questions about whether conventional regulatory frameworks can effectively accommodate Islamic banking operations and whether modifications are needed to align Basel standards with Shariah-compliant finance</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217165">
        <w:rPr>
          <w:rFonts w:ascii="Calibri Light" w:hAnsi="Calibri Light" w:cs="Calibri Light"/>
          <w:bCs/>
          <w:sz w:val="24"/>
          <w:szCs w:val="24"/>
          <w:lang w:val="en-ID"/>
        </w:rPr>
        <w:instrText>ADDIN CSL_CITATION {"citationItems":[{"id":"ITEM-1","itemData":{"DOI":"10.1108/IMEFM-12-2019-0518","ISSN":"17538394 (ISSN)","abstract":"Purpose: The purpose of this paper is to explore the types of Shariah capabilities of Islamic banks, which provide bases for the types of Shariah value propositions, offered by the relationship managers in their front-line service experiences with the customers. Design/methodology/approach: A resource-based view of Shariah capabilities and a service-dominant logic view of value propositions are adopted. Fifteen relationship managers from multiple Islamic banks in Pakistan are interviewed to find a typology of Shariah capabilities and a resultant typology of value propositions for Islamic banks. Findings: The findings suggest that Islamic banks claim to possess five types of Shariah capabilities, namely, Shariah governance capability (SGC), Shariah compliance capability (SCC), Shariah monitoring capability (SMC), Shariah structuring (product) capability (SSC) and Shariah learning capability (SLC). These capabilities lead to four types of values propositions, namely, Shariah identity value (SIV), Riba-free value (RFV), Shariah disclosure value (SDV) and Tangibility value (TV) of the real assets in transactions. Research limitations/implications: The study has relied on the front-line experiences of relationship managers who are connected to the Islamic banks’ capabilities inside the banks and the value propositions that they offer to show relationships with customers in front-line service experiences. Other stakeholders may have different perspectives on both capabilities and value propositions. Originality/value: This paper contributes to Islamic finance theory by theoretically and empirically showing two typologies for the Islamic banks' capabilities and value propositions, respectively. © 2022, Emerald Publishing Limited.","author":[{"dropping-particle":"","family":"Ullah","given":"K","non-dropping-particle":"","parse-names":false,"suffix":""},{"dropping-particle":"","family":"Ashfaque","given":"M","non-dropping-particle":"","parse-names":false,"suffix":""},{"dropping-particle":"","family":"Atiq","given":"M","non-dropping-particle":"","parse-names":false,"suffix":""},{"dropping-particle":"","family":"Khan","given":"M","non-dropping-particle":"","parse-names":false,"suffix":""},{"dropping-particle":"","family":"Hussain","given":"A","non-dropping-particle":"","parse-names":false,"suffix":""}],"container-title":"International Journal of Islamic and Middle Eastern Finance and Management","id":"ITEM-1","issue":"4","issued":{"date-parts":[["2023"]]},"language":"English","note":"Export Date: 04 December 2024; Cited By: 8; Correspondence Address: M. Atiq; Institute of Management Sciences, Peshawar, Pakistan; email: muhammad.atiq@imsciences.edu.pk","page":"701-715","publisher":"Emerald Publishing","publisher-place":"Institute of Management Sciences, Peshawar, Pakistan","title":"Shariah capabilities and value propositions of Islamic banking","type":"article-journal","volume":"16"},"uris":["http://www.mendeley.com/documents/?uuid=1b765d97-e4d4-4622-b8ed-a2d86c3644eb"]}],"mendeley":{"formattedCitation":"(K. Ullah et al., 2023)","plainTextFormattedCitation":"(K. Ullah et al., 2023)","previouslyFormattedCitation":"(K. Ullah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217165" w:rsidRPr="00217165">
        <w:rPr>
          <w:rFonts w:ascii="Calibri Light" w:hAnsi="Calibri Light" w:cs="Calibri Light"/>
          <w:bCs/>
          <w:noProof/>
          <w:sz w:val="24"/>
          <w:szCs w:val="24"/>
          <w:lang w:val="en-ID"/>
        </w:rPr>
        <w:t>(K. Ullah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0FB1FA6F" w14:textId="238D6ED3"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lastRenderedPageBreak/>
        <w:t>To gain a deeper understanding of the research landscape surrounding Basel Accords and Islamic banking, a bibliometric analysis was conducted, covering the years 2015 to 2024</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0051D0">
        <w:rPr>
          <w:rFonts w:ascii="Calibri Light" w:hAnsi="Calibri Light" w:cs="Calibri Light"/>
          <w:bCs/>
          <w:sz w:val="24"/>
          <w:szCs w:val="24"/>
          <w:lang w:val="en-ID"/>
        </w:rPr>
        <w:instrText>ADDIN CSL_CITATION {"citationItems":[{"id":"ITEM-1","itemData":{"DOI":"10.1108/JIMA-11-2023-0357","ISSN":"17590833 (ISSN)","abstract":"Purpose: This paper aims to investigate Islamic work ethics and adaptability towards change readiness of Islamic Bank employees in Indonesia with commitment as a mediating variable. This study focuses on the Sharia banking industry, which is facing transformation from Sharia business units to Sharia commercial banks by preparing its human resources, thus minimizing resistance. Design/methodology/approach: This study is based on a survey of 135 Bank Syariah Indonesia employees via an online questionnaire. PLS-SEM is used to analyze data and test hypotheses using SMART-PLS. Findings: The results of the study show that adaptability does not have a positive and significant effect on readiness for change in Indonesian Sharia banks and organizational commitment. Meanwhile, Islamic work ethics have a positive and significant effect on the change readiness of Islamic bank employees in Indonesia as well as organizational commitment. This study also found that organizational commitment mediates the impact of Islamic work ethics on the change readiness of Islamic bank employees in Indonesia. Research limitations/implications: This research uses a sample of employees at Sharia commercial banks (BUS) in Indonesia, so it is still limited to certain types of banks. Future research needs to test the model in different contexts, such as banks that still have Sharia business unit (UUS) status. In addition, further research needs to use other variables such as leader support for transformational change readiness. Future research also needs to control more variables and use a more complex scale than a binary scale (e.g. percentage of share ownership or area within a province or district/city). This study recommends that employee change readiness is very necessary to avoid resistance and resistance to the transformation and acceleration of Sharia banking in Indonesia. Originality/value: This research looks at employee readiness for change in Indonesian Sharia banks through the lens of adaptability Islamic work ethics and organizational commitment. © 2024, Emerald Publishing Limited.","author":[{"dropping-particle":"","family":"Afrida","given":"Y","non-dropping-particle":"","parse-names":false,"suffix":""},{"dropping-particle":"","family":"Rivai","given":"H A","non-dropping-particle":"","parse-names":false,"suffix":""},{"dropping-particle":"","family":"Syahrul","given":"L","non-dropping-particle":"","parse-names":false,"suffix":""},{"dropping-particle":"","family":"Lukito","given":"H","non-dropping-particle":"","parse-names":false,"suffix":""}],"container-title":"Journal of Islamic Marketing","id":"ITEM-1","issue":"12","issued":{"date-parts":[["2024"]]},"language":"English","note":"Export Date: 09 January 2025; Cited By: 0; Correspondence Address: H.A. Rivai; Management Department, Faculty of Business and Economics, Universitas Andalas, Padang, Indonesia; email: harifamali@gmail.com","page":"3445-3463","publisher":"Emerald Publishing","publisher-place":"Department of Islamic Finance, Universitas Islam Negeri Imam Bonjol Padang, Padang, Indonesia","title":"Readiness to change in Islamic banking: the significance of adaptability and Islamic work ethics","type":"article-journal","volume":"15"},"uris":["http://www.mendeley.com/documents/?uuid=b37afd72-cb22-438a-878f-a99a8a2d598d"]}],"mendeley":{"formattedCitation":"(Afrida et al., 2024)","plainTextFormattedCitation":"(Afrida et al., 2024)","previouslyFormattedCitation":"(Afrida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(Afrida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w:t>
      </w:r>
      <w:commentRangeStart w:id="6"/>
      <w:r w:rsidRPr="0057036A">
        <w:rPr>
          <w:rFonts w:ascii="Calibri Light" w:hAnsi="Calibri Light" w:cs="Calibri Light"/>
          <w:bCs/>
          <w:sz w:val="24"/>
          <w:szCs w:val="24"/>
          <w:lang w:val="en-ID"/>
        </w:rPr>
        <w:t xml:space="preserve">This study collected and </w:t>
      </w:r>
      <w:proofErr w:type="spellStart"/>
      <w:r w:rsidRPr="0057036A">
        <w:rPr>
          <w:rFonts w:ascii="Calibri Light" w:hAnsi="Calibri Light" w:cs="Calibri Light"/>
          <w:bCs/>
          <w:sz w:val="24"/>
          <w:szCs w:val="24"/>
          <w:lang w:val="en-ID"/>
        </w:rPr>
        <w:t>analyzed</w:t>
      </w:r>
      <w:proofErr w:type="spellEnd"/>
      <w:r w:rsidRPr="0057036A">
        <w:rPr>
          <w:rFonts w:ascii="Calibri Light" w:hAnsi="Calibri Light" w:cs="Calibri Light"/>
          <w:bCs/>
          <w:sz w:val="24"/>
          <w:szCs w:val="24"/>
          <w:lang w:val="en-ID"/>
        </w:rPr>
        <w:t xml:space="preserve"> data from Scopus, one of the most comprehensive and reliable academic databases. A systematic review approach was applied using the PRISMA framework </w:t>
      </w:r>
      <w:commentRangeEnd w:id="6"/>
      <w:r w:rsidR="008F621C">
        <w:rPr>
          <w:rStyle w:val="CommentReference"/>
        </w:rPr>
        <w:commentReference w:id="6"/>
      </w:r>
      <w:r w:rsidRPr="0057036A">
        <w:rPr>
          <w:rFonts w:ascii="Calibri Light" w:hAnsi="Calibri Light" w:cs="Calibri Light"/>
          <w:bCs/>
          <w:sz w:val="24"/>
          <w:szCs w:val="24"/>
          <w:lang w:val="en-ID"/>
        </w:rPr>
        <w:t xml:space="preserve">to ensure a structured and transparent selection process. Additionally, </w:t>
      </w:r>
      <w:proofErr w:type="spellStart"/>
      <w:r w:rsidRPr="0057036A">
        <w:rPr>
          <w:rFonts w:ascii="Calibri Light" w:hAnsi="Calibri Light" w:cs="Calibri Light"/>
          <w:bCs/>
          <w:sz w:val="24"/>
          <w:szCs w:val="24"/>
          <w:lang w:val="en-ID"/>
        </w:rPr>
        <w:t>VOSviewer</w:t>
      </w:r>
      <w:proofErr w:type="spellEnd"/>
      <w:r w:rsidRPr="0057036A">
        <w:rPr>
          <w:rFonts w:ascii="Calibri Light" w:hAnsi="Calibri Light" w:cs="Calibri Light"/>
          <w:bCs/>
          <w:sz w:val="24"/>
          <w:szCs w:val="24"/>
          <w:lang w:val="en-ID"/>
        </w:rPr>
        <w:t xml:space="preserve"> was used to create network visualizations, mapping research clusters and identifying key themes in the literature. The analysis revealed a significant increase in academic interest in this field, particularly in response to global financial crises and evolving banking regulations</w:t>
      </w:r>
      <w:r w:rsidR="000051D0">
        <w:rPr>
          <w:rFonts w:ascii="Calibri Light" w:hAnsi="Calibri Light" w:cs="Calibri Light"/>
          <w:bCs/>
          <w:sz w:val="24"/>
          <w:szCs w:val="24"/>
          <w:lang w:val="en-ID"/>
        </w:rPr>
        <w:t xml:space="preserve"> </w:t>
      </w:r>
      <w:r w:rsidR="000051D0">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{"citationItems":[{"id":"ITEM-1","itemData":{"DOI":"10.18488/5002.v12i2.4411","ISSN":"23052147 (ISSN)","abstract":"There is an ongoing debate on how Islamic banks contribute to bank sustainability. Theoretically, Islamic ethics promote sustainability, also called Maqasid al-shari'ah. This paper investigates the effect of geographical factors on Islamic bank sustainability. A theoretical and empirical model was developed to assess this relationship. It was hypothesized that geographical factors affect Islamic bank sustainability. Countries in specific geographical locations that are dominated by Islamic rules, such as the Middle East, have different magnitudes compared to east Asian countries that have fewer Islamic rules. A geographical risk model was developed according to the Maqasid al-Shari'ah concept and was employed based on a microeconomic banking model that portrays a variety of risks for 159 Islamic banks in ten countries. We constructed variables from macroeconomic databases, such as the World Development Indicators, and microeconomic databases, such as financial indicators and environmental, social, and governance (ESG) data from Thomson Reuters from 2012 to 2019. The analysis was conducted using panel instrumental variable regression to test the hypothesis; however, geographical risk variables produced biased results affecting Maqasid financing. The method was refined with IV quantile regression. It was found that geographical factors are strongly related to the improvement of Maqasid financing in Middle East regions, whereas in eastern regions this is vice versa. The results indicate that geopolitical factors stimulate Maqasid financing for Sustainable Development Goals.  © 2022 AESS Publications.","author":[{"dropping-particle":"","family":"Budiman","given":"T","non-dropping-particle":"","parse-names":false,"suffix":""},{"dropping-particle":"","family":"Febrian","given":"E","non-dropping-particle":"","parse-names":false,"suffix":""},{"dropping-particle":"","family":"Azis","given":"Y","non-dropping-particle":"","parse-names":false,"suffix":""}],"container-title":"Asian Economic and Financial Review","id":"ITEM-1","issue":"2","issued":{"date-parts":[["2022"]]},"language":"English","note":"Export Date: 26 November 2024; Cited By: 7; Correspondence Address: T. Budiman; Department of Management and Business, Faculty of Economics and Business, University of Padjadjaran, Indonesia; email: teguh.budiman1218@gmail.com","page":"70-88","publisher":"Asian Economic and Social Society","publisher-place":"Department of Management and Business, Faculty of Economics and Business, University of Padjadjaran, Indonesia","title":"THE EFFECT OF GEOGRAPHICAL FACTORS ON ISLAMIC BANKING SUSTAINABILITY PERFORMANCE: AN INSTRUMENTAL VARIABLE QUANTILE REGRESSION ANALYSIS","type":"article-journal","volume":"12"},"uris":["http://www.mendeley.com/documents/?uuid=bf2c9640-d59a-4e99-9a42-f4779a95e705"]}],"mendeley":{"formattedCitation":"(Budiman et al., 2022)","plainTextFormattedCitation":"(Budiman et al., 2022)","previouslyFormattedCitation":"(Budiman et al., 2022)"},"properties":{"noteIndex":0},"schema":"https://github.com/citation-style-language/schema/raw/master/csl-citation.json"}</w:instrText>
      </w:r>
      <w:r w:rsidR="000051D0">
        <w:rPr>
          <w:rFonts w:ascii="Calibri Light" w:hAnsi="Calibri Light" w:cs="Calibri Light"/>
          <w:bCs/>
          <w:sz w:val="24"/>
          <w:szCs w:val="24"/>
          <w:lang w:val="en-ID"/>
        </w:rPr>
        <w:fldChar w:fldCharType="separate"/>
      </w:r>
      <w:r w:rsidR="000051D0" w:rsidRPr="000051D0">
        <w:rPr>
          <w:rFonts w:ascii="Calibri Light" w:hAnsi="Calibri Light" w:cs="Calibri Light"/>
          <w:bCs/>
          <w:noProof/>
          <w:sz w:val="24"/>
          <w:szCs w:val="24"/>
          <w:lang w:val="en-ID"/>
        </w:rPr>
        <w:t>(Budiman et al., 2022)</w:t>
      </w:r>
      <w:r w:rsidR="000051D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39E127BA" w14:textId="03E152EC"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findings indicate that countries with well-developed Islamic banking sectors, such as Malaysia, the Gulf Cooperation Council (GCC) countries, and Indonesia, have been the most active in publishing research on this topic</w:t>
      </w:r>
      <w:r w:rsidR="00C56155">
        <w:rPr>
          <w:rFonts w:ascii="Calibri Light" w:hAnsi="Calibri Light" w:cs="Calibri Light"/>
          <w:bCs/>
          <w:sz w:val="24"/>
          <w:szCs w:val="24"/>
          <w:lang w:val="en-ID"/>
        </w:rPr>
        <w:t xml:space="preserve"> </w:t>
      </w:r>
      <w:r w:rsidR="00C56155">
        <w:rPr>
          <w:rFonts w:ascii="Calibri Light" w:hAnsi="Calibri Light" w:cs="Calibri Light"/>
          <w:bCs/>
          <w:sz w:val="24"/>
          <w:szCs w:val="24"/>
          <w:lang w:val="en-ID"/>
        </w:rPr>
        <w:fldChar w:fldCharType="begin" w:fldLock="1"/>
      </w:r>
      <w:r w:rsidR="003C27F1">
        <w:rPr>
          <w:rFonts w:ascii="Calibri Light" w:hAnsi="Calibri Light" w:cs="Calibri Light"/>
          <w:bCs/>
          <w:sz w:val="24"/>
          <w:szCs w:val="24"/>
          <w:lang w:val="en-ID"/>
        </w:rPr>
        <w:instrText>ADDIN CSL_CITATION {"citationItems":[{"id":"ITEM-1","itemData":{"author":[{"dropping-particle":"","family":"Isman","given":"Isman","non-dropping-particle":"","parse-names":false,"suffix":""}],"id":"ITEM-1","issue":"September","issued":{"date-parts":[["2024"]]},"title":"International Conference on Actual Islamic Studies Islamic Capital Market Accessibility and Fintech Innovation : Transformation of POJK 77 / 2016 Islamic Capital Market Accessibility and Fintech Innovation : Transformation of POJK 77 / 2016","type":"article-journal"},"uris":["http://www.mendeley.com/documents/?uuid=dfa7752f-c134-4c76-90d6-7efabaa44807"]}],"mendeley":{"formattedCitation":"(Isman, 2024)","plainTextFormattedCitation":"(Isman, 2024)","previouslyFormattedCitation":"(Isman, 2024)"},"properties":{"noteIndex":0},"schema":"https://github.com/citation-style-language/schema/raw/master/csl-citation.json"}</w:instrText>
      </w:r>
      <w:r w:rsidR="00C56155">
        <w:rPr>
          <w:rFonts w:ascii="Calibri Light" w:hAnsi="Calibri Light" w:cs="Calibri Light"/>
          <w:bCs/>
          <w:sz w:val="24"/>
          <w:szCs w:val="24"/>
          <w:lang w:val="en-ID"/>
        </w:rPr>
        <w:fldChar w:fldCharType="separate"/>
      </w:r>
      <w:r w:rsidR="00C56155" w:rsidRPr="00C56155">
        <w:rPr>
          <w:rFonts w:ascii="Calibri Light" w:hAnsi="Calibri Light" w:cs="Calibri Light"/>
          <w:bCs/>
          <w:noProof/>
          <w:sz w:val="24"/>
          <w:szCs w:val="24"/>
          <w:lang w:val="en-ID"/>
        </w:rPr>
        <w:t>(Isman, 2024)</w:t>
      </w:r>
      <w:r w:rsidR="00C56155">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Additionally, several academic journals specializing in Islamic finance and banking regulation have played a crucial role in disseminating studies in this area. By examining the most frequently used research keywords over the past decade, it was found that terms such as "Basel III," "Islamic Finance Regulation," and "Risk Management in Islamic Banking" were among the most commonly cited, reflecting the growing focus on regulatory challenges faced by Islamic financial institutions</w:t>
      </w:r>
      <w:r w:rsidR="00650CEB">
        <w:rPr>
          <w:rFonts w:ascii="Calibri Light" w:hAnsi="Calibri Light" w:cs="Calibri Light"/>
          <w:bCs/>
          <w:sz w:val="24"/>
          <w:szCs w:val="24"/>
          <w:lang w:val="en-ID"/>
        </w:rPr>
        <w:t xml:space="preserve"> </w:t>
      </w:r>
      <w:r w:rsidR="00650CEB">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{"citationItems":[{"id":"ITEM-1","itemData":{"DOI":"10.21511/bbs.16(1).2021.05","ISSN":"18167403 (ISSN)","abstract":"This paper aims to analyze the link between the disclosure of zakat information and the performance of Islamic financial institutions in Yemen. Panel data of three Islamic banks working in Yemen were used. The study used a 16-item disclosure index to measure zakat disclosure information, and the financial performance of banks was calculated using two proxies, such as return on assets (ROA) and return on equity (ROE). Based on secondary data, this study used correlation matrix, descriptive analysis and regression analysis. ROA results revealed that zakat data and the age of a bank significantly affected financial results calculated by ROA, while the size of Islamic banks had an insignificant influence of banking performance. Zakat information and the size of Islamic banks have a positive effect on bank performance, while the age of the bank negatively influences the performance of banks. The results concerning ROE indicated that zakat data and the age of a bank have a strong and significant influence on the performance of banks, determined by ROA, while the size of a bank has a negative and insignificant effect on the performance of banks, determined by ROE. © Eissa A. Al-Homaidi, Ebrahim Mohammed Al-Matari, Suhaib Anagreh, Mosab I. Tabash, Nabil Ahmed Mareai Senan, 2021.","author":[{"dropping-particle":"","family":"Al-Homaidi","given":"E A","non-dropping-particle":"","parse-names":false,"suffix":""},{"dropping-particle":"","family":"Al-Matari","given":"E M","non-dropping-particle":"","parse-names":false,"suffix":""},{"dropping-particle":"","family":"Anagreh","given":"S","non-dropping-particle":"","parse-names":false,"suffix":""},{"dropping-particle":"","family":"Tabash","given":"M I","non-dropping-particle":"","parse-names":false,"suffix":""},{"dropping-particle":"","family":"Mareai Senan","given":"N A","non-dropping-particle":"","parse-names":false,"suffix":""}],"container-title":"Banks and Bank Systems","id":"ITEM-1","issue":"1","issued":{"date-parts":[["2021"]]},"language":"English","note":"Export Date: 24 April 2025; Cited By: 8","page":"52-61","publisher":"LLC CPC Business Perspectives","publisher-place":"Faculty of Commerce, Aligarh Muslim University, India","title":"The relationship between zakat disclosures and Islamic banking performance: Evidence from Yemen","type":"article-journal","volume":"16"},"uris":["http://www.mendeley.com/documents/?uuid=7f583a3b-8cf2-4bdf-abd2-61c6b3679995"]}],"mendeley":{"formattedCitation":"(Al-Homaidi et al., 2021)","plainTextFormattedCitation":"(Al-Homaidi et al., 2021)","previouslyFormattedCitation":"(Al-Homaidi et al., 2021)"},"properties":{"noteIndex":0},"schema":"https://github.com/citation-style-language/schema/raw/master/csl-citation.json"}</w:instrText>
      </w:r>
      <w:r w:rsidR="00650CEB">
        <w:rPr>
          <w:rFonts w:ascii="Calibri Light" w:hAnsi="Calibri Light" w:cs="Calibri Light"/>
          <w:bCs/>
          <w:sz w:val="24"/>
          <w:szCs w:val="24"/>
          <w:lang w:val="en-ID"/>
        </w:rPr>
        <w:fldChar w:fldCharType="separate"/>
      </w:r>
      <w:r w:rsidR="00650CEB" w:rsidRPr="00650CEB">
        <w:rPr>
          <w:rFonts w:ascii="Calibri Light" w:hAnsi="Calibri Light" w:cs="Calibri Light"/>
          <w:bCs/>
          <w:noProof/>
          <w:sz w:val="24"/>
          <w:szCs w:val="24"/>
          <w:lang w:val="en-ID"/>
        </w:rPr>
        <w:t>(Al-Homaidi et al., 2021)</w:t>
      </w:r>
      <w:r w:rsidR="00650CEB">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21A1C100" w14:textId="082F112B" w:rsidR="0057036A" w:rsidRPr="00017625"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Based on these findings, this study aims to provide a comprehensive overview of the evolving research landscape on Basel Accords and Islamic banking, identifying gaps in the literature that could inform future studies. Some of the key research questions guiding this study include: What is the annual distribution of publications related to Basel Accords and Islamic banking over the past decade? Which journals and authors have been the most influential in this field? Which countries have contributed the most research on the intersection of Basel regulations and Islamic finance? What are the primary research keywords that have shaped academic discussions in this domain? By addressing these questions, this study will offer valuable insights for academics, policymakers, and financial professionals, helping them understand current developments and future directions in integrating international banking regulations with the principles of Islamic finance.</w:t>
      </w:r>
    </w:p>
    <w:p w14:paraId="588016E7"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p>
    <w:p w14:paraId="24EDB683" w14:textId="7E27EEFB"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 xml:space="preserve">In this study, a bibliometric analysis was conducted using the Scopus database to extract research related to the Basel Accords and Islamic banking from 2015 to 2024. The search was performed using a carefully selected set of keywords to ensure comprehensive coverage, including "Basel Accords," "Islamic Banking," "Risk Management," "Shariah," and others. </w:t>
      </w:r>
      <w:commentRangeStart w:id="7"/>
      <w:r w:rsidRPr="002E1840">
        <w:rPr>
          <w:rFonts w:ascii="Calibri Light" w:hAnsi="Calibri Light" w:cs="Calibri Light"/>
          <w:sz w:val="24"/>
          <w:szCs w:val="24"/>
          <w:lang w:val="en-ID" w:eastAsia="en-ID"/>
        </w:rPr>
        <w:t xml:space="preserve">Several filters were applied to refine the search scope, restricting the analysis to </w:t>
      </w:r>
      <w:commentRangeEnd w:id="7"/>
      <w:r w:rsidR="008F621C">
        <w:rPr>
          <w:rStyle w:val="CommentReference"/>
        </w:rPr>
        <w:commentReference w:id="7"/>
      </w:r>
      <w:r w:rsidRPr="002E1840">
        <w:rPr>
          <w:rFonts w:ascii="Calibri Light" w:hAnsi="Calibri Light" w:cs="Calibri Light"/>
          <w:sz w:val="24"/>
          <w:szCs w:val="24"/>
          <w:lang w:val="en-ID" w:eastAsia="en-ID"/>
        </w:rPr>
        <w:t>studies published in the fields of economics and business (ECON, BUSI), scientific articles (Article Type), English-language publications, and peer-reviewed journals</w:t>
      </w:r>
      <w:r w:rsidR="00650CEB">
        <w:rPr>
          <w:rFonts w:ascii="Calibri Light" w:hAnsi="Calibri Light" w:cs="Calibri Light"/>
          <w:sz w:val="24"/>
          <w:szCs w:val="24"/>
          <w:lang w:val="en-ID" w:eastAsia="en-ID"/>
        </w:rPr>
        <w:t xml:space="preserve"> </w:t>
      </w:r>
      <w:r w:rsidR="00650CEB">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{"citationItems":[{"id":"ITEM-1","itemData":{"DOI":"10.4197/Islec.36-1.5","ISSN":"10187383 (ISSN)","abstract":"The term Islamic in Islamic banking naturally raises the question of what this word adds to the concept and practice of banking? The early literature on Islamic economics raised the bar of expectations and envisioned Islamic banking as distinct from conventional banking by avoiding interest in letters and spirit. Interest-based banking was thought to suffer from exclusion, inequality, injustice, misallocation of capital resources and concentration of capital. It was thought that Islamic banking, while avoiding interest, would be more inclusive, equitable, and fair and would result in a broad allocation of resources without the exclusionary criterion of a fixed cost of capital. It was also thought that this new banking system would reduce income and wealth inequalities and control the concentration of wealth. Today, after two decades of Islamic banking in Pakistan, it is pertinent to assess the progress and performance of these ideals. This study evaluates Islamic banking in terms of inclusiveness, competitiveness, and equity. The economic assessment shows that Islamic banks have secured financial inclusion for those who wish to avoid ribā. However, concerted efforts are needed to improve competitiveness and distinction regarding distributional impact of Islamic financial products © 2023, Journal of King Abdulaziz University, Islamic Economics.All Rights Reserved.","author":[{"dropping-particle":"","family":"Shaikh","given":"S A","non-dropping-particle":"","parse-names":false,"suffix":""}],"container-title":"Journal of King Abdulaziz University, Islamic Economics","id":"ITEM-1","issue":"1","issued":{"date-parts":[["2023"]]},"language":"English","note":"Export Date: 30 November 2024; Cited By: 1; Correspondence Address: S.A. Shaikh; SZABIST University, Karachi, Pakistan; email: salmanahmed_hyd@hotmail.com","page":"91-111","publisher":"King Abdulaziz University Scientific Publishing Center","publisher-place":"SZABIST University, Karachi, Pakistan","title":"Economic Evaluation of Islamic Banking in Pakistan","type":"article-journal","volume":"36"},"uris":["http://www.mendeley.com/documents/?uuid=845d223e-9c75-43b9-a62e-961359636284"]}],"mendeley":{"formattedCitation":"(Shaikh, 2023)","plainTextFormattedCitation":"(Shaikh, 2023)","previouslyFormattedCitation":"(Shaikh, 2023)"},"properties":{"noteIndex":0},"schema":"https://github.com/citation-style-language/schema/raw/master/csl-citation.json"}</w:instrText>
      </w:r>
      <w:r w:rsidR="00650CEB">
        <w:rPr>
          <w:rFonts w:ascii="Calibri Light" w:hAnsi="Calibri Light" w:cs="Calibri Light"/>
          <w:sz w:val="24"/>
          <w:szCs w:val="24"/>
          <w:lang w:val="en-ID" w:eastAsia="en-ID"/>
        </w:rPr>
        <w:fldChar w:fldCharType="separate"/>
      </w:r>
      <w:r w:rsidR="00650CEB" w:rsidRPr="00650CEB">
        <w:rPr>
          <w:rFonts w:ascii="Calibri Light" w:hAnsi="Calibri Light" w:cs="Calibri Light"/>
          <w:noProof/>
          <w:sz w:val="24"/>
          <w:szCs w:val="24"/>
          <w:lang w:val="en-ID" w:eastAsia="en-ID"/>
        </w:rPr>
        <w:t>(Shaikh, 2023)</w:t>
      </w:r>
      <w:r w:rsidR="00650CEB">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4E7F7670" w14:textId="2F24F493"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commentRangeStart w:id="8"/>
      <w:r w:rsidRPr="002E1840">
        <w:rPr>
          <w:rFonts w:ascii="Calibri Light" w:hAnsi="Calibri Light" w:cs="Calibri Light"/>
          <w:sz w:val="24"/>
          <w:szCs w:val="24"/>
          <w:lang w:val="en-ID" w:eastAsia="en-ID"/>
        </w:rPr>
        <w:t>In the initial stage, the search yielded 3,511 records, reflecting the vast amount of research in this domain</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B2BD3" w:rsidRPr="003B2BD3">
        <w:rPr>
          <w:rFonts w:ascii="Calibri Light" w:hAnsi="Calibri Light" w:cs="Calibri Light"/>
          <w:noProof/>
          <w:sz w:val="24"/>
          <w:szCs w:val="24"/>
          <w:lang w:val="en-ID" w:eastAsia="en-ID"/>
        </w:rPr>
        <w:t>(Fitri et al., 2022)</w:t>
      </w:r>
      <w:r w:rsidR="003B2BD3">
        <w:rPr>
          <w:rFonts w:ascii="Calibri Light" w:hAnsi="Calibri Light" w:cs="Calibri Light"/>
          <w:sz w:val="24"/>
          <w:szCs w:val="24"/>
          <w:lang w:val="en-ID" w:eastAsia="en-ID"/>
        </w:rPr>
        <w:fldChar w:fldCharType="end"/>
      </w:r>
      <w:commentRangeEnd w:id="8"/>
      <w:r w:rsidR="008F621C">
        <w:rPr>
          <w:rStyle w:val="CommentReference"/>
        </w:rPr>
        <w:commentReference w:id="8"/>
      </w:r>
      <w:r w:rsidRPr="002E1840">
        <w:rPr>
          <w:rFonts w:ascii="Calibri Light" w:hAnsi="Calibri Light" w:cs="Calibri Light"/>
          <w:sz w:val="24"/>
          <w:szCs w:val="24"/>
          <w:lang w:val="en-ID" w:eastAsia="en-ID"/>
        </w:rPr>
        <w:t xml:space="preserve">. Following a screening and filtering process, irrelevant studies were excluded based on a review of titles and abstracts, as well as an assessment of their relevance to the research criteria. During the eligibility evaluation phase, full-text articles were assessed, leading to further exclusions of studies that did not align with the </w:t>
      </w:r>
      <w:r w:rsidRPr="002E1840">
        <w:rPr>
          <w:rFonts w:ascii="Calibri Light" w:hAnsi="Calibri Light" w:cs="Calibri Light"/>
          <w:sz w:val="24"/>
          <w:szCs w:val="24"/>
          <w:lang w:val="en-ID" w:eastAsia="en-ID"/>
        </w:rPr>
        <w:lastRenderedPageBreak/>
        <w:t>scope of the research. After these processes, 1,149 final studies were selected, representing the most relevant and high-quality research</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C27F1">
        <w:rPr>
          <w:rFonts w:ascii="Calibri Light" w:hAnsi="Calibri Light" w:cs="Calibri Light"/>
          <w:sz w:val="24"/>
          <w:szCs w:val="24"/>
          <w:lang w:val="en-ID" w:eastAsia="en-ID"/>
        </w:rPr>
        <w:instrText>ADDIN CSL_CITATION {"citationItems":[{"id":"ITEM-1","itemData":{"DOI":"10.1108/QRFM-10-2022-0173","ISSN":"17554179 (ISSN)","abstract":"Purpose: This study aims to explore the prospects of istijrar financing in the Islamic banking of Bangladesh. Istijrar is a supply sale contract that facilitates recurrent transactions under a master agreement without needing a deal-to-deal agreement. Murabahah financing in Bangladesh is being criticized for Shari’ah violations, which can be minimized if istijrar financing is integrated and applied. Design/methodology/approach: The study uses a qualitative approach, primarily using a semistructured interview method to collect the primary data. The study conducted 13 one-to-one interviews with leading Islamic banking experts in the country, including Shari’ah scholars, Islamic bankers and regulators. Besides, the study consults with classical and contemporary fiqhi sources to realize the status of istijrar sale in Islamic law. Thematic analysis is performed to explore the qualitative data. Findings: The study finds that istijrar financing has great prospects in the Islamic banking of Bangladesh. Istijrar is applicable in consumer financing and can be offered as an alternative or supplement to murabahah. Also, postimport murabahah financing can be structured with istijrar, while it can also be used in export financing. Besides, a few challenges should be dealt with before offering istijrar, such as proper structure, lack of literacy, stakeholders’ awareness, Shari’ah and regulatory approval and alignment with the law of the land. Practical implications: Murabahah financing is dominant on the asset side of Islamic banks’ balance sheets in Bangladesh. Murabahah practice in Bangladesh is frequently criticized for some possible Shari’ah violations. Also, more documents are needed for each murabahah operation, which eventually accelerates the costs. Applying istijrar would minimize these issues as it does not require a new contract for each deal. Multiple supplies can be done under a single agreement. Besides, istijrar reduces documentation hassle and transaction costs. Istijrar would be an easy practice and benefit the bank and its clients. Originality/value: This study contributes to the body of knowledge and the Islamic banking industry. The existing studies have not adequately addressed the potential of istijrar in Islamic banking. In addition, this study will be an eye-opener for Islamic bankers to develop new products with istijrar. © 2023, Emerald Publishing Limited.","author":[{"dropping-particle":"","family":"Rahman","given":"M H","non-dropping-particle":"","parse-names":false,"suffix":""},{"dropping-particle":"","family":"Chowdhury","given":"N.M.S.I.","non-dropping-particle":"","parse-names":false,"suffix":""}],"container-title":"Qualitative Research in Financial Markets","id":"ITEM-1","issue":"1","issued":{"date-parts":[["2024"]]},"language":"English","note":"Export Date: 24 April 2025; Cited By: 4; Correspondence Address: M.H. Rahman; Faculty of Business and Management, Universiti Sultan Zainal Abidin (UniSZA), Kuala Terengganu, Malaysia; email: hrnizamee10@gmail.com","page":"135-158","publisher":"Emerald Publishing","publisher-place":"Faculty of Business and Management, Universiti Sultan Zainal Abidin (UniSZA), Kuala Terengganu, Malaysia","title":"The prospects of istijrar financing in Islamic banking: an exploratory study in Bangladesh","type":"article-journal","volume":"16"},"uris":["http://www.mendeley.com/documents/?uuid=e8b3b3f1-81f3-4ada-a87e-697e777ee9d8"]}],"mendeley":{"formattedCitation":"(Rahman &amp; Chowdhury, 2024)","plainTextFormattedCitation":"(Rahman &amp; Chowdhury, 2024)","previouslyFormattedCitation":"(Rahman &amp; Chowdhury, 2024)"},"properties":{"noteIndex":0},"schema":"https://github.com/citation-style-language/schema/raw/master/csl-citation.json"}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C27F1" w:rsidRPr="003C27F1">
        <w:rPr>
          <w:rFonts w:ascii="Calibri Light" w:hAnsi="Calibri Light" w:cs="Calibri Light"/>
          <w:noProof/>
          <w:sz w:val="24"/>
          <w:szCs w:val="24"/>
          <w:lang w:val="en-ID" w:eastAsia="en-ID"/>
        </w:rPr>
        <w:t>(Rahman &amp; Chowdhury, 2024)</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0AEF7F08" w14:textId="77777777"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TITLE-ABS-KEY ( "Basel Accords" OR "Islamic banking" ) AND ( LIMIT-TO ( PUBYEAR , 2015 ) OR LIMIT-TO ( PUBYEAR , 2016 ) OR LIMIT-TO ( PUBYEAR , 2017 ) OR LIMIT-TO ( PUBYEAR , 2018 ) OR LIMIT-TO ( PUBYEAR , 2019 ) OR LIMIT-TO ( PUBYEAR , 2020 ) OR LIMIT-TO ( PUBYEAR , 2021 ) OR LIMIT-TO ( PUBYEAR , 2022 ) OR LIMIT-TO ( PUBYEAR , 2023 ) OR LIMIT-TO ( PUBYEAR , 2024 ) ) 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6C23073A" w14:textId="5D081C27" w:rsidR="00791E50" w:rsidRDefault="002E1840" w:rsidP="004308C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 xml:space="preserve">The analysis was conducted following the PRISMA Framework to ensure transparency and accuracy in study selection. </w:t>
      </w:r>
      <w:commentRangeStart w:id="9"/>
      <w:r w:rsidRPr="002E1840">
        <w:rPr>
          <w:rFonts w:ascii="Calibri Light" w:hAnsi="Calibri Light" w:cs="Calibri Light"/>
          <w:sz w:val="24"/>
          <w:szCs w:val="24"/>
          <w:lang w:val="en-ID" w:eastAsia="en-ID"/>
        </w:rPr>
        <w:t>This methodology provides a clear insight into the development of research on the Basel Accords and Islamic banking over the last decade</w:t>
      </w:r>
      <w:commentRangeEnd w:id="9"/>
      <w:r w:rsidR="008F621C">
        <w:rPr>
          <w:rStyle w:val="CommentReference"/>
        </w:rPr>
        <w:commentReference w:id="9"/>
      </w:r>
      <w:r w:rsidRPr="002E1840">
        <w:rPr>
          <w:rFonts w:ascii="Calibri Light" w:hAnsi="Calibri Light" w:cs="Calibri Light"/>
          <w:sz w:val="24"/>
          <w:szCs w:val="24"/>
          <w:lang w:val="en-ID" w:eastAsia="en-ID"/>
        </w:rPr>
        <w:t xml:space="preserve">, helping to understand research shifts and the key topics that have been the focus of academic discourse in this </w:t>
      </w:r>
      <w:proofErr w:type="spellStart"/>
      <w:r w:rsidRPr="002E1840">
        <w:rPr>
          <w:rFonts w:ascii="Calibri Light" w:hAnsi="Calibri Light" w:cs="Calibri Light"/>
          <w:sz w:val="24"/>
          <w:szCs w:val="24"/>
          <w:lang w:val="en-ID" w:eastAsia="en-ID"/>
        </w:rPr>
        <w:t>field.These</w:t>
      </w:r>
      <w:proofErr w:type="spellEnd"/>
      <w:r w:rsidRPr="002E1840">
        <w:rPr>
          <w:rFonts w:ascii="Calibri Light" w:hAnsi="Calibri Light" w:cs="Calibri Light"/>
          <w:sz w:val="24"/>
          <w:szCs w:val="24"/>
          <w:lang w:val="en-ID" w:eastAsia="en-ID"/>
        </w:rPr>
        <w:t xml:space="preserve"> criteria were comprehensively detailed in Figure 1 within the PRISMA framework section, where key parameters—including language, subject areas, and publication years—were explicitly specified</w:t>
      </w:r>
      <w:r w:rsidR="00602879">
        <w:rPr>
          <w:rFonts w:ascii="Calibri Light" w:hAnsi="Calibri Light" w:cs="Calibri Light"/>
          <w:sz w:val="24"/>
          <w:szCs w:val="24"/>
          <w:lang w:val="en-ID" w:eastAsia="en-ID"/>
        </w:rPr>
        <w:t xml:space="preserve"> </w:t>
      </w:r>
      <w:r w:rsidR="00602879">
        <w:rPr>
          <w:rFonts w:ascii="Calibri Light" w:hAnsi="Calibri Light" w:cs="Calibri Light"/>
          <w:sz w:val="24"/>
          <w:szCs w:val="24"/>
          <w:lang w:val="en-ID" w:eastAsia="en-ID"/>
        </w:rPr>
        <w:fldChar w:fldCharType="begin" w:fldLock="1"/>
      </w:r>
      <w:r w:rsidR="00602879">
        <w:rPr>
          <w:rFonts w:ascii="Calibri Light" w:hAnsi="Calibri Light" w:cs="Calibri Light"/>
          <w:sz w:val="24"/>
          <w:szCs w:val="24"/>
          <w:lang w:val="en-ID" w:eastAsia="en-ID"/>
        </w:rPr>
        <w:instrText>ADDIN CSL_CITATION {"citationItems":[{"id":"ITEM-1","itemData":{"DOI":"10.59683/ijls.v3i3.90","ISSN":"28279042","abstract":"This study explores the application of Qur'anic human rights principles in Egypt and Indonesia, focusing on how Islamic teachings are integrated into modern legal systems amidst different cultural, political, and historical contexts. The study investigates the balance between universal human rights standards and Islamic jurisprudence, identifying variations in the interpretation and application of these principles in both countries. The PRISMA framework was used as the basis for the method, ensuring a systematic and transparent approach to reviewing legal texts, academic literature, and case studies. The technique began by identifying sources relevant to applying human rights law in the context of Islamic teachings in Egypt and Indonesia. A focused search was conducted using Web of Science and Scopus databases, targeting articles published between 2014 and 2024. Inclusion criteria ensured that the study analyzed recent and high-quality research on the intersection of Qur'anic principles and international human rights standards. The study shows that Egypt faces challenges in implementing Qur'anic teachings due to conservative interpretations that limit gender equality, freedom of expression, and freedom of religion. In contrast, Indonesia is more flexible by balancing Islamic principles with modern democratic values. This allows for a broader interpretation of Qur'anic principles, especially gender equality and religious freedom. The role of ijtihad in Indonesia is crucial in adapting Islamic law to contemporary human rights standards. This study highlights the complexity of aligning Islamic teachings with global human rights norms. It emphasizes the importance of revisiting traditional interpretations of the Qur'an to better align them with contemporary values of justice, equality, and human dignity, as well as ensuring respect for the human rights of all citizens.","author":[{"dropping-particle":"","family":"Andri Nirwana","given":"A. N.","non-dropping-particle":"","parse-names":false,"suffix":""},{"dropping-particle":"","family":"Elbanna","given":"Mariam","non-dropping-particle":"","parse-names":false,"suffix":""},{"dropping-particle":"","family":"Ismail","given":"Faisal Husen","non-dropping-particle":"","parse-names":false,"suffix":""},{"dropping-particle":"","family":"Daud","given":"Zainora","non-dropping-particle":"","parse-names":false,"suffix":""},{"dropping-particle":"","family":"Mohd Salleh","given":"Norsaleha","non-dropping-particle":"","parse-names":false,"suffix":""},{"dropping-particle":"","family":"Kirin","given":"Arwansyah","non-dropping-particle":"Bin","parse-names":false,"suffix":""},{"dropping-particle":"","family":"Marisa","given":"Siti Nurkhafifah","non-dropping-particle":"","parse-names":false,"suffix":""},{"dropping-particle":"","family":"Husein","given":"Muhammad Zakir","non-dropping-particle":"","parse-names":false,"suffix":""}],"container-title":"International Journal of Law and Society","id":"ITEM-1","issue":"3","issued":{"date-parts":[["2024"]]},"page":"173-186","title":"PRISMA-Based Study on Integrating Islamic Principles into Legal Systems: Human Rights in Egypt and Indonesia","type":"article-journal","volume":"3"},"uris":["http://www.mendeley.com/documents/?uuid=b4e6a10c-a2a5-4193-baf9-1cd44d99942b"]}],"mendeley":{"formattedCitation":"(Andri Nirwana et al., 2024)","plainTextFormattedCitation":"(Andri Nirwana et al., 2024)","previouslyFormattedCitation":"(Andri Nirwana et al., 2024)"},"properties":{"noteIndex":0},"schema":"https://github.com/citation-style-language/schema/raw/master/csl-citation.json"}</w:instrText>
      </w:r>
      <w:r w:rsidR="00602879">
        <w:rPr>
          <w:rFonts w:ascii="Calibri Light" w:hAnsi="Calibri Light" w:cs="Calibri Light"/>
          <w:sz w:val="24"/>
          <w:szCs w:val="24"/>
          <w:lang w:val="en-ID" w:eastAsia="en-ID"/>
        </w:rPr>
        <w:fldChar w:fldCharType="separate"/>
      </w:r>
      <w:r w:rsidR="00602879" w:rsidRPr="00602879">
        <w:rPr>
          <w:rFonts w:ascii="Calibri Light" w:hAnsi="Calibri Light" w:cs="Calibri Light"/>
          <w:noProof/>
          <w:sz w:val="24"/>
          <w:szCs w:val="24"/>
          <w:lang w:val="en-ID" w:eastAsia="en-ID"/>
        </w:rPr>
        <w:t>(Andri Nirwana et al., 2024)</w:t>
      </w:r>
      <w:r w:rsidR="00602879">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bookmarkStart w:id="10" w:name="_Hlk187681640"/>
    </w:p>
    <w:p w14:paraId="1D5A840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199E52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5E4449FC"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562F538"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117B12BE" w14:textId="77777777" w:rsidR="004308C0" w:rsidRPr="002D33A7"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664ECAD" w14:textId="564DBC24"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2304" behindDoc="0" locked="0" layoutInCell="1" allowOverlap="1" wp14:anchorId="109665C2" wp14:editId="6E508965">
                <wp:simplePos x="0" y="0"/>
                <wp:positionH relativeFrom="column">
                  <wp:posOffset>509270</wp:posOffset>
                </wp:positionH>
                <wp:positionV relativeFrom="paragraph">
                  <wp:posOffset>122555</wp:posOffset>
                </wp:positionV>
                <wp:extent cx="4622800" cy="381000"/>
                <wp:effectExtent l="38100" t="38100" r="63500" b="76200"/>
                <wp:wrapNone/>
                <wp:docPr id="29" name="Flowchart: Alternate Process 29"/>
                <wp:cNvGraphicFramePr/>
                <a:graphic xmlns:a="http://schemas.openxmlformats.org/drawingml/2006/main">
                  <a:graphicData uri="http://schemas.microsoft.com/office/word/2010/wordprocessingShape">
                    <wps:wsp>
                      <wps:cNvSpPr/>
                      <wps:spPr>
                        <a:xfrm>
                          <a:off x="0" y="0"/>
                          <a:ext cx="4622800" cy="381000"/>
                        </a:xfrm>
                        <a:prstGeom prst="flowChartAlternateProcess">
                          <a:avLst/>
                        </a:prstGeom>
                        <a:gradFill rotWithShape="1">
                          <a:gsLst>
                            <a:gs pos="0">
                              <a:srgbClr val="D8B25C"/>
                            </a:gs>
                            <a:gs pos="90000">
                              <a:srgbClr val="D8B25C">
                                <a:shade val="100000"/>
                              </a:srgbClr>
                            </a:gs>
                            <a:gs pos="100000">
                              <a:srgbClr val="D8B25C">
                                <a:shade val="85000"/>
                              </a:srgbClr>
                            </a:gs>
                          </a:gsLst>
                          <a:path path="circle">
                            <a:fillToRect l="100000" t="100000" r="100000" b="100000"/>
                          </a:path>
                        </a:gradFill>
                        <a:ln w="10000" cap="flat" cmpd="sng" algn="ctr">
                          <a:solidFill>
                            <a:srgbClr val="D8B25C"/>
                          </a:solidFill>
                          <a:prstDash val="solid"/>
                        </a:ln>
                        <a:effectLst>
                          <a:outerShdw blurRad="38100" dist="17779" dir="5400000" rotWithShape="0">
                            <a:srgbClr val="000000">
                              <a:alpha val="40000"/>
                            </a:srgbClr>
                          </a:outerShdw>
                        </a:effectLst>
                      </wps:spPr>
                      <wps:txb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665C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9" o:spid="_x0000_s1026" type="#_x0000_t176" style="position:absolute;margin-left:40.1pt;margin-top:9.65pt;width:364pt;height:30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" fillcolor="#d8b25c" strokecolor="#d8b25c" strokeweight=".27778mm">
                <v:fill color2="#c9a555" rotate="t" focusposition="1,1" focussize="-1,-1" colors="0 #d8b25c;58982f #d8b25c;1 #c9a555" focus="100%" type="gradientRadial"/>
                <v:shadow on="t" color="black" opacity="26214f" origin=",.5" offset="0,.49386mm"/>
                <v:textbo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v:textbox>
              </v:shape>
            </w:pict>
          </mc:Fallback>
        </mc:AlternateContent>
      </w:r>
    </w:p>
    <w:p w14:paraId="3A19920F" w14:textId="77777777" w:rsidR="007923B1" w:rsidRPr="007923B1" w:rsidRDefault="007923B1" w:rsidP="007923B1">
      <w:pPr>
        <w:autoSpaceDE/>
        <w:autoSpaceDN/>
        <w:rPr>
          <w:rFonts w:ascii="Calibri" w:eastAsia="Calibri" w:hAnsi="Calibri" w:cs="Arial"/>
          <w:sz w:val="22"/>
          <w:szCs w:val="22"/>
          <w:lang w:val="en-AU" w:eastAsia="en-US"/>
        </w:rPr>
      </w:pPr>
    </w:p>
    <w:p w14:paraId="53AB012E" w14:textId="77777777" w:rsidR="00D813BC" w:rsidRDefault="00D813BC" w:rsidP="007923B1">
      <w:pPr>
        <w:autoSpaceDE/>
        <w:autoSpaceDN/>
        <w:rPr>
          <w:rFonts w:ascii="Calibri" w:eastAsia="Calibri" w:hAnsi="Calibri" w:cs="Arial"/>
          <w:sz w:val="22"/>
          <w:szCs w:val="22"/>
          <w:lang w:val="en-AU" w:eastAsia="en-US"/>
        </w:rPr>
      </w:pPr>
    </w:p>
    <w:p w14:paraId="1D033615" w14:textId="77777777" w:rsidR="004308C0" w:rsidRDefault="004308C0" w:rsidP="007923B1">
      <w:pPr>
        <w:autoSpaceDE/>
        <w:autoSpaceDN/>
        <w:rPr>
          <w:rFonts w:ascii="Calibri" w:eastAsia="Calibri" w:hAnsi="Calibri" w:cs="Arial"/>
          <w:sz w:val="22"/>
          <w:szCs w:val="22"/>
          <w:lang w:val="en-AU" w:eastAsia="en-US"/>
        </w:rPr>
      </w:pPr>
    </w:p>
    <w:p w14:paraId="02052A69" w14:textId="62591DDF"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68992" behindDoc="0" locked="0" layoutInCell="1" allowOverlap="1" wp14:anchorId="18FFA0C2" wp14:editId="6B545877">
                <wp:simplePos x="0" y="0"/>
                <wp:positionH relativeFrom="column">
                  <wp:posOffset>561975</wp:posOffset>
                </wp:positionH>
                <wp:positionV relativeFrom="paragraph">
                  <wp:posOffset>131445</wp:posOffset>
                </wp:positionV>
                <wp:extent cx="1887220" cy="981075"/>
                <wp:effectExtent l="0" t="0" r="0" b="9525"/>
                <wp:wrapNone/>
                <wp:docPr id="1" name="Rectangle 1"/>
                <wp:cNvGraphicFramePr/>
                <a:graphic xmlns:a="http://schemas.openxmlformats.org/drawingml/2006/main">
                  <a:graphicData uri="http://schemas.microsoft.com/office/word/2010/wordprocessingShape">
                    <wps:wsp>
                      <wps:cNvSpPr/>
                      <wps:spPr>
                        <a:xfrm>
                          <a:off x="0" y="0"/>
                          <a:ext cx="1887220" cy="98107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FA0C2" id="Rectangle 1" o:spid="_x0000_s1027" style="position:absolute;margin-left:44.25pt;margin-top:10.35pt;width:148.6pt;height:7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" fillcolor="#737950" stroked="f">
                <v:fill color2="#c9cdb3" rotate="t" angle="180" colors="0 #737950;31457f #a8ae85;1 #c9cdb3" focus="100%" type="gradient"/>
                <v:textbo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14:paraId="77870ACB" w14:textId="77777777" w:rsidR="007923B1" w:rsidRPr="001C3167" w:rsidRDefault="007923B1" w:rsidP="007923B1">
                      <w:pPr>
                        <w:ind w:left="284"/>
                        <w:rPr>
                          <w:rFonts w:ascii="Arial" w:hAnsi="Arial" w:cs="Arial"/>
                          <w:color w:val="000000"/>
                          <w:sz w:val="18"/>
                        </w:rPr>
                      </w:pPr>
                    </w:p>
                  </w:txbxContent>
                </v:textbox>
              </v:rect>
            </w:pict>
          </mc:Fallback>
        </mc:AlternateContent>
      </w:r>
    </w:p>
    <w:p w14:paraId="1B38B34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w:lastRenderedPageBreak/>
        <mc:AlternateContent>
          <mc:Choice Requires="wps">
            <w:drawing>
              <wp:anchor distT="0" distB="0" distL="114300" distR="114300" simplePos="0" relativeHeight="251670016" behindDoc="0" locked="0" layoutInCell="1" allowOverlap="1" wp14:anchorId="6AEE5F94" wp14:editId="55D5B1B7">
                <wp:simplePos x="0" y="0"/>
                <wp:positionH relativeFrom="column">
                  <wp:posOffset>3020695</wp:posOffset>
                </wp:positionH>
                <wp:positionV relativeFrom="paragraph">
                  <wp:posOffset>113030</wp:posOffset>
                </wp:positionV>
                <wp:extent cx="2389505" cy="752475"/>
                <wp:effectExtent l="0" t="0" r="0" b="9525"/>
                <wp:wrapNone/>
                <wp:docPr id="1815045546" name="Rectangle 1815045546"/>
                <wp:cNvGraphicFramePr/>
                <a:graphic xmlns:a="http://schemas.openxmlformats.org/drawingml/2006/main">
                  <a:graphicData uri="http://schemas.microsoft.com/office/word/2010/wordprocessingShape">
                    <wps:wsp>
                      <wps:cNvSpPr/>
                      <wps:spPr>
                        <a:xfrm>
                          <a:off x="0" y="0"/>
                          <a:ext cx="2389505" cy="752475"/>
                        </a:xfrm>
                        <a:prstGeom prst="rect">
                          <a:avLst/>
                        </a:prstGeom>
                        <a:solidFill>
                          <a:srgbClr val="A5AB81">
                            <a:alpha val="50000"/>
                          </a:srgbClr>
                        </a:solidFill>
                        <a:ln>
                          <a:noFill/>
                        </a:ln>
                        <a:effectLst/>
                      </wps:spPr>
                      <wps:txb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E5F94" id="Rectangle 1815045546" o:spid="_x0000_s1028" style="position:absolute;margin-left:237.85pt;margin-top:8.9pt;width:188.15pt;height:59.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" fillcolor="#a5ab81" stroked="f">
                <v:fill opacity="32896f"/>
                <v:textbo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v:textbox>
              </v:rect>
            </w:pict>
          </mc:Fallback>
        </mc:AlternateContent>
      </w:r>
    </w:p>
    <w:p w14:paraId="69422F97"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3328" behindDoc="0" locked="0" layoutInCell="1" allowOverlap="1" wp14:anchorId="020FAA8D" wp14:editId="2E0E9A5F">
                <wp:simplePos x="0" y="0"/>
                <wp:positionH relativeFrom="column">
                  <wp:posOffset>-403543</wp:posOffset>
                </wp:positionH>
                <wp:positionV relativeFrom="paragraph">
                  <wp:posOffset>222567</wp:posOffset>
                </wp:positionV>
                <wp:extent cx="1276985" cy="262890"/>
                <wp:effectExtent l="0" t="7302" r="0" b="0"/>
                <wp:wrapNone/>
                <wp:docPr id="31" name="Flowchart: Alternate Process 31"/>
                <wp:cNvGraphicFramePr/>
                <a:graphic xmlns:a="http://schemas.openxmlformats.org/drawingml/2006/main">
                  <a:graphicData uri="http://schemas.microsoft.com/office/word/2010/wordprocessingShape">
                    <wps:wsp>
                      <wps:cNvSpPr/>
                      <wps:spPr>
                        <a:xfrm rot="16200000">
                          <a:off x="0" y="0"/>
                          <a:ext cx="1276985" cy="262890"/>
                        </a:xfrm>
                        <a:prstGeom prst="flowChartAlternateProcess">
                          <a:avLst/>
                        </a:prstGeom>
                        <a:solidFill>
                          <a:srgbClr val="7BA79D"/>
                        </a:solidFill>
                        <a:ln>
                          <a:noFill/>
                        </a:ln>
                        <a:effectLst/>
                      </wps:spPr>
                      <wps:txb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FAA8D" id="Flowchart: Alternate Process 31" o:spid="_x0000_s1029" type="#_x0000_t176" style="position:absolute;margin-left:-31.8pt;margin-top:17.5pt;width:100.55pt;height:20.7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" fillcolor="#7ba79d" stroked="f">
                <v:textbo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v:textbox>
              </v:shape>
            </w:pict>
          </mc:Fallback>
        </mc:AlternateContent>
      </w:r>
    </w:p>
    <w:p w14:paraId="2B289650" w14:textId="77777777" w:rsidR="007923B1" w:rsidRPr="007923B1" w:rsidRDefault="007923B1" w:rsidP="007923B1">
      <w:pPr>
        <w:autoSpaceDE/>
        <w:autoSpaceDN/>
        <w:rPr>
          <w:rFonts w:ascii="Calibri" w:eastAsia="Calibri" w:hAnsi="Calibri" w:cs="Arial"/>
          <w:sz w:val="22"/>
          <w:szCs w:val="22"/>
          <w:lang w:val="en-AU" w:eastAsia="en-US"/>
        </w:rPr>
      </w:pPr>
    </w:p>
    <w:p w14:paraId="4F1B4876"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8208" behindDoc="0" locked="0" layoutInCell="1" allowOverlap="1" wp14:anchorId="0144FC5E" wp14:editId="4E926210">
                <wp:simplePos x="0" y="0"/>
                <wp:positionH relativeFrom="column">
                  <wp:posOffset>2454250</wp:posOffset>
                </wp:positionH>
                <wp:positionV relativeFrom="paragraph">
                  <wp:posOffset>9550</wp:posOffset>
                </wp:positionV>
                <wp:extent cx="563270" cy="0"/>
                <wp:effectExtent l="0" t="76200" r="27305" b="95250"/>
                <wp:wrapNone/>
                <wp:docPr id="14" name="Straight Arrow Connector 14"/>
                <wp:cNvGraphicFramePr/>
                <a:graphic xmlns:a="http://schemas.openxmlformats.org/drawingml/2006/main">
                  <a:graphicData uri="http://schemas.microsoft.com/office/word/2010/wordprocessingShape">
                    <wps:wsp>
                      <wps:cNvCnPr/>
                      <wps:spPr>
                        <a:xfrm>
                          <a:off x="0" y="0"/>
                          <a:ext cx="563270"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type w14:anchorId="07B8C572" id="_x0000_t32" coordsize="21600,21600" o:spt="32" o:oned="t" path="m,l21600,21600e" filled="f">
                <v:path arrowok="t" fillok="f" o:connecttype="none"/>
                <o:lock v:ext="edit" shapetype="t"/>
              </v:shapetype>
              <v:shape id="Straight Arrow Connector 14" o:spid="_x0000_s1026" type="#_x0000_t32" style="position:absolute;margin-left:193.25pt;margin-top:.75pt;width:44.35pt;height:0;z-index:2516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" strokecolor="windowText" strokeweight="4.25pt">
                <v:stroke endarrow="block" linestyle="thinThin"/>
                <v:shadow on="t" color="black" opacity="26214f" origin=",.5" offset="0,.49386mm"/>
              </v:shape>
            </w:pict>
          </mc:Fallback>
        </mc:AlternateContent>
      </w:r>
    </w:p>
    <w:p w14:paraId="64B7C90E" w14:textId="77777777" w:rsidR="007923B1" w:rsidRPr="007923B1" w:rsidRDefault="007923B1" w:rsidP="007923B1">
      <w:pPr>
        <w:autoSpaceDE/>
        <w:autoSpaceDN/>
        <w:rPr>
          <w:rFonts w:ascii="Calibri" w:eastAsia="Calibri" w:hAnsi="Calibri" w:cs="Arial"/>
          <w:sz w:val="22"/>
          <w:szCs w:val="22"/>
          <w:lang w:val="en-AU" w:eastAsia="en-US"/>
        </w:rPr>
      </w:pPr>
    </w:p>
    <w:p w14:paraId="79A91764"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6400" behindDoc="0" locked="0" layoutInCell="1" allowOverlap="1" wp14:anchorId="60C8D754" wp14:editId="13F99CD1">
                <wp:simplePos x="0" y="0"/>
                <wp:positionH relativeFrom="column">
                  <wp:posOffset>1400175</wp:posOffset>
                </wp:positionH>
                <wp:positionV relativeFrom="paragraph">
                  <wp:posOffset>118745</wp:posOffset>
                </wp:positionV>
                <wp:extent cx="0" cy="467995"/>
                <wp:effectExtent l="133350" t="19050" r="152400" b="84455"/>
                <wp:wrapNone/>
                <wp:docPr id="27" name="Straight Arrow Connector 27"/>
                <wp:cNvGraphicFramePr/>
                <a:graphic xmlns:a="http://schemas.openxmlformats.org/drawingml/2006/main">
                  <a:graphicData uri="http://schemas.microsoft.com/office/word/2010/wordprocessingShape">
                    <wps:wsp>
                      <wps:cNvCnPr/>
                      <wps:spPr>
                        <a:xfrm>
                          <a:off x="0" y="0"/>
                          <a:ext cx="0" cy="46799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3A10FC3D" id="Straight Arrow Connector 27" o:spid="_x0000_s1026" type="#_x0000_t32" style="position:absolute;margin-left:110.25pt;margin-top:9.35pt;width:0;height:36.85pt;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" strokecolor="windowText" strokeweight="4.25pt">
                <v:stroke endarrow="block" linestyle="thinThin"/>
                <v:shadow on="t" color="black" opacity="26214f" origin=",.5" offset="0,.49386mm"/>
              </v:shape>
            </w:pict>
          </mc:Fallback>
        </mc:AlternateContent>
      </w:r>
    </w:p>
    <w:p w14:paraId="66F35A7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2064" behindDoc="0" locked="0" layoutInCell="1" allowOverlap="1" wp14:anchorId="6A01B598" wp14:editId="5EA086D9">
                <wp:simplePos x="0" y="0"/>
                <wp:positionH relativeFrom="column">
                  <wp:posOffset>3000375</wp:posOffset>
                </wp:positionH>
                <wp:positionV relativeFrom="paragraph">
                  <wp:posOffset>13970</wp:posOffset>
                </wp:positionV>
                <wp:extent cx="3009900" cy="1390650"/>
                <wp:effectExtent l="0" t="0" r="0" b="0"/>
                <wp:wrapNone/>
                <wp:docPr id="888585689" name="Rectangle 888585689"/>
                <wp:cNvGraphicFramePr/>
                <a:graphic xmlns:a="http://schemas.openxmlformats.org/drawingml/2006/main">
                  <a:graphicData uri="http://schemas.microsoft.com/office/word/2010/wordprocessingShape">
                    <wps:wsp>
                      <wps:cNvSpPr/>
                      <wps:spPr>
                        <a:xfrm>
                          <a:off x="0" y="0"/>
                          <a:ext cx="3009900" cy="1390650"/>
                        </a:xfrm>
                        <a:prstGeom prst="rect">
                          <a:avLst/>
                        </a:prstGeom>
                        <a:solidFill>
                          <a:srgbClr val="A5AB81">
                            <a:alpha val="50000"/>
                          </a:srgbClr>
                        </a:solidFill>
                        <a:ln>
                          <a:noFill/>
                        </a:ln>
                        <a:effectLst/>
                      </wps:spPr>
                      <wps:txb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11" w:name="_Hlk191392340"/>
                            <w:r w:rsidRPr="00D86218">
                              <w:rPr>
                                <w:rFonts w:ascii="Arial" w:hAnsi="Arial" w:cs="Arial"/>
                                <w:color w:val="000000"/>
                                <w:sz w:val="18"/>
                              </w:rPr>
                              <w:t>TITLE-ABS-KEY ( "Basel Accords" OR "Islamic banking" )</w:t>
                            </w:r>
                            <w:bookmarkEnd w:id="11"/>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1B598" id="Rectangle 888585689" o:spid="_x0000_s1030" style="position:absolute;margin-left:236.25pt;margin-top:1.1pt;width:237pt;height:10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" fillcolor="#a5ab81" stroked="f">
                <v:fill opacity="32896f"/>
                <v:textbo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12" w:name="_Hlk191392340"/>
                      <w:r w:rsidRPr="00D86218">
                        <w:rPr>
                          <w:rFonts w:ascii="Arial" w:hAnsi="Arial" w:cs="Arial"/>
                          <w:color w:val="000000"/>
                          <w:sz w:val="18"/>
                        </w:rPr>
                        <w:t>TITLE-ABS-KEY ( "Basel Accords" OR "Islamic banking" )</w:t>
                      </w:r>
                      <w:bookmarkEnd w:id="12"/>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v:textbox>
              </v:rect>
            </w:pict>
          </mc:Fallback>
        </mc:AlternateContent>
      </w:r>
    </w:p>
    <w:p w14:paraId="20E1E930" w14:textId="77777777" w:rsidR="007923B1" w:rsidRPr="007923B1" w:rsidRDefault="007923B1" w:rsidP="007923B1">
      <w:pPr>
        <w:autoSpaceDE/>
        <w:autoSpaceDN/>
        <w:rPr>
          <w:rFonts w:ascii="Calibri" w:eastAsia="Calibri" w:hAnsi="Calibri" w:cs="Arial"/>
          <w:sz w:val="22"/>
          <w:szCs w:val="22"/>
          <w:lang w:val="en-AU" w:eastAsia="en-US"/>
        </w:rPr>
      </w:pPr>
    </w:p>
    <w:p w14:paraId="15BB902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9232" behindDoc="0" locked="0" layoutInCell="1" allowOverlap="1" wp14:anchorId="4F620B9F" wp14:editId="7F64B5F7">
                <wp:simplePos x="0" y="0"/>
                <wp:positionH relativeFrom="column">
                  <wp:posOffset>2453640</wp:posOffset>
                </wp:positionH>
                <wp:positionV relativeFrom="paragraph">
                  <wp:posOffset>328295</wp:posOffset>
                </wp:positionV>
                <wp:extent cx="563245" cy="0"/>
                <wp:effectExtent l="0" t="76200" r="27305" b="95250"/>
                <wp:wrapNone/>
                <wp:docPr id="15" name="Straight Arrow Connector 15"/>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18D1201C" id="Straight Arrow Connector 15" o:spid="_x0000_s1026" type="#_x0000_t32" style="position:absolute;margin-left:193.2pt;margin-top:25.85pt;width:44.35pt;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" strokecolor="windowText" strokeweight="4.25pt">
                <v:stroke endarrow="block" linestyle="thinThin"/>
                <v:shadow on="t" color="black" opacity="26214f" origin=",.5" offset="0,.49386m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1040" behindDoc="0" locked="0" layoutInCell="1" allowOverlap="1" wp14:anchorId="55A5B173" wp14:editId="50957832">
                <wp:simplePos x="0" y="0"/>
                <wp:positionH relativeFrom="column">
                  <wp:posOffset>559435</wp:posOffset>
                </wp:positionH>
                <wp:positionV relativeFrom="paragraph">
                  <wp:posOffset>74930</wp:posOffset>
                </wp:positionV>
                <wp:extent cx="1887220" cy="526415"/>
                <wp:effectExtent l="0" t="0" r="0" b="6985"/>
                <wp:wrapNone/>
                <wp:docPr id="3" name="Rectangle 3"/>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5B173" id="Rectangle 3" o:spid="_x0000_s1031" style="position:absolute;margin-left:44.05pt;margin-top:5.9pt;width:148.6pt;height:41.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j1MpQIAAMM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" fillcolor="#737950" stroked="f">
                <v:fill color2="#c9cdb3" rotate="t" angle="180" colors="0 #737950;31457f #a8ae85;1 #c9cdb3" focus="100%" type="gradient"/>
                <v:textbo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v:textbox>
              </v:rect>
            </w:pict>
          </mc:Fallback>
        </mc:AlternateContent>
      </w:r>
    </w:p>
    <w:p w14:paraId="57953CF2" w14:textId="77777777" w:rsidR="007923B1" w:rsidRPr="007923B1" w:rsidRDefault="007923B1" w:rsidP="007923B1">
      <w:pPr>
        <w:autoSpaceDE/>
        <w:autoSpaceDN/>
        <w:rPr>
          <w:rFonts w:ascii="Calibri" w:eastAsia="Calibri" w:hAnsi="Calibri" w:cs="Arial"/>
          <w:sz w:val="22"/>
          <w:szCs w:val="22"/>
          <w:lang w:val="en-AU" w:eastAsia="en-US"/>
        </w:rPr>
      </w:pPr>
    </w:p>
    <w:p w14:paraId="134FEC87" w14:textId="77777777" w:rsidR="007923B1" w:rsidRPr="007923B1" w:rsidRDefault="007923B1" w:rsidP="007923B1">
      <w:pPr>
        <w:autoSpaceDE/>
        <w:autoSpaceDN/>
        <w:rPr>
          <w:rFonts w:ascii="Calibri" w:eastAsia="Calibri" w:hAnsi="Calibri" w:cs="Arial"/>
          <w:sz w:val="22"/>
          <w:szCs w:val="22"/>
          <w:lang w:val="en-AU" w:eastAsia="en-US"/>
        </w:rPr>
      </w:pPr>
    </w:p>
    <w:p w14:paraId="7C31BDFF"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7424" behindDoc="0" locked="0" layoutInCell="1" allowOverlap="1" wp14:anchorId="1130F3D4" wp14:editId="1E06C171">
                <wp:simplePos x="0" y="0"/>
                <wp:positionH relativeFrom="column">
                  <wp:posOffset>1400175</wp:posOffset>
                </wp:positionH>
                <wp:positionV relativeFrom="paragraph">
                  <wp:posOffset>99695</wp:posOffset>
                </wp:positionV>
                <wp:extent cx="0" cy="396000"/>
                <wp:effectExtent l="76200" t="0" r="57150" b="61595"/>
                <wp:wrapNone/>
                <wp:docPr id="35" name="Straight Arrow Connector 35"/>
                <wp:cNvGraphicFramePr/>
                <a:graphic xmlns:a="http://schemas.openxmlformats.org/drawingml/2006/main">
                  <a:graphicData uri="http://schemas.microsoft.com/office/word/2010/wordprocessingShape">
                    <wps:wsp>
                      <wps:cNvCnPr/>
                      <wps:spPr>
                        <a:xfrm>
                          <a:off x="0" y="0"/>
                          <a:ext cx="0" cy="396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7A005E5C" id="Straight Arrow Connector 35" o:spid="_x0000_s1026" type="#_x0000_t32" style="position:absolute;margin-left:110.25pt;margin-top:7.85pt;width:0;height:31.2pt;z-index:25168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" strokecolor="windowText" strokeweight="4.25pt">
                <v:stroke endarrow="block" linestyle="thinThin"/>
                <v:shadow on="t" color="black" opacity="26214f" origin=",.5" offset="0,.49386mm"/>
              </v:shape>
            </w:pict>
          </mc:Fallback>
        </mc:AlternateContent>
      </w:r>
    </w:p>
    <w:p w14:paraId="1B52E05E" w14:textId="77777777" w:rsidR="007923B1" w:rsidRPr="007923B1" w:rsidRDefault="007923B1" w:rsidP="007923B1">
      <w:pPr>
        <w:autoSpaceDE/>
        <w:autoSpaceDN/>
        <w:rPr>
          <w:rFonts w:ascii="Calibri" w:eastAsia="Calibri" w:hAnsi="Calibri" w:cs="Arial"/>
          <w:sz w:val="22"/>
          <w:szCs w:val="22"/>
          <w:lang w:val="en-AU" w:eastAsia="en-US"/>
        </w:rPr>
      </w:pPr>
    </w:p>
    <w:p w14:paraId="55762C0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3088" behindDoc="0" locked="0" layoutInCell="1" allowOverlap="1" wp14:anchorId="0437D316" wp14:editId="6CA9ADF5">
                <wp:simplePos x="0" y="0"/>
                <wp:positionH relativeFrom="column">
                  <wp:posOffset>560705</wp:posOffset>
                </wp:positionH>
                <wp:positionV relativeFrom="paragraph">
                  <wp:posOffset>152400</wp:posOffset>
                </wp:positionV>
                <wp:extent cx="1887220" cy="526415"/>
                <wp:effectExtent l="0" t="0" r="0" b="6985"/>
                <wp:wrapNone/>
                <wp:docPr id="5" name="Rectangle 5"/>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37D316" id="Rectangle 5" o:spid="_x0000_s1032" style="position:absolute;margin-left:44.15pt;margin-top:12pt;width:148.6pt;height:41.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" fillcolor="#737950" stroked="f">
                <v:fill color2="#c9cdb3" rotate="t" angle="180" colors="0 #737950;31457f #a8ae85;1 #c9cdb3" focus="100%" type="gradient"/>
                <v:textbo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v:textbox>
              </v:rect>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4352" behindDoc="0" locked="0" layoutInCell="1" allowOverlap="1" wp14:anchorId="44838E55" wp14:editId="04424280">
                <wp:simplePos x="0" y="0"/>
                <wp:positionH relativeFrom="column">
                  <wp:posOffset>-903603</wp:posOffset>
                </wp:positionH>
                <wp:positionV relativeFrom="paragraph">
                  <wp:posOffset>137159</wp:posOffset>
                </wp:positionV>
                <wp:extent cx="2258060" cy="286387"/>
                <wp:effectExtent l="0" t="4763" r="4128" b="4127"/>
                <wp:wrapNone/>
                <wp:docPr id="32" name="Flowchart: Alternate Process 32"/>
                <wp:cNvGraphicFramePr/>
                <a:graphic xmlns:a="http://schemas.openxmlformats.org/drawingml/2006/main">
                  <a:graphicData uri="http://schemas.microsoft.com/office/word/2010/wordprocessingShape">
                    <wps:wsp>
                      <wps:cNvSpPr/>
                      <wps:spPr>
                        <a:xfrm rot="16200000">
                          <a:off x="0" y="0"/>
                          <a:ext cx="2258060" cy="286387"/>
                        </a:xfrm>
                        <a:prstGeom prst="flowChartAlternateProcess">
                          <a:avLst/>
                        </a:prstGeom>
                        <a:solidFill>
                          <a:srgbClr val="7BA79D"/>
                        </a:solidFill>
                        <a:ln>
                          <a:noFill/>
                        </a:ln>
                        <a:effectLst/>
                      </wps:spPr>
                      <wps:txb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38E55" id="Flowchart: Alternate Process 32" o:spid="_x0000_s1033" type="#_x0000_t176" style="position:absolute;margin-left:-71.15pt;margin-top:10.8pt;width:177.8pt;height:22.55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" fillcolor="#7ba79d" stroked="f">
                <v:textbo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v:textbox>
              </v:shape>
            </w:pict>
          </mc:Fallback>
        </mc:AlternateContent>
      </w:r>
    </w:p>
    <w:p w14:paraId="3183ACA9" w14:textId="1EB29B84"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4112" behindDoc="0" locked="0" layoutInCell="1" allowOverlap="1" wp14:anchorId="1E484FF7" wp14:editId="68547BE6">
                <wp:simplePos x="0" y="0"/>
                <wp:positionH relativeFrom="column">
                  <wp:posOffset>2971801</wp:posOffset>
                </wp:positionH>
                <wp:positionV relativeFrom="paragraph">
                  <wp:posOffset>116840</wp:posOffset>
                </wp:positionV>
                <wp:extent cx="2437130" cy="393065"/>
                <wp:effectExtent l="0" t="0" r="1270" b="6985"/>
                <wp:wrapNone/>
                <wp:docPr id="374367501" name="Rectangle 374367501"/>
                <wp:cNvGraphicFramePr/>
                <a:graphic xmlns:a="http://schemas.openxmlformats.org/drawingml/2006/main">
                  <a:graphicData uri="http://schemas.microsoft.com/office/word/2010/wordprocessingShape">
                    <wps:wsp>
                      <wps:cNvSpPr/>
                      <wps:spPr>
                        <a:xfrm>
                          <a:off x="0" y="0"/>
                          <a:ext cx="2437130" cy="393065"/>
                        </a:xfrm>
                        <a:prstGeom prst="rect">
                          <a:avLst/>
                        </a:prstGeom>
                        <a:solidFill>
                          <a:srgbClr val="A5AB81">
                            <a:alpha val="50000"/>
                          </a:srgbClr>
                        </a:solidFill>
                        <a:ln>
                          <a:noFill/>
                        </a:ln>
                        <a:effectLst/>
                      </wps:spPr>
                      <wps:txb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484FF7" id="Rectangle 374367501" o:spid="_x0000_s1034" style="position:absolute;margin-left:234pt;margin-top:9.2pt;width:191.9pt;height:30.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" fillcolor="#a5ab81" stroked="f">
                <v:fill opacity="32896f"/>
                <v:textbo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v:textbox>
              </v:rect>
            </w:pict>
          </mc:Fallback>
        </mc:AlternateContent>
      </w:r>
    </w:p>
    <w:p w14:paraId="23839801"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0256" behindDoc="0" locked="0" layoutInCell="1" allowOverlap="1" wp14:anchorId="78C5F525" wp14:editId="5D5A8826">
                <wp:simplePos x="0" y="0"/>
                <wp:positionH relativeFrom="column">
                  <wp:posOffset>2444115</wp:posOffset>
                </wp:positionH>
                <wp:positionV relativeFrom="paragraph">
                  <wp:posOffset>84455</wp:posOffset>
                </wp:positionV>
                <wp:extent cx="563245" cy="0"/>
                <wp:effectExtent l="0" t="76200" r="27305" b="95250"/>
                <wp:wrapNone/>
                <wp:docPr id="16" name="Straight Arrow Connector 16"/>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168B0D01" id="Straight Arrow Connector 16" o:spid="_x0000_s1026" type="#_x0000_t32" style="position:absolute;margin-left:192.45pt;margin-top:6.65pt;width:44.35pt;height:0;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&#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A6B1238"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8448" behindDoc="0" locked="0" layoutInCell="1" allowOverlap="1" wp14:anchorId="7525EF72" wp14:editId="4B5FD9DB">
                <wp:simplePos x="0" y="0"/>
                <wp:positionH relativeFrom="column">
                  <wp:posOffset>1409700</wp:posOffset>
                </wp:positionH>
                <wp:positionV relativeFrom="paragraph">
                  <wp:posOffset>180340</wp:posOffset>
                </wp:positionV>
                <wp:extent cx="0" cy="720000"/>
                <wp:effectExtent l="133350" t="19050" r="152400" b="80645"/>
                <wp:wrapNone/>
                <wp:docPr id="36" name="Straight Arrow Connector 36"/>
                <wp:cNvGraphicFramePr/>
                <a:graphic xmlns:a="http://schemas.openxmlformats.org/drawingml/2006/main">
                  <a:graphicData uri="http://schemas.microsoft.com/office/word/2010/wordprocessingShape">
                    <wps:wsp>
                      <wps:cNvCnPr/>
                      <wps:spPr>
                        <a:xfrm>
                          <a:off x="0" y="0"/>
                          <a:ext cx="0" cy="720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0D72761E" id="Straight Arrow Connector 36" o:spid="_x0000_s1026" type="#_x0000_t32" style="position:absolute;margin-left:111pt;margin-top:14.2pt;width:0;height:56.7pt;z-index:25168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" strokecolor="windowText" strokeweight="4.25pt">
                <v:stroke endarrow="block" linestyle="thinThin"/>
                <v:shadow on="t" color="black" opacity="26214f" origin=",.5" offset="0,.49386mm"/>
              </v:shape>
            </w:pict>
          </mc:Fallback>
        </mc:AlternateContent>
      </w:r>
    </w:p>
    <w:p w14:paraId="48A69621" w14:textId="449E6DBA"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6160" behindDoc="0" locked="0" layoutInCell="1" allowOverlap="1" wp14:anchorId="373580B3" wp14:editId="00048E11">
                <wp:simplePos x="0" y="0"/>
                <wp:positionH relativeFrom="column">
                  <wp:posOffset>3061970</wp:posOffset>
                </wp:positionH>
                <wp:positionV relativeFrom="paragraph">
                  <wp:posOffset>173355</wp:posOffset>
                </wp:positionV>
                <wp:extent cx="3028950" cy="3632200"/>
                <wp:effectExtent l="0" t="0" r="0" b="0"/>
                <wp:wrapNone/>
                <wp:docPr id="9" name="Rectangle 9"/>
                <wp:cNvGraphicFramePr/>
                <a:graphic xmlns:a="http://schemas.openxmlformats.org/drawingml/2006/main">
                  <a:graphicData uri="http://schemas.microsoft.com/office/word/2010/wordprocessingShape">
                    <wps:wsp>
                      <wps:cNvSpPr/>
                      <wps:spPr>
                        <a:xfrm>
                          <a:off x="0" y="0"/>
                          <a:ext cx="3028950" cy="3632200"/>
                        </a:xfrm>
                        <a:prstGeom prst="rect">
                          <a:avLst/>
                        </a:prstGeom>
                        <a:solidFill>
                          <a:srgbClr val="A5AB81">
                            <a:alpha val="50000"/>
                          </a:srgbClr>
                        </a:solidFill>
                        <a:ln>
                          <a:noFill/>
                        </a:ln>
                        <a:effectLst/>
                      </wps:spPr>
                      <wps:txb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580B3" id="Rectangle 9" o:spid="_x0000_s1035" style="position:absolute;margin-left:241.1pt;margin-top:13.65pt;width:238.5pt;height:28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" fillcolor="#a5ab81" stroked="f">
                <v:fill opacity="32896f"/>
                <v:textbo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v:textbox>
              </v:rect>
            </w:pict>
          </mc:Fallback>
        </mc:AlternateContent>
      </w:r>
    </w:p>
    <w:p w14:paraId="39DA5B23" w14:textId="2CBF5EA3" w:rsidR="007923B1" w:rsidRPr="007923B1" w:rsidRDefault="007923B1" w:rsidP="007923B1">
      <w:pPr>
        <w:autoSpaceDE/>
        <w:autoSpaceDN/>
        <w:rPr>
          <w:rFonts w:ascii="Calibri" w:eastAsia="Calibri" w:hAnsi="Calibri" w:cs="Arial"/>
          <w:sz w:val="22"/>
          <w:szCs w:val="22"/>
          <w:lang w:val="en-AU" w:eastAsia="en-US"/>
        </w:rPr>
      </w:pPr>
    </w:p>
    <w:p w14:paraId="08E71DD1" w14:textId="0AD5A758" w:rsidR="007923B1" w:rsidRPr="007923B1" w:rsidRDefault="007923B1" w:rsidP="007923B1">
      <w:pPr>
        <w:autoSpaceDE/>
        <w:autoSpaceDN/>
        <w:rPr>
          <w:rFonts w:ascii="Calibri" w:eastAsia="Calibri" w:hAnsi="Calibri" w:cs="Arial"/>
          <w:sz w:val="22"/>
          <w:szCs w:val="22"/>
          <w:lang w:val="en-AU" w:eastAsia="en-US"/>
        </w:rPr>
      </w:pPr>
    </w:p>
    <w:p w14:paraId="256F9512" w14:textId="5795B246" w:rsidR="007923B1" w:rsidRPr="007923B1" w:rsidRDefault="007923B1" w:rsidP="007923B1">
      <w:pPr>
        <w:autoSpaceDE/>
        <w:autoSpaceDN/>
        <w:rPr>
          <w:rFonts w:ascii="Calibri" w:eastAsia="Calibri" w:hAnsi="Calibri" w:cs="Arial"/>
          <w:sz w:val="22"/>
          <w:szCs w:val="22"/>
          <w:lang w:val="en-AU" w:eastAsia="en-US"/>
        </w:rPr>
      </w:pPr>
    </w:p>
    <w:p w14:paraId="44B6AB94" w14:textId="2F194D7B"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5136" behindDoc="0" locked="0" layoutInCell="1" allowOverlap="1" wp14:anchorId="23EE8973" wp14:editId="20EBE24C">
                <wp:simplePos x="0" y="0"/>
                <wp:positionH relativeFrom="column">
                  <wp:posOffset>561975</wp:posOffset>
                </wp:positionH>
                <wp:positionV relativeFrom="paragraph">
                  <wp:posOffset>49174</wp:posOffset>
                </wp:positionV>
                <wp:extent cx="1887220" cy="526415"/>
                <wp:effectExtent l="0" t="0" r="0" b="6985"/>
                <wp:wrapNone/>
                <wp:docPr id="8" name="Rectangle 8"/>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E8973" id="Rectangle 8" o:spid="_x0000_s1036" style="position:absolute;margin-left:44.25pt;margin-top:3.85pt;width:148.6pt;height:41.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JYpgIAAMQ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" fillcolor="#737950" stroked="f">
                <v:fill color2="#c9cdb3" rotate="t" angle="180" colors="0 #737950;31457f #a8ae85;1 #c9cdb3" focus="100%" type="gradient"/>
                <v:textbo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v:textbox>
              </v:rect>
            </w:pict>
          </mc:Fallback>
        </mc:AlternateContent>
      </w:r>
    </w:p>
    <w:p w14:paraId="2EE13704" w14:textId="1AC758E7"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1280" behindDoc="0" locked="0" layoutInCell="1" allowOverlap="1" wp14:anchorId="31D55286" wp14:editId="77634BA3">
                <wp:simplePos x="0" y="0"/>
                <wp:positionH relativeFrom="column">
                  <wp:posOffset>2476500</wp:posOffset>
                </wp:positionH>
                <wp:positionV relativeFrom="paragraph">
                  <wp:posOffset>124816</wp:posOffset>
                </wp:positionV>
                <wp:extent cx="563245" cy="0"/>
                <wp:effectExtent l="0" t="114300" r="0" b="171450"/>
                <wp:wrapNone/>
                <wp:docPr id="17" name="Straight Arrow Connector 17"/>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02BFEC96" id="Straight Arrow Connector 17" o:spid="_x0000_s1026" type="#_x0000_t32" style="position:absolute;margin-left:195pt;margin-top:9.85pt;width:44.35pt;height:0;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&#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11085DA9" w14:textId="5B3BA8CB" w:rsidR="007923B1" w:rsidRPr="007923B1" w:rsidRDefault="007923B1" w:rsidP="007923B1">
      <w:pPr>
        <w:autoSpaceDE/>
        <w:autoSpaceDN/>
        <w:rPr>
          <w:rFonts w:ascii="Calibri" w:eastAsia="Calibri" w:hAnsi="Calibri" w:cs="Arial"/>
          <w:sz w:val="22"/>
          <w:szCs w:val="22"/>
          <w:lang w:val="en-AU" w:eastAsia="en-US"/>
        </w:rPr>
      </w:pPr>
    </w:p>
    <w:p w14:paraId="08FDE1A2" w14:textId="4AAA8268"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9472" behindDoc="0" locked="0" layoutInCell="1" allowOverlap="1" wp14:anchorId="71B072D2" wp14:editId="61150EF0">
                <wp:simplePos x="0" y="0"/>
                <wp:positionH relativeFrom="column">
                  <wp:posOffset>1400810</wp:posOffset>
                </wp:positionH>
                <wp:positionV relativeFrom="paragraph">
                  <wp:posOffset>71399</wp:posOffset>
                </wp:positionV>
                <wp:extent cx="0" cy="1223645"/>
                <wp:effectExtent l="133350" t="19050" r="95250" b="90805"/>
                <wp:wrapNone/>
                <wp:docPr id="19" name="Straight Arrow Connector 19"/>
                <wp:cNvGraphicFramePr/>
                <a:graphic xmlns:a="http://schemas.openxmlformats.org/drawingml/2006/main">
                  <a:graphicData uri="http://schemas.microsoft.com/office/word/2010/wordprocessingShape">
                    <wps:wsp>
                      <wps:cNvCnPr/>
                      <wps:spPr>
                        <a:xfrm>
                          <a:off x="0" y="0"/>
                          <a:ext cx="0" cy="122364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42F22BC3" id="Straight Arrow Connector 19" o:spid="_x0000_s1026" type="#_x0000_t32" style="position:absolute;margin-left:110.3pt;margin-top:5.6pt;width:0;height:96.35pt;z-index:25168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EC5B109" w14:textId="510F1521" w:rsidR="007923B1" w:rsidRPr="007923B1" w:rsidRDefault="007923B1" w:rsidP="007923B1">
      <w:pPr>
        <w:autoSpaceDE/>
        <w:autoSpaceDN/>
        <w:rPr>
          <w:rFonts w:ascii="Calibri" w:eastAsia="Calibri" w:hAnsi="Calibri" w:cs="Arial"/>
          <w:sz w:val="22"/>
          <w:szCs w:val="22"/>
          <w:lang w:val="en-AU" w:eastAsia="en-US"/>
        </w:rPr>
      </w:pPr>
    </w:p>
    <w:p w14:paraId="51256E0D" w14:textId="08BFF03D" w:rsidR="007923B1" w:rsidRPr="007923B1" w:rsidRDefault="007923B1" w:rsidP="007923B1">
      <w:pPr>
        <w:autoSpaceDE/>
        <w:autoSpaceDN/>
        <w:rPr>
          <w:rFonts w:ascii="Calibri" w:eastAsia="Calibri" w:hAnsi="Calibri" w:cs="Arial"/>
          <w:sz w:val="22"/>
          <w:szCs w:val="22"/>
          <w:lang w:val="en-AU" w:eastAsia="en-US"/>
        </w:rPr>
      </w:pPr>
    </w:p>
    <w:p w14:paraId="23FBC303" w14:textId="30AA46F2" w:rsidR="007923B1" w:rsidRPr="007923B1" w:rsidRDefault="007923B1" w:rsidP="007923B1">
      <w:pPr>
        <w:autoSpaceDE/>
        <w:autoSpaceDN/>
        <w:rPr>
          <w:rFonts w:ascii="Calibri" w:eastAsia="Calibri" w:hAnsi="Calibri" w:cs="Arial"/>
          <w:sz w:val="22"/>
          <w:szCs w:val="22"/>
          <w:lang w:val="en-AU" w:eastAsia="en-US"/>
        </w:rPr>
      </w:pPr>
    </w:p>
    <w:p w14:paraId="0C751F36" w14:textId="6C1E23E8" w:rsidR="007923B1" w:rsidRPr="007923B1" w:rsidRDefault="007923B1" w:rsidP="007923B1">
      <w:pPr>
        <w:autoSpaceDE/>
        <w:autoSpaceDN/>
        <w:rPr>
          <w:rFonts w:ascii="Calibri" w:eastAsia="Calibri" w:hAnsi="Calibri" w:cs="Arial"/>
          <w:sz w:val="22"/>
          <w:szCs w:val="22"/>
          <w:lang w:val="en-AU" w:eastAsia="en-US"/>
        </w:rPr>
      </w:pPr>
    </w:p>
    <w:p w14:paraId="043B1B49" w14:textId="373EFDCC" w:rsidR="007923B1" w:rsidRPr="007923B1" w:rsidRDefault="007923B1" w:rsidP="007923B1">
      <w:pPr>
        <w:autoSpaceDE/>
        <w:autoSpaceDN/>
        <w:rPr>
          <w:rFonts w:ascii="Calibri" w:eastAsia="Calibri" w:hAnsi="Calibri" w:cs="Arial"/>
          <w:sz w:val="22"/>
          <w:szCs w:val="22"/>
          <w:lang w:val="en-AU" w:eastAsia="en-US"/>
        </w:rPr>
      </w:pPr>
    </w:p>
    <w:p w14:paraId="6A9269A1" w14:textId="38CC7B33"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5376" behindDoc="0" locked="0" layoutInCell="1" allowOverlap="1" wp14:anchorId="29F02BC4" wp14:editId="524E3CBA">
                <wp:simplePos x="0" y="0"/>
                <wp:positionH relativeFrom="column">
                  <wp:posOffset>-63500</wp:posOffset>
                </wp:positionH>
                <wp:positionV relativeFrom="paragraph">
                  <wp:posOffset>558800</wp:posOffset>
                </wp:positionV>
                <wp:extent cx="722630" cy="262890"/>
                <wp:effectExtent l="1270" t="0" r="2540" b="2540"/>
                <wp:wrapTopAndBottom/>
                <wp:docPr id="33" name="Flowchart: Alternate Process 33"/>
                <wp:cNvGraphicFramePr/>
                <a:graphic xmlns:a="http://schemas.openxmlformats.org/drawingml/2006/main">
                  <a:graphicData uri="http://schemas.microsoft.com/office/word/2010/wordprocessingShape">
                    <wps:wsp>
                      <wps:cNvSpPr/>
                      <wps:spPr>
                        <a:xfrm rot="16200000">
                          <a:off x="0" y="0"/>
                          <a:ext cx="722630" cy="262890"/>
                        </a:xfrm>
                        <a:prstGeom prst="flowChartAlternateProcess">
                          <a:avLst/>
                        </a:prstGeom>
                        <a:solidFill>
                          <a:srgbClr val="7BA79D"/>
                        </a:solidFill>
                        <a:ln>
                          <a:noFill/>
                        </a:ln>
                        <a:effectLst/>
                      </wps:spPr>
                      <wps:txb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02BC4" id="Flowchart: Alternate Process 33" o:spid="_x0000_s1037" type="#_x0000_t176" style="position:absolute;margin-left:-5pt;margin-top:44pt;width:56.9pt;height:20.7pt;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" fillcolor="#7ba79d" stroked="f">
                <v:textbo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v:textbox>
                <w10:wrap type="topAndBotto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7184" behindDoc="0" locked="0" layoutInCell="1" allowOverlap="1" wp14:anchorId="0DD32AB3" wp14:editId="0C4F605C">
                <wp:simplePos x="0" y="0"/>
                <wp:positionH relativeFrom="column">
                  <wp:posOffset>594360</wp:posOffset>
                </wp:positionH>
                <wp:positionV relativeFrom="paragraph">
                  <wp:posOffset>280949</wp:posOffset>
                </wp:positionV>
                <wp:extent cx="1752600" cy="857250"/>
                <wp:effectExtent l="0" t="0" r="0" b="0"/>
                <wp:wrapTopAndBottom/>
                <wp:docPr id="13" name="Rectangle 13"/>
                <wp:cNvGraphicFramePr/>
                <a:graphic xmlns:a="http://schemas.openxmlformats.org/drawingml/2006/main">
                  <a:graphicData uri="http://schemas.microsoft.com/office/word/2010/wordprocessingShape">
                    <wps:wsp>
                      <wps:cNvSpPr/>
                      <wps:spPr>
                        <a:xfrm>
                          <a:off x="0" y="0"/>
                          <a:ext cx="1752600" cy="857250"/>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D32AB3" id="Rectangle 13" o:spid="_x0000_s1038" style="position:absolute;margin-left:46.8pt;margin-top:22.1pt;width:138pt;height:6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" fillcolor="#737950" stroked="f">
                <v:fill color2="#c9cdb3" rotate="t" angle="180" colors="0 #737950;31457f #a8ae85;1 #c9cdb3" focus="100%" type="gradient"/>
                <v:textbo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(n = 1,149  )</w:t>
                      </w:r>
                    </w:p>
                    <w:p w14:paraId="2C6629F8" w14:textId="77777777" w:rsidR="007923B1" w:rsidRPr="001C3167" w:rsidRDefault="007923B1" w:rsidP="007923B1">
                      <w:pPr>
                        <w:rPr>
                          <w:rFonts w:ascii="Arial" w:hAnsi="Arial" w:cs="Arial"/>
                          <w:color w:val="000000"/>
                          <w:sz w:val="18"/>
                        </w:rPr>
                      </w:pPr>
                    </w:p>
                  </w:txbxContent>
                </v:textbox>
                <w10:wrap type="topAndBottom"/>
              </v:rect>
            </w:pict>
          </mc:Fallback>
        </mc:AlternateContent>
      </w:r>
    </w:p>
    <w:bookmarkEnd w:id="10"/>
    <w:p w14:paraId="0DEB227A" w14:textId="3F158CEF" w:rsidR="007923B1" w:rsidRPr="007923B1" w:rsidRDefault="007923B1" w:rsidP="007923B1">
      <w:pPr>
        <w:autoSpaceDE/>
        <w:autoSpaceDN/>
        <w:spacing w:after="160" w:line="259" w:lineRule="auto"/>
        <w:jc w:val="both"/>
        <w:rPr>
          <w:rFonts w:eastAsia="Calibri" w:cs="Traditional Arabic"/>
          <w:b/>
          <w:bCs/>
          <w:sz w:val="24"/>
          <w:szCs w:val="24"/>
          <w:lang w:val="en-ID" w:eastAsia="en-US"/>
        </w:rPr>
      </w:pPr>
    </w:p>
    <w:p w14:paraId="7B3DD303" w14:textId="77777777" w:rsidR="007923B1" w:rsidRPr="00122F5F" w:rsidRDefault="007923B1" w:rsidP="00F369EC">
      <w:pPr>
        <w:spacing w:before="120" w:after="120"/>
        <w:ind w:left="426"/>
        <w:jc w:val="both"/>
        <w:rPr>
          <w:rFonts w:ascii="Calibri Light" w:hAnsi="Calibri Light" w:cs="Calibri Light"/>
          <w:color w:val="FF0000"/>
          <w:sz w:val="24"/>
          <w:szCs w:val="24"/>
          <w:lang w:val="id-ID"/>
        </w:rPr>
      </w:pPr>
    </w:p>
    <w:p w14:paraId="30A73BE2" w14:textId="659A0227" w:rsidR="00D813BC" w:rsidRDefault="00F51BE9" w:rsidP="00334792">
      <w:pPr>
        <w:spacing w:before="120" w:after="120"/>
        <w:rPr>
          <w:rFonts w:ascii="Calibri Light" w:hAnsi="Calibri Light" w:cs="Calibri Light"/>
          <w:bCs/>
          <w:sz w:val="24"/>
          <w:szCs w:val="24"/>
          <w:lang w:val="id-ID"/>
        </w:rPr>
      </w:pPr>
      <w:r w:rsidRPr="00F00D99">
        <w:rPr>
          <w:rFonts w:ascii="Calibri Light" w:hAnsi="Calibri Light" w:cs="Calibri Light"/>
          <w:b/>
          <w:sz w:val="24"/>
          <w:szCs w:val="24"/>
          <w:lang w:val="id-ID"/>
        </w:rPr>
        <w:t xml:space="preserve">        Figure 1.</w:t>
      </w:r>
      <w:r w:rsidRPr="00F51BE9">
        <w:rPr>
          <w:rFonts w:ascii="Calibri Light" w:hAnsi="Calibri Light" w:cs="Calibri Light"/>
          <w:bCs/>
          <w:sz w:val="24"/>
          <w:szCs w:val="24"/>
          <w:lang w:val="id-ID"/>
        </w:rPr>
        <w:t xml:space="preserve"> The PRISMA-based systematic review process, highlighting the identification, screening, and inclusion phases in analyzing research on Basel Accords and Islamic banking.</w:t>
      </w:r>
    </w:p>
    <w:p w14:paraId="0B523085" w14:textId="50837046" w:rsidR="006D0A4B" w:rsidRDefault="006D0A4B" w:rsidP="006D0A4B">
      <w:pPr>
        <w:spacing w:before="120" w:after="120"/>
        <w:ind w:left="426"/>
        <w:jc w:val="both"/>
        <w:rPr>
          <w:rFonts w:ascii="Calibri Light" w:hAnsi="Calibri Light" w:cs="Calibri Light"/>
          <w:bCs/>
          <w:sz w:val="24"/>
          <w:szCs w:val="24"/>
          <w:lang w:val="id-ID"/>
        </w:rPr>
      </w:pPr>
      <w:r w:rsidRPr="006D0A4B">
        <w:rPr>
          <w:rFonts w:ascii="Calibri Light" w:hAnsi="Calibri Light" w:cs="Calibri Light"/>
          <w:bCs/>
          <w:sz w:val="24"/>
          <w:szCs w:val="24"/>
          <w:lang w:val="id-ID"/>
        </w:rPr>
        <w:t>The inclusion and exclusion criteria for data screening were carefully defined to ensure the relevance and quality of the selected studies. The inclusion criteria focused on English-language articles published between 2015 and 2024 in specific subject areas such as Islamic Banks, Shariah and Islamic Economics  . Conversely, studies falling outside these parameters were excluded to maintain the accuracy and focus of the bibliometric analysis</w:t>
      </w:r>
      <w:r w:rsidR="00602879">
        <w:rPr>
          <w:rFonts w:ascii="Calibri Light" w:hAnsi="Calibri Light" w:cs="Calibri Light"/>
          <w:bCs/>
          <w:sz w:val="24"/>
          <w:szCs w:val="24"/>
          <w:lang w:val="id-ID"/>
        </w:rPr>
        <w:t xml:space="preserve"> </w:t>
      </w:r>
      <w:r w:rsidR="00602879">
        <w:rPr>
          <w:rFonts w:ascii="Calibri Light" w:hAnsi="Calibri Light" w:cs="Calibri Light"/>
          <w:bCs/>
          <w:sz w:val="24"/>
          <w:szCs w:val="24"/>
          <w:lang w:val="id-ID"/>
        </w:rPr>
        <w:fldChar w:fldCharType="begin" w:fldLock="1"/>
      </w:r>
      <w:r w:rsidR="002D33A7">
        <w:rPr>
          <w:rFonts w:ascii="Calibri Light" w:hAnsi="Calibri Light" w:cs="Calibri Light"/>
          <w:bCs/>
          <w:sz w:val="24"/>
          <w:szCs w:val="24"/>
          <w:lang w:val="id-ID"/>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602879">
        <w:rPr>
          <w:rFonts w:ascii="Calibri Light" w:hAnsi="Calibri Light" w:cs="Calibri Light"/>
          <w:bCs/>
          <w:sz w:val="24"/>
          <w:szCs w:val="24"/>
          <w:lang w:val="id-ID"/>
        </w:rPr>
        <w:fldChar w:fldCharType="separate"/>
      </w:r>
      <w:r w:rsidR="00602879" w:rsidRPr="00602879">
        <w:rPr>
          <w:rFonts w:ascii="Calibri Light" w:hAnsi="Calibri Light" w:cs="Calibri Light"/>
          <w:bCs/>
          <w:noProof/>
          <w:sz w:val="24"/>
          <w:szCs w:val="24"/>
          <w:lang w:val="id-ID"/>
        </w:rPr>
        <w:t>(Fathoni et al., 2024)</w:t>
      </w:r>
      <w:r w:rsidR="00602879">
        <w:rPr>
          <w:rFonts w:ascii="Calibri Light" w:hAnsi="Calibri Light" w:cs="Calibri Light"/>
          <w:bCs/>
          <w:sz w:val="24"/>
          <w:szCs w:val="24"/>
          <w:lang w:val="id-ID"/>
        </w:rPr>
        <w:fldChar w:fldCharType="end"/>
      </w:r>
      <w:r w:rsidRPr="006D0A4B">
        <w:rPr>
          <w:rFonts w:ascii="Calibri Light" w:hAnsi="Calibri Light" w:cs="Calibri Light"/>
          <w:bCs/>
          <w:sz w:val="24"/>
          <w:szCs w:val="24"/>
          <w:lang w:val="id-ID"/>
        </w:rPr>
        <w:t xml:space="preserve">. These criteria played a crucial role in refining the dataset and </w:t>
      </w:r>
      <w:r w:rsidRPr="006D0A4B">
        <w:rPr>
          <w:rFonts w:ascii="Calibri Light" w:hAnsi="Calibri Light" w:cs="Calibri Light"/>
          <w:bCs/>
          <w:sz w:val="24"/>
          <w:szCs w:val="24"/>
          <w:lang w:val="id-ID"/>
        </w:rPr>
        <w:lastRenderedPageBreak/>
        <w:t>ensuring a systematic and robust review process, as outlined in Table 1, which details the inclusion and exclusion criteria.</w:t>
      </w:r>
    </w:p>
    <w:tbl>
      <w:tblPr>
        <w:tblStyle w:val="PlainTable21"/>
        <w:tblW w:w="9072" w:type="dxa"/>
        <w:tblInd w:w="426" w:type="dxa"/>
        <w:tblLook w:val="04A0" w:firstRow="1" w:lastRow="0" w:firstColumn="1" w:lastColumn="0" w:noHBand="0" w:noVBand="1"/>
      </w:tblPr>
      <w:tblGrid>
        <w:gridCol w:w="1496"/>
        <w:gridCol w:w="1337"/>
        <w:gridCol w:w="1299"/>
        <w:gridCol w:w="1619"/>
        <w:gridCol w:w="1212"/>
        <w:gridCol w:w="972"/>
        <w:gridCol w:w="1137"/>
      </w:tblGrid>
      <w:tr w:rsidR="00CB5866" w:rsidRPr="00CB5866" w14:paraId="79D20230" w14:textId="77777777" w:rsidTr="00835E51">
        <w:trPr>
          <w:cnfStyle w:val="100000000000" w:firstRow="1" w:lastRow="0" w:firstColumn="0" w:lastColumn="0" w:oddVBand="0" w:evenVBand="0" w:oddHBand="0" w:evenHBand="0" w:firstRowFirstColumn="0" w:firstRowLastColumn="0" w:lastRowFirstColumn="0" w:lastRowLastColumn="0"/>
          <w:trHeight w:val="795"/>
        </w:trPr>
        <w:tc>
          <w:tcPr>
            <w:cnfStyle w:val="001000000000" w:firstRow="0" w:lastRow="0" w:firstColumn="1" w:lastColumn="0" w:oddVBand="0" w:evenVBand="0" w:oddHBand="0" w:evenHBand="0" w:firstRowFirstColumn="0" w:firstRowLastColumn="0" w:lastRowFirstColumn="0" w:lastRowLastColumn="0"/>
            <w:tcW w:w="1496" w:type="dxa"/>
            <w:shd w:val="clear" w:color="auto" w:fill="E5B8B7" w:themeFill="accent2" w:themeFillTint="66"/>
          </w:tcPr>
          <w:p w14:paraId="14FE8082" w14:textId="77777777" w:rsidR="00CB5866" w:rsidRPr="00CB5866" w:rsidRDefault="00CB5866" w:rsidP="00CB5866">
            <w:pPr>
              <w:autoSpaceDE/>
              <w:autoSpaceDN/>
              <w:spacing w:after="160" w:line="259" w:lineRule="auto"/>
              <w:rPr>
                <w:lang w:val="en-ID" w:eastAsia="en-US"/>
              </w:rPr>
            </w:pPr>
          </w:p>
        </w:tc>
        <w:tc>
          <w:tcPr>
            <w:tcW w:w="1337" w:type="dxa"/>
            <w:shd w:val="clear" w:color="auto" w:fill="E5B8B7" w:themeFill="accent2" w:themeFillTint="66"/>
          </w:tcPr>
          <w:p w14:paraId="0294A95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 xml:space="preserve">Year </w:t>
            </w:r>
          </w:p>
        </w:tc>
        <w:tc>
          <w:tcPr>
            <w:tcW w:w="1299" w:type="dxa"/>
            <w:shd w:val="clear" w:color="auto" w:fill="E5B8B7" w:themeFill="accent2" w:themeFillTint="66"/>
          </w:tcPr>
          <w:p w14:paraId="1C300A6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Subject area</w:t>
            </w:r>
          </w:p>
        </w:tc>
        <w:tc>
          <w:tcPr>
            <w:tcW w:w="1619" w:type="dxa"/>
            <w:shd w:val="clear" w:color="auto" w:fill="E5B8B7" w:themeFill="accent2" w:themeFillTint="66"/>
          </w:tcPr>
          <w:p w14:paraId="7A0AD413"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Document type</w:t>
            </w:r>
          </w:p>
        </w:tc>
        <w:tc>
          <w:tcPr>
            <w:tcW w:w="1212" w:type="dxa"/>
            <w:shd w:val="clear" w:color="auto" w:fill="E5B8B7" w:themeFill="accent2" w:themeFillTint="66"/>
          </w:tcPr>
          <w:p w14:paraId="0C76CD86"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Keyword</w:t>
            </w:r>
          </w:p>
        </w:tc>
        <w:tc>
          <w:tcPr>
            <w:tcW w:w="972" w:type="dxa"/>
            <w:shd w:val="clear" w:color="auto" w:fill="E5B8B7" w:themeFill="accent2" w:themeFillTint="66"/>
          </w:tcPr>
          <w:p w14:paraId="44B74175"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Source type</w:t>
            </w:r>
          </w:p>
        </w:tc>
        <w:tc>
          <w:tcPr>
            <w:tcW w:w="1137" w:type="dxa"/>
            <w:shd w:val="clear" w:color="auto" w:fill="E5B8B7" w:themeFill="accent2" w:themeFillTint="66"/>
          </w:tcPr>
          <w:p w14:paraId="4556ECB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Language</w:t>
            </w:r>
          </w:p>
          <w:p w14:paraId="32C2E4D8"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p>
        </w:tc>
      </w:tr>
      <w:tr w:rsidR="00CB5866" w:rsidRPr="00CB5866" w14:paraId="43620BC2" w14:textId="77777777" w:rsidTr="008D75B2">
        <w:trPr>
          <w:cnfStyle w:val="000000100000" w:firstRow="0" w:lastRow="0" w:firstColumn="0" w:lastColumn="0" w:oddVBand="0" w:evenVBand="0" w:oddHBand="1" w:evenHBand="0" w:firstRowFirstColumn="0" w:firstRowLastColumn="0" w:lastRowFirstColumn="0" w:lastRowLastColumn="0"/>
          <w:trHeight w:val="757"/>
        </w:trPr>
        <w:tc>
          <w:tcPr>
            <w:cnfStyle w:val="001000000000" w:firstRow="0" w:lastRow="0" w:firstColumn="1" w:lastColumn="0" w:oddVBand="0" w:evenVBand="0" w:oddHBand="0" w:evenHBand="0" w:firstRowFirstColumn="0" w:firstRowLastColumn="0" w:lastRowFirstColumn="0" w:lastRowLastColumn="0"/>
            <w:tcW w:w="1496" w:type="dxa"/>
          </w:tcPr>
          <w:p w14:paraId="08AAF5D5"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INCLUSION CRITERIA</w:t>
            </w:r>
          </w:p>
        </w:tc>
        <w:tc>
          <w:tcPr>
            <w:tcW w:w="1337" w:type="dxa"/>
          </w:tcPr>
          <w:p w14:paraId="21A5B2B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from 2015-2024</w:t>
            </w:r>
          </w:p>
        </w:tc>
        <w:tc>
          <w:tcPr>
            <w:tcW w:w="1299" w:type="dxa"/>
          </w:tcPr>
          <w:p w14:paraId="6CC6C5A3"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economics and business (ECON, BUSI)</w:t>
            </w:r>
          </w:p>
        </w:tc>
        <w:tc>
          <w:tcPr>
            <w:tcW w:w="1619" w:type="dxa"/>
          </w:tcPr>
          <w:p w14:paraId="2098FB46"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Only Articles.</w:t>
            </w:r>
          </w:p>
        </w:tc>
        <w:tc>
          <w:tcPr>
            <w:tcW w:w="1212" w:type="dxa"/>
          </w:tcPr>
          <w:p w14:paraId="27EC660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Basel Accords, Islamic banking</w:t>
            </w:r>
          </w:p>
        </w:tc>
        <w:tc>
          <w:tcPr>
            <w:tcW w:w="972" w:type="dxa"/>
          </w:tcPr>
          <w:p w14:paraId="3313CE59"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Journal</w:t>
            </w:r>
          </w:p>
        </w:tc>
        <w:tc>
          <w:tcPr>
            <w:tcW w:w="1137" w:type="dxa"/>
          </w:tcPr>
          <w:p w14:paraId="19E00D11"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English Language</w:t>
            </w:r>
          </w:p>
        </w:tc>
      </w:tr>
      <w:tr w:rsidR="00CB5866" w:rsidRPr="00CB5866" w14:paraId="53F59399" w14:textId="77777777" w:rsidTr="008D75B2">
        <w:trPr>
          <w:trHeight w:val="1145"/>
        </w:trPr>
        <w:tc>
          <w:tcPr>
            <w:cnfStyle w:val="001000000000" w:firstRow="0" w:lastRow="0" w:firstColumn="1" w:lastColumn="0" w:oddVBand="0" w:evenVBand="0" w:oddHBand="0" w:evenHBand="0" w:firstRowFirstColumn="0" w:firstRowLastColumn="0" w:lastRowFirstColumn="0" w:lastRowLastColumn="0"/>
            <w:tcW w:w="1496" w:type="dxa"/>
          </w:tcPr>
          <w:p w14:paraId="2369EF5D"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EXCLUSION CRITERIA</w:t>
            </w:r>
          </w:p>
        </w:tc>
        <w:tc>
          <w:tcPr>
            <w:tcW w:w="1337" w:type="dxa"/>
          </w:tcPr>
          <w:p w14:paraId="32108D1D"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research before 2014 was excluded</w:t>
            </w:r>
          </w:p>
        </w:tc>
        <w:tc>
          <w:tcPr>
            <w:tcW w:w="1299" w:type="dxa"/>
          </w:tcPr>
          <w:p w14:paraId="4002729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w:t>
            </w:r>
          </w:p>
          <w:p w14:paraId="38F20722"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field</w:t>
            </w:r>
          </w:p>
        </w:tc>
        <w:tc>
          <w:tcPr>
            <w:tcW w:w="1619" w:type="dxa"/>
          </w:tcPr>
          <w:p w14:paraId="380870C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 xml:space="preserve">Conference </w:t>
            </w:r>
            <w:proofErr w:type="spellStart"/>
            <w:proofErr w:type="gramStart"/>
            <w:r w:rsidRPr="00CB5866">
              <w:rPr>
                <w:rFonts w:ascii="Calibri Light" w:hAnsi="Calibri Light" w:cs="Calibri Light"/>
                <w:sz w:val="20"/>
                <w:szCs w:val="20"/>
                <w:lang w:val="en-ID" w:eastAsia="en-US"/>
              </w:rPr>
              <w:t>papers,Book</w:t>
            </w:r>
            <w:proofErr w:type="spellEnd"/>
            <w:proofErr w:type="gramEnd"/>
            <w:r w:rsidRPr="00CB5866">
              <w:rPr>
                <w:rFonts w:ascii="Calibri Light" w:hAnsi="Calibri Light" w:cs="Calibri Light"/>
                <w:sz w:val="20"/>
                <w:szCs w:val="20"/>
                <w:lang w:val="en-ID" w:eastAsia="en-US"/>
              </w:rPr>
              <w:t xml:space="preserve">, </w:t>
            </w:r>
            <w:proofErr w:type="spellStart"/>
            <w:r w:rsidRPr="00CB5866">
              <w:rPr>
                <w:rFonts w:ascii="Calibri Light" w:hAnsi="Calibri Light" w:cs="Calibri Light"/>
                <w:sz w:val="20"/>
                <w:szCs w:val="20"/>
                <w:lang w:val="en-ID" w:eastAsia="en-US"/>
              </w:rPr>
              <w:t>theises</w:t>
            </w:r>
            <w:proofErr w:type="spellEnd"/>
            <w:r w:rsidRPr="00CB5866">
              <w:rPr>
                <w:rFonts w:ascii="Calibri Light" w:hAnsi="Calibri Light" w:cs="Calibri Light"/>
                <w:sz w:val="20"/>
                <w:szCs w:val="20"/>
                <w:lang w:val="en-ID" w:eastAsia="en-US"/>
              </w:rPr>
              <w:t>,</w:t>
            </w:r>
            <w:r w:rsidRPr="00CB5866">
              <w:rPr>
                <w:rFonts w:ascii="Calibri Light" w:hAnsi="Calibri Light" w:cs="Calibri Light"/>
                <w:color w:val="2E2E2E"/>
                <w:sz w:val="20"/>
                <w:szCs w:val="20"/>
                <w:shd w:val="clear" w:color="auto" w:fill="FFFFFF"/>
                <w:lang w:val="en-ID" w:eastAsia="en-US"/>
              </w:rPr>
              <w:t xml:space="preserve"> </w:t>
            </w:r>
            <w:r w:rsidRPr="00CB5866">
              <w:rPr>
                <w:rFonts w:ascii="Calibri Light" w:hAnsi="Calibri Light" w:cs="Calibri Light"/>
                <w:sz w:val="20"/>
                <w:szCs w:val="20"/>
                <w:lang w:val="en-ID" w:eastAsia="en-US"/>
              </w:rPr>
              <w:t>Review</w:t>
            </w:r>
          </w:p>
        </w:tc>
        <w:tc>
          <w:tcPr>
            <w:tcW w:w="1212" w:type="dxa"/>
          </w:tcPr>
          <w:p w14:paraId="36DA67F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keywords</w:t>
            </w:r>
          </w:p>
        </w:tc>
        <w:tc>
          <w:tcPr>
            <w:tcW w:w="972" w:type="dxa"/>
          </w:tcPr>
          <w:p w14:paraId="73D25B7E"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Book series</w:t>
            </w:r>
          </w:p>
        </w:tc>
        <w:tc>
          <w:tcPr>
            <w:tcW w:w="1137" w:type="dxa"/>
          </w:tcPr>
          <w:p w14:paraId="680CF3E5"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Languages</w:t>
            </w:r>
          </w:p>
        </w:tc>
      </w:tr>
    </w:tbl>
    <w:p w14:paraId="0CD9110B" w14:textId="4B115D80" w:rsidR="00D813BC" w:rsidRPr="00C377E7" w:rsidRDefault="00C377E7" w:rsidP="00C377E7">
      <w:pPr>
        <w:spacing w:before="120" w:after="120"/>
        <w:jc w:val="center"/>
        <w:rPr>
          <w:rFonts w:ascii="Calibri Light" w:hAnsi="Calibri Light" w:cs="Calibri Light"/>
          <w:bCs/>
          <w:sz w:val="24"/>
          <w:szCs w:val="24"/>
          <w:lang w:val="id-ID"/>
        </w:rPr>
      </w:pPr>
      <w:r w:rsidRPr="00F00D99">
        <w:rPr>
          <w:rFonts w:ascii="Calibri Light" w:hAnsi="Calibri Light" w:cs="Calibri Light"/>
          <w:b/>
          <w:sz w:val="24"/>
          <w:szCs w:val="24"/>
          <w:lang w:val="id-ID"/>
        </w:rPr>
        <w:t>Table 1.</w:t>
      </w:r>
      <w:r w:rsidRPr="00C377E7">
        <w:rPr>
          <w:rFonts w:ascii="Calibri Light" w:hAnsi="Calibri Light" w:cs="Calibri Light"/>
          <w:bCs/>
          <w:sz w:val="24"/>
          <w:szCs w:val="24"/>
          <w:lang w:val="id-ID"/>
        </w:rPr>
        <w:t xml:space="preserve"> The inclusion and the exclusion criteria for data screening</w:t>
      </w:r>
    </w:p>
    <w:p w14:paraId="183319DF" w14:textId="77777777" w:rsidR="00D813BC" w:rsidRDefault="00D813BC" w:rsidP="00334792">
      <w:pPr>
        <w:spacing w:before="120" w:after="120"/>
        <w:rPr>
          <w:rFonts w:ascii="Calibri Light" w:hAnsi="Calibri Light" w:cs="Calibri Light"/>
          <w:b/>
          <w:sz w:val="24"/>
          <w:szCs w:val="24"/>
          <w:lang w:val="id-ID"/>
        </w:rPr>
      </w:pPr>
    </w:p>
    <w:p w14:paraId="3110BACC" w14:textId="7E6F8AF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 xml:space="preserve">RESULT AND </w:t>
      </w:r>
      <w:bookmarkStart w:id="13" w:name="_Hlk196388253"/>
      <w:r w:rsidR="00334792" w:rsidRPr="00122F5F">
        <w:rPr>
          <w:rFonts w:ascii="Calibri Light" w:hAnsi="Calibri Light" w:cs="Calibri Light"/>
          <w:b/>
          <w:sz w:val="24"/>
          <w:szCs w:val="24"/>
          <w:lang w:val="id-ID"/>
        </w:rPr>
        <w:t>DISCUSSION</w:t>
      </w:r>
      <w:r w:rsidR="00D26ADD" w:rsidRPr="00122F5F">
        <w:rPr>
          <w:rFonts w:ascii="Calibri Light" w:hAnsi="Calibri Light" w:cs="Calibri Light"/>
          <w:b/>
          <w:sz w:val="24"/>
          <w:szCs w:val="24"/>
        </w:rPr>
        <w:t xml:space="preserve"> </w:t>
      </w:r>
    </w:p>
    <w:bookmarkEnd w:id="13"/>
    <w:p w14:paraId="0E0B8A75" w14:textId="3D5B8084" w:rsidR="0007539D" w:rsidRPr="0007539D" w:rsidRDefault="0007539D" w:rsidP="0007539D">
      <w:pPr>
        <w:spacing w:before="120" w:after="120"/>
        <w:ind w:left="440" w:right="-1" w:hanging="14"/>
        <w:jc w:val="both"/>
        <w:rPr>
          <w:rFonts w:ascii="Calibri Light" w:hAnsi="Calibri Light" w:cs="Calibri Light"/>
          <w:b/>
          <w:bCs/>
          <w:sz w:val="24"/>
          <w:szCs w:val="24"/>
          <w:lang w:val="en-ID"/>
        </w:rPr>
      </w:pPr>
      <w:r w:rsidRPr="0007539D">
        <w:rPr>
          <w:rFonts w:ascii="Calibri Light" w:hAnsi="Calibri Light" w:cs="Calibri Light"/>
          <w:b/>
          <w:bCs/>
          <w:sz w:val="24"/>
          <w:szCs w:val="24"/>
          <w:lang w:val="en-ID"/>
        </w:rPr>
        <w:t>Results</w:t>
      </w:r>
      <w:r w:rsidR="004E43C7">
        <w:rPr>
          <w:rFonts w:ascii="Calibri Light" w:hAnsi="Calibri Light" w:cs="Calibri Light"/>
          <w:b/>
          <w:bCs/>
          <w:sz w:val="24"/>
          <w:szCs w:val="24"/>
          <w:lang w:val="en-ID"/>
        </w:rPr>
        <w:t xml:space="preserve"> </w:t>
      </w:r>
      <w:r w:rsidR="004E43C7" w:rsidRPr="004E43C7">
        <w:rPr>
          <w:rFonts w:ascii="Calibri Light" w:eastAsia="MS Mincho" w:hAnsi="Calibri Light" w:cs="Calibri Light"/>
          <w:b/>
          <w:bCs/>
          <w:sz w:val="24"/>
          <w:szCs w:val="24"/>
          <w:lang w:val="en-ID" w:eastAsia="en-US"/>
        </w:rPr>
        <w:t>ANALYSIS</w:t>
      </w:r>
    </w:p>
    <w:p w14:paraId="5F3A51B2" w14:textId="37690C14" w:rsidR="00200009" w:rsidRPr="00046968" w:rsidRDefault="00200009" w:rsidP="00200009">
      <w:pPr>
        <w:autoSpaceDE/>
        <w:autoSpaceDN/>
        <w:spacing w:after="200" w:line="276" w:lineRule="auto"/>
        <w:ind w:left="426"/>
        <w:jc w:val="both"/>
        <w:rPr>
          <w:rFonts w:ascii="Calibri Light" w:eastAsia="MS Mincho" w:hAnsi="Calibri Light" w:cs="Calibri Light"/>
          <w:sz w:val="24"/>
          <w:szCs w:val="24"/>
          <w:lang w:val="en-ID" w:eastAsia="en-US"/>
        </w:rPr>
      </w:pPr>
      <w:r w:rsidRPr="00200009">
        <w:rPr>
          <w:rFonts w:ascii="Calibri Light" w:eastAsia="MS Mincho" w:hAnsi="Calibri Light" w:cs="Calibri Light"/>
          <w:sz w:val="24"/>
          <w:szCs w:val="24"/>
          <w:lang w:val="en-ID" w:eastAsia="en-US"/>
        </w:rPr>
        <w:t xml:space="preserve">The analysis in this study will be conducted from four main perspectives. First, we will examine the key characteristics of published research to explore the academic field related to Basel Accords and Islamic banking. Second, we will </w:t>
      </w:r>
      <w:proofErr w:type="spellStart"/>
      <w:r w:rsidRPr="00200009">
        <w:rPr>
          <w:rFonts w:ascii="Calibri Light" w:eastAsia="MS Mincho" w:hAnsi="Calibri Light" w:cs="Calibri Light"/>
          <w:sz w:val="24"/>
          <w:szCs w:val="24"/>
          <w:lang w:val="en-ID" w:eastAsia="en-US"/>
        </w:rPr>
        <w:t>analyze</w:t>
      </w:r>
      <w:proofErr w:type="spellEnd"/>
      <w:r w:rsidRPr="00200009">
        <w:rPr>
          <w:rFonts w:ascii="Calibri Light" w:eastAsia="MS Mincho" w:hAnsi="Calibri Light" w:cs="Calibri Light"/>
          <w:sz w:val="24"/>
          <w:szCs w:val="24"/>
          <w:lang w:val="en-ID" w:eastAsia="en-US"/>
        </w:rPr>
        <w:t xml:space="preserve"> data and present visual representations to identify research trends, leading countries, and academic institutions contributing to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2D33A7">
        <w:rPr>
          <w:rFonts w:ascii="Calibri Light" w:eastAsia="MS Mincho" w:hAnsi="Calibri Light" w:cs="Calibri Light"/>
          <w:sz w:val="24"/>
          <w:szCs w:val="24"/>
          <w:lang w:val="en-ID" w:eastAsia="en-US"/>
        </w:rPr>
        <w:instrText>ADDIN CSL_CITATION {"citationItems":[{"id":"ITEM-1","itemData":{"DOI":"10.1007/s13132-022-00933-y","ISSN":"18687865 (ISSN)","abstract":"This study aims to investigate the impact of customer knowledge, political support, and innovative advancement on the development of Islamic bank. There is a strong microeconomics ground of Islamic financing for the economy-wide conduct of good monetary issues, and issues including the procedure structure. Islamic bank clients limit the dangers related to premium-based obligation financing, and simple credit, which tormented regular banks amid the sub-prime home loan emergency. In short, when there will be sufficient knowledge and information about the Islamic banking services and products, then it will help to develop the Islamic banking system, and similar is the case for advanced innovations. Meanwhile, strong political support can also play an influential role in the development of the Islamic banking system. This study collects the data through self-administered survey from managers of Islamic banks located in the Lahore region. The results of regression analysis are obtained through SPSS. The findings revealed that customer knowledge, innovations, and political support positively and significantly influence the growth of Islamic banks in Pakistan. In other words, good knowledge, innovations, and political support can result in more Islamic banking system development. Conclusively, general monetary development of Islamic banking in Muslim nations will drive the development of Islamic money-related administrations, prompting further in Sharia-consistent system. © 2022, The Author(s), under exclusive licence to Springer Science+Business Media, LLC, part of Springer Nature.","author":[{"dropping-particle":"","family":"Abrar","given":"M","non-dropping-particle":"","parse-names":false,"suffix":""},{"dropping-particle":"","family":"Abbas","given":"S","non-dropping-particle":"","parse-names":false,"suffix":""},{"dropping-particle":"","family":"Kousar","given":"S","non-dropping-particle":"","parse-names":false,"suffix":""},{"dropping-particle":"","family":"Mushtaq","given":"M","non-dropping-particle":"","parse-names":false,"suffix":""}],"container-title":"Journal of the Knowledge Economy","id":"ITEM-1","issue":"2","issued":{"date-parts":[["2023"]]},"language":"English","note":"Export Date: 24 April 2025; Cited By: 4; Correspondence Address: S. Abbas; Climate Research Institute, Department of Geography, Konkuk University, Seoul, South Korea; email: sohail.konkuk@gmail.com; S. Kousar; Department of Economics, Lahore College of Women University (LCWU), Lahore, Pakistan; email: shaziabilal2002@gmail.com","page":"946-965","publisher":"Springer","publisher-place":"Business School, Department of Finance, Konkuk University, Seoul, South Korea","title":"Investigation on the Effects of Customer Knowledge, Political Support, and Innovation on the Growth of Islamic Banking System: a Case Study of Pakistan","type":"article-journal","volume":"14"},"uris":["http://www.mendeley.com/documents/?uuid=4a1b384b-7a63-450d-888c-572172d12cf5"]}],"mendeley":{"formattedCitation":"(Abrar et al., 2023)","plainTextFormattedCitation":"(Abrar et al., 2023)","previouslyFormattedCitation":"(Abrar et al.,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(Abrar et al.,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 Third, we will define the conceptual structure of keywords related to Islamic banking and Basel Accords. Finally, we will apply bibliometric analysis, including keyword co-occurrence and citation network analysis, to identify current research trends, future directions, and key topics in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804B31">
        <w:rPr>
          <w:rFonts w:ascii="Calibri Light" w:eastAsia="MS Mincho" w:hAnsi="Calibri Light" w:cs="Calibri Light"/>
          <w:sz w:val="24"/>
          <w:szCs w:val="24"/>
          <w:lang w:val="en-ID" w:eastAsia="en-US"/>
        </w:rPr>
        <w:instrText>ADDIN CSL_CITATION {"citationItems":[{"id":"ITEM-1","itemData":{"ISSN":"26007975 (ISSN)","abstract":"This research provides an in-depth examination of the crucial connection between Sharia Supervisory Boards (SSB) and Sharia Compliance Disclosure (SCD) in the context of Indonesian Islamic banks. Using secondary data from the years 2014 to 2019, sourced from a selection of Islamic Banks, this research employed panel multiple regression analysis conducted using E-Views software. The findings of this investigation yielded remarkable insights. Firstly, it was demonstrated that the expertise of SSB members played a pivotal role in significantly and positively influencing the extent of SCD. Conversely, the size and education of SSB members exerted a significant and negative influence on SCD. Intriguingly, the study revealed that SSB’s meetings and SSB’s cross-directorship did not have any impact on SCD. These findings hold profound implications for the strategic selection and composition of SSB, highlighting the paramount importance of expertise in driving robust SCD practices within Islamic Banks. In this way, this research advances our understanding of SSB dynamics and their impact on financial transparency, contributing valuable insights to the global discourse on Islamic finance. © 2023, Universiti Teknologi Mara. All rights reserved.","author":[{"dropping-particle":"","family":"Hudayati","given":"A","non-dropping-particle":"","parse-names":false,"suffix":""}],"container-title":"Management and Accounting Review","id":"ITEM-1","issue":"3","issued":{"date-parts":[["2023"]]},"language":"English","note":"Export Date: 24 April 2025; Cited By: 0; Correspondence Address: A. Hudayati; Economics Faculty, Universitas Islam Indonesia, Yogyakarta, Indonesia; email: ataina.hudayati@uii.ac.id","page":"407-428","publisher":"Universiti Teknologi Mara","publisher-place":"Department of Sharia Economics, STAI Darul Ulum, South Kalimantan, Indonesia","title":"Exploring the Nexus of Disclosure of Sharia Compliance and Governance in Islamic Banking: A Comprehensive Analysis of the Sharia Supervisory Board","type":"article-journal","volume":"22"},"uris":["http://www.mendeley.com/documents/?uuid=e457ef72-bfe9-4390-b0f4-071fb7803289"]}],"mendeley":{"formattedCitation":"(Hudayati, 2023)","plainTextFormattedCitation":"(Hudayati, 2023)","previouslyFormattedCitation":"(Hudayati,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(Hudayati,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w:t>
      </w:r>
    </w:p>
    <w:p w14:paraId="137E9A96" w14:textId="13AA457A" w:rsidR="00046968" w:rsidRPr="00046968" w:rsidRDefault="00E649E6" w:rsidP="003F1684">
      <w:pPr>
        <w:autoSpaceDE/>
        <w:autoSpaceDN/>
        <w:spacing w:after="200" w:line="276" w:lineRule="auto"/>
        <w:ind w:left="426"/>
        <w:rPr>
          <w:rFonts w:ascii="Calibri Light" w:eastAsia="MS Mincho" w:hAnsi="Calibri Light" w:cs="Calibri Light"/>
          <w:sz w:val="24"/>
          <w:szCs w:val="24"/>
          <w:lang w:val="en-ID" w:eastAsia="en-US"/>
        </w:rPr>
      </w:pPr>
      <w:r>
        <w:rPr>
          <w:rFonts w:ascii="Calibri Light" w:eastAsia="MS Mincho" w:hAnsi="Calibri Light" w:cs="Calibri Light"/>
          <w:b/>
          <w:bCs/>
          <w:sz w:val="24"/>
          <w:szCs w:val="24"/>
          <w:lang w:val="en-ID" w:eastAsia="en-US"/>
        </w:rPr>
        <w:t xml:space="preserve">3.1. </w:t>
      </w:r>
      <w:r w:rsidR="00046968" w:rsidRPr="00200009">
        <w:rPr>
          <w:rFonts w:ascii="Calibri Light" w:eastAsia="MS Mincho" w:hAnsi="Calibri Light" w:cs="Calibri Light"/>
          <w:b/>
          <w:bCs/>
          <w:sz w:val="24"/>
          <w:szCs w:val="24"/>
          <w:lang w:val="en-ID" w:eastAsia="en-US"/>
        </w:rPr>
        <w:t>Size and Growth of Publication</w:t>
      </w:r>
    </w:p>
    <w:p w14:paraId="6C2675C7" w14:textId="77777777" w:rsidR="00750DAC" w:rsidRDefault="00046968" w:rsidP="00750DAC">
      <w:pPr>
        <w:autoSpaceDE/>
        <w:autoSpaceDN/>
        <w:spacing w:after="200" w:line="276" w:lineRule="auto"/>
        <w:ind w:left="426"/>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 xml:space="preserve">The 1st research </w:t>
      </w:r>
      <w:proofErr w:type="spellStart"/>
      <w:proofErr w:type="gramStart"/>
      <w:r w:rsidRPr="00046968">
        <w:rPr>
          <w:rFonts w:ascii="Calibri Light" w:eastAsia="MS Mincho" w:hAnsi="Calibri Light" w:cs="Calibri Light"/>
          <w:sz w:val="24"/>
          <w:szCs w:val="24"/>
          <w:lang w:val="en-ID" w:eastAsia="en-US"/>
        </w:rPr>
        <w:t>question:What</w:t>
      </w:r>
      <w:proofErr w:type="spellEnd"/>
      <w:proofErr w:type="gramEnd"/>
      <w:r w:rsidRPr="00046968">
        <w:rPr>
          <w:rFonts w:ascii="Calibri Light" w:eastAsia="MS Mincho" w:hAnsi="Calibri Light" w:cs="Calibri Light"/>
          <w:sz w:val="24"/>
          <w:szCs w:val="24"/>
          <w:lang w:val="en-ID" w:eastAsia="en-US"/>
        </w:rPr>
        <w:t xml:space="preserve"> is the annual distribution of publications related to Basel Accords and Islamic banking over the past decade?</w:t>
      </w:r>
    </w:p>
    <w:p w14:paraId="5E03B395" w14:textId="5D771282" w:rsidR="00C377E7" w:rsidRDefault="00046968" w:rsidP="001C3DA7">
      <w:pPr>
        <w:autoSpaceDE/>
        <w:autoSpaceDN/>
        <w:spacing w:after="200" w:line="276" w:lineRule="auto"/>
        <w:ind w:left="426"/>
        <w:jc w:val="both"/>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 xml:space="preserve">The chart illustrates the annual growth of academic publications related to Basel Accords and Islamic Banking from 2015 to 2024. </w:t>
      </w:r>
      <w:commentRangeStart w:id="14"/>
      <w:r w:rsidRPr="00046968">
        <w:rPr>
          <w:rFonts w:ascii="Calibri Light" w:eastAsia="MS Mincho" w:hAnsi="Calibri Light" w:cs="Calibri Light"/>
          <w:sz w:val="24"/>
          <w:szCs w:val="24"/>
          <w:lang w:val="en-ID" w:eastAsia="en-US"/>
        </w:rPr>
        <w:t>The blue bars represent the number of newly published studies each year, sh</w:t>
      </w:r>
      <w:commentRangeEnd w:id="14"/>
      <w:r w:rsidR="008F621C">
        <w:rPr>
          <w:rStyle w:val="CommentReference"/>
        </w:rPr>
        <w:commentReference w:id="14"/>
      </w:r>
      <w:r w:rsidRPr="00046968">
        <w:rPr>
          <w:rFonts w:ascii="Calibri Light" w:eastAsia="MS Mincho" w:hAnsi="Calibri Light" w:cs="Calibri Light"/>
          <w:sz w:val="24"/>
          <w:szCs w:val="24"/>
          <w:lang w:val="en-ID" w:eastAsia="en-US"/>
        </w:rPr>
        <w:t>owing a steady increase over time. The absence of orange</w:t>
      </w:r>
      <w:r w:rsidR="00750DAC">
        <w:rPr>
          <w:rFonts w:ascii="Calibri Light" w:eastAsia="MS Mincho" w:hAnsi="Calibri Light" w:cs="Calibri Light"/>
          <w:sz w:val="24"/>
          <w:szCs w:val="24"/>
          <w:lang w:val="en-ID" w:eastAsia="en-US"/>
        </w:rPr>
        <w:t xml:space="preserve"> </w:t>
      </w:r>
      <w:r w:rsidRPr="00046968">
        <w:rPr>
          <w:rFonts w:ascii="Calibri Light" w:eastAsia="MS Mincho" w:hAnsi="Calibri Light" w:cs="Calibri Light"/>
          <w:sz w:val="24"/>
          <w:szCs w:val="24"/>
          <w:lang w:val="en-ID" w:eastAsia="en-US"/>
        </w:rPr>
        <w:lastRenderedPageBreak/>
        <w:t xml:space="preserve">(Decrease) and </w:t>
      </w:r>
      <w:proofErr w:type="spellStart"/>
      <w:r w:rsidRPr="00046968">
        <w:rPr>
          <w:rFonts w:ascii="Calibri Light" w:eastAsia="MS Mincho" w:hAnsi="Calibri Light" w:cs="Calibri Light"/>
          <w:sz w:val="24"/>
          <w:szCs w:val="24"/>
          <w:lang w:val="en-ID" w:eastAsia="en-US"/>
        </w:rPr>
        <w:t>gray</w:t>
      </w:r>
      <w:proofErr w:type="spellEnd"/>
      <w:r w:rsidRPr="00046968">
        <w:rPr>
          <w:rFonts w:ascii="Calibri Light" w:eastAsia="MS Mincho" w:hAnsi="Calibri Light" w:cs="Calibri Light"/>
          <w:sz w:val="24"/>
          <w:szCs w:val="24"/>
          <w:lang w:val="en-ID" w:eastAsia="en-US"/>
        </w:rPr>
        <w:t xml:space="preserve"> (Total) bars suggests that the focus is specifically on the growth of </w:t>
      </w:r>
      <w:r w:rsidR="00750DAC" w:rsidRPr="00F00D99">
        <w:rPr>
          <w:rFonts w:eastAsia="Calibri" w:cs="Traditional Arabic"/>
          <w:noProof/>
          <w:sz w:val="24"/>
          <w:szCs w:val="24"/>
          <w:lang w:val="en-ID" w:eastAsia="en-US"/>
        </w:rPr>
        <w:drawing>
          <wp:anchor distT="0" distB="0" distL="114300" distR="114300" simplePos="0" relativeHeight="251691520" behindDoc="0" locked="0" layoutInCell="1" allowOverlap="1" wp14:anchorId="2B24792B" wp14:editId="44EA0784">
            <wp:simplePos x="0" y="0"/>
            <wp:positionH relativeFrom="column">
              <wp:posOffset>723900</wp:posOffset>
            </wp:positionH>
            <wp:positionV relativeFrom="paragraph">
              <wp:posOffset>541655</wp:posOffset>
            </wp:positionV>
            <wp:extent cx="4572000" cy="2743200"/>
            <wp:effectExtent l="0" t="0" r="0" b="6985"/>
            <wp:wrapTopAndBottom/>
            <wp:docPr id="9853831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46968">
        <w:rPr>
          <w:rFonts w:ascii="Calibri Light" w:eastAsia="MS Mincho" w:hAnsi="Calibri Light" w:cs="Calibri Light"/>
          <w:sz w:val="24"/>
          <w:szCs w:val="24"/>
          <w:lang w:val="en-ID" w:eastAsia="en-US"/>
        </w:rPr>
        <w:t>research rather than overall publication trends.</w:t>
      </w:r>
    </w:p>
    <w:p w14:paraId="1275C87F" w14:textId="17EFEB23" w:rsidR="00F00D99" w:rsidRDefault="00F00D99" w:rsidP="00F00D99">
      <w:pPr>
        <w:autoSpaceDE/>
        <w:autoSpaceDN/>
        <w:spacing w:after="200" w:line="276" w:lineRule="auto"/>
        <w:ind w:left="426"/>
        <w:jc w:val="center"/>
        <w:rPr>
          <w:rFonts w:ascii="Calibri Light" w:eastAsia="MS Mincho" w:hAnsi="Calibri Light" w:cs="Calibri Light"/>
          <w:sz w:val="24"/>
          <w:szCs w:val="24"/>
          <w:lang w:val="en-ID" w:eastAsia="en-US"/>
        </w:rPr>
      </w:pPr>
      <w:r w:rsidRPr="00F00D99">
        <w:rPr>
          <w:rFonts w:ascii="Calibri Light" w:eastAsia="MS Mincho" w:hAnsi="Calibri Light" w:cs="Calibri Light"/>
          <w:b/>
          <w:bCs/>
          <w:sz w:val="24"/>
          <w:szCs w:val="24"/>
          <w:lang w:val="en-ID" w:eastAsia="en-US"/>
        </w:rPr>
        <w:t>Figure 2.</w:t>
      </w:r>
      <w:r w:rsidRPr="00F00D99">
        <w:rPr>
          <w:rFonts w:ascii="Calibri Light" w:eastAsia="MS Mincho" w:hAnsi="Calibri Light" w:cs="Calibri Light"/>
          <w:sz w:val="24"/>
          <w:szCs w:val="24"/>
          <w:lang w:val="en-ID" w:eastAsia="en-US"/>
        </w:rPr>
        <w:t xml:space="preserve"> Distribution by year</w:t>
      </w:r>
    </w:p>
    <w:p w14:paraId="0596B959" w14:textId="6DDD12E2"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From the data, it is evident that the number of publications has consistently risen, reflecting growing scholarly interest in the field. The highest increase occurred in 2020 (151 publications), followed by 2022 (147) and 2021 (113). This surge could be linked to developments in Basel III regulations, risk management, and the increasing role of Islamic banking in the global financial system</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{"citationItems":[{"id":"ITEM-1","itemData":{"DOI":"10.1142/S0217590819500620","ISSN":"02175908 (ISSN)","abstract":"Participatory financing schemes, including Musharakah and Mudarabah, are theoretically claimed to be the ideal modes of Islamic financing, but their practice is restrained by several factors. That is why Islamic banks have a consistent tendency to avoid participatory financing on the assets side throughout the world. However, recently this trend has started changing in Pakistan and Indonesia where the share of participatory finance has raised significantly in the financing portfolio of Islamic banks. The present paper explores this recent spur of participatory finance in Pakistan in terms of its domains of applications and the responsible factors. The findings lead to a novel posteriori framework which shows that the shift toward participatory financing is primarily characterized by increase in working capital financing and commodity operations financing through Musharakah mode Islamic banks. Moreover, five factors contribute to the spur of participatory financing including: (i) introducing varieties in Musharakah, (ii) enhanced applicability, (iii) high volume projects, (iv) government interventions, and (v) regulator's role. The framework can significantly advance understanding with respect to the implementation theory of participation financing within Islamic banking and related Shariah compliance and regulation.  © 2022 World Scientific Publishing Company.","author":[{"dropping-particle":"","family":"Nouman","given":"M","non-dropping-particle":"","parse-names":false,"suffix":""},{"dropping-particle":"","family":"Ullah","given":"K","non-dropping-particle":"","parse-names":false,"suffix":""},{"dropping-particle":"","family":"Jan","given":"S","non-dropping-particle":"","parse-names":false,"suffix":""}],"container-title":"Singapore Economic Review","id":"ITEM-1","issue":"1","issued":{"date-parts":[["2022"]]},"language":"English","note":"Export Date: 24 April 2025; Cited By: 9; Correspondence Address: S. Jan; Institute of Management Sciences Peshawar, Pakistan; email: shafiullah.jan@imsciences.edu.pk","page":"381-409","publisher":"World Scientific","publisher-place":"Institute of Business and Management Sciences (IBMS), The University of Agriculture Peshawar, Pakistan","title":"DOMAINS and MOTIVES of MUSHARAKAH SPUR in the ISLAMIC BANKING INDUSTRY of PAKISTAN","type":"article-journal","volume":"67"},"uris":["http://www.mendeley.com/documents/?uuid=3956b406-ff63-4221-964e-f3746db73da8"]}],"mendeley":{"formattedCitation":"(Nouman et al., 2022)","plainTextFormattedCitation":"(Nouman et al., 2022)","previouslyFormattedCitation":"(Nouman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(Nouman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02514C86" w14:textId="4ED010E7"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commentRangeStart w:id="15"/>
      <w:r w:rsidRPr="0094630C">
        <w:rPr>
          <w:rFonts w:ascii="Calibri Light" w:eastAsia="MS Mincho" w:hAnsi="Calibri Light" w:cs="Calibri Light"/>
          <w:sz w:val="24"/>
          <w:szCs w:val="24"/>
          <w:lang w:val="en-ID" w:eastAsia="en-US"/>
        </w:rPr>
        <w:t>In contrast, the lowest recorded growth was in 2015 (65 publications</w:t>
      </w:r>
      <w:commentRangeEnd w:id="15"/>
      <w:r w:rsidR="008F621C">
        <w:rPr>
          <w:rStyle w:val="CommentReference"/>
        </w:rPr>
        <w:commentReference w:id="15"/>
      </w:r>
      <w:r w:rsidRPr="0094630C">
        <w:rPr>
          <w:rFonts w:ascii="Calibri Light" w:eastAsia="MS Mincho" w:hAnsi="Calibri Light" w:cs="Calibri Light"/>
          <w:sz w:val="24"/>
          <w:szCs w:val="24"/>
          <w:lang w:val="en-ID" w:eastAsia="en-US"/>
        </w:rPr>
        <w:t>), suggesting that research in this area was still in its early stages. Over the years, the consistent rise in publications indicates that Islamic finance and Basel regulations have become crucial topics of academic and industry discussions, with scholars actively contributing to the field</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(Fitri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279C995B" w14:textId="7076B9CE" w:rsid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This upward trend highlights the increasing global emphasis on financial stability, risk management, and regulatory frameworks. The data suggests that research in Islamic banking and financial regulations is maturing, with more institutions and scholars recognizing its significance in shaping the financial landscape.</w:t>
      </w:r>
    </w:p>
    <w:tbl>
      <w:tblPr>
        <w:tblStyle w:val="PlainTable22"/>
        <w:tblW w:w="8079" w:type="dxa"/>
        <w:tblInd w:w="426" w:type="dxa"/>
        <w:tblLook w:val="04A0" w:firstRow="1" w:lastRow="0" w:firstColumn="1" w:lastColumn="0" w:noHBand="0" w:noVBand="1"/>
      </w:tblPr>
      <w:tblGrid>
        <w:gridCol w:w="977"/>
        <w:gridCol w:w="2307"/>
        <w:gridCol w:w="827"/>
        <w:gridCol w:w="2552"/>
        <w:gridCol w:w="1416"/>
      </w:tblGrid>
      <w:tr w:rsidR="00D26D30" w:rsidRPr="00D26D30" w14:paraId="712293B5" w14:textId="77777777" w:rsidTr="00835E51">
        <w:trPr>
          <w:cnfStyle w:val="100000000000" w:firstRow="1" w:lastRow="0" w:firstColumn="0" w:lastColumn="0" w:oddVBand="0" w:evenVBand="0" w:oddHBand="0"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0" w:type="auto"/>
            <w:shd w:val="clear" w:color="auto" w:fill="E5B8B7" w:themeFill="accent2" w:themeFillTint="66"/>
            <w:hideMark/>
          </w:tcPr>
          <w:p w14:paraId="3D867444" w14:textId="77777777" w:rsidR="00D26D30" w:rsidRPr="00D26D30" w:rsidRDefault="00D26D30" w:rsidP="00D26D30">
            <w:pPr>
              <w:autoSpaceDE/>
              <w:autoSpaceDN/>
              <w:jc w:val="center"/>
              <w:rPr>
                <w:rFonts w:ascii="Calibri Light" w:hAnsi="Calibri Light" w:cs="Calibri Light"/>
                <w:lang w:val="en-ID" w:eastAsia="en-ID"/>
              </w:rPr>
            </w:pPr>
            <w:r w:rsidRPr="00D26D30">
              <w:rPr>
                <w:rFonts w:ascii="Calibri Light" w:hAnsi="Calibri Light" w:cs="Calibri Light"/>
                <w:lang w:val="en-ID" w:eastAsia="en-ID"/>
              </w:rPr>
              <w:t>Year</w:t>
            </w:r>
          </w:p>
        </w:tc>
        <w:tc>
          <w:tcPr>
            <w:tcW w:w="0" w:type="auto"/>
            <w:shd w:val="clear" w:color="auto" w:fill="E5B8B7" w:themeFill="accent2" w:themeFillTint="66"/>
            <w:hideMark/>
          </w:tcPr>
          <w:p w14:paraId="6A2716B6"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proofErr w:type="spellStart"/>
            <w:r w:rsidRPr="00D26D30">
              <w:rPr>
                <w:rFonts w:ascii="Calibri Light" w:hAnsi="Calibri Light" w:cs="Calibri Light"/>
                <w:lang w:val="en-ID" w:eastAsia="en-ID"/>
              </w:rPr>
              <w:t>MeanTCperArt</w:t>
            </w:r>
            <w:proofErr w:type="spellEnd"/>
          </w:p>
        </w:tc>
        <w:tc>
          <w:tcPr>
            <w:tcW w:w="827" w:type="dxa"/>
            <w:shd w:val="clear" w:color="auto" w:fill="E5B8B7" w:themeFill="accent2" w:themeFillTint="66"/>
            <w:hideMark/>
          </w:tcPr>
          <w:p w14:paraId="789F454A"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 xml:space="preserve">N     </w:t>
            </w:r>
          </w:p>
        </w:tc>
        <w:tc>
          <w:tcPr>
            <w:tcW w:w="2552" w:type="dxa"/>
            <w:shd w:val="clear" w:color="auto" w:fill="E5B8B7" w:themeFill="accent2" w:themeFillTint="66"/>
            <w:hideMark/>
          </w:tcPr>
          <w:p w14:paraId="11322DC8"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proofErr w:type="spellStart"/>
            <w:r w:rsidRPr="00D26D30">
              <w:rPr>
                <w:rFonts w:ascii="Calibri Light" w:hAnsi="Calibri Light" w:cs="Calibri Light"/>
                <w:lang w:val="en-ID" w:eastAsia="en-ID"/>
              </w:rPr>
              <w:t>MeanTCperYear</w:t>
            </w:r>
            <w:proofErr w:type="spellEnd"/>
          </w:p>
        </w:tc>
        <w:tc>
          <w:tcPr>
            <w:tcW w:w="1416" w:type="dxa"/>
            <w:shd w:val="clear" w:color="auto" w:fill="E5B8B7" w:themeFill="accent2" w:themeFillTint="66"/>
            <w:hideMark/>
          </w:tcPr>
          <w:p w14:paraId="4D131BE9"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proofErr w:type="spellStart"/>
            <w:r w:rsidRPr="00D26D30">
              <w:rPr>
                <w:rFonts w:ascii="Calibri Light" w:hAnsi="Calibri Light" w:cs="Calibri Light"/>
                <w:lang w:val="en-ID" w:eastAsia="en-ID"/>
              </w:rPr>
              <w:t>CitableYears</w:t>
            </w:r>
            <w:proofErr w:type="spellEnd"/>
          </w:p>
        </w:tc>
      </w:tr>
      <w:tr w:rsidR="00D26D30" w:rsidRPr="00D26D30" w14:paraId="3756270F"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6896D54" w14:textId="77777777" w:rsidR="00D26D30" w:rsidRPr="00D26D30" w:rsidRDefault="00D26D30" w:rsidP="00D26D30">
            <w:pPr>
              <w:autoSpaceDE/>
              <w:autoSpaceDN/>
              <w:rPr>
                <w:lang w:val="en-ID" w:eastAsia="en-ID"/>
              </w:rPr>
            </w:pPr>
            <w:r w:rsidRPr="00D26D30">
              <w:rPr>
                <w:lang w:val="en-ID" w:eastAsia="en-ID"/>
              </w:rPr>
              <w:t>2015</w:t>
            </w:r>
          </w:p>
        </w:tc>
        <w:tc>
          <w:tcPr>
            <w:tcW w:w="0" w:type="auto"/>
            <w:hideMark/>
          </w:tcPr>
          <w:p w14:paraId="713422F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27.55</w:t>
            </w:r>
          </w:p>
        </w:tc>
        <w:tc>
          <w:tcPr>
            <w:tcW w:w="827" w:type="dxa"/>
            <w:hideMark/>
          </w:tcPr>
          <w:p w14:paraId="782ECD7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44</w:t>
            </w:r>
          </w:p>
        </w:tc>
        <w:tc>
          <w:tcPr>
            <w:tcW w:w="2552" w:type="dxa"/>
            <w:hideMark/>
          </w:tcPr>
          <w:p w14:paraId="368E8AEE" w14:textId="77777777" w:rsidR="00D26D30" w:rsidRPr="00D26D30" w:rsidRDefault="00D26D30" w:rsidP="00D26D30">
            <w:pPr>
              <w:autoSpaceDE/>
              <w:autoSpaceDN/>
              <w:ind w:left="-246"/>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 xml:space="preserve">     2.76</w:t>
            </w:r>
          </w:p>
        </w:tc>
        <w:tc>
          <w:tcPr>
            <w:tcW w:w="1416" w:type="dxa"/>
            <w:hideMark/>
          </w:tcPr>
          <w:p w14:paraId="1574A7C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10</w:t>
            </w:r>
          </w:p>
        </w:tc>
      </w:tr>
      <w:tr w:rsidR="00D26D30" w:rsidRPr="00D26D30" w14:paraId="748D172E"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F253E24" w14:textId="77777777" w:rsidR="00D26D30" w:rsidRPr="00D26D30" w:rsidRDefault="00D26D30" w:rsidP="00D26D30">
            <w:pPr>
              <w:autoSpaceDE/>
              <w:autoSpaceDN/>
              <w:rPr>
                <w:lang w:val="en-ID" w:eastAsia="en-ID"/>
              </w:rPr>
            </w:pPr>
            <w:r w:rsidRPr="00D26D30">
              <w:rPr>
                <w:lang w:val="en-ID" w:eastAsia="en-ID"/>
              </w:rPr>
              <w:t>2016</w:t>
            </w:r>
          </w:p>
        </w:tc>
        <w:tc>
          <w:tcPr>
            <w:tcW w:w="0" w:type="auto"/>
            <w:hideMark/>
          </w:tcPr>
          <w:p w14:paraId="52CDE7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20.31</w:t>
            </w:r>
          </w:p>
        </w:tc>
        <w:tc>
          <w:tcPr>
            <w:tcW w:w="827" w:type="dxa"/>
            <w:hideMark/>
          </w:tcPr>
          <w:p w14:paraId="4029E1F1"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45</w:t>
            </w:r>
          </w:p>
        </w:tc>
        <w:tc>
          <w:tcPr>
            <w:tcW w:w="2552" w:type="dxa"/>
            <w:hideMark/>
          </w:tcPr>
          <w:p w14:paraId="21CDB06C"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2.26</w:t>
            </w:r>
          </w:p>
        </w:tc>
        <w:tc>
          <w:tcPr>
            <w:tcW w:w="1416" w:type="dxa"/>
            <w:hideMark/>
          </w:tcPr>
          <w:p w14:paraId="6AF5D8D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w:t>
            </w:r>
          </w:p>
        </w:tc>
      </w:tr>
      <w:tr w:rsidR="00D26D30" w:rsidRPr="00D26D30" w14:paraId="0EC6DB67"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63BF46CE" w14:textId="77777777" w:rsidR="00D26D30" w:rsidRPr="00D26D30" w:rsidRDefault="00D26D30" w:rsidP="00D26D30">
            <w:pPr>
              <w:autoSpaceDE/>
              <w:autoSpaceDN/>
              <w:rPr>
                <w:lang w:val="en-ID" w:eastAsia="en-ID"/>
              </w:rPr>
            </w:pPr>
            <w:r w:rsidRPr="00D26D30">
              <w:rPr>
                <w:lang w:val="en-ID" w:eastAsia="en-ID"/>
              </w:rPr>
              <w:t>2017</w:t>
            </w:r>
          </w:p>
        </w:tc>
        <w:tc>
          <w:tcPr>
            <w:tcW w:w="0" w:type="auto"/>
            <w:hideMark/>
          </w:tcPr>
          <w:p w14:paraId="3C0C39D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37.79</w:t>
            </w:r>
          </w:p>
        </w:tc>
        <w:tc>
          <w:tcPr>
            <w:tcW w:w="827" w:type="dxa"/>
            <w:hideMark/>
          </w:tcPr>
          <w:p w14:paraId="3C146B6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48</w:t>
            </w:r>
          </w:p>
        </w:tc>
        <w:tc>
          <w:tcPr>
            <w:tcW w:w="2552" w:type="dxa"/>
            <w:hideMark/>
          </w:tcPr>
          <w:p w14:paraId="766987B6"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4.72</w:t>
            </w:r>
          </w:p>
        </w:tc>
        <w:tc>
          <w:tcPr>
            <w:tcW w:w="1416" w:type="dxa"/>
            <w:hideMark/>
          </w:tcPr>
          <w:p w14:paraId="498858E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8</w:t>
            </w:r>
          </w:p>
        </w:tc>
      </w:tr>
      <w:tr w:rsidR="00D26D30" w:rsidRPr="00D26D30" w14:paraId="4CF91A7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DDBB736" w14:textId="77777777" w:rsidR="00D26D30" w:rsidRPr="00D26D30" w:rsidRDefault="00D26D30" w:rsidP="00D26D30">
            <w:pPr>
              <w:autoSpaceDE/>
              <w:autoSpaceDN/>
              <w:rPr>
                <w:lang w:val="en-ID" w:eastAsia="en-ID"/>
              </w:rPr>
            </w:pPr>
            <w:r w:rsidRPr="00D26D30">
              <w:rPr>
                <w:lang w:val="en-ID" w:eastAsia="en-ID"/>
              </w:rPr>
              <w:t>2018</w:t>
            </w:r>
          </w:p>
        </w:tc>
        <w:tc>
          <w:tcPr>
            <w:tcW w:w="0" w:type="auto"/>
            <w:hideMark/>
          </w:tcPr>
          <w:p w14:paraId="711086A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35.27</w:t>
            </w:r>
          </w:p>
        </w:tc>
        <w:tc>
          <w:tcPr>
            <w:tcW w:w="827" w:type="dxa"/>
            <w:hideMark/>
          </w:tcPr>
          <w:p w14:paraId="220BA8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70</w:t>
            </w:r>
          </w:p>
        </w:tc>
        <w:tc>
          <w:tcPr>
            <w:tcW w:w="2552" w:type="dxa"/>
            <w:hideMark/>
          </w:tcPr>
          <w:p w14:paraId="345EBB6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5.04</w:t>
            </w:r>
          </w:p>
        </w:tc>
        <w:tc>
          <w:tcPr>
            <w:tcW w:w="1416" w:type="dxa"/>
            <w:hideMark/>
          </w:tcPr>
          <w:p w14:paraId="3148B29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w:t>
            </w:r>
          </w:p>
        </w:tc>
      </w:tr>
      <w:tr w:rsidR="00D26D30" w:rsidRPr="00D26D30" w14:paraId="30373840"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0B78EA27" w14:textId="77777777" w:rsidR="00D26D30" w:rsidRPr="00D26D30" w:rsidRDefault="00D26D30" w:rsidP="00D26D30">
            <w:pPr>
              <w:autoSpaceDE/>
              <w:autoSpaceDN/>
              <w:rPr>
                <w:lang w:val="en-ID" w:eastAsia="en-ID"/>
              </w:rPr>
            </w:pPr>
            <w:r w:rsidRPr="00D26D30">
              <w:rPr>
                <w:lang w:val="en-ID" w:eastAsia="en-ID"/>
              </w:rPr>
              <w:t>2019</w:t>
            </w:r>
          </w:p>
        </w:tc>
        <w:tc>
          <w:tcPr>
            <w:tcW w:w="0" w:type="auto"/>
            <w:hideMark/>
          </w:tcPr>
          <w:p w14:paraId="38BB8002"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20.43</w:t>
            </w:r>
          </w:p>
        </w:tc>
        <w:tc>
          <w:tcPr>
            <w:tcW w:w="827" w:type="dxa"/>
            <w:hideMark/>
          </w:tcPr>
          <w:p w14:paraId="0C2A9C27"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77</w:t>
            </w:r>
          </w:p>
        </w:tc>
        <w:tc>
          <w:tcPr>
            <w:tcW w:w="2552" w:type="dxa"/>
            <w:hideMark/>
          </w:tcPr>
          <w:p w14:paraId="59B54C5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3.40</w:t>
            </w:r>
          </w:p>
        </w:tc>
        <w:tc>
          <w:tcPr>
            <w:tcW w:w="1416" w:type="dxa"/>
            <w:hideMark/>
          </w:tcPr>
          <w:p w14:paraId="1B3DE2E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6</w:t>
            </w:r>
          </w:p>
        </w:tc>
      </w:tr>
      <w:tr w:rsidR="00D26D30" w:rsidRPr="00D26D30" w14:paraId="577ABB6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175B1C9" w14:textId="77777777" w:rsidR="00D26D30" w:rsidRPr="00D26D30" w:rsidRDefault="00D26D30" w:rsidP="00D26D30">
            <w:pPr>
              <w:autoSpaceDE/>
              <w:autoSpaceDN/>
              <w:rPr>
                <w:lang w:val="en-ID" w:eastAsia="en-ID"/>
              </w:rPr>
            </w:pPr>
            <w:r w:rsidRPr="00D26D30">
              <w:rPr>
                <w:lang w:val="en-ID" w:eastAsia="en-ID"/>
              </w:rPr>
              <w:lastRenderedPageBreak/>
              <w:t>2020</w:t>
            </w:r>
          </w:p>
        </w:tc>
        <w:tc>
          <w:tcPr>
            <w:tcW w:w="0" w:type="auto"/>
            <w:hideMark/>
          </w:tcPr>
          <w:p w14:paraId="2B32514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18.31</w:t>
            </w:r>
          </w:p>
        </w:tc>
        <w:tc>
          <w:tcPr>
            <w:tcW w:w="827" w:type="dxa"/>
            <w:hideMark/>
          </w:tcPr>
          <w:p w14:paraId="4463C6F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74</w:t>
            </w:r>
          </w:p>
        </w:tc>
        <w:tc>
          <w:tcPr>
            <w:tcW w:w="2552" w:type="dxa"/>
            <w:hideMark/>
          </w:tcPr>
          <w:p w14:paraId="42D3B1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3.66</w:t>
            </w:r>
          </w:p>
        </w:tc>
        <w:tc>
          <w:tcPr>
            <w:tcW w:w="1416" w:type="dxa"/>
            <w:hideMark/>
          </w:tcPr>
          <w:p w14:paraId="4E6017B8"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w:t>
            </w:r>
          </w:p>
        </w:tc>
      </w:tr>
      <w:tr w:rsidR="00D26D30" w:rsidRPr="00D26D30" w14:paraId="51AE9F01" w14:textId="77777777" w:rsidTr="003F1684">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0" w:type="auto"/>
            <w:hideMark/>
          </w:tcPr>
          <w:p w14:paraId="1A73EB75" w14:textId="77777777" w:rsidR="00D26D30" w:rsidRPr="00D26D30" w:rsidRDefault="00D26D30" w:rsidP="00D26D30">
            <w:pPr>
              <w:autoSpaceDE/>
              <w:autoSpaceDN/>
              <w:rPr>
                <w:lang w:val="en-ID" w:eastAsia="en-ID"/>
              </w:rPr>
            </w:pPr>
            <w:r w:rsidRPr="00D26D30">
              <w:rPr>
                <w:lang w:val="en-ID" w:eastAsia="en-ID"/>
              </w:rPr>
              <w:t>2021</w:t>
            </w:r>
          </w:p>
        </w:tc>
        <w:tc>
          <w:tcPr>
            <w:tcW w:w="0" w:type="auto"/>
            <w:hideMark/>
          </w:tcPr>
          <w:p w14:paraId="6C1CB23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15.18</w:t>
            </w:r>
          </w:p>
        </w:tc>
        <w:tc>
          <w:tcPr>
            <w:tcW w:w="827" w:type="dxa"/>
            <w:hideMark/>
          </w:tcPr>
          <w:p w14:paraId="23ED78C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73</w:t>
            </w:r>
          </w:p>
        </w:tc>
        <w:tc>
          <w:tcPr>
            <w:tcW w:w="2552" w:type="dxa"/>
            <w:hideMark/>
          </w:tcPr>
          <w:p w14:paraId="683EC50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3.45</w:t>
            </w:r>
          </w:p>
        </w:tc>
        <w:tc>
          <w:tcPr>
            <w:tcW w:w="1416" w:type="dxa"/>
            <w:hideMark/>
          </w:tcPr>
          <w:p w14:paraId="4B1A795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w:t>
            </w:r>
          </w:p>
        </w:tc>
      </w:tr>
      <w:tr w:rsidR="00D26D30" w:rsidRPr="00D26D30" w14:paraId="45B0E4B1"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3316C860" w14:textId="77777777" w:rsidR="00D26D30" w:rsidRPr="00D26D30" w:rsidRDefault="00D26D30" w:rsidP="00D26D30">
            <w:pPr>
              <w:autoSpaceDE/>
              <w:autoSpaceDN/>
              <w:rPr>
                <w:lang w:val="en-ID" w:eastAsia="en-ID"/>
              </w:rPr>
            </w:pPr>
            <w:r w:rsidRPr="00D26D30">
              <w:rPr>
                <w:lang w:val="en-ID" w:eastAsia="en-ID"/>
              </w:rPr>
              <w:t>2022</w:t>
            </w:r>
          </w:p>
        </w:tc>
        <w:tc>
          <w:tcPr>
            <w:tcW w:w="0" w:type="auto"/>
            <w:hideMark/>
          </w:tcPr>
          <w:p w14:paraId="0C11CAA4"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9.59</w:t>
            </w:r>
          </w:p>
        </w:tc>
        <w:tc>
          <w:tcPr>
            <w:tcW w:w="827" w:type="dxa"/>
            <w:hideMark/>
          </w:tcPr>
          <w:p w14:paraId="2197BF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80</w:t>
            </w:r>
          </w:p>
        </w:tc>
        <w:tc>
          <w:tcPr>
            <w:tcW w:w="2552" w:type="dxa"/>
            <w:hideMark/>
          </w:tcPr>
          <w:p w14:paraId="558D499B"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3.20</w:t>
            </w:r>
          </w:p>
        </w:tc>
        <w:tc>
          <w:tcPr>
            <w:tcW w:w="1416" w:type="dxa"/>
            <w:hideMark/>
          </w:tcPr>
          <w:p w14:paraId="284DA49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w:t>
            </w:r>
          </w:p>
        </w:tc>
      </w:tr>
      <w:tr w:rsidR="00D26D30" w:rsidRPr="00D26D30" w14:paraId="1FF1B0A1" w14:textId="77777777" w:rsidTr="003F1684">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0" w:type="auto"/>
            <w:hideMark/>
          </w:tcPr>
          <w:p w14:paraId="2E4222FC" w14:textId="77777777" w:rsidR="00D26D30" w:rsidRPr="00D26D30" w:rsidRDefault="00D26D30" w:rsidP="00D26D30">
            <w:pPr>
              <w:autoSpaceDE/>
              <w:autoSpaceDN/>
              <w:rPr>
                <w:lang w:val="en-ID" w:eastAsia="en-ID"/>
              </w:rPr>
            </w:pPr>
            <w:r w:rsidRPr="00D26D30">
              <w:rPr>
                <w:lang w:val="en-ID" w:eastAsia="en-ID"/>
              </w:rPr>
              <w:t>2023</w:t>
            </w:r>
          </w:p>
        </w:tc>
        <w:tc>
          <w:tcPr>
            <w:tcW w:w="0" w:type="auto"/>
            <w:hideMark/>
          </w:tcPr>
          <w:p w14:paraId="3A44D85E"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2.40</w:t>
            </w:r>
          </w:p>
        </w:tc>
        <w:tc>
          <w:tcPr>
            <w:tcW w:w="827" w:type="dxa"/>
            <w:hideMark/>
          </w:tcPr>
          <w:p w14:paraId="7E2D582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97</w:t>
            </w:r>
          </w:p>
        </w:tc>
        <w:tc>
          <w:tcPr>
            <w:tcW w:w="2552" w:type="dxa"/>
            <w:hideMark/>
          </w:tcPr>
          <w:p w14:paraId="2C9CA1D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1.20</w:t>
            </w:r>
          </w:p>
        </w:tc>
        <w:tc>
          <w:tcPr>
            <w:tcW w:w="1416" w:type="dxa"/>
            <w:hideMark/>
          </w:tcPr>
          <w:p w14:paraId="0FFAB4A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w:t>
            </w:r>
          </w:p>
        </w:tc>
      </w:tr>
    </w:tbl>
    <w:p w14:paraId="79B51F19" w14:textId="3476F9BE" w:rsidR="00D26D30" w:rsidRPr="00D26D30" w:rsidRDefault="00D26D30" w:rsidP="0094630C">
      <w:pPr>
        <w:autoSpaceDE/>
        <w:autoSpaceDN/>
        <w:spacing w:after="200" w:line="276" w:lineRule="auto"/>
        <w:ind w:left="426"/>
        <w:jc w:val="both"/>
        <w:rPr>
          <w:rFonts w:ascii="Calibri Light" w:eastAsia="MS Mincho" w:hAnsi="Calibri Light" w:cs="Calibri Light"/>
          <w:sz w:val="32"/>
          <w:szCs w:val="32"/>
          <w:lang w:val="en-ID" w:eastAsia="en-US"/>
        </w:rPr>
      </w:pPr>
      <w:r w:rsidRPr="00D26D30">
        <w:rPr>
          <w:rFonts w:ascii="Calibri Light" w:hAnsi="Calibri Light" w:cs="Calibri Light"/>
          <w:b/>
          <w:bCs/>
          <w:sz w:val="24"/>
          <w:szCs w:val="24"/>
        </w:rPr>
        <w:t xml:space="preserve">Table 2: </w:t>
      </w:r>
      <w:r w:rsidRPr="00D26D30">
        <w:rPr>
          <w:rFonts w:ascii="Calibri Light" w:hAnsi="Calibri Light" w:cs="Calibri Light"/>
          <w:sz w:val="24"/>
          <w:szCs w:val="24"/>
        </w:rPr>
        <w:t>Average Citation Per Year in Selected Publications using R-studio</w:t>
      </w:r>
    </w:p>
    <w:p w14:paraId="0C27587B" w14:textId="3C0DE057" w:rsidR="00D26D30"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This table presents the average citation per year in selected research publications. It includes key metrics such as Mean Total Citations per Article (</w:t>
      </w:r>
      <w:proofErr w:type="spellStart"/>
      <w:r w:rsidRPr="003F1684">
        <w:rPr>
          <w:rFonts w:ascii="Calibri Light" w:eastAsia="MS Mincho" w:hAnsi="Calibri Light" w:cs="Calibri Light"/>
          <w:sz w:val="24"/>
          <w:szCs w:val="24"/>
          <w:lang w:val="en-ID" w:eastAsia="en-US"/>
        </w:rPr>
        <w:t>MeanTCperArt</w:t>
      </w:r>
      <w:proofErr w:type="spellEnd"/>
      <w:r w:rsidRPr="003F1684">
        <w:rPr>
          <w:rFonts w:ascii="Calibri Light" w:eastAsia="MS Mincho" w:hAnsi="Calibri Light" w:cs="Calibri Light"/>
          <w:sz w:val="24"/>
          <w:szCs w:val="24"/>
          <w:lang w:val="en-ID" w:eastAsia="en-US"/>
        </w:rPr>
        <w:t>), the number of articles published (N), the Mean Total Citations per Year (</w:t>
      </w:r>
      <w:proofErr w:type="spellStart"/>
      <w:r w:rsidRPr="003F1684">
        <w:rPr>
          <w:rFonts w:ascii="Calibri Light" w:eastAsia="MS Mincho" w:hAnsi="Calibri Light" w:cs="Calibri Light"/>
          <w:sz w:val="24"/>
          <w:szCs w:val="24"/>
          <w:lang w:val="en-ID" w:eastAsia="en-US"/>
        </w:rPr>
        <w:t>MeanTCperYear</w:t>
      </w:r>
      <w:proofErr w:type="spellEnd"/>
      <w:r w:rsidRPr="003F1684">
        <w:rPr>
          <w:rFonts w:ascii="Calibri Light" w:eastAsia="MS Mincho" w:hAnsi="Calibri Light" w:cs="Calibri Light"/>
          <w:sz w:val="24"/>
          <w:szCs w:val="24"/>
          <w:lang w:val="en-ID" w:eastAsia="en-US"/>
        </w:rPr>
        <w:t>), and the number of citable years for each publication period</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{"citationItems":[{"id":"ITEM-1","itemData":{"DOI":"10.1002/ijfe.2115","ISSN":"10769307 (ISSN)","abstract":"Islamic banking has gleaned considerable attention recently owing to its quantum growth. This study examines the asymmetric association between Islamic banking development (IBD) and economic growth (EG) in Pakistan that spans 2007Q1 to 2017Q4. We apply the non-linear autoregressive distributed lag (NARDL) model of Shin et al., (2014). Our findings confirm co-integration between IBD and EG in Pakistan. The positive (negative) shocks of IBD have significant positive (negative) association with EG in the long-run; however, only positive shocks have significant positive relationship with EG in the short run. We observe that the interconnection between IBD-EG is asymmetric/non-linear in the long-run, whereas symmetric/linear in the short run. We conclude that unlike the linear models, the non-linear models provide realistic results by capturing hidden asymmetries, thereby assisting policymakers in useful decision making. © 2020 John Wiley &amp; Sons, Ltd.","author":[{"dropping-particle":"","family":"Ullah","given":"A","non-dropping-particle":"","parse-names":false,"suffix":""},{"dropping-particle":"","family":"Zhao","given":"X","non-dropping-particle":"","parse-names":false,"suffix":""},{"dropping-particle":"","family":"Kamal","given":"M A","non-dropping-particle":"","parse-names":false,"suffix":""},{"dropping-particle":"","family":"Riaz","given":"A","non-dropping-particle":"","parse-names":false,"suffix":""},{"dropping-particle":"","family":"Zheng","given":"B","non-dropping-particle":"","parse-names":false,"suffix":""}],"container-title":"International Journal of Finance and Economics","id":"ITEM-1","issue":"4","issued":{"date-parts":[["2021"]]},"language":"English","note":"Export Date: 24 April 2025; Cited By: 25; Correspondence Address: A. Ullah; School of Economics, Henan University, Kaifeng, China; email: assad@henu.edu.cn","page":"6168-6187","publisher":"John Wiley and Sons Ltd","publisher-place":"School of Economics, Henan University, Kaifeng, China","title":"Exploring asymmetric relationship between Islamic banking development and economic growth in Pakistan: Fresh evidence from a non-linear ARDL approach","type":"article-journal","volume":"26"},"uris":["http://www.mendeley.com/documents/?uuid=e6a874a7-5d18-43ac-bea6-5590437d437b"]}],"mendeley":{"formattedCitation":"(A. Ullah et al., 2021)","plainTextFormattedCitation":"(A. Ullah et al., 2021)","previouslyFormattedCitation":"(A. Ullah et al., 2021)"},"properties":{"noteIndex":0},"schema":"https://github.com/citation-style-language/schema/raw/master/csl-citation.json"}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 Ullah et al., 2021)</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The data reflects the citation trends over time, showing variations in research impact and relevance. The citation analysis in Table 2. Average Citation Per Year in Selected Publications provides insights into citation trends across different years. The data indicate that older publications have had more time to accumulate citations, while recent ones, particularly 2022 and 2023, show lower citation counts due to their limited exposure time. The highest Mean Total Citations per Article (Mean TC per Art) is observed in 2017, reaching 37.79 with 48 articles. However, the highest Mean Total Citations per Year (Mean TC per Year) is recorded in 2018, at 5.04, over 7 citable years. In contrast, research published in 2023 has the lowest Mean TC per Art of 2.40 and a Mean TC per Year of 1.20, reflecting its recent publication status and limited citation accumulation. Between 2015 and 2020, the Mean TC per Year fluctuated, peaking in 2018 and declining afterward. The Mean TC per Art also shows variation, with a decline from 2017 (37.79) to 2021 (15.18) and further decreasing in subsequent years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{"citationItems":[{"id":"ITEM-1","itemData":{"DOI":"10.1108/IMEFM-04-2023-0144","ISSN":"17538394 (ISSN)","abstract":"Purpose: This study aims to attempt to investigate the factors that influence non-Muslims’ withdrawal behavioural intention from Islamic banking in Malaysia. Design/methodology/approach: The push–pull–mooring approach is used to examine the determinants of withdrawal intention by non-Muslims from Islamic banking in Malaysia. Variables used in this study include religiosity (RELG) under push, deposit guarantee (DG), rate of return (RR), Islamic banks’ specific factors (IBSF) under pull and mooring factors as social influence (SI) and voluntary switching (VS) as the determinants of withdrawal intention from Islamic banking. In this study, the SPSS Statistics Version 22 and smart partial least squares were used to measure the withdrawal level. Findings: Three variables, namely, SI, RR and IBSF are found to significantly influence the withdrawal behaviour intention. Meanwhile, three other variables, namely, RELG, DG and VS are not significant. Practical implications: This study provides valuable insights pertaining to non-Muslim consumer withdrawal behaviour from Islamic banks. Bank managers, marketers and regulators could use these findings in developing effective strategies to increase and retain customer withdrawal. Originality/value: This study expands the understanding of key determinants of the non-Muslim withdrawal behaviour from Islamic banks in Malaysia. To the best of the authors’ knowledge, this research is among the pioneer empirical study to assess the issue. © 2023, Emerald Publishing Limited.","author":[{"dropping-particle":"","family":"Mohd Thas Thaker","given":"H","non-dropping-particle":"","parse-names":false,"suffix":""},{"dropping-particle":"","family":"Lelchumanan","given":"B","non-dropping-particle":"","parse-names":false,"suffix":""},{"dropping-particle":"","family":"Ah Mand","given":"A","non-dropping-particle":"","parse-names":false,"suffix":""},{"dropping-particle":"","family":"Khaliq","given":"A","non-dropping-particle":"","parse-names":false,"suffix":""}],"container-title":"International Journal of Islamic and Middle Eastern Finance and Management","id":"ITEM-1","issue":"1","issued":{"date-parts":[["2024"]]},"language":"English","note":"Export Date: 24 April 2025; Cited By: 1; Correspondence Address: H. Mohd Thas Thaker; Kulliyyah of Economics and Management Sciences, International Islamic University Malaysia, Kuala Lumpur, Malaysia; email: hassanfinance21@yahoo.com","page":"195-212","publisher":"Emerald Publishing","publisher-place":"Kulliyyah of Economics and Management Sciences, International Islamic University Malaysia, Kuala Lumpur, Malaysia","title":"Push – pull – mooring determinants of non-Muslims’ withdrawal from Islamic banking: evidence from Malaysia","type":"article-journal","volume":"17"},"uris":["http://www.mendeley.com/documents/?uuid=8baa2a9c-3ce9-4b33-ab55-8dd6c766ff8e"]}],"mendeley":{"formattedCitation":"(Mohd Thas Thaker et al., 2024)","plainTextFormattedCitation":"(Mohd Thas Thaker et al., 2024)","previouslyFormattedCitation":"(Mohd Thas Thaker et al.,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(Mohd Thas Thaker et al.,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This trend indicates that earlier studies continue to receive more citations over time, reinforcing their impact, while newer research is still gaining academic recognition</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{"citationItems":[{"id":"ITEM-1","itemData":{"DOI":"10.1108/IJLMA-11-2023-0250","ISSN":"1754243X (ISSN)","abstract":"Purpose: The primary aim of this study is to explore challenges and prospects of Islamic banking system in non-Muslim states to foster regulatory frameworks of the system. Design/methodology/approach: Content analysis as an integral part of qualitative research was used. Secondary data through the exploration of cursory literature was taken into consideration. Findings: The findings identified three prime challenges, namely, regulatory, operational and institutional, which are impeding the smooth activities and performances of Islamic banks in using innovative Islamic products and services that can favourably compete with products and services of conventional banking system in non-Muslim states. In addition, strengthening the adoption and performance of Islamic banking in non-Muslim states can efficiently and effectively address the identified and multifarious regulatory, operational and institutional challenges to achieve financial inclusion and overall economic growth. Research limitations/implications: Challenges encountered and prodigies or potentials of operating Islamic banking system by most of non-Muslim countries remains a pivotal aspect that needs research attention in the recent. Practical implications: Nonetheless, the limitation of this study is that the study relies on the use of secondary data. However, it has provided a substantial direction for future studies in empirically exploring the variables of this study. Social implications: Indeed, 19th century was a remarkable turning point in the development and expansion of Islamic banking system in the Muslim world. Many predominant Muslim countries such as Malaysia, Indonesia, Saudi Arabia, Bangladesh, Pakistan, among others have been efficiently and effectively operating Islamic banking system within the framework of Islamic legal provisions. Many non-Muslim countries such as Australia, the UK, USA, etc., have also adopted Islamic banking system. Originality/value: It is noted that policy directions of the study among others should address the regulatory frameworks that is Shari’ah-compliant in the operation of Islamic banking system in non-Muslim states. It is therefore suggested that the policymakers, Islamic financial experts and regulators should use the innovation that could bring competitiveness into the operation of Islamic banking system in non-Muslim states. © 2024, Emerald Publishing Limited.","author":[{"dropping-particle":"","family":"Amuda","given":"Y J","non-dropping-particle":"","parse-names":false,"suffix":""},{"dropping-particle":"","family":"Al-Nasser","given":"S A","non-dropping-particle":"","parse-names":false,"suffix":""}],"container-title":"International Journal of Law and Management","id":"ITEM-1","issued":{"date-parts":[["2024"]]},"language":"English","note":"Export Date: 24 April 2025; Cited By: 4; Correspondence Address: Y.J. Amuda; College of Law, Prince Sultan University, Riyadh, Saudi Arabia; email: yusuffja@psu.edu.sa","publisher":"Emerald Publishing","publisher-place":"College of Law, Prince Sultan University, Riyadh, Saudi Arabia","title":"Exploring encounters and prodigies of Islamic banks in non-Muslim states: towards enhancing regulatory frameworks of Islamic banking system","type":"article-journal"},"uris":["http://www.mendeley.com/documents/?uuid=2781d09d-f948-4caf-9cce-16aa873d299a"]}],"mendeley":{"formattedCitation":"(Amuda &amp; Al-Nasser, 2024)","plainTextFormattedCitation":"(Amuda &amp; Al-Nasser, 2024)","previouslyFormattedCitation":"(Amuda &amp; Al-Nasser,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(Amuda &amp; Al-Nasser,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w:t>
      </w:r>
    </w:p>
    <w:p w14:paraId="55E7C2B3" w14:textId="38F5EC14" w:rsidR="003F1684"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Overall, the data suggest that citation patterns align with publication recency, with older studies accumulating more citations due to their longer availability. However, the steady number of publications in recent years highlights continued research interest in the field.</w:t>
      </w:r>
    </w:p>
    <w:p w14:paraId="628C99C0" w14:textId="77777777" w:rsidR="003F1684" w:rsidRPr="003F1684" w:rsidRDefault="003F1684" w:rsidP="003F1684">
      <w:pPr>
        <w:autoSpaceDE/>
        <w:autoSpaceDN/>
        <w:spacing w:after="200" w:line="276" w:lineRule="auto"/>
        <w:ind w:left="426"/>
        <w:rPr>
          <w:rFonts w:ascii="Calibri Light" w:eastAsia="MS Mincho" w:hAnsi="Calibri Light" w:cs="Calibri Light"/>
          <w:b/>
          <w:bCs/>
          <w:sz w:val="24"/>
          <w:szCs w:val="24"/>
          <w:lang w:val="en-ID" w:eastAsia="en-US"/>
        </w:rPr>
      </w:pPr>
      <w:r w:rsidRPr="003F1684">
        <w:rPr>
          <w:rFonts w:ascii="Calibri Light" w:eastAsia="MS Mincho" w:hAnsi="Calibri Light" w:cs="Calibri Light"/>
          <w:b/>
          <w:bCs/>
          <w:sz w:val="24"/>
          <w:szCs w:val="24"/>
          <w:lang w:val="en-ID" w:eastAsia="en-US"/>
        </w:rPr>
        <w:t>3.2. Influential Authors and Journals Analysis</w:t>
      </w:r>
    </w:p>
    <w:p w14:paraId="46F336B0" w14:textId="77777777" w:rsidR="003F1684" w:rsidRPr="003F1684" w:rsidRDefault="003F1684" w:rsidP="003F1684">
      <w:pPr>
        <w:autoSpaceDE/>
        <w:autoSpaceDN/>
        <w:spacing w:after="200" w:line="276" w:lineRule="auto"/>
        <w:ind w:left="426"/>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 xml:space="preserve">The 2nd research </w:t>
      </w:r>
      <w:proofErr w:type="spellStart"/>
      <w:proofErr w:type="gramStart"/>
      <w:r w:rsidRPr="003F1684">
        <w:rPr>
          <w:rFonts w:ascii="Calibri Light" w:eastAsia="MS Mincho" w:hAnsi="Calibri Light" w:cs="Calibri Light"/>
          <w:sz w:val="24"/>
          <w:szCs w:val="24"/>
          <w:lang w:val="en-ID" w:eastAsia="en-US"/>
        </w:rPr>
        <w:t>question,Which</w:t>
      </w:r>
      <w:proofErr w:type="spellEnd"/>
      <w:proofErr w:type="gramEnd"/>
      <w:r w:rsidRPr="003F1684">
        <w:rPr>
          <w:rFonts w:ascii="Calibri Light" w:eastAsia="MS Mincho" w:hAnsi="Calibri Light" w:cs="Calibri Light"/>
          <w:sz w:val="24"/>
          <w:szCs w:val="24"/>
          <w:lang w:val="en-ID" w:eastAsia="en-US"/>
        </w:rPr>
        <w:t xml:space="preserve"> journals and authors are the most influential in research on Basel Accords and Islamic banking?</w:t>
      </w:r>
    </w:p>
    <w:p w14:paraId="355F2271" w14:textId="2754BE3B" w:rsidR="00217165"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 xml:space="preserve">The Figure 3. presents an analysis of the most influential authors in the research field based on the number of publications or citations. The bar chart indicates that Hassan, M.K. is the most influential author, significantly surpassing others in terms of publication or citation count. Following him, researchers such as Ibrahim, M.H., Safiullah, M., and Kabir Hassan, M. have made notable contributions, albeit to a lesser </w:t>
      </w:r>
      <w:proofErr w:type="spellStart"/>
      <w:r w:rsidRPr="003F1684">
        <w:rPr>
          <w:rFonts w:ascii="Calibri Light" w:eastAsia="MS Mincho" w:hAnsi="Calibri Light" w:cs="Calibri Light"/>
          <w:sz w:val="24"/>
          <w:szCs w:val="24"/>
          <w:lang w:val="en-ID" w:eastAsia="en-US"/>
        </w:rPr>
        <w:t>extent.This</w:t>
      </w:r>
      <w:proofErr w:type="spellEnd"/>
      <w:r w:rsidRPr="003F1684">
        <w:rPr>
          <w:rFonts w:ascii="Calibri Light" w:eastAsia="MS Mincho" w:hAnsi="Calibri Light" w:cs="Calibri Light"/>
          <w:sz w:val="24"/>
          <w:szCs w:val="24"/>
          <w:lang w:val="en-ID" w:eastAsia="en-US"/>
        </w:rPr>
        <w:t xml:space="preserve"> distribution highlights that certain scholars have a substantial impact on the field, reflecting their role in shaping research developments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{"citationItems":[{"id":"ITEM-1","itemData":{"DOI":"10.1108/JIABR-02-2022-0047","ISSN":"17590817 (ISSN)","abstract":"Purpose: Bank lending is the major source of monetary expansion. Bank-led money creation is a key issue in both conventional and Islamic financial systems. The purpose of this paper is to examine the issues related to Islamic banking money creation. In this conceptual paper, the authors investigate the involvement of profit and loss sharing (PLS) in money creation and especially how can PLS limit money creation “out of nothing.” In this regard, the authors examine the potential of the PLS principle in tackling the excessive money creation phenomenon. Design/methodology/approach: This study uses a normative approach regarding Islamic bank money creation that fits Sharia directives. In fact, this study discusses “what ought to be,” that is, the values and norms of PLS money creation that impede excessive money creation. Findings: Overall, Islamic banks create money differently compared to conventional ones. Especially, by avoiding a purely financial intermediary, money creation under the PLS principle sustains a strong relationship with the real economy and leads to a lower money multiplier. Therefore, PLS mechanisms allow financing through real assets and not credit assets “out of nothing.” This could prevent excessive money creation from causing harmful effects on indebtedness and financial instability. Practical implications: PLS offers a valuable resolution for banking system money creation through the optimization of Islamic bank financing by facilitating the separation of the monetary function from the credit one. This reform thought reinforces the stability value of money allowing it to fully perform its functions with reference to the directives of Sharia. This especially allows the integrity and purchasing power of money, the reduction of the gap between the evolution of both real and financial economies and, consequently, the indebtedness and crisis. It is recommended to promote PLS financing by reforming institutional and regulatory constraints. Originality/value: This study addresses the contemporary issue of money creation by Islamic banks through the PLS approach. The conceptual framework of this paper highlights the reformist role of PLS in limiting money creation through Mudarabah approach within fractional reserve banking. © 2023, Emerald Publishing Limited.","author":[{"dropping-particle":"","family":"Jedidia","given":"K","non-dropping-particle":"Ben","parse-names":false,"suffix":""},{"dropping-particle":"","family":"Hamza","given":"H","non-dropping-particle":"","parse-names":false,"suffix":""}],"container-title":"Journal of Islamic Accounting and Business Research","id":"ITEM-1","issue":"3","issued":{"date-parts":[["2024"]]},"language":"English","note":"Export Date: 24 April 2025; Cited By: 2; Correspondence Address: K. Ben Jedidia; Department of Economics and Quantitative Methods, ISCAE, Manouba University, Manouba, Tunisia; email: khoutembj@yahoo.fr","page":"422-442","publisher":"Emerald Publishing","publisher-place":"Department of Economics and Quantitative Methods, ISCAE, Manouba University, Manouba, Tunisia","title":"Does PLS in Islamic banking limit excessive money creation?","type":"article-journal","volume":"15"},"uris":["http://www.mendeley.com/documents/?uuid=2eba3c45-e942-4441-b7ae-6761d914786b"]}],"mendeley":{"formattedCitation":"(Ben Jedidia &amp; Hamza, 2024)","plainTextFormattedCitation":"(Ben Jedidia &amp; Hamza, 2024)","previouslyFormattedCitation":"(Ben Jedidia &amp; Hamza,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(Ben Jedidia &amp; Hamza,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xml:space="preserve">. Such an analysis can be valuable for </w:t>
      </w:r>
    </w:p>
    <w:p w14:paraId="064B362F" w14:textId="21E769EA" w:rsidR="003F1684"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lastRenderedPageBreak/>
        <w:t>identifying key authors whose works serve as foundational references in the literature and for guiding future research directions.</w:t>
      </w:r>
    </w:p>
    <w:p w14:paraId="46005EE1" w14:textId="52FE216D" w:rsidR="00AD05B1" w:rsidRDefault="00217165" w:rsidP="00AD05B1">
      <w:pPr>
        <w:autoSpaceDE/>
        <w:autoSpaceDN/>
        <w:spacing w:after="200" w:line="276" w:lineRule="auto"/>
        <w:ind w:left="426"/>
        <w:jc w:val="center"/>
        <w:rPr>
          <w:rFonts w:ascii="Calibri Light" w:eastAsia="MS Mincho" w:hAnsi="Calibri Light" w:cs="Calibri Light"/>
          <w:sz w:val="24"/>
          <w:szCs w:val="24"/>
          <w:lang w:val="en-ID" w:eastAsia="en-US"/>
        </w:rPr>
      </w:pPr>
      <w:r w:rsidRPr="00AD05B1">
        <w:rPr>
          <w:rFonts w:eastAsia="Calibri" w:cs="Traditional Arabic"/>
          <w:noProof/>
          <w:sz w:val="24"/>
          <w:szCs w:val="24"/>
          <w:lang w:val="en-ID" w:eastAsia="en-US"/>
        </w:rPr>
        <w:drawing>
          <wp:anchor distT="0" distB="0" distL="114300" distR="114300" simplePos="0" relativeHeight="251693568" behindDoc="0" locked="0" layoutInCell="1" allowOverlap="1" wp14:anchorId="61FD4E7D" wp14:editId="5FE9943C">
            <wp:simplePos x="0" y="0"/>
            <wp:positionH relativeFrom="margin">
              <wp:posOffset>475615</wp:posOffset>
            </wp:positionH>
            <wp:positionV relativeFrom="paragraph">
              <wp:posOffset>255270</wp:posOffset>
            </wp:positionV>
            <wp:extent cx="4714240" cy="2182495"/>
            <wp:effectExtent l="0" t="0" r="0" b="8255"/>
            <wp:wrapTopAndBottom/>
            <wp:docPr id="19026907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14240" cy="2182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C156B7" w14:textId="2EF8A8FC" w:rsidR="00AD05B1" w:rsidRDefault="00217165" w:rsidP="00217165">
      <w:pPr>
        <w:autoSpaceDE/>
        <w:autoSpaceDN/>
        <w:spacing w:after="200" w:line="276" w:lineRule="auto"/>
        <w:jc w:val="center"/>
        <w:rPr>
          <w:rFonts w:ascii="Calibri Light" w:eastAsia="MS Mincho" w:hAnsi="Calibri Light" w:cs="Calibri Light"/>
          <w:sz w:val="24"/>
          <w:szCs w:val="24"/>
          <w:lang w:val="en-ID" w:eastAsia="en-US"/>
        </w:rPr>
      </w:pPr>
      <w:commentRangeStart w:id="16"/>
      <w:r w:rsidRPr="00217165">
        <w:rPr>
          <w:rFonts w:ascii="Calibri Light" w:eastAsia="MS Mincho" w:hAnsi="Calibri Light" w:cs="Calibri Light"/>
          <w:b/>
          <w:bCs/>
          <w:sz w:val="24"/>
          <w:szCs w:val="24"/>
          <w:lang w:val="en-ID" w:eastAsia="en-US"/>
        </w:rPr>
        <w:t>Figure 3.</w:t>
      </w:r>
      <w:r w:rsidRPr="00217165">
        <w:rPr>
          <w:rFonts w:ascii="Calibri Light" w:eastAsia="MS Mincho" w:hAnsi="Calibri Light" w:cs="Calibri Light"/>
          <w:sz w:val="24"/>
          <w:szCs w:val="24"/>
          <w:lang w:val="en-ID" w:eastAsia="en-US"/>
        </w:rPr>
        <w:t xml:space="preserve"> Document by Authors</w:t>
      </w:r>
      <w:commentRangeEnd w:id="16"/>
      <w:r w:rsidR="008F621C">
        <w:rPr>
          <w:rStyle w:val="CommentReference"/>
        </w:rPr>
        <w:commentReference w:id="16"/>
      </w:r>
      <w:r w:rsidRPr="00217165">
        <w:rPr>
          <w:rFonts w:ascii="Calibri Light" w:eastAsia="MS Mincho" w:hAnsi="Calibri Light" w:cs="Calibri Light"/>
          <w:sz w:val="24"/>
          <w:szCs w:val="24"/>
          <w:lang w:val="en-ID" w:eastAsia="en-US"/>
        </w:rPr>
        <w:t xml:space="preserve"> </w:t>
      </w:r>
      <w:r w:rsidRPr="00AD05B1">
        <w:rPr>
          <w:rFonts w:eastAsia="Calibri" w:cs="Traditional Arabic"/>
          <w:noProof/>
          <w:sz w:val="24"/>
          <w:szCs w:val="24"/>
          <w:lang w:val="en-ID" w:eastAsia="en-US"/>
        </w:rPr>
        <w:drawing>
          <wp:anchor distT="0" distB="0" distL="114300" distR="114300" simplePos="0" relativeHeight="251695616" behindDoc="0" locked="0" layoutInCell="1" allowOverlap="1" wp14:anchorId="5802DCCB" wp14:editId="4C1279E5">
            <wp:simplePos x="0" y="0"/>
            <wp:positionH relativeFrom="margin">
              <wp:posOffset>363220</wp:posOffset>
            </wp:positionH>
            <wp:positionV relativeFrom="paragraph">
              <wp:posOffset>2620645</wp:posOffset>
            </wp:positionV>
            <wp:extent cx="5040630" cy="3044190"/>
            <wp:effectExtent l="57150" t="57150" r="45720" b="60960"/>
            <wp:wrapTopAndBottom/>
            <wp:docPr id="9157347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7" cstate="print">
                      <a:extLst>
                        <a:ext uri="{BEBA8EAE-BF5A-486C-A8C5-ECC9F3942E4B}">
                          <a14:imgProps xmlns:a14="http://schemas.microsoft.com/office/drawing/2010/main">
                            <a14:imgLayer r:embed="rId18">
                              <a14:imgEffect>
                                <a14:saturation sat="400000"/>
                              </a14:imgEffect>
                            </a14:imgLayer>
                          </a14:imgProps>
                        </a:ext>
                        <a:ext uri="{28A0092B-C50C-407E-A947-70E740481C1C}">
                          <a14:useLocalDpi xmlns:a14="http://schemas.microsoft.com/office/drawing/2010/main" val="0"/>
                        </a:ext>
                      </a:extLst>
                    </a:blip>
                    <a:srcRect t="3976" r="596"/>
                    <a:stretch/>
                  </pic:blipFill>
                  <pic:spPr bwMode="auto">
                    <a:xfrm>
                      <a:off x="0" y="0"/>
                      <a:ext cx="5040630" cy="3044190"/>
                    </a:xfrm>
                    <a:prstGeom prst="rect">
                      <a:avLst/>
                    </a:prstGeom>
                    <a:ln>
                      <a:solidFill>
                        <a:sysClr val="windowText" lastClr="000000">
                          <a:lumMod val="95000"/>
                          <a:lumOff val="5000"/>
                        </a:sysClr>
                      </a:solidFill>
                    </a:ln>
                    <a:effectLst>
                      <a:innerShdw blurRad="63500" dist="50800" dir="13500000">
                        <a:prstClr val="black">
                          <a:alpha val="50000"/>
                        </a:prstClr>
                      </a:innerShdw>
                      <a:softEdge rad="112500"/>
                    </a:effectLst>
                    <a:scene3d>
                      <a:camera prst="orthographicFront">
                        <a:rot lat="0" lon="0" rev="0"/>
                      </a:camera>
                      <a:lightRig rig="brightRoom" dir="t">
                        <a:rot lat="0" lon="0" rev="600000"/>
                      </a:lightRig>
                    </a:scene3d>
                    <a:sp3d prstMaterial="metal">
                      <a:bevelT w="38100" h="57150" prst="angle"/>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C7469E" w14:textId="7E1EC398" w:rsidR="00217165" w:rsidRDefault="00217165" w:rsidP="00217165">
      <w:pPr>
        <w:autoSpaceDE/>
        <w:autoSpaceDN/>
        <w:spacing w:after="200" w:line="276" w:lineRule="auto"/>
        <w:ind w:left="426"/>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4.</w:t>
      </w:r>
      <w:r w:rsidRPr="00217165">
        <w:rPr>
          <w:rFonts w:ascii="Calibri Light" w:eastAsia="MS Mincho" w:hAnsi="Calibri Light" w:cs="Calibri Light"/>
          <w:sz w:val="24"/>
          <w:szCs w:val="24"/>
          <w:lang w:val="en-ID" w:eastAsia="en-US"/>
        </w:rPr>
        <w:t xml:space="preserve"> Bibliographic coupling with Authors</w:t>
      </w:r>
    </w:p>
    <w:p w14:paraId="1B120939" w14:textId="7B643EA5" w:rsidR="00674C01" w:rsidRP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Figure 4. The co-authorship network visualization provides insights into the collaborative structure of research on Basel Accords and Islamic banking. The analysis highlights Hassan, M. Kabir as a central figure, with extensive academic collaborations spanning multiple researchers. His strong presence in the network suggests a significant influence in shaping the discourse on risk management, Islamic finance, and regulatory frameworks. The distribution of nodes and connections further indicates the formation of </w:t>
      </w:r>
      <w:commentRangeStart w:id="17"/>
      <w:r w:rsidRPr="00674C01">
        <w:rPr>
          <w:rFonts w:ascii="Calibri Light" w:eastAsia="MS Mincho" w:hAnsi="Calibri Light" w:cs="Calibri Light"/>
          <w:sz w:val="24"/>
          <w:szCs w:val="24"/>
          <w:lang w:val="en-ID" w:eastAsia="en-US"/>
        </w:rPr>
        <w:t xml:space="preserve">distinct research </w:t>
      </w:r>
      <w:r w:rsidRPr="00674C01">
        <w:rPr>
          <w:rFonts w:ascii="Calibri Light" w:eastAsia="MS Mincho" w:hAnsi="Calibri Light" w:cs="Calibri Light"/>
          <w:sz w:val="24"/>
          <w:szCs w:val="24"/>
          <w:lang w:val="en-ID" w:eastAsia="en-US"/>
        </w:rPr>
        <w:lastRenderedPageBreak/>
        <w:t>clusters, where scholars work within specific thematic areas while maintaining links to the broader academic community</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{"citationItems":[{"id":"ITEM-1","itemData":{"DOI":"10.1504/IJEBR.2021.118378","ISSN":"17569850 (ISSN)","abstract":"This study aims to investigate the level of disclosure of Islamic banking in Bahrain by the web-based disclosure. The web-based disclosure method was implemented to determine the quantity of “the level of web-based disclosure of Islamic banks in Bahrain” by using an index that consists of 90 items. The findings of the 'descriptive analysis' indicated that the overall level of web-based disclosure was 73.3%. The regression results showed a “positive relationship between the independent variables (firm size, age, and profitability) and the level of web-based disclosure”. The results of this paper help the “Islamic banking in Bahrain” to increase the level of web-based disclosure to reach full online financial reporting disclosure (OFRD) to satisfy the stakeholders. The outcomes of this study will be useful elsewhere. © 2021 Inderscience Enterprises Ltd.","author":[{"dropping-particle":"","family":"Sarea","given":"A M","non-dropping-particle":"","parse-names":false,"suffix":""},{"dropping-particle":"","family":"Khalid","given":"A","non-dropping-particle":"","parse-names":false,"suffix":""},{"dropping-particle":"","family":"Shamsuddin","given":"A B","non-dropping-particle":"","parse-names":false,"suffix":""},{"dropping-particle":"","family":"Hawaldar","given":"I","non-dropping-particle":"","parse-names":false,"suffix":""},{"dropping-particle":"","family":"Hossen","given":"Z","non-dropping-particle":"","parse-names":false,"suffix":""}],"container-title":"International Journal of Economics and Business Research","id":"ITEM-1","issue":"4","issued":{"date-parts":[["2021"]]},"language":"English","note":"Export Date: 24 April 2025; Cited By: 2; Correspondence Address: A.M. Sarea; Department of Accounting and Economics, College of Business and Finance, Ahlia University, Manama, 319, Bahrain; email: adelsarea@yahoo.com","page":"311-327","publisher":"Inderscience Publishers","publisher-place":"Department of Accounting and Economics, College of Business and Finance, Ahlia University, Manama, 319, Bahrain","title":"Online financial reporting disclosure in Islamic banking: Evidence from Bahrain","type":"article-journal","volume":"22"},"uris":["http://www.mendeley.com/documents/?uuid=0ff1e48c-b082-49c3-9614-1a1990c14e3e"]}],"mendeley":{"formattedCitation":"(Sarea et al., 2021)","plainTextFormattedCitation":"(Sarea et al., 2021)","previouslyFormattedCitation":"(Sarea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(Sarea et al., 2021)</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commentRangeEnd w:id="17"/>
      <w:r w:rsidR="008F621C">
        <w:rPr>
          <w:rStyle w:val="CommentReference"/>
        </w:rPr>
        <w:commentReference w:id="17"/>
      </w:r>
    </w:p>
    <w:p w14:paraId="29CC3B4A" w14:textId="5F54090B" w:rsid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The </w:t>
      </w:r>
      <w:proofErr w:type="spellStart"/>
      <w:r w:rsidRPr="00674C01">
        <w:rPr>
          <w:rFonts w:ascii="Calibri Light" w:eastAsia="MS Mincho" w:hAnsi="Calibri Light" w:cs="Calibri Light"/>
          <w:sz w:val="24"/>
          <w:szCs w:val="24"/>
          <w:lang w:val="en-ID" w:eastAsia="en-US"/>
        </w:rPr>
        <w:t>color</w:t>
      </w:r>
      <w:proofErr w:type="spellEnd"/>
      <w:r w:rsidRPr="00674C01">
        <w:rPr>
          <w:rFonts w:ascii="Calibri Light" w:eastAsia="MS Mincho" w:hAnsi="Calibri Light" w:cs="Calibri Light"/>
          <w:sz w:val="24"/>
          <w:szCs w:val="24"/>
          <w:lang w:val="en-ID" w:eastAsia="en-US"/>
        </w:rPr>
        <w:t xml:space="preserve"> gradient from blue (2018) to yellow (2024) reveals the temporal evolution of research collaborations. Recent contributions appear around Ali, Muhammad and Ismail, Abdul Ghafar, </w:t>
      </w:r>
      <w:proofErr w:type="spellStart"/>
      <w:r w:rsidRPr="00674C01">
        <w:rPr>
          <w:rFonts w:ascii="Calibri Light" w:eastAsia="MS Mincho" w:hAnsi="Calibri Light" w:cs="Calibri Light"/>
          <w:sz w:val="24"/>
          <w:szCs w:val="24"/>
          <w:lang w:val="en-ID" w:eastAsia="en-US"/>
        </w:rPr>
        <w:t>signaling</w:t>
      </w:r>
      <w:proofErr w:type="spellEnd"/>
      <w:r w:rsidRPr="00674C01">
        <w:rPr>
          <w:rFonts w:ascii="Calibri Light" w:eastAsia="MS Mincho" w:hAnsi="Calibri Light" w:cs="Calibri Light"/>
          <w:sz w:val="24"/>
          <w:szCs w:val="24"/>
          <w:lang w:val="en-ID" w:eastAsia="en-US"/>
        </w:rPr>
        <w:t xml:space="preserve"> emerging research directions. In contrast, well-established collaborations, particularly those linked to Kabir Hassan, M., reflect sustained contributions over time. The presence of multiple independent clusters suggests diversity in research perspectives, with some groups focusing on regulatory frameworks and others on Islamic financial stability. This network structure underscores the dynamic and evolving nature of academic discourse in this field</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{"citationItems":[{"id":"ITEM-1","itemData":{"DOI":"10.1108/IJPPM-06-2020-0331","ISSN":"17410401 (ISSN)","abstract":"Purpose: The purpose of this paper is to examine whether and how Islamic banks' financing affects corporate investment efficiency. Design/methodology/approach: To achieve the research purpose, an empirical model was constructed to describe the relationship between Islamic banks' financing and corporate investment efficiency. The empirical model was tested through generalized method of moments (GMM) estimation technique using a panel data of 163 Malaysian listed firms for the period 2007–2017. Findings: This study provides evidence that Islamic banks' financing plays an important role in enhancing investment efficiency and that this positive effect comes mainly from non-PLS contracts. Moreover, the results show that the effect of Islamic banks' financing in preventing suboptimal investments is stronger in the financial crisis period. The results also reveal that the contribution of Islamic banks' financing in reducing suboptimal investments is more prominent when firms face over-investment problems. Research limitations/implications: This research contributes to the debate on the financial implications of Islamic banks' financing modes by exploring their effect on corporate investment efficiency. Practical implications: From a managerial perspective, the research findings are beneficial to Islamic bank managers to the extent that they highlight the role of Islamic financial contracts in improving corporate investment efficiency. In addition, the lower effect of PLS contracts on investment efficiency implies that policymakers in Malaysia should multiply their efforts to further expand the PLS financing. Originality/value: This paper offers some insights on the role of Islamic banks' financing in mitigating agency conflicts and reducing asymmetric information problems. It is the first attempt focusing on the role of Islamic financing in fostering corporate investment decisions. © 2020, Emerald Publishing Limited.","author":[{"dropping-particle":"","family":"Guizani","given":"M","non-dropping-particle":"","parse-names":false,"suffix":""},{"dropping-particle":"","family":"Ajmi","given":"A N","non-dropping-particle":"","parse-names":false,"suffix":""}],"container-title":"International Journal of Productivity and Performance Management","id":"ITEM-1","issue":"5","issued":{"date-parts":[["2022"]]},"language":"English","note":"Export Date: 24 April 2025; Cited By: 6; Correspondence Address: M. Guizani; Department of Accounting and Finance, High Institute of Computer Science and Management in Kairouan, University of Kairouan, Kairouan, Tunisia; email: guizani_m@yahoo.fr","page":"1854-1871","publisher":"Emerald Group Holdings Ltd.","publisher-place":"Department of Accounting and Finance, High Institute of Computer Science and Management in Kairouan, University of Kairouan, Kairouan, Tunisia","title":"Islamic banking and corporate investment efficiency: empirical evidence from Malaysia","type":"article-journal","volume":"71"},"uris":["http://www.mendeley.com/documents/?uuid=5bbba9b5-583b-403e-a9c1-cef14e165028"]}],"mendeley":{"formattedCitation":"(Guizani &amp; Ajmi, 2022)","plainTextFormattedCitation":"(Guizani &amp; Ajmi, 2022)","previouslyFormattedCitation":"(Guizani &amp; Ajmi,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(Guizani &amp; Ajmi, 2022)</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4548813A" w14:textId="77777777" w:rsidR="008C62AD" w:rsidRDefault="008C62AD" w:rsidP="008C62AD">
      <w:pPr>
        <w:autoSpaceDE/>
        <w:autoSpaceDN/>
        <w:spacing w:after="200" w:line="276" w:lineRule="auto"/>
        <w:ind w:left="426"/>
        <w:rPr>
          <w:rFonts w:ascii="Calibri Light" w:eastAsia="MS Mincho" w:hAnsi="Calibri Light" w:cs="Calibri Light"/>
          <w:b/>
          <w:bCs/>
          <w:sz w:val="24"/>
          <w:szCs w:val="24"/>
          <w:rtl/>
          <w:lang w:val="en-ID" w:eastAsia="en-US"/>
        </w:rPr>
      </w:pPr>
      <w:r w:rsidRPr="008C62AD">
        <w:rPr>
          <w:rFonts w:ascii="Calibri Light" w:eastAsia="MS Mincho" w:hAnsi="Calibri Light" w:cs="Calibri Light"/>
          <w:b/>
          <w:bCs/>
          <w:sz w:val="24"/>
          <w:szCs w:val="24"/>
          <w:lang w:val="en-ID" w:eastAsia="en-US"/>
        </w:rPr>
        <w:t>3.</w:t>
      </w:r>
      <w:proofErr w:type="gramStart"/>
      <w:r w:rsidRPr="008C62AD">
        <w:rPr>
          <w:rFonts w:ascii="Calibri Light" w:eastAsia="MS Mincho" w:hAnsi="Calibri Light" w:cs="Calibri Light"/>
          <w:b/>
          <w:bCs/>
          <w:sz w:val="24"/>
          <w:szCs w:val="24"/>
          <w:lang w:val="en-ID" w:eastAsia="en-US"/>
        </w:rPr>
        <w:t>3.Country</w:t>
      </w:r>
      <w:proofErr w:type="gramEnd"/>
      <w:r w:rsidRPr="008C62AD">
        <w:rPr>
          <w:rFonts w:ascii="Calibri Light" w:eastAsia="MS Mincho" w:hAnsi="Calibri Light" w:cs="Calibri Light"/>
          <w:b/>
          <w:bCs/>
          <w:sz w:val="24"/>
          <w:szCs w:val="24"/>
          <w:lang w:val="en-ID" w:eastAsia="en-US"/>
        </w:rPr>
        <w:t xml:space="preserve"> Wise Publication and Citation</w:t>
      </w:r>
    </w:p>
    <w:p w14:paraId="0916EC3E" w14:textId="5EA4E372" w:rsidR="008F1989" w:rsidRPr="008F1989" w:rsidRDefault="008F1989" w:rsidP="008F1989">
      <w:pPr>
        <w:autoSpaceDE/>
        <w:autoSpaceDN/>
        <w:spacing w:after="200" w:line="276" w:lineRule="auto"/>
        <w:ind w:left="426"/>
        <w:rPr>
          <w:rFonts w:ascii="Calibri Light" w:eastAsia="MS Mincho" w:hAnsi="Calibri Light" w:cs="Calibri Light"/>
          <w:sz w:val="24"/>
          <w:szCs w:val="24"/>
          <w:lang w:val="en-ID" w:eastAsia="en-US"/>
        </w:rPr>
      </w:pPr>
      <w:r w:rsidRPr="008F1989">
        <w:rPr>
          <w:rFonts w:ascii="Calibri Light" w:eastAsia="MS Mincho" w:hAnsi="Calibri Light" w:cs="Calibri Light"/>
          <w:sz w:val="24"/>
          <w:szCs w:val="24"/>
          <w:lang w:val="en-ID" w:eastAsia="en-US"/>
        </w:rPr>
        <w:t>The 3rd research question is: What countries have contributed most significantly to the research on Basel Accords and Islamic banking, and how has their scholarly output evolved over time?</w:t>
      </w:r>
    </w:p>
    <w:p w14:paraId="099278C6" w14:textId="18EBECE1"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 xml:space="preserve">Figure 5 presents a global map illustrating the geographical distribution of academic publications related to the topic "The Legal Evolution of Basel Accords and Their Impact on Islamic Banking Regulations" during the period from 2015 to 2024. The </w:t>
      </w:r>
      <w:proofErr w:type="spellStart"/>
      <w:r w:rsidRPr="008C62AD">
        <w:rPr>
          <w:rFonts w:ascii="Calibri Light" w:eastAsia="MS Mincho" w:hAnsi="Calibri Light" w:cs="Calibri Light"/>
          <w:sz w:val="24"/>
          <w:szCs w:val="24"/>
          <w:lang w:val="en-ID" w:eastAsia="en-US"/>
        </w:rPr>
        <w:t>color</w:t>
      </w:r>
      <w:proofErr w:type="spellEnd"/>
      <w:r w:rsidRPr="008C62AD">
        <w:rPr>
          <w:rFonts w:ascii="Calibri Light" w:eastAsia="MS Mincho" w:hAnsi="Calibri Light" w:cs="Calibri Light"/>
          <w:sz w:val="24"/>
          <w:szCs w:val="24"/>
          <w:lang w:val="en-ID" w:eastAsia="en-US"/>
        </w:rPr>
        <w:t xml:space="preserve"> gradient ranges from light blue to dark blue, with darker shades indicating higher research output</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{"citationItems":[{"id":"ITEM-1","itemData":{"ISSN":"15441458 (ISSN)","abstract":"The purpose of this research is to measure the impact of consumer attitude, social norms and perceived behavior on the intention to adopt Islamic banking by freelancers in Pakistan. The sample of the study is taken from the young freelance professionals that are currently working it the city of Mirpur Azad Kashmir. The number of respondents is limited to 150. Correlation, reliability, regression and ANOVA tests are performed to check the accuracy and association of the data variables. The results showed that the variables of religiosity and subjective norms has a positive impact on the behavioral intention to adopt Islamic banking. There for the research team can conclude that religiosity has an impact on the intention of the free lancers of the city of Mirpur to adopt to Islamic banking and subjective norms also has an impact on the intention of the free lancers of the city of Mirpur to adopt to Islamic banking. The study also notes that subjective norms also have an effect the intention to adopt there for allowing customers to know of the ethical and socially responsible practices can also help them to adopt. For any future researchers the study recommends that they can apply the same model in another area to see the results of add or remove variables to see the difference it can make. © 2021, Academy of Strategic Management Journal. All Rights Reserved.","author":[{"dropping-particle":"","family":"Hermawati","given":"A","non-dropping-particle":"","parse-names":false,"suffix":""},{"dropping-particle":"","family":"Ali","given":"S","non-dropping-particle":"","parse-names":false,"suffix":""},{"dropping-particle":"","family":"Fettry","given":"S","non-dropping-particle":"","parse-names":false,"suffix":""},{"dropping-particle":"","family":"Hendarto","given":"T","non-dropping-particle":"","parse-names":false,"suffix":""},{"dropping-particle":"","family":"Husin","given":"H","non-dropping-particle":"","parse-names":false,"suffix":""}],"container-title":"Academy of Strategic Management Journal","id":"ITEM-1","issue":"2","issued":{"date-parts":[["2021"]]},"language":"English","note":"Export Date: 24 April 2025; Cited By: 0","page":"1-16","publisher":"Allied Business Academies","publisher-place":"Universitas Widyagama Malang, Indonesia","title":"Freelancers Intentions Towards Adoption Of Islamic Banking","type":"article-journal","volume":"20"},"uris":["http://www.mendeley.com/documents/?uuid=c800acff-5255-4a33-9978-b98e97ff7f06"]}],"mendeley":{"formattedCitation":"(Hermawati et al., 2021)","plainTextFormattedCitation":"(Hermawati et al., 2021)","previouslyFormattedCitation":"(Hermawati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(Hermawati et al.,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53300138" w14:textId="4FF520B2"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Malaysia and Indonesia emerge as the most prolific contributors, marked by darker hues, reflecting their strong institutional and scholarly engagement in aligning Islamic banking regulations with the Basel regulatory framework. Saudi Arabia, the United Arab Emirates, and Bahrain also demonstrate significant involvement, suggesting growing academic interest in legal harmonization between international financial standards and Shariah-compliant banking</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{"citationItems":[{"id":"ITEM-1","itemData":{"DOI":"10.1504/IJMEF.2024.139028","ISSN":"17520479 (ISSN)","abstract":"The emergence of the Islamic banking system is to accommodate the demand of Muslims for financing that complies with their religious values. Islamic banking is important in the global economy because 34.8% of world population are Muslims. However, the market share of Islamic banks in Indonesia is still low. Therefore, the purpose of this study is to assess the factors influencing Indonesian customers’ acceptance of Islamic banking using the technology acceptance model. This study found that perceived usefulness and religiosity directly influences user acceptance. In addition, user acceptance is also indirectly influenced by perceived ease of use and trust. Copyright © 2024 Inderscience Enterprises Ltd.","author":[{"dropping-particle":"","family":"Faturohman","given":"T","non-dropping-particle":"","parse-names":false,"suffix":""},{"dropping-particle":"","family":"Purwono","given":"M Z","non-dropping-particle":"","parse-names":false,"suffix":""},{"dropping-particle":"","family":"Ooi","given":"S K","non-dropping-particle":"","parse-names":false,"suffix":""}],"container-title":"International Journal of Monetary Economics and Finance","id":"ITEM-1","issue":"2-3","issued":{"date-parts":[["2024"]]},"language":"English","note":"Export Date: 24 April 2025; Cited By: 0; Correspondence Address: T. Faturohman; School of Business and Management, Institut Teknologi Bandung, Bandung, 40132, Indonesia; email: taufik.f@sbm-itb.ac.id","page":"229-237","publisher":"Inderscience Publishers","publisher-place":"School of Business and Management, Institut Teknologi Bandung, Bandung, 40132, Indonesia","title":"User acceptance of Islamic banking in Indonesia: the implementation of technology acceptance models","type":"article-journal","volume":"17"},"uris":["http://www.mendeley.com/documents/?uuid=8838fad6-5a28-4127-9687-351ec2ff3211"]}],"mendeley":{"formattedCitation":"(Faturohman et al., 2024)","plainTextFormattedCitation":"(Faturohman et al., 2024)","previouslyFormattedCitation":"(Faturohman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(Faturohman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r w:rsidR="00C0389E">
        <w:rPr>
          <w:rFonts w:ascii="Calibri Light" w:eastAsia="MS Mincho" w:hAnsi="Calibri Light" w:cs="Calibri Light"/>
          <w:sz w:val="24"/>
          <w:szCs w:val="24"/>
          <w:lang w:val="en-ID" w:eastAsia="en-US"/>
        </w:rPr>
        <w:t xml:space="preserve"> </w:t>
      </w:r>
    </w:p>
    <w:p w14:paraId="73ABB182" w14:textId="22F26855"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In contrast, countries such as the United States, the United Kingdom, and Australia show moderate research activity. Although Islamic banking is not the dominant financial system in these regions, the academic focus indicates a cross-cultural and comparative interest in the legal dimensions of Islamic finance within global regulatory paradigms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{"citationItems":[{"id":"ITEM-1","itemData":{"DOI":"10.21098/jimf.v7i3.1376","ISSN":"24606146 (ISSN)","abstract":"This paper examines the market discipline of Islamic banks, as manifested by the responses of depositors with regard to their deposits and profit-sharing ratio to the fundamentals of the banks in the case of Indonesia. We analyse the supply and demand function of deposits using panel data from 10 Islamic banks from 2010 Q1 to 2019 Q4. We empirically find that market discipline in Indonesian Islamic banks is relatively weak, and conjecture that this is for two reasons. First, religious depositors have driven the unusual behaviour of Islamic banks, as we find that they stay with the same bank, even if it has poor fundamental conditions. Second, the profit and loss sharing mechanism means that Islamic bank depositors do not have great flexibility in demanding a higher rate relevant to the risk they must bear. This is because depositors’ actual return is set to be consistent with the actual profit obtained from the banks’ lending activities. Our results lead to the call for policymakers to effectively monitor the fundamental conditions of Islamic banks and to collaborate with agencies and organisations that promote Islamic bank development in Indonesia. © 2019 Bank Indonesia Institute. All rights reserved.","author":[{"dropping-particle":"","family":"Suliyono","given":"J","non-dropping-particle":"","parse-names":false,"suffix":""},{"dropping-particle":"","family":"Risfandy","given":"T","non-dropping-particle":"","parse-names":false,"suffix":""}],"container-title":"Journal of Islamic Monetary Economics and Finance","id":"ITEM-1","issue":"3","issued":{"date-parts":[["2021"]]},"language":"English","note":"Export Date: 24 April 2025; Cited By: 5","page":"457-472","publisher":"Bank Indonesia Institute","publisher-place":"Faculty of Economics and Business, Universitas Sebelas Maret, Indonesia","title":"ISLAMIC BANKING MARKET DISCIPLINE IN INDONESIA","type":"article-journal","volume":"7"},"uris":["http://www.mendeley.com/documents/?uuid=432a601e-b154-446e-8e91-fbf4096c359e"]}],"mendeley":{"formattedCitation":"(Suliyono &amp; Risfandy, 2021)","plainTextFormattedCitation":"(Suliyono &amp; Risfandy, 2021)","previouslyFormattedCitation":"(Suliyono &amp; Risfandy,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(Suliyono &amp; Risfandy,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2F417EB3" w14:textId="4FC4465D" w:rsid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 xml:space="preserve">This distribution highlights the increasing global recognition of the importance of regulatory convergence between Islamic banking systems and Basel Accords, especially in countries with dual banking systems or in the process of financial regulatory reform. Future research contributions are expected to expand, particularly in emerging economies </w:t>
      </w:r>
      <w:r w:rsidRPr="008C62AD">
        <w:rPr>
          <w:rFonts w:ascii="Calibri Light" w:eastAsia="MS Mincho" w:hAnsi="Calibri Light" w:cs="Calibri Light"/>
          <w:sz w:val="24"/>
          <w:szCs w:val="24"/>
          <w:lang w:val="en-ID" w:eastAsia="en-US"/>
        </w:rPr>
        <w:lastRenderedPageBreak/>
        <w:t>seeking to balance international compliance with faith-based financial practices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{"citationItems":[{"id":"ITEM-1","itemData":{"DOI":"10.5267/j.uscm.2023.9.022","ISSN":"22916822 (ISSN)","abstract":"This research delves into the intricate nexus between integrated reporting, corporate governance, and financial sustainability in Islamic banking. The study scrutinized a collection of research spanning diverse geographies and periods, emphasizing factors like board dynamics, audit committee proficiency, sustainability disclosures, and the implementation of value-centric strategies. The distillation of insights from an initial pool of 173 studies, which was meticulously narrowed down to 30 through rigorous criteria, indicates a prevalent positive association between these determinants and the financial robustness of Islamic banks. Such findings accentuate the pivotal role of syncing banking operations with the intrinsically sustainable tenets of Islamic finance. This harmony can notably spur sustainable development, potentially drawing more investors and boosting the stature of the Islamic banking domain. Furthermore, this study sheds light on potential avenues for upcoming research, including the analysis of managerial competencies' influence on varying Corporate Social Responsibility (CSR) classifications and the examination of the ramifications of sustainability benchmarks, cultural variances, legal structures, and Islamic statutes in diverse nations. This investigation provides critical insights for professionals and decision-makers in Islamic banking, facilitating a deeper understanding of practices that strengthen financial sustainability. © 2024 by the authors; licensee Growing Science, Canada.","author":[{"dropping-particle":"","family":"Yusuf","given":"M","non-dropping-particle":"","parse-names":false,"suffix":""},{"dropping-particle":"","family":"Dasawaty","given":"E S","non-dropping-particle":"","parse-names":false,"suffix":""},{"dropping-particle":"","family":"Esra","given":"M A","non-dropping-particle":"","parse-names":false,"suffix":""},{"dropping-particle":"","family":"Apriwenni","given":"P","non-dropping-particle":"","parse-names":false,"suffix":""},{"dropping-particle":"","family":"Meiden","given":"C","non-dropping-particle":"","parse-names":false,"suffix":""},{"dropping-particle":"","family":"Fahlevi","given":"M","non-dropping-particle":"","parse-names":false,"suffix":""}],"container-title":"Uncertain Supply Chain Management","id":"ITEM-1","issue":"1","issued":{"date-parts":[["2024"]]},"language":"English","note":"Export Date: 24 April 2025; Cited By: 13; Correspondence Address: M. Yusuf; Institut Teknologi dan Bisnis Bank Rakyat Indonesia, Jakarta, Indonesia; email: myusuf@privietlab.org","page":"273-290","publisher":"Growing Science","publisher-place":"Institut Teknologi dan Bisnis Bank Rakyat Indonesia, Jakarta, Indonesia","title":"Integrated reporting, corporate governance, and financial sustainability in Islamic banking","type":"article-journal","volume":"12"},"uris":["http://www.mendeley.com/documents/?uuid=271f3b1b-9640-43ed-84a5-139a1d5d60e2"]}],"mendeley":{"formattedCitation":"(Yusuf et al., 2024)","plainTextFormattedCitation":"(Yusuf et al., 2024)","previouslyFormattedCitation":"(Yusuf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(Yusuf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79BBE9BC" w14:textId="4725590A" w:rsidR="00D46384" w:rsidRDefault="00D46384"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D46384">
        <w:rPr>
          <w:rFonts w:eastAsia="Calibri" w:cs="Traditional Arabic"/>
          <w:noProof/>
          <w:sz w:val="24"/>
          <w:szCs w:val="24"/>
          <w:lang w:val="en-ID" w:eastAsia="en-US"/>
        </w:rPr>
        <w:drawing>
          <wp:inline distT="0" distB="0" distL="0" distR="0" wp14:anchorId="7ED5B284" wp14:editId="791D0310">
            <wp:extent cx="5022167" cy="2551926"/>
            <wp:effectExtent l="0" t="0" r="7620" b="1270"/>
            <wp:docPr id="9392561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17393" cy="2600313"/>
                    </a:xfrm>
                    <a:prstGeom prst="rect">
                      <a:avLst/>
                    </a:prstGeom>
                    <a:noFill/>
                    <a:ln>
                      <a:noFill/>
                    </a:ln>
                  </pic:spPr>
                </pic:pic>
              </a:graphicData>
            </a:graphic>
          </wp:inline>
        </w:drawing>
      </w:r>
    </w:p>
    <w:p w14:paraId="75A8B826" w14:textId="77349EB7" w:rsidR="00D46384" w:rsidRDefault="00D46384" w:rsidP="00D46384">
      <w:pPr>
        <w:autoSpaceDE/>
        <w:autoSpaceDN/>
        <w:spacing w:after="200" w:line="276" w:lineRule="auto"/>
        <w:ind w:left="426"/>
        <w:jc w:val="center"/>
        <w:rPr>
          <w:rFonts w:ascii="Calibri Light" w:eastAsia="MS Mincho" w:hAnsi="Calibri Light" w:cs="Calibri Light"/>
          <w:sz w:val="24"/>
          <w:szCs w:val="24"/>
          <w:lang w:val="en-ID" w:eastAsia="en-US"/>
        </w:rPr>
      </w:pPr>
      <w:r w:rsidRPr="00D46384">
        <w:rPr>
          <w:rFonts w:ascii="Calibri Light" w:eastAsia="MS Mincho" w:hAnsi="Calibri Light" w:cs="Calibri Light"/>
          <w:b/>
          <w:bCs/>
          <w:sz w:val="24"/>
          <w:szCs w:val="24"/>
          <w:lang w:val="en-ID" w:eastAsia="en-US"/>
        </w:rPr>
        <w:t>Figure 5:</w:t>
      </w:r>
      <w:r w:rsidRPr="00D46384">
        <w:rPr>
          <w:rFonts w:ascii="Calibri Light" w:eastAsia="MS Mincho" w:hAnsi="Calibri Light" w:cs="Calibri Light"/>
          <w:sz w:val="24"/>
          <w:szCs w:val="24"/>
          <w:lang w:val="en-ID" w:eastAsia="en-US"/>
        </w:rPr>
        <w:t xml:space="preserve"> Global Distribution of Research on Basel Accords and Islamic Banking Regulations (2015–2024)</w:t>
      </w:r>
    </w:p>
    <w:p w14:paraId="4CC71139" w14:textId="128FF43E"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Figure 6 presents a bibliometric overview of selected countries that have contributed significantly to the scholarly discourse during the period 2015–2024. The table captures three core indicators: number of documents, total citations, and total link strength (which reflects the extent of international collaboration)</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{"citationItems":[{"id":"ITEM-1","itemData":{"DOI":"10.1080/23322039.2024.2378961","ISSN":"23322039 (ISSN)","abstract":"Sharia product development in Indonesia faces unique challenges in terms of strategy and innovation compared with conventional products. Islamic banking managers must adhere to Sharia principles to maintain customer trust and comply with Islamic law. Compliance with Sharia principles is not only a religious obligation but also the foundation of the business model. This study used qualitative methods, specifically semi-structured interviews, to validate the Sharia product development practices in Indonesia. Seven experts from diverse backgrounds were interviewed, and their responses were thematically analysed using NVivo version 12. The findings confirm that the Sharia supervisory board and Islamic banking management play crucial roles in developing Sharia products. They collaborate to ensure that Sharia products adhere to the principles, meet customer needs, and comply with relevant regulations and standards. This collaboration enables efficient development of Sharia products that align with values and meet market demands. Moreover, their involvement goes beyond their compliance. They also contribute to the ethical and responsible growth of Islamic banking by fostering customer trust and confidence. Their commitment to upholding the core principles of Islamic banking establishes a solid foundation for the sustainable development of Sharia-compliant products in the global market. © 2024 The Author(s). Published by Informa UK Limited, trading as Taylor &amp; Francis Group.","author":[{"dropping-particle":"","family":"Faizi","given":"F","non-dropping-particle":"","parse-names":false,"suffix":""}],"container-title":"Cogent Economics and Finance","id":"ITEM-1","issue":"1","issued":{"date-parts":[["2024"]]},"language":"English","note":"Export Date: 24 April 2025; Cited By: 1; Correspondence Address: F. Faizi; Department of Islamic Economics, Faculty of Economics and Business, Universitas Pembangunan Nasional Veteran Jakarta, Depok, Indonesia; email: faizi.feb@upnvj.ac.id","publisher":"Cogent OA","publisher-place":"Department of Islamic Economics, Faculty of Economics and Business, Universitas Pembangunan Nasional Veteran Jakarta, Depok, Indonesia","title":"How are Islamic banking products developed? Evidence from emerging country","type":"article-journal","volume":"12"},"uris":["http://www.mendeley.com/documents/?uuid=16baa1b9-e6a1-4667-bda6-5a93583dc9e4"]}],"mendeley":{"formattedCitation":"(Faizi, 2024)","plainTextFormattedCitation":"(Faizi, 2024)","previouslyFormattedCitation":"(Faizi,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(Faizi,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0BECA70E" w14:textId="37CC3288"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Malaysia leads with 347 publications and a striking 5,411 citations, as well as the highest total link strength (1,206), underlining its central role as a global hub in the research domain. This evidences Malaysia’s leadership in both output and influence within Islamic banking and Basel-related regulatory studies, likely supported by its strong institutional commitment to Islamic finance. Pakistan follows with 114 documents and 1,936 citations, showing robust academic engagement. The United States, despite having only 70 documents, shows high efficiency with 1,776 citations and notable international collaboration (704 link strength), highlighting its scholarly influence despite fewer contributions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{"citationItems":[{"id":"ITEM-1","itemData":{"DOI":"10.1108/IMEFM-05-2021-0189","ISSN":"17538394 (ISSN)","abstract":"Purpose: The purpose of this study is to develop and thereafter validate a Sharīʿah-based FinTech Money Creation Free [SFMCF] model for Islamic banking. Design/methodology/approach: The study has adopted a qualitative research methodology, using three approaches, namely, a survey of the literature to identify the research gap and the variables needed for developing the model, content analysis to construct the variables into a model and semi-structured interview with 10 experts in banking, Sharīʿah and Financial Technology (FinTech) to validate the SFMCF model. Findings: The major findings of the study lie in developing the SFMCF model for Islamic banking, empirical validation of the model’s viability and acceptability and the implications for the main stakeholders of Islamic banks. Research limitations/implications: The SFMCF model is specific to Islamic banking and its validation is based on the views of 10 experts. Practical implications: The SFMCF would necessitate changes to the central bank regulatory framework, convince Islamic banks to forego their powers and advantages of creating money and enhance their abilities to fully adopt Sharīʿah-compliant FinTech. Social implications: The proposed model if implemented would change positively the perception of the society particularly the stakeholders of Islamic banks and restore their trust and confidence about the direction of the institution toward achieving the Sharīʿah objectives. Originality/value: The novelty of this work lies in developing and validating the viability and acceptability of the SFMCF model for Islamic banking. © 2021, Emerald Publishing Limited.","author":[{"dropping-particle":"","family":"Altwijry","given":"O I","non-dropping-particle":"","parse-names":false,"suffix":""},{"dropping-particle":"","family":"Mohammed","given":"M O","non-dropping-particle":"","parse-names":false,"suffix":""},{"dropping-particle":"","family":"Hassan","given":"M K","non-dropping-particle":"","parse-names":false,"suffix":""},{"dropping-particle":"","family":"Selim","given":"M","non-dropping-particle":"","parse-names":false,"suffix":""}],"container-title":"International Journal of Islamic and Middle Eastern Finance and Management","id":"ITEM-1","issue":"4","issued":{"date-parts":[["2022"]]},"language":"English","note":"Export Date: 24 April 2025; Cited By: 5; Correspondence Address: M.O. Mohammed; Department of Economics, International Islamic University Malaysia, Kuala Lumpur, Malaysia; email: mustafa@iium.edu.my","page":"739-758","publisher":"Emerald Group Holdings Ltd.","publisher-place":"College of Business and Economics, Qassim University College of Business, Buraidah, Saudi Arabia","title":"Developing a Shari’ah based FinTech Money Creation Free [SFMCF] model for Islamic banking","type":"article-journal","volume":"15"},"uris":["http://www.mendeley.com/documents/?uuid=5eeb0e53-6071-4779-b355-9440cd1b17fe"]}],"mendeley":{"formattedCitation":"(Altwijry et al., 2022)","plainTextFormattedCitation":"(Altwijry et al., 2022)","previouslyFormattedCitation":"(Altwijry et al.,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(Altwijry et al., 2022)</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1746B" w14:textId="3133B41A"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Other notable contributors include Indonesia (201 documents, 1,876 citations), the United Kingdom (100 documents, 1,966 citations), and Saudi Arabia (85 documents, 1,330 citations), each demonstrating meaningful contributions in terms of quantity and impact. Meanwhile, France, Australia, Tunisia, and Bangladesh show varying levels of engagement. Although their total outputs and link strengths are comparatively lower, countries like Australia (1,520 citations from 53 documents) demonstrate relatively high citation-to-document ratios, indicating influential publications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(Fathoni et al.,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338E9F0B" w14:textId="5152262D"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lastRenderedPageBreak/>
        <w:t>The total link strength metric further enriches this analysis by highlighting the depth of collaboration. Countries with higher link strength are more embedded in international research networks, which is crucial for knowledge exchange and mutual development of regulatory frameworks in Islamic finance. Overall, this bibliometric mapping underscores the pivotal role of Southeast Asian and selected Western nations in shaping the academic trajectory of Basel compliance in the Islamic banking sector. The observed trends suggest a growing convergence of international scholarly efforts to address the regulatory challenges and opportunities inherent in aligning Islamic financial principles with global banking standards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7774E4">
        <w:rPr>
          <w:rFonts w:ascii="Calibri Light" w:eastAsia="MS Mincho" w:hAnsi="Calibri Light" w:cs="Calibri Light"/>
          <w:sz w:val="24"/>
          <w:szCs w:val="24"/>
          <w:lang w:val="en-ID" w:eastAsia="en-US"/>
        </w:rPr>
        <w:instrText>ADDIN CSL_CITATION {"citationItems":[{"id":"ITEM-1","itemData":{"DOI":"10.1108/JIABR-05-2020-0171","ISSN":"17590817 (ISSN)","abstract":"Purpose: The purpose of this study is to examine the contribution of academic and professional institutions in promoting the awareness and knowledge of Islamic banking and finance in Nigeria. Design/methodology/approach: The data were generated through a documentary research method by examining the Benchmark Minimum Academic Standards (BMAS) for Nigerian universities and Nigerian university curricula for the relevant undergraduate programs, as well as examination syllabi and training brochures for the relevant professional associations. Findings: The study found that universities do not promote significantly the awareness and knowledge of Islamic banking and finance. Similarly, the relevant professional associations through their examinations and training programs contribute little or nothing to the promotion of awareness and knowledge. Research limitations/implications: This study solely relied upon documentary evidence upon which the findings were based. In addition, for academic institutions, only undergraduate BMAS and curricula were examined. Practical implications: There should be collaborations between the National University Commission of Nigeria, relevant Islamic and non-Islamic professional bodies and Nigerian Universities to ensure that courses (subjects) that could promote the awareness and knowledge of Islamic banking and finance are fully integrated into academic and professional curricula and training programs. Social implications: The integration of an adequate number of relevant courses/topics into academic curricula and professional institution examination syllabi and their Mandatory Continuing Professional Development programs would greatly contribute to the production of competent and skillful employees to work for the growth and development of the Islamic banking and finance industry. Originality/value: This study provides better ways of ensuring that knowledgeable and qualified employees are produced to work for the sustainability of the global Islamic banking and finance industry. © 2021, Emerald Publishing Limited.","author":[{"dropping-particle":"","family":"Umar","given":"U H","non-dropping-particle":"","parse-names":false,"suffix":""},{"dropping-particle":"","family":"AbuBakar","given":"M","non-dropping-particle":"","parse-names":false,"suffix":""},{"dropping-particle":"","family":"Baita","given":"A J","non-dropping-particle":"","parse-names":false,"suffix":""},{"dropping-particle":"","family":"Kademi","given":"T T","non-dropping-particle":"","parse-names":false,"suffix":""},{"dropping-particle":"","family":"Haron","given":"M H","non-dropping-particle":"","parse-names":false,"suffix":""}],"container-title":"Journal of Islamic Accounting and Business Research","id":"ITEM-1","issue":"3","issued":{"date-parts":[["2021"]]},"language":"English","note":"Export Date: 24 April 2025; Cited By: 9; Correspondence Address: U.H. Umar; Department of Finance, School of Business and Economics, Universiti Brunei Darussalam, Gadong, Brunei Darussalam; email: uhumar21@gmail.com","page":"401-417","publisher":"Emerald Group Holdings Ltd.","publisher-place":"Department of Finance, School of Business and Economics, Universiti Brunei Darussalam, Gadong, Brunei Darussalam","title":"Do academic and professional institutions promote the awareness and knowledge of Islamic banking and finance in Nigeria?","type":"article-journal","volume":"12"},"uris":["http://www.mendeley.com/documents/?uuid=b33fbfbe-f092-4c61-b7e4-1161c6244543"]}],"mendeley":{"formattedCitation":"(Umar et al., 2021)","plainTextFormattedCitation":"(Umar et al., 2021)","previouslyFormattedCitation":"(Umar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(Umar et al., 2021)</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7E8E6" w14:textId="26DA74E7"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eastAsia="Calibri" w:cs="Traditional Arabic"/>
          <w:b/>
          <w:bCs/>
          <w:noProof/>
          <w:sz w:val="24"/>
          <w:szCs w:val="24"/>
          <w:lang w:val="en-ID" w:eastAsia="en-US"/>
        </w:rPr>
        <w:drawing>
          <wp:inline distT="0" distB="0" distL="0" distR="0" wp14:anchorId="25C37A6A" wp14:editId="573C0CB3">
            <wp:extent cx="5730875" cy="2438400"/>
            <wp:effectExtent l="0" t="0" r="3175" b="0"/>
            <wp:docPr id="11094037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2438400"/>
                    </a:xfrm>
                    <a:prstGeom prst="rect">
                      <a:avLst/>
                    </a:prstGeom>
                    <a:noFill/>
                  </pic:spPr>
                </pic:pic>
              </a:graphicData>
            </a:graphic>
          </wp:inline>
        </w:drawing>
      </w:r>
    </w:p>
    <w:p w14:paraId="15374C36" w14:textId="77777777" w:rsidR="00B06D1D" w:rsidRDefault="00B06D1D" w:rsidP="00B06D1D">
      <w:pPr>
        <w:pStyle w:val="NormalWeb"/>
        <w:jc w:val="center"/>
        <w:rPr>
          <w:rFonts w:ascii="Calibri Light" w:hAnsi="Calibri Light" w:cs="Calibri Light"/>
        </w:rPr>
      </w:pPr>
      <w:r w:rsidRPr="00B06D1D">
        <w:rPr>
          <w:rFonts w:ascii="Calibri Light" w:hAnsi="Calibri Light" w:cs="Calibri Light"/>
          <w:b/>
          <w:bCs/>
        </w:rPr>
        <w:t>Figure 6</w:t>
      </w:r>
      <w:r w:rsidRPr="00B06D1D">
        <w:rPr>
          <w:rFonts w:ascii="Calibri Light" w:hAnsi="Calibri Light" w:cs="Calibri Light"/>
          <w:b/>
          <w:bCs/>
          <w:rtl/>
        </w:rPr>
        <w:t>.</w:t>
      </w:r>
      <w:r w:rsidRPr="00B06D1D">
        <w:rPr>
          <w:rFonts w:ascii="Calibri Light" w:hAnsi="Calibri Light" w:cs="Calibri Light"/>
        </w:rPr>
        <w:t xml:space="preserve"> Bibliometric Comparison of Leading Countries in Basel and Islamic Banking Research</w:t>
      </w:r>
    </w:p>
    <w:p w14:paraId="4D3F7AC5" w14:textId="77777777" w:rsidR="00B06D1D" w:rsidRPr="00B06D1D" w:rsidRDefault="00B06D1D" w:rsidP="00B06D1D">
      <w:pPr>
        <w:pStyle w:val="NormalWeb"/>
        <w:jc w:val="center"/>
        <w:rPr>
          <w:rFonts w:ascii="Calibri Light" w:hAnsi="Calibri Light" w:cs="Calibri Light"/>
        </w:rPr>
      </w:pPr>
    </w:p>
    <w:p w14:paraId="3C4098EB" w14:textId="3F1341F9" w:rsidR="00B06D1D" w:rsidRDefault="00B06D1D" w:rsidP="00B06D1D">
      <w:pPr>
        <w:autoSpaceDE/>
        <w:autoSpaceDN/>
        <w:spacing w:after="200" w:line="276" w:lineRule="auto"/>
        <w:ind w:left="426"/>
        <w:jc w:val="both"/>
        <w:rPr>
          <w:rFonts w:ascii="Calibri Light" w:eastAsia="MS Mincho" w:hAnsi="Calibri Light" w:cs="Calibri Light"/>
          <w:sz w:val="24"/>
          <w:szCs w:val="24"/>
          <w:rtl/>
          <w:lang w:eastAsia="en-US"/>
        </w:rPr>
      </w:pPr>
      <w:proofErr w:type="spellStart"/>
      <w:r w:rsidRPr="00B06D1D">
        <w:rPr>
          <w:rFonts w:ascii="Calibri Light" w:eastAsia="MS Mincho" w:hAnsi="Calibri Light" w:cs="Calibri Light"/>
          <w:sz w:val="24"/>
          <w:szCs w:val="24"/>
          <w:lang w:eastAsia="en-US"/>
        </w:rPr>
        <w:t>VOSviewer</w:t>
      </w:r>
      <w:proofErr w:type="spellEnd"/>
      <w:r w:rsidRPr="00B06D1D">
        <w:rPr>
          <w:rFonts w:ascii="Calibri Light" w:eastAsia="MS Mincho" w:hAnsi="Calibri Light" w:cs="Calibri Light"/>
          <w:sz w:val="24"/>
          <w:szCs w:val="24"/>
          <w:lang w:eastAsia="en-US"/>
        </w:rPr>
        <w:t xml:space="preserve"> was utilized to visualize the bibliographic relationships and linkages among countries contributing to the literature on the Basel Accords and their impact on Islamic banking regulations, as illustrated in the figure above. The minimum threshold for inclusion in the analysis was set at five publications per country, resulting in 45 countries being classified into nine color-coded clusters based on the strength of their bibliographic connections. Malaysia appears as the central node in the red cluster, representing the most influential and highly cited country in this field </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0900AD">
        <w:rPr>
          <w:rFonts w:ascii="Calibri Light" w:eastAsia="MS Mincho" w:hAnsi="Calibri Light" w:cs="Calibri Light"/>
          <w:sz w:val="24"/>
          <w:szCs w:val="24"/>
          <w:lang w:eastAsia="en-US"/>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Management","id":"ITEM-1","issue":"1","issued":{"date-parts":[["2024"]]},"language":"English","note":"Export Date: 24 April 2025; Cited By: 1; Correspondence Address: M. Rashid; Christ Church Business School, Canterbury Christ Church University, Canterbury, United Kingdom; email: mamunur.rashid@canterbury.ac.uk","publisher":"Palgrave Macmillan","publisher-place":"University of New Orleans, New Orleans, United States","title":"A systematic literature review of risks in Islamic banking system: research agenda and future research directions","type":"article-journal","volume":"26"},"uris":["http://www.mendeley.com/documents/?uuid=29be0313-4205-4f75-bd8e-843b0f350c6d"]}],"mendeley":{"formattedCitation":"(Hassan et al., 2024)","plainTextFormattedCitation":"(Hassan et al., 2024)","previouslyFormattedCitation":"(M. K. Hassan et al.,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0900AD" w:rsidRPr="000900AD">
        <w:rPr>
          <w:rFonts w:ascii="Calibri Light" w:eastAsia="MS Mincho" w:hAnsi="Calibri Light" w:cs="Calibri Light"/>
          <w:noProof/>
          <w:sz w:val="24"/>
          <w:szCs w:val="24"/>
          <w:lang w:eastAsia="en-US"/>
        </w:rPr>
        <w:t>(Hassan et al.,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 Indonesia serves as the core of the pink cluster, indicating a relatively independent yet connected research pathway, particularly with countries like Iraq and Switzerland. Saudi Arabia and Pakistan are also key nodes within their respective clusters, with strong linkages to countries such as the United Kingdom, Jordan, and China, reflecting a diverse and collaborative research landscape. The thickness of the lines connecting countries represents the strength of their bibliographic coupling—thicker lines indicate stronger co-citation ties—while the size of each node corresponds to the number of citations received, making this map a powerful tool to highlight active research hubs and regional collaborations in the evolving academic discourse on Basel regulations and Islamic banking</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{"citationItems":[{"id":"ITEM-1","itemData":{"DOI":"10.48161/qaj.v4n1a198","ISSN":"27098206 (ISSN)","abstract":"Sharia Banking is a business entity that carries out the function of collecting funds from parties with a surplus of funds and then channeling them to parties with a deficit of funds and providing other financial services based on Islamic sharia principles. This article analyzes. This type of research uses normative legal research, using a conceptual approach and a statutory approach as well as the Koran and hadith, primary and secondary. Legal materials obtained and analyzed qualitatively and then presented descriptively. The article aims to explain in general, the principles of sharia financing business activities include justice ('adl), balance (tawazun), kemashlahatan (maslahah), universalism (alamiyah), and do not contain gharar, maisir, usury, zhulm, risywah, and other haram objects. Financing or financing is funding provided by one party to another to support planned investments, both carried out by themselves and institutions. In other words, financing is funding issued to support planned investments. Law Number 10 of 1998 states that financing based on sharia principles is the provision of money or bills that are equated with it based on an agreement or agreement between a bank and another party that requires the financed party to return the money or bill after a certain period of time in return or profit sharing. © 2024, Qubahan. All rights reserved.","author":[{"dropping-particle":"","family":"Syah","given":"D","non-dropping-particle":"","parse-names":false,"suffix":""},{"dropping-particle":"","family":"Rahmadani","given":"G","non-dropping-particle":"","parse-names":false,"suffix":""}],"container-title":"Qubahan Academic Journal ","id":"ITEM-1","issue":"1","issued":{"date-parts":[["2024"]]},"language":"English","note":"Export Date: 24 April 2025; Cited By: 0; Correspondence Address: D. Syah; Department of Law, Faculty of Law, Universitas Islam Sumatera Utara, Indonesia; email: danialsyah@fh.uisu.ac.id","page":"300-309","publisher":"Qubahan","publisher-place":"Department of Law, Faculty of Law, Universitas Islam Sumatera Utara, Indonesia","title":"The Profit-Sharing System in Financing Islamic Banking","type":"article-journal","volume":"4"},"uris":["http://www.mendeley.com/documents/?uuid=0aa12dbd-6a6e-457e-89f5-c01d54a34ffd"]}],"mendeley":{"formattedCitation":"(Syah &amp; Rahmadani, 2024)","plainTextFormattedCitation":"(Syah &amp; Rahmadani, 2024)","previouslyFormattedCitation":"(Syah &amp; Rahmadani,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(Syah &amp; Rahmadani,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w:t>
      </w:r>
    </w:p>
    <w:p w14:paraId="6F1472B7" w14:textId="5FA85F18" w:rsidR="008F1989" w:rsidRDefault="007774E4" w:rsidP="007774E4">
      <w:pPr>
        <w:autoSpaceDE/>
        <w:autoSpaceDN/>
        <w:spacing w:after="200" w:line="276" w:lineRule="auto"/>
        <w:ind w:left="426"/>
        <w:jc w:val="both"/>
        <w:rPr>
          <w:rFonts w:ascii="Calibri Light" w:eastAsia="MS Mincho" w:hAnsi="Calibri Light" w:cs="Calibri Light"/>
          <w:sz w:val="24"/>
          <w:szCs w:val="24"/>
          <w:lang w:eastAsia="en-US"/>
        </w:rPr>
      </w:pPr>
      <w:r w:rsidRPr="008F1989">
        <w:rPr>
          <w:rFonts w:eastAsia="Calibri" w:cs="Traditional Arabic"/>
          <w:noProof/>
          <w:sz w:val="24"/>
          <w:szCs w:val="24"/>
          <w:lang w:val="en-ID" w:eastAsia="en-US"/>
        </w:rPr>
        <w:lastRenderedPageBreak/>
        <w:drawing>
          <wp:anchor distT="0" distB="0" distL="114300" distR="114300" simplePos="0" relativeHeight="251697664" behindDoc="0" locked="0" layoutInCell="1" allowOverlap="1" wp14:anchorId="4052B1DA" wp14:editId="41855D4B">
            <wp:simplePos x="0" y="0"/>
            <wp:positionH relativeFrom="margin">
              <wp:posOffset>334010</wp:posOffset>
            </wp:positionH>
            <wp:positionV relativeFrom="paragraph">
              <wp:posOffset>501015</wp:posOffset>
            </wp:positionV>
            <wp:extent cx="5316220" cy="2370455"/>
            <wp:effectExtent l="0" t="0" r="0" b="0"/>
            <wp:wrapTopAndBottom/>
            <wp:docPr id="5415610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6220" cy="2370455"/>
                    </a:xfrm>
                    <a:prstGeom prst="rect">
                      <a:avLst/>
                    </a:prstGeom>
                    <a:noFill/>
                  </pic:spPr>
                </pic:pic>
              </a:graphicData>
            </a:graphic>
            <wp14:sizeRelH relativeFrom="margin">
              <wp14:pctWidth>0</wp14:pctWidth>
            </wp14:sizeRelH>
            <wp14:sizeRelV relativeFrom="margin">
              <wp14:pctHeight>0</wp14:pctHeight>
            </wp14:sizeRelV>
          </wp:anchor>
        </w:drawing>
      </w:r>
    </w:p>
    <w:p w14:paraId="112FEA88" w14:textId="357651E4" w:rsidR="008F1989" w:rsidRDefault="008F1989" w:rsidP="008F1989">
      <w:pPr>
        <w:autoSpaceDE/>
        <w:autoSpaceDN/>
        <w:spacing w:after="200" w:line="276" w:lineRule="auto"/>
        <w:ind w:left="426"/>
        <w:jc w:val="center"/>
        <w:rPr>
          <w:rFonts w:ascii="Calibri Light" w:eastAsia="MS Mincho" w:hAnsi="Calibri Light" w:cs="Calibri Light"/>
          <w:sz w:val="24"/>
          <w:szCs w:val="24"/>
          <w:rtl/>
          <w:lang w:eastAsia="en-US"/>
        </w:rPr>
      </w:pPr>
      <w:bookmarkStart w:id="18" w:name="_Hlk196319795"/>
      <w:r w:rsidRPr="008F1989">
        <w:rPr>
          <w:rFonts w:ascii="Calibri Light" w:eastAsia="MS Mincho" w:hAnsi="Calibri Light" w:cs="Calibri Light"/>
          <w:b/>
          <w:bCs/>
          <w:sz w:val="24"/>
          <w:szCs w:val="24"/>
          <w:lang w:eastAsia="en-US"/>
        </w:rPr>
        <w:t>Figure 7.</w:t>
      </w:r>
      <w:r w:rsidRPr="008F1989">
        <w:rPr>
          <w:rFonts w:ascii="Calibri Light" w:eastAsia="MS Mincho" w:hAnsi="Calibri Light" w:cs="Calibri Light"/>
          <w:sz w:val="24"/>
          <w:szCs w:val="24"/>
          <w:lang w:eastAsia="en-US"/>
        </w:rPr>
        <w:t xml:space="preserve"> </w:t>
      </w:r>
      <w:bookmarkEnd w:id="18"/>
      <w:r w:rsidRPr="008F1989">
        <w:rPr>
          <w:rFonts w:ascii="Calibri Light" w:eastAsia="MS Mincho" w:hAnsi="Calibri Light" w:cs="Calibri Light"/>
          <w:sz w:val="24"/>
          <w:szCs w:val="24"/>
          <w:lang w:eastAsia="en-US"/>
        </w:rPr>
        <w:t>Bibliographic Coupling Network of Countries</w:t>
      </w:r>
    </w:p>
    <w:p w14:paraId="1E821FDF" w14:textId="037FE01B" w:rsidR="00923573" w:rsidRPr="00923573" w:rsidRDefault="005A6A0E" w:rsidP="00E363A9">
      <w:pPr>
        <w:autoSpaceDE/>
        <w:autoSpaceDN/>
        <w:spacing w:after="200" w:line="276" w:lineRule="auto"/>
        <w:ind w:left="426"/>
        <w:jc w:val="both"/>
        <w:rPr>
          <w:rFonts w:ascii="Calibri Light" w:eastAsia="MS Mincho" w:hAnsi="Calibri Light" w:cs="Calibri Light"/>
          <w:b/>
          <w:bCs/>
          <w:sz w:val="24"/>
          <w:szCs w:val="24"/>
          <w:lang w:eastAsia="en-US"/>
        </w:rPr>
      </w:pPr>
      <w:r w:rsidRPr="005A6A0E">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4</w:t>
      </w:r>
      <w:r w:rsidRPr="005A6A0E">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00E363A9" w:rsidRPr="00E363A9">
        <w:rPr>
          <w:rFonts w:ascii="Calibri Light" w:eastAsia="MS Mincho" w:hAnsi="Calibri Light" w:cs="Calibri Light"/>
          <w:b/>
          <w:bCs/>
          <w:sz w:val="24"/>
          <w:szCs w:val="24"/>
          <w:lang w:eastAsia="en-US"/>
        </w:rPr>
        <w:t>Top Sources and Institutions in Islamic Banking Research</w:t>
      </w:r>
    </w:p>
    <w:p w14:paraId="52FA7FC8" w14:textId="2E973812" w:rsidR="008D5536" w:rsidRDefault="00923573" w:rsidP="008D5536">
      <w:pPr>
        <w:autoSpaceDE/>
        <w:autoSpaceDN/>
        <w:spacing w:after="200" w:line="276" w:lineRule="auto"/>
        <w:ind w:left="426"/>
        <w:jc w:val="both"/>
        <w:rPr>
          <w:rFonts w:ascii="Calibri Light" w:eastAsia="MS Mincho" w:hAnsi="Calibri Light" w:cs="Calibri Light"/>
          <w:sz w:val="24"/>
          <w:szCs w:val="24"/>
          <w:rtl/>
          <w:lang w:eastAsia="en-US"/>
        </w:rPr>
      </w:pPr>
      <w:r w:rsidRPr="00923573">
        <w:rPr>
          <w:rFonts w:ascii="Calibri Light" w:eastAsia="MS Mincho" w:hAnsi="Calibri Light" w:cs="Calibri Light"/>
          <w:sz w:val="24"/>
          <w:szCs w:val="24"/>
          <w:lang w:eastAsia="en-US"/>
        </w:rPr>
        <w:t xml:space="preserve">The 4th research question is: </w:t>
      </w:r>
      <w:r w:rsidR="008D5536" w:rsidRPr="008D5536">
        <w:rPr>
          <w:rFonts w:ascii="Calibri Light" w:eastAsia="MS Mincho" w:hAnsi="Calibri Light" w:cs="Calibri Light"/>
          <w:sz w:val="24"/>
          <w:szCs w:val="24"/>
          <w:lang w:eastAsia="en-US"/>
        </w:rPr>
        <w:t>Which sources and institutions have most influenced Islamic banking research and its development</w:t>
      </w:r>
      <w:r w:rsidR="008D5536">
        <w:rPr>
          <w:rFonts w:ascii="Calibri Light" w:eastAsia="MS Mincho" w:hAnsi="Calibri Light" w:cs="Calibri Light"/>
          <w:sz w:val="24"/>
          <w:szCs w:val="24"/>
          <w:lang w:eastAsia="en-US"/>
        </w:rPr>
        <w:t>?</w:t>
      </w:r>
    </w:p>
    <w:p w14:paraId="74416116" w14:textId="326A1B75" w:rsidR="00706053" w:rsidRDefault="008D5536" w:rsidP="008D5536">
      <w:pPr>
        <w:autoSpaceDE/>
        <w:autoSpaceDN/>
        <w:spacing w:after="200" w:line="276" w:lineRule="auto"/>
        <w:ind w:left="426"/>
        <w:jc w:val="both"/>
        <w:rPr>
          <w:rFonts w:ascii="Calibri Light" w:eastAsia="MS Mincho" w:hAnsi="Calibri Light" w:cs="Calibri Light"/>
          <w:sz w:val="24"/>
          <w:szCs w:val="24"/>
          <w:rtl/>
          <w:lang w:eastAsia="en-US"/>
        </w:rPr>
      </w:pPr>
      <w:r w:rsidRPr="008D5536">
        <w:rPr>
          <w:rFonts w:ascii="Calibri Light" w:eastAsia="MS Mincho" w:hAnsi="Calibri Light" w:cs="Calibri Light"/>
          <w:b/>
          <w:bCs/>
          <w:sz w:val="24"/>
          <w:szCs w:val="24"/>
          <w:lang w:eastAsia="en-US"/>
        </w:rPr>
        <w:t xml:space="preserve"> </w:t>
      </w:r>
      <w:r w:rsidRPr="008D5536">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8</w:t>
      </w:r>
      <w:r w:rsidR="00706053" w:rsidRPr="00706053">
        <w:rPr>
          <w:rFonts w:ascii="Calibri Light" w:eastAsia="MS Mincho" w:hAnsi="Calibri Light" w:cs="Calibri Light"/>
          <w:sz w:val="24"/>
          <w:szCs w:val="24"/>
          <w:lang w:eastAsia="en-US"/>
        </w:rPr>
        <w:t xml:space="preserve"> presents an analysis of the most influential academic institutions in the field of Islamic banking research, based on the number of publications indexed in the Scopus database. The International Islamic University Malaysia (IIUM) ranks first with 78 publications, followed by </w:t>
      </w:r>
      <w:proofErr w:type="spellStart"/>
      <w:r w:rsidR="00706053" w:rsidRPr="00706053">
        <w:rPr>
          <w:rFonts w:ascii="Calibri Light" w:eastAsia="MS Mincho" w:hAnsi="Calibri Light" w:cs="Calibri Light"/>
          <w:sz w:val="24"/>
          <w:szCs w:val="24"/>
          <w:lang w:eastAsia="en-US"/>
        </w:rPr>
        <w:t>Universiti</w:t>
      </w:r>
      <w:proofErr w:type="spellEnd"/>
      <w:r w:rsidR="00706053" w:rsidRPr="00706053">
        <w:rPr>
          <w:rFonts w:ascii="Calibri Light" w:eastAsia="MS Mincho" w:hAnsi="Calibri Light" w:cs="Calibri Light"/>
          <w:sz w:val="24"/>
          <w:szCs w:val="24"/>
          <w:lang w:eastAsia="en-US"/>
        </w:rPr>
        <w:t xml:space="preserve"> Malaya (44 publications) and INCEIF University (42 publications), reflecting the leading role of Malaysian institutions in this area</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{"citationItems":[{"id":"ITEM-1","itemData":{"DOI":"10.1108/IJOES-03-2021-0053","ISSN":"25149369 (ISSN)","abstract":"Purpose: Islamic banking industry with all of its exponential growth and global recognition has been under criticism for the past two decades. However, the problem signifies further when such criticism is made from within the organization and is well supported by outside (the customers). The purpose of this study is to provide a coherent exploration to investigate the factors that polarize its employees and customers across many parts of the world. Design/methodology/approach: To investigate the phenomenon, a total of 30 responses were taken through interviews 15 each from customers and employees. Afterwards, the data was analysed and summarized into two categories. In doing so, the top five Malaysia’s Islamic banks were shortlisted to collect data from employees and customers. Findings: A detailed thematic analysis resulted in six themes (Contradiction between theory and practice, Islamic banking knowledge and awareness, inadequate Shariah training, employees’ background, Shariah compliance, Islamic banking benefits) for employees and five (Islamic banking benefits, applying Shariah in Islamic banking, knowledge of Islamic banking, Islamic banking promotion, Islamic banking employees’ behaviour) for customers, respectively. Research limitations/implications: The results have stronger implications for both practice and theory as organizations can assess stakeholders and their perceptions about Islamic banking. Another implication is the comparative examination of employees and customers which can potentially affect decision and policy making in Islamic banks. Islamic banks can also address employment-related issues related to employees’ behaviour vis-à-vis marketing-related problems faced by its customers that will ultimately improve its global market share and strategic positioning. Originality/value: The study is based on the importance of Islamic banking in Malaysia and explores the factors that potentially create a positive or negative insight into Islamic banking – both in employees and customers. © 2021, Emerald Publishing Limited.","author":[{"dropping-particle":"","family":"Ali","given":"S A","non-dropping-particle":"","parse-names":false,"suffix":""},{"dropping-particle":"","family":"Loussaief","given":"A","non-dropping-particle":"","parse-names":false,"suffix":""},{"dropping-particle":"","family":"Ahmed","given":"M","non-dropping-particle":"","parse-names":false,"suffix":""}],"container-title":"International Journal of Ethics and Systems","id":"ITEM-1","issue":"2","issued":{"date-parts":[["2022"]]},"language":"English","note":"Export Date: 24 April 2025; Cited By: 5; Correspondence Address: S.A. Ali; University of Management and Technology, Lahore, Main Campus, Pakistan; email: sahmedzaidi@gmail.com","page":"209-234","publisher":"Emerald Group Holdings Ltd.","publisher-place":"University of Management and Technology, Main Campus, Lahore, Pakistan","title":"A comparative analysis of employees’ and customers’ attitude towards Islamic banking","type":"article-journal","volume":"38"},"uris":["http://www.mendeley.com/documents/?uuid=79aadb05-bdf0-4026-9d34-1841afbc081c"]}],"mendeley":{"formattedCitation":"(S. A. Ali et al., 2022)","plainTextFormattedCitation":"(S. A. Ali et al., 2022)","previouslyFormattedCitation":"(S. 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 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 The accompanying Pareto curve indicates that a substantial portion of research output is concentrated within a limited number of institutions, with the top three alone accounting for nearly half of the total publications. This concentration highlights Malaysia’s position as an academic and intellectual hub in the development of Islamic banking studies, particularly in the context of aligning Sharia principles with the regulatory requirements of the Basel Accords. This analysis underscores the importance of institutional contributions in shaping academic discourse on the legal and regulatory challenges facing Islamic banks within the framework of international financial regulation</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{"citationItems":[{"id":"ITEM-1","itemData":{"DOI":"10.4197/Islec.35-2.4","ISSN":"10187383 (ISSN)","abstract":"The adoption of the Islamic Financial Services Board (IFSB) criteria for Islamic banks is more challenging for a bigger number of supervisory and regulatory authorities than for conventional banks. This paper investigated the IFSB-15 standard; revised capital adequacy standard for institutions offering Islamic financial services [excluding islamic insurance (takāful) institutions and islamic collective investment schemes], by evaluating the possibility of its adoption within a dual banking system and introduced an analysis of the effects of Islamic banks in Pakistan. The study found that in practise, investment account holders are treated as conventional depositors that are capital-guaranteed rather than basing that allocation on the basis of profit and loss sharing (PLS) in accordance to Sharīʿah norms and stipulations. This treatment forced Islamic banking institutions to take a market-perspective approach to profit distribution. This makes them ensure a steady profit pay-out (paying a competitive rate of return by accepting displaced commercial risk). The paper therefore suggested that the implementation of technical standards has to be accompanied with institutional growth, like that involved in the Islamic banking structure and institutional capacity in accordace to the substance of Sharīʿah norms and stipulations rather than the form. © 2022,Journal of King Abdulaziz University, Islamic Economics. All Rights Reserved.","author":[{"dropping-particle":"","family":"Ali","given":"A","non-dropping-particle":"","parse-names":false,"suffix":""},{"dropping-particle":"","family":"Zulkhibri","given":"M","non-dropping-particle":"","parse-names":false,"suffix":""},{"dropping-particle":"","family":"Kishwar","given":"T","non-dropping-particle":"","parse-names":false,"suffix":""}],"container-title":"Journal of King Abdulaziz University, Islamic Economics","id":"ITEM-1","issue":"2","issued":{"date-parts":[["2022"]]},"language":"English","note":"Export Date: 24 April 2025; Cited By: 0","page":"55-76","publisher":"King Abdulaziz University Scientific Publishing Center","publisher-place":"COMMECS Institute of Business and Emerging Sciences, Karachi, Pakistan","title":"IFSB Standards Adoption and Its Impact on Islamic Banking Practices: Evidence from Pakistan","type":"article-journal","volume":"35"},"uris":["http://www.mendeley.com/documents/?uuid=79b5ec51-66cc-4dbd-b8b7-bb0b29ae952a"]}],"mendeley":{"formattedCitation":"(A. Ali et al., 2022)","plainTextFormattedCitation":"(A. Ali et al., 2022)","previouslyFormattedCitation":"(A.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w:t>
      </w:r>
    </w:p>
    <w:p w14:paraId="7B32F76F" w14:textId="77777777" w:rsidR="00706053" w:rsidRPr="00923573" w:rsidRDefault="00706053" w:rsidP="00706053">
      <w:pPr>
        <w:autoSpaceDE/>
        <w:autoSpaceDN/>
        <w:spacing w:after="200" w:line="276" w:lineRule="auto"/>
        <w:ind w:left="426"/>
        <w:jc w:val="both"/>
        <w:rPr>
          <w:rFonts w:ascii="Calibri Light" w:eastAsia="MS Mincho" w:hAnsi="Calibri Light" w:cs="Calibri Light"/>
          <w:sz w:val="24"/>
          <w:szCs w:val="24"/>
          <w:lang w:eastAsia="en-US"/>
        </w:rPr>
      </w:pPr>
    </w:p>
    <w:p w14:paraId="70BCC519" w14:textId="0666BACE" w:rsidR="008F1989" w:rsidRPr="00CB660C" w:rsidRDefault="00CB660C" w:rsidP="00CB660C">
      <w:pPr>
        <w:autoSpaceDE/>
        <w:autoSpaceDN/>
        <w:spacing w:after="200" w:line="276" w:lineRule="auto"/>
        <w:jc w:val="center"/>
        <w:rPr>
          <w:rFonts w:ascii="Calibri Light" w:eastAsia="MS Mincho" w:hAnsi="Calibri Light" w:cs="Calibri Light"/>
          <w:sz w:val="24"/>
          <w:szCs w:val="24"/>
          <w:lang w:val="en-GB" w:eastAsia="en-US"/>
        </w:rPr>
      </w:pPr>
      <w:r w:rsidRPr="00706053">
        <w:rPr>
          <w:rFonts w:eastAsia="Calibri" w:cs="Traditional Arabic"/>
          <w:noProof/>
          <w:sz w:val="24"/>
          <w:szCs w:val="24"/>
          <w:lang w:val="en-ID" w:eastAsia="en-US"/>
        </w:rPr>
        <w:lastRenderedPageBreak/>
        <w:drawing>
          <wp:anchor distT="0" distB="0" distL="114300" distR="114300" simplePos="0" relativeHeight="251699712" behindDoc="0" locked="0" layoutInCell="1" allowOverlap="1" wp14:anchorId="7EF6B9B8" wp14:editId="7FD6CA5A">
            <wp:simplePos x="0" y="0"/>
            <wp:positionH relativeFrom="margin">
              <wp:align>center</wp:align>
            </wp:positionH>
            <wp:positionV relativeFrom="paragraph">
              <wp:posOffset>34946</wp:posOffset>
            </wp:positionV>
            <wp:extent cx="5162550" cy="2585085"/>
            <wp:effectExtent l="0" t="0" r="0" b="5715"/>
            <wp:wrapTopAndBottom/>
            <wp:docPr id="12475542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68943" cy="25887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5A4B" w:rsidRPr="00706053">
        <w:rPr>
          <w:rFonts w:ascii="Calibri Light" w:eastAsia="MS Mincho" w:hAnsi="Calibri Light" w:cs="Calibri Light"/>
          <w:b/>
          <w:bCs/>
          <w:sz w:val="24"/>
          <w:szCs w:val="24"/>
          <w:lang w:eastAsia="en-US"/>
        </w:rPr>
        <w:t xml:space="preserve">Figure </w:t>
      </w:r>
      <w:r w:rsidR="008D75B2">
        <w:rPr>
          <w:rFonts w:ascii="Calibri Light" w:eastAsia="MS Mincho" w:hAnsi="Calibri Light" w:cs="Calibri Light"/>
          <w:b/>
          <w:bCs/>
          <w:sz w:val="24"/>
          <w:szCs w:val="24"/>
          <w:lang w:eastAsia="en-US"/>
        </w:rPr>
        <w:t>8</w:t>
      </w:r>
      <w:r w:rsidR="00B75A4B" w:rsidRPr="00706053">
        <w:rPr>
          <w:rFonts w:ascii="Calibri Light" w:eastAsia="MS Mincho" w:hAnsi="Calibri Light" w:cs="Calibri Light"/>
          <w:b/>
          <w:bCs/>
          <w:sz w:val="24"/>
          <w:szCs w:val="24"/>
          <w:lang w:eastAsia="en-US"/>
        </w:rPr>
        <w:t>.</w:t>
      </w:r>
      <w:r w:rsidR="00B75A4B" w:rsidRPr="00706053">
        <w:rPr>
          <w:rFonts w:ascii="Calibri Light" w:eastAsia="MS Mincho" w:hAnsi="Calibri Light" w:cs="Calibri Light"/>
          <w:sz w:val="24"/>
          <w:szCs w:val="24"/>
          <w:lang w:eastAsia="en-US"/>
        </w:rPr>
        <w:t xml:space="preserve"> Top Contributing Institutions in Islamic Banking Research</w:t>
      </w:r>
      <w:r w:rsidR="00B75A4B" w:rsidRPr="00706053">
        <w:rPr>
          <w:rFonts w:eastAsia="Calibri" w:cs="Traditional Arabic"/>
          <w:noProof/>
          <w:sz w:val="24"/>
          <w:szCs w:val="24"/>
          <w:lang w:val="en-ID" w:eastAsia="en-US"/>
        </w:rPr>
        <w:t xml:space="preserve"> </w:t>
      </w:r>
    </w:p>
    <w:tbl>
      <w:tblPr>
        <w:tblStyle w:val="PlainTable21"/>
        <w:tblW w:w="0" w:type="auto"/>
        <w:tblLook w:val="04A0" w:firstRow="1" w:lastRow="0" w:firstColumn="1" w:lastColumn="0" w:noHBand="0" w:noVBand="1"/>
      </w:tblPr>
      <w:tblGrid>
        <w:gridCol w:w="2232"/>
        <w:gridCol w:w="1008"/>
        <w:gridCol w:w="762"/>
        <w:gridCol w:w="848"/>
        <w:gridCol w:w="2344"/>
        <w:gridCol w:w="1441"/>
      </w:tblGrid>
      <w:tr w:rsidR="00B75A4B" w14:paraId="08CCC053" w14:textId="77777777" w:rsidTr="00835E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shd w:val="clear" w:color="auto" w:fill="E5B8B7" w:themeFill="accent2" w:themeFillTint="66"/>
          </w:tcPr>
          <w:p w14:paraId="50120BFC" w14:textId="6BADE5CB" w:rsidR="009C7D8B" w:rsidRPr="005A1BE1" w:rsidRDefault="009C7D8B" w:rsidP="001834D8">
            <w:pPr>
              <w:autoSpaceDE/>
              <w:autoSpaceDN/>
              <w:spacing w:after="200" w:line="276" w:lineRule="auto"/>
              <w:jc w:val="center"/>
              <w:rPr>
                <w:rFonts w:ascii="Calibri Light" w:eastAsia="MS Mincho" w:hAnsi="Calibri Light" w:cs="Calibri Light"/>
                <w:b w:val="0"/>
                <w:bCs w:val="0"/>
                <w:lang w:eastAsia="en-US"/>
              </w:rPr>
            </w:pPr>
            <w:r w:rsidRPr="005A1BE1">
              <w:rPr>
                <w:rFonts w:ascii="Calibri Light" w:eastAsia="MS Mincho" w:hAnsi="Calibri Light" w:cs="Calibri Light"/>
                <w:lang w:eastAsia="en-US"/>
              </w:rPr>
              <w:t>Source/Journal</w:t>
            </w:r>
          </w:p>
        </w:tc>
        <w:tc>
          <w:tcPr>
            <w:tcW w:w="1008" w:type="dxa"/>
            <w:shd w:val="clear" w:color="auto" w:fill="E5B8B7" w:themeFill="accent2" w:themeFillTint="66"/>
          </w:tcPr>
          <w:p w14:paraId="5F629D5C" w14:textId="7D59067E" w:rsidR="009C7D8B" w:rsidRPr="005A1BE1" w:rsidRDefault="009C7D8B" w:rsidP="001834D8">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TP</w:t>
            </w:r>
          </w:p>
        </w:tc>
        <w:tc>
          <w:tcPr>
            <w:tcW w:w="762" w:type="dxa"/>
            <w:shd w:val="clear" w:color="auto" w:fill="E5B8B7" w:themeFill="accent2" w:themeFillTint="66"/>
          </w:tcPr>
          <w:p w14:paraId="653BB1F4" w14:textId="555B9799" w:rsidR="009C7D8B" w:rsidRPr="005A1BE1" w:rsidRDefault="009C7D8B" w:rsidP="00706053">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TC</w:t>
            </w:r>
          </w:p>
        </w:tc>
        <w:tc>
          <w:tcPr>
            <w:tcW w:w="848" w:type="dxa"/>
            <w:shd w:val="clear" w:color="auto" w:fill="E5B8B7" w:themeFill="accent2" w:themeFillTint="66"/>
          </w:tcPr>
          <w:p w14:paraId="772A6E7C" w14:textId="7E7944A4" w:rsidR="009C7D8B" w:rsidRPr="005A1BE1" w:rsidRDefault="009C7D8B" w:rsidP="009C7D8B">
            <w:pPr>
              <w:autoSpaceDE/>
              <w:autoSpaceDN/>
              <w:spacing w:after="200" w:line="276" w:lineRule="auto"/>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9C7D8B">
              <w:rPr>
                <w:rFonts w:ascii="Calibri Light" w:eastAsia="MS Mincho" w:hAnsi="Calibri Light" w:cs="Calibri Light"/>
                <w:lang w:eastAsia="en-US"/>
              </w:rPr>
              <w:t>Cite score</w:t>
            </w:r>
          </w:p>
        </w:tc>
        <w:tc>
          <w:tcPr>
            <w:tcW w:w="2344" w:type="dxa"/>
            <w:shd w:val="clear" w:color="auto" w:fill="E5B8B7" w:themeFill="accent2" w:themeFillTint="66"/>
          </w:tcPr>
          <w:p w14:paraId="2098033E" w14:textId="1EF4F32D"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The most</w:t>
            </w:r>
            <w:r w:rsidR="00DD6F37">
              <w:rPr>
                <w:rFonts w:ascii="Calibri Light" w:eastAsia="MS Mincho" w:hAnsi="Calibri Light" w:cs="Calibri Light"/>
                <w:lang w:eastAsia="en-US"/>
              </w:rPr>
              <w:t xml:space="preserve"> </w:t>
            </w:r>
            <w:r w:rsidRPr="005A1BE1">
              <w:rPr>
                <w:rFonts w:ascii="Calibri Light" w:eastAsia="MS Mincho" w:hAnsi="Calibri Light" w:cs="Calibri Light"/>
                <w:lang w:eastAsia="en-US"/>
              </w:rPr>
              <w:t>cited</w:t>
            </w:r>
          </w:p>
          <w:p w14:paraId="3E26CE2F" w14:textId="02C11CDF"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article</w:t>
            </w:r>
          </w:p>
        </w:tc>
        <w:tc>
          <w:tcPr>
            <w:tcW w:w="1441" w:type="dxa"/>
            <w:shd w:val="clear" w:color="auto" w:fill="E5B8B7" w:themeFill="accent2" w:themeFillTint="66"/>
          </w:tcPr>
          <w:p w14:paraId="71C0B42B" w14:textId="66A0036D" w:rsidR="009C7D8B" w:rsidRPr="005A1BE1" w:rsidRDefault="008003D6" w:rsidP="008003D6">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8003D6">
              <w:rPr>
                <w:rFonts w:ascii="Calibri Light" w:eastAsia="MS Mincho" w:hAnsi="Calibri Light" w:cs="Calibri Light"/>
                <w:lang w:eastAsia="en-US"/>
              </w:rPr>
              <w:t>Publisher</w:t>
            </w:r>
          </w:p>
        </w:tc>
      </w:tr>
      <w:tr w:rsidR="00B75A4B" w14:paraId="22343749" w14:textId="77777777" w:rsidTr="00835E51">
        <w:trPr>
          <w:cnfStyle w:val="000000100000" w:firstRow="0" w:lastRow="0" w:firstColumn="0" w:lastColumn="0" w:oddVBand="0" w:evenVBand="0" w:oddHBand="1" w:evenHBand="0" w:firstRowFirstColumn="0" w:firstRowLastColumn="0" w:lastRowFirstColumn="0" w:lastRowLastColumn="0"/>
          <w:trHeight w:val="1178"/>
        </w:trPr>
        <w:tc>
          <w:tcPr>
            <w:cnfStyle w:val="001000000000" w:firstRow="0" w:lastRow="0" w:firstColumn="1" w:lastColumn="0" w:oddVBand="0" w:evenVBand="0" w:oddHBand="0" w:evenHBand="0" w:firstRowFirstColumn="0" w:firstRowLastColumn="0" w:lastRowFirstColumn="0" w:lastRowLastColumn="0"/>
            <w:tcW w:w="2232" w:type="dxa"/>
          </w:tcPr>
          <w:p w14:paraId="31FAD671" w14:textId="2190B9EF" w:rsidR="009C7D8B" w:rsidRPr="003E017E" w:rsidRDefault="009C7D8B" w:rsidP="00B75A4B">
            <w:pPr>
              <w:autoSpaceDE/>
              <w:autoSpaceDN/>
              <w:spacing w:after="200" w:line="276" w:lineRule="auto"/>
              <w:rPr>
                <w:rFonts w:ascii="Calibri Light" w:eastAsia="MS Mincho" w:hAnsi="Calibri Light" w:cs="Calibri Light"/>
                <w:lang w:val="en-ID" w:eastAsia="en-US"/>
              </w:rPr>
            </w:pPr>
            <w:r w:rsidRPr="003E017E">
              <w:rPr>
                <w:rFonts w:ascii="Calibri Light" w:eastAsia="MS Mincho" w:hAnsi="Calibri Light" w:cs="Calibri Light"/>
                <w:lang w:val="en-ID" w:eastAsia="en-US"/>
              </w:rPr>
              <w:t>Journal of</w:t>
            </w:r>
            <w:r w:rsidR="00B75A4B">
              <w:rPr>
                <w:rFonts w:ascii="Calibri Light" w:eastAsia="MS Mincho" w:hAnsi="Calibri Light" w:cs="Calibri Light"/>
                <w:lang w:val="en-ID" w:eastAsia="en-US"/>
              </w:rPr>
              <w:t xml:space="preserve"> </w:t>
            </w:r>
            <w:r w:rsidRPr="003E017E">
              <w:rPr>
                <w:rFonts w:ascii="Calibri Light" w:eastAsia="MS Mincho" w:hAnsi="Calibri Light" w:cs="Calibri Light"/>
                <w:lang w:val="en-ID" w:eastAsia="en-US"/>
              </w:rPr>
              <w:t>Islamic Accounting and Business Research</w:t>
            </w:r>
          </w:p>
        </w:tc>
        <w:tc>
          <w:tcPr>
            <w:tcW w:w="1008" w:type="dxa"/>
          </w:tcPr>
          <w:p w14:paraId="623ACC8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F017FEB" w14:textId="1676AF96"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312</w:t>
            </w:r>
          </w:p>
        </w:tc>
        <w:tc>
          <w:tcPr>
            <w:tcW w:w="762" w:type="dxa"/>
          </w:tcPr>
          <w:p w14:paraId="7DD0DAC0"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7955686" w14:textId="04C467DA"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1.493</w:t>
            </w:r>
          </w:p>
        </w:tc>
        <w:tc>
          <w:tcPr>
            <w:tcW w:w="848" w:type="dxa"/>
          </w:tcPr>
          <w:p w14:paraId="4DB13024" w14:textId="77777777" w:rsidR="001C1AEE" w:rsidRDefault="001C1AEE"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AC0ED2C" w14:textId="5064FFAB" w:rsidR="009C7D8B" w:rsidRDefault="009C7D8B"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9C7D8B">
              <w:rPr>
                <w:rFonts w:ascii="Calibri Light" w:eastAsia="MS Mincho" w:hAnsi="Calibri Light" w:cs="Calibri Light"/>
                <w:lang w:eastAsia="en-US"/>
              </w:rPr>
              <w:t>4.8</w:t>
            </w:r>
          </w:p>
        </w:tc>
        <w:tc>
          <w:tcPr>
            <w:tcW w:w="2344" w:type="dxa"/>
          </w:tcPr>
          <w:p w14:paraId="6D23B34B" w14:textId="77777777" w:rsidR="009C7D8B" w:rsidRDefault="002E4286"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r w:rsidRPr="002E4286">
              <w:rPr>
                <w:rFonts w:ascii="Calibri Light" w:eastAsia="MS Mincho" w:hAnsi="Calibri Light" w:cs="Calibri Light"/>
                <w:lang w:val="en-ID" w:eastAsia="en-US"/>
              </w:rPr>
              <w:t xml:space="preserve">Corporate Social Performance </w:t>
            </w:r>
            <w:proofErr w:type="gramStart"/>
            <w:r w:rsidRPr="002E4286">
              <w:rPr>
                <w:rFonts w:ascii="Calibri Light" w:eastAsia="MS Mincho" w:hAnsi="Calibri Light" w:cs="Calibri Light"/>
                <w:lang w:val="en-ID" w:eastAsia="en-US"/>
              </w:rPr>
              <w:t>And</w:t>
            </w:r>
            <w:proofErr w:type="gramEnd"/>
            <w:r w:rsidRPr="002E4286">
              <w:rPr>
                <w:rFonts w:ascii="Calibri Light" w:eastAsia="MS Mincho" w:hAnsi="Calibri Light" w:cs="Calibri Light"/>
                <w:lang w:val="en-ID" w:eastAsia="en-US"/>
              </w:rPr>
              <w:t xml:space="preserve"> Financial Stability: Evidence From Islamic, Social And Conventional Banking Models</w:t>
            </w:r>
          </w:p>
          <w:p w14:paraId="37255222" w14:textId="0A2D43D3" w:rsidR="00771574" w:rsidRPr="002E4286" w:rsidRDefault="00771574"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p>
        </w:tc>
        <w:tc>
          <w:tcPr>
            <w:tcW w:w="1441" w:type="dxa"/>
          </w:tcPr>
          <w:p w14:paraId="2DCCBB25" w14:textId="0715CC78" w:rsidR="009C7D8B" w:rsidRDefault="008003D6" w:rsidP="008003D6">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003D6">
              <w:rPr>
                <w:rFonts w:ascii="Calibri Light" w:eastAsia="MS Mincho" w:hAnsi="Calibri Light" w:cs="Calibri Light"/>
                <w:lang w:eastAsia="en-US"/>
              </w:rPr>
              <w:t>Bank Indonesia Institute</w:t>
            </w:r>
          </w:p>
        </w:tc>
      </w:tr>
      <w:tr w:rsidR="00B75A4B" w14:paraId="20734782" w14:textId="77777777" w:rsidTr="00835E51">
        <w:trPr>
          <w:trHeight w:val="1655"/>
        </w:trPr>
        <w:tc>
          <w:tcPr>
            <w:cnfStyle w:val="001000000000" w:firstRow="0" w:lastRow="0" w:firstColumn="1" w:lastColumn="0" w:oddVBand="0" w:evenVBand="0" w:oddHBand="0" w:evenHBand="0" w:firstRowFirstColumn="0" w:firstRowLastColumn="0" w:lastRowFirstColumn="0" w:lastRowLastColumn="0"/>
            <w:tcW w:w="2232" w:type="dxa"/>
          </w:tcPr>
          <w:p w14:paraId="6CB9296A" w14:textId="77777777" w:rsidR="001C1AEE" w:rsidRDefault="001C1AEE" w:rsidP="00B75A4B">
            <w:pPr>
              <w:autoSpaceDE/>
              <w:autoSpaceDN/>
              <w:spacing w:after="200" w:line="276" w:lineRule="auto"/>
              <w:jc w:val="center"/>
              <w:rPr>
                <w:rFonts w:ascii="Calibri Light" w:eastAsia="MS Mincho" w:hAnsi="Calibri Light" w:cs="Calibri Light"/>
                <w:b w:val="0"/>
                <w:bCs w:val="0"/>
                <w:lang w:eastAsia="en-US"/>
              </w:rPr>
            </w:pPr>
          </w:p>
          <w:p w14:paraId="4839B1E1" w14:textId="15C975CE" w:rsidR="009C7D8B" w:rsidRDefault="00BF672B" w:rsidP="00B75A4B">
            <w:pPr>
              <w:autoSpaceDE/>
              <w:autoSpaceDN/>
              <w:spacing w:after="200" w:line="276" w:lineRule="auto"/>
              <w:jc w:val="center"/>
              <w:rPr>
                <w:rFonts w:ascii="Calibri Light" w:eastAsia="MS Mincho" w:hAnsi="Calibri Light" w:cs="Calibri Light"/>
                <w:lang w:eastAsia="en-US"/>
              </w:rPr>
            </w:pPr>
            <w:r w:rsidRPr="00BF672B">
              <w:rPr>
                <w:rFonts w:ascii="Calibri Light" w:eastAsia="MS Mincho" w:hAnsi="Calibri Light" w:cs="Calibri Light"/>
                <w:lang w:eastAsia="en-US"/>
              </w:rPr>
              <w:t>Journal Of Islamic Marketing</w:t>
            </w:r>
          </w:p>
        </w:tc>
        <w:tc>
          <w:tcPr>
            <w:tcW w:w="1008" w:type="dxa"/>
          </w:tcPr>
          <w:p w14:paraId="192A9205"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6869CDB7" w14:textId="2D75BEEF"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469</w:t>
            </w:r>
          </w:p>
        </w:tc>
        <w:tc>
          <w:tcPr>
            <w:tcW w:w="762" w:type="dxa"/>
          </w:tcPr>
          <w:p w14:paraId="0F1D9713"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E05E289" w14:textId="11309054"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3.960</w:t>
            </w:r>
          </w:p>
        </w:tc>
        <w:tc>
          <w:tcPr>
            <w:tcW w:w="848" w:type="dxa"/>
          </w:tcPr>
          <w:p w14:paraId="1C8AD992"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1464D5A2" w14:textId="7D395BFC" w:rsidR="009C7D8B" w:rsidRDefault="0081566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8.4</w:t>
            </w:r>
          </w:p>
        </w:tc>
        <w:tc>
          <w:tcPr>
            <w:tcW w:w="2344" w:type="dxa"/>
          </w:tcPr>
          <w:p w14:paraId="207FD71F" w14:textId="77777777" w:rsidR="009C7D8B" w:rsidRDefault="0043726F"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Readiness to change in Islamic banking: the significance of adaptability and Islamic work ethics</w:t>
            </w:r>
          </w:p>
          <w:p w14:paraId="02D081AF" w14:textId="166A0744" w:rsidR="00771574" w:rsidRDefault="00771574"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40BB6DF" w14:textId="7EF3140B" w:rsidR="009C7D8B" w:rsidRDefault="0043726F" w:rsidP="0043726F">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68CC5CB4"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018AFD14" w14:textId="59D41E0F" w:rsidR="009C7D8B" w:rsidRDefault="00AD5DCB" w:rsidP="00B75A4B">
            <w:pPr>
              <w:autoSpaceDE/>
              <w:autoSpaceDN/>
              <w:spacing w:after="200" w:line="276" w:lineRule="auto"/>
              <w:rPr>
                <w:rFonts w:ascii="Calibri Light" w:eastAsia="MS Mincho" w:hAnsi="Calibri Light" w:cs="Calibri Light"/>
                <w:lang w:eastAsia="en-US"/>
              </w:rPr>
            </w:pPr>
            <w:r w:rsidRPr="00AD5DCB">
              <w:rPr>
                <w:rFonts w:ascii="Calibri Light" w:eastAsia="MS Mincho" w:hAnsi="Calibri Light" w:cs="Calibri Light"/>
                <w:lang w:eastAsia="en-US"/>
              </w:rPr>
              <w:t xml:space="preserve">International Journal </w:t>
            </w:r>
            <w:proofErr w:type="gramStart"/>
            <w:r w:rsidRPr="00AD5DCB">
              <w:rPr>
                <w:rFonts w:ascii="Calibri Light" w:eastAsia="MS Mincho" w:hAnsi="Calibri Light" w:cs="Calibri Light"/>
                <w:lang w:eastAsia="en-US"/>
              </w:rPr>
              <w:t>Of</w:t>
            </w:r>
            <w:proofErr w:type="gramEnd"/>
            <w:r w:rsidRPr="00AD5DCB">
              <w:rPr>
                <w:rFonts w:ascii="Calibri Light" w:eastAsia="MS Mincho" w:hAnsi="Calibri Light" w:cs="Calibri Light"/>
                <w:lang w:eastAsia="en-US"/>
              </w:rPr>
              <w:t xml:space="preserve"> Islamic And Middle Eastern Finance And Management</w:t>
            </w:r>
          </w:p>
        </w:tc>
        <w:tc>
          <w:tcPr>
            <w:tcW w:w="1008" w:type="dxa"/>
          </w:tcPr>
          <w:p w14:paraId="139E1F86"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4C1B9A3E" w14:textId="76EA3FCA"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224</w:t>
            </w:r>
          </w:p>
        </w:tc>
        <w:tc>
          <w:tcPr>
            <w:tcW w:w="762" w:type="dxa"/>
          </w:tcPr>
          <w:p w14:paraId="17A0DB9F"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9F91C48" w14:textId="342C03F7"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1.208</w:t>
            </w:r>
          </w:p>
        </w:tc>
        <w:tc>
          <w:tcPr>
            <w:tcW w:w="848" w:type="dxa"/>
          </w:tcPr>
          <w:p w14:paraId="191A9FEB" w14:textId="77777777" w:rsidR="001C1AEE" w:rsidRDefault="001C1AEE"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5E2223C" w14:textId="111621C8" w:rsidR="009C7D8B" w:rsidRDefault="00815661"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15661">
              <w:rPr>
                <w:rFonts w:ascii="Calibri Light" w:eastAsia="MS Mincho" w:hAnsi="Calibri Light" w:cs="Calibri Light"/>
                <w:lang w:eastAsia="en-US"/>
              </w:rPr>
              <w:t>5.4</w:t>
            </w:r>
          </w:p>
        </w:tc>
        <w:tc>
          <w:tcPr>
            <w:tcW w:w="2344" w:type="dxa"/>
          </w:tcPr>
          <w:p w14:paraId="44BEE0B4" w14:textId="1B901309" w:rsidR="009C7D8B" w:rsidRDefault="0043726F" w:rsidP="0043726F">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Factors affecting SMEs’ choice of banks in Oman: an emphasis on Islamic banks</w:t>
            </w:r>
          </w:p>
        </w:tc>
        <w:tc>
          <w:tcPr>
            <w:tcW w:w="1441" w:type="dxa"/>
          </w:tcPr>
          <w:p w14:paraId="69BF3E77" w14:textId="1B537AE2" w:rsidR="009C7D8B" w:rsidRDefault="0043726F" w:rsidP="0043726F">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518EE525" w14:textId="77777777" w:rsidTr="00835E51">
        <w:tc>
          <w:tcPr>
            <w:cnfStyle w:val="001000000000" w:firstRow="0" w:lastRow="0" w:firstColumn="1" w:lastColumn="0" w:oddVBand="0" w:evenVBand="0" w:oddHBand="0" w:evenHBand="0" w:firstRowFirstColumn="0" w:firstRowLastColumn="0" w:lastRowFirstColumn="0" w:lastRowLastColumn="0"/>
            <w:tcW w:w="2232" w:type="dxa"/>
          </w:tcPr>
          <w:p w14:paraId="030D60CD" w14:textId="3A48FEC7" w:rsidR="009C7D8B" w:rsidRDefault="00AD5DCB" w:rsidP="001C1AEE">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lastRenderedPageBreak/>
              <w:t xml:space="preserve">Journal Of Islamic Monetary Economics </w:t>
            </w:r>
            <w:proofErr w:type="gramStart"/>
            <w:r w:rsidRPr="00AD5DCB">
              <w:rPr>
                <w:rFonts w:ascii="Calibri Light" w:eastAsia="MS Mincho" w:hAnsi="Calibri Light" w:cs="Calibri Light"/>
                <w:lang w:eastAsia="en-US"/>
              </w:rPr>
              <w:t>And</w:t>
            </w:r>
            <w:proofErr w:type="gramEnd"/>
            <w:r w:rsidRPr="00AD5DCB">
              <w:rPr>
                <w:rFonts w:ascii="Calibri Light" w:eastAsia="MS Mincho" w:hAnsi="Calibri Light" w:cs="Calibri Light"/>
                <w:lang w:eastAsia="en-US"/>
              </w:rPr>
              <w:t xml:space="preserve"> Finance</w:t>
            </w:r>
          </w:p>
        </w:tc>
        <w:tc>
          <w:tcPr>
            <w:tcW w:w="1008" w:type="dxa"/>
          </w:tcPr>
          <w:p w14:paraId="3CFCDB45"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347522B" w14:textId="17B2AF54"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143</w:t>
            </w:r>
          </w:p>
        </w:tc>
        <w:tc>
          <w:tcPr>
            <w:tcW w:w="762" w:type="dxa"/>
          </w:tcPr>
          <w:p w14:paraId="56B412D1"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52281037" w14:textId="4B74B0EB"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275</w:t>
            </w:r>
          </w:p>
        </w:tc>
        <w:tc>
          <w:tcPr>
            <w:tcW w:w="848" w:type="dxa"/>
          </w:tcPr>
          <w:p w14:paraId="7DFB9293"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73036516" w14:textId="5542C7E5"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1.9</w:t>
            </w:r>
          </w:p>
        </w:tc>
        <w:tc>
          <w:tcPr>
            <w:tcW w:w="2344" w:type="dxa"/>
          </w:tcPr>
          <w:p w14:paraId="7D72B598" w14:textId="77777777" w:rsidR="009C7D8B" w:rsidRDefault="00771574"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CORPORATE SOCIAL PERFORMANCE AND FINANCIAL STABILITY: EVIDENCE FROM ISLAMIC, SOCIAL AND CONVENTIONAL BANKING MODELS</w:t>
            </w:r>
          </w:p>
          <w:p w14:paraId="66030198" w14:textId="6E871C07" w:rsidR="00055DD9" w:rsidRDefault="00055DD9"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C61087A" w14:textId="78DD7829" w:rsidR="009C7D8B" w:rsidRDefault="00771574"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Bank Indonesia Institute</w:t>
            </w:r>
          </w:p>
        </w:tc>
      </w:tr>
      <w:tr w:rsidR="00B75A4B" w14:paraId="4F9ADA26"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10557A7E" w14:textId="77777777" w:rsidR="001C1AEE" w:rsidRDefault="001C1AEE" w:rsidP="00706053">
            <w:pPr>
              <w:autoSpaceDE/>
              <w:autoSpaceDN/>
              <w:spacing w:after="200" w:line="276" w:lineRule="auto"/>
              <w:jc w:val="center"/>
              <w:rPr>
                <w:rFonts w:ascii="Calibri Light" w:eastAsia="MS Mincho" w:hAnsi="Calibri Light" w:cs="Calibri Light"/>
                <w:b w:val="0"/>
                <w:bCs w:val="0"/>
                <w:lang w:eastAsia="en-US"/>
              </w:rPr>
            </w:pPr>
          </w:p>
          <w:p w14:paraId="71F99873" w14:textId="0F6427BF" w:rsidR="009C7D8B" w:rsidRDefault="00AD5DCB" w:rsidP="00706053">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t>Banks And Bank Systems</w:t>
            </w:r>
          </w:p>
        </w:tc>
        <w:tc>
          <w:tcPr>
            <w:tcW w:w="1008" w:type="dxa"/>
          </w:tcPr>
          <w:p w14:paraId="3D2BB993"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F5A7615" w14:textId="3733114E"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293</w:t>
            </w:r>
          </w:p>
        </w:tc>
        <w:tc>
          <w:tcPr>
            <w:tcW w:w="762" w:type="dxa"/>
          </w:tcPr>
          <w:p w14:paraId="77C3D4B4"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C70B250" w14:textId="517B06E1"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776</w:t>
            </w:r>
          </w:p>
        </w:tc>
        <w:tc>
          <w:tcPr>
            <w:tcW w:w="848" w:type="dxa"/>
          </w:tcPr>
          <w:p w14:paraId="5D5134D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42488B1" w14:textId="5EF7A3BB"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2.6</w:t>
            </w:r>
          </w:p>
        </w:tc>
        <w:tc>
          <w:tcPr>
            <w:tcW w:w="2344" w:type="dxa"/>
          </w:tcPr>
          <w:p w14:paraId="670F54DE" w14:textId="77777777" w:rsidR="00055DD9" w:rsidRDefault="007E4168"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How does global economic policy uncertainty affect Islamic bank performance? An exploration from heterogeneous sample</w:t>
            </w:r>
          </w:p>
          <w:p w14:paraId="2A7560C2" w14:textId="6C553050" w:rsidR="001C1AEE" w:rsidRDefault="001C1AEE"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tc>
        <w:tc>
          <w:tcPr>
            <w:tcW w:w="1441" w:type="dxa"/>
          </w:tcPr>
          <w:p w14:paraId="740DC711" w14:textId="318900A4" w:rsidR="009C7D8B" w:rsidRDefault="007E4168"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Business Perspectives</w:t>
            </w:r>
          </w:p>
        </w:tc>
      </w:tr>
    </w:tbl>
    <w:p w14:paraId="474CB66A" w14:textId="77777777" w:rsidR="003E017E" w:rsidRDefault="003E017E" w:rsidP="003E017E">
      <w:pPr>
        <w:autoSpaceDE/>
        <w:autoSpaceDN/>
        <w:spacing w:after="200" w:line="276" w:lineRule="auto"/>
        <w:ind w:left="426"/>
        <w:rPr>
          <w:rFonts w:ascii="Calibri Light" w:eastAsia="MS Mincho" w:hAnsi="Calibri Light" w:cs="Calibri Light"/>
          <w:sz w:val="24"/>
          <w:szCs w:val="24"/>
          <w:lang w:eastAsia="en-US"/>
        </w:rPr>
      </w:pPr>
      <w:r w:rsidRPr="003E017E">
        <w:rPr>
          <w:rFonts w:ascii="Calibri Light" w:eastAsia="MS Mincho" w:hAnsi="Calibri Light" w:cs="Calibri Light"/>
          <w:sz w:val="24"/>
          <w:szCs w:val="24"/>
          <w:lang w:eastAsia="en-US"/>
        </w:rPr>
        <w:t xml:space="preserve">TP= Total publications, TC= total citations </w:t>
      </w:r>
    </w:p>
    <w:p w14:paraId="1EBA4C29" w14:textId="7E797C41" w:rsidR="001834D8" w:rsidRDefault="003E017E" w:rsidP="003E017E">
      <w:pPr>
        <w:autoSpaceDE/>
        <w:autoSpaceDN/>
        <w:spacing w:after="200" w:line="276" w:lineRule="auto"/>
        <w:ind w:left="426"/>
        <w:jc w:val="center"/>
        <w:rPr>
          <w:rFonts w:ascii="Calibri Light" w:eastAsia="MS Mincho" w:hAnsi="Calibri Light" w:cs="Calibri Light"/>
          <w:sz w:val="24"/>
          <w:szCs w:val="24"/>
          <w:rtl/>
          <w:lang w:eastAsia="en-US"/>
        </w:rPr>
      </w:pPr>
      <w:r w:rsidRPr="00A03679">
        <w:rPr>
          <w:rFonts w:ascii="Calibri Light" w:eastAsia="MS Mincho" w:hAnsi="Calibri Light" w:cs="Calibri Light"/>
          <w:b/>
          <w:bCs/>
          <w:sz w:val="24"/>
          <w:szCs w:val="24"/>
          <w:lang w:eastAsia="en-US"/>
        </w:rPr>
        <w:t xml:space="preserve">Table </w:t>
      </w:r>
      <w:r w:rsidR="00A03679" w:rsidRPr="00A03679">
        <w:rPr>
          <w:rFonts w:ascii="Calibri Light" w:eastAsia="MS Mincho" w:hAnsi="Calibri Light" w:cs="Calibri Light"/>
          <w:b/>
          <w:bCs/>
          <w:sz w:val="24"/>
          <w:szCs w:val="24"/>
          <w:lang w:eastAsia="en-US"/>
        </w:rPr>
        <w:t>3</w:t>
      </w:r>
      <w:r w:rsidRPr="00A03679">
        <w:rPr>
          <w:rFonts w:ascii="Calibri Light" w:eastAsia="MS Mincho" w:hAnsi="Calibri Light" w:cs="Calibri Light"/>
          <w:b/>
          <w:bCs/>
          <w:sz w:val="24"/>
          <w:szCs w:val="24"/>
          <w:lang w:eastAsia="en-US"/>
        </w:rPr>
        <w:t>.</w:t>
      </w:r>
      <w:r w:rsidRPr="003E017E">
        <w:rPr>
          <w:rFonts w:ascii="Calibri Light" w:eastAsia="MS Mincho" w:hAnsi="Calibri Light" w:cs="Calibri Light"/>
          <w:sz w:val="24"/>
          <w:szCs w:val="24"/>
          <w:lang w:eastAsia="en-US"/>
        </w:rPr>
        <w:t xml:space="preserve"> Summary of the most relevant journals</w:t>
      </w:r>
    </w:p>
    <w:p w14:paraId="2851AA7E" w14:textId="2BAC214F" w:rsidR="009E336E" w:rsidRDefault="009E336E" w:rsidP="009E336E">
      <w:pPr>
        <w:autoSpaceDE/>
        <w:autoSpaceDN/>
        <w:spacing w:after="200" w:line="276" w:lineRule="auto"/>
        <w:ind w:left="426"/>
        <w:jc w:val="both"/>
        <w:rPr>
          <w:rFonts w:ascii="Calibri Light" w:eastAsia="MS Mincho" w:hAnsi="Calibri Light" w:cs="Calibri Light"/>
          <w:sz w:val="24"/>
          <w:szCs w:val="24"/>
          <w:rtl/>
          <w:lang w:eastAsia="en-US"/>
        </w:rPr>
      </w:pPr>
      <w:r w:rsidRPr="009E336E">
        <w:rPr>
          <w:rFonts w:ascii="Calibri Light" w:eastAsia="MS Mincho" w:hAnsi="Calibri Light" w:cs="Calibri Light"/>
          <w:sz w:val="24"/>
          <w:szCs w:val="24"/>
          <w:lang w:eastAsia="en-US"/>
        </w:rPr>
        <w:t>Table</w:t>
      </w:r>
      <w:r w:rsidR="00BB50DF">
        <w:rPr>
          <w:rFonts w:ascii="Calibri Light" w:eastAsia="MS Mincho" w:hAnsi="Calibri Light" w:cs="Calibri Light"/>
          <w:sz w:val="24"/>
          <w:szCs w:val="24"/>
          <w:lang w:eastAsia="en-US"/>
        </w:rPr>
        <w:t xml:space="preserve"> 3 </w:t>
      </w:r>
      <w:r w:rsidRPr="009E336E">
        <w:rPr>
          <w:rFonts w:ascii="Calibri Light" w:eastAsia="MS Mincho" w:hAnsi="Calibri Light" w:cs="Calibri Light"/>
          <w:sz w:val="24"/>
          <w:szCs w:val="24"/>
          <w:lang w:eastAsia="en-US"/>
        </w:rPr>
        <w:t xml:space="preserve">presents a comparative analysis of the most prominent academic journals specializing in Islamic accounting, </w:t>
      </w:r>
      <w:r w:rsidR="00BB50DF">
        <w:rPr>
          <w:rFonts w:ascii="Calibri Light" w:eastAsia="MS Mincho" w:hAnsi="Calibri Light" w:cs="Calibri Light"/>
          <w:sz w:val="24"/>
          <w:szCs w:val="24"/>
          <w:lang w:eastAsia="en-US"/>
        </w:rPr>
        <w:t>banking</w:t>
      </w:r>
      <w:r w:rsidRPr="009E336E">
        <w:rPr>
          <w:rFonts w:ascii="Calibri Light" w:eastAsia="MS Mincho" w:hAnsi="Calibri Light" w:cs="Calibri Light"/>
          <w:sz w:val="24"/>
          <w:szCs w:val="24"/>
          <w:lang w:eastAsia="en-US"/>
        </w:rPr>
        <w:t xml:space="preserve"> and finance, based on scientific productivity (total publications), academic impact (total citations), and research quality (</w:t>
      </w:r>
      <w:proofErr w:type="spellStart"/>
      <w:r w:rsidRPr="009E336E">
        <w:rPr>
          <w:rFonts w:ascii="Calibri Light" w:eastAsia="MS Mincho" w:hAnsi="Calibri Light" w:cs="Calibri Light"/>
          <w:sz w:val="24"/>
          <w:szCs w:val="24"/>
          <w:lang w:eastAsia="en-US"/>
        </w:rPr>
        <w:t>CiteScore</w:t>
      </w:r>
      <w:proofErr w:type="spellEnd"/>
      <w:r w:rsidRPr="009E336E">
        <w:rPr>
          <w:rFonts w:ascii="Calibri Light" w:eastAsia="MS Mincho" w:hAnsi="Calibri Light" w:cs="Calibri Light"/>
          <w:sz w:val="24"/>
          <w:szCs w:val="24"/>
          <w:lang w:eastAsia="en-US"/>
        </w:rPr>
        <w:t>)</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56155">
        <w:rPr>
          <w:rFonts w:ascii="Calibri Light" w:eastAsia="MS Mincho" w:hAnsi="Calibri Light" w:cs="Calibri Light"/>
          <w:sz w:val="24"/>
          <w:szCs w:val="24"/>
          <w:lang w:eastAsia="en-US"/>
        </w:rPr>
        <w:instrText>ADDIN CSL_CITATION {"citationItems":[{"id":"ITEM-1","itemData":{"ISSN":"2965-730X","author":[{"dropping-particle":"","family":"Ali","given":"Mohamad","non-dropping-particle":"","parse-names":false,"suffix":""},{"dropping-particle":"","family":"Tamami","given":"Fauziyah Qurrota A’yun","non-dropping-particle":"","parse-names":false,"suffix":""},{"dropping-particle":"","family":"Rahmawati","given":"Siti","non-dropping-particle":"","parse-names":false,"suffix":""},{"dropping-particle":"","family":"Elbanna","given":"Mariam","non-dropping-particle":"","parse-names":false,"suffix":""},{"dropping-particle":"","family":"AN","given":"Andri Nirwana","non-dropping-particle":"","parse-names":false,"suffix":""}],"container-title":"Journal of Lifestyle and SDGs Review","id":"ITEM-1","issue":"1","issued":{"date-parts":[["2025"]]},"page":"e03295-e03295","title":"Tracking Education Transformation Towards Sustainable Development Goals: A Bibliometric Review on the Influence of Socioeconomic Factors in the Education Ecosystem","type":"article-journal","volume":"5"},"uris":["http://www.mendeley.com/documents/?uuid=1790e42b-64c2-48a0-857d-df3572910017"]}],"mendeley":{"formattedCitation":"(M. Ali et al., 2025)","plainTextFormattedCitation":"(M. Ali et al., 2025)","previouslyFormattedCitation":"(M. Ali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(M. Ali et al., 2025)</w:t>
      </w:r>
      <w:r w:rsidR="00C6181C">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 xml:space="preserve">. The Journal of Islamic Marketing stands out as the most influential, with the highest number of citations and the highest </w:t>
      </w:r>
      <w:proofErr w:type="spellStart"/>
      <w:r w:rsidRPr="009E336E">
        <w:rPr>
          <w:rFonts w:ascii="Calibri Light" w:eastAsia="MS Mincho" w:hAnsi="Calibri Light" w:cs="Calibri Light"/>
          <w:sz w:val="24"/>
          <w:szCs w:val="24"/>
          <w:lang w:eastAsia="en-US"/>
        </w:rPr>
        <w:t>CiteScore</w:t>
      </w:r>
      <w:proofErr w:type="spellEnd"/>
      <w:r w:rsidRPr="009E336E">
        <w:rPr>
          <w:rFonts w:ascii="Calibri Light" w:eastAsia="MS Mincho" w:hAnsi="Calibri Light" w:cs="Calibri Light"/>
          <w:sz w:val="24"/>
          <w:szCs w:val="24"/>
          <w:lang w:eastAsia="en-US"/>
        </w:rPr>
        <w:t>, reflecting its distinguished academic status in the field. The significance of this analysis lies in its ability to guide</w:t>
      </w:r>
      <w:r w:rsidR="00BB50DF">
        <w:rPr>
          <w:rFonts w:ascii="Calibri Light" w:eastAsia="MS Mincho" w:hAnsi="Calibri Light" w:cs="Calibri Light"/>
          <w:sz w:val="24"/>
          <w:szCs w:val="24"/>
          <w:lang w:eastAsia="en-US"/>
        </w:rPr>
        <w:t xml:space="preserve"> </w:t>
      </w:r>
      <w:r w:rsidRPr="009E336E">
        <w:rPr>
          <w:rFonts w:ascii="Calibri Light" w:eastAsia="MS Mincho" w:hAnsi="Calibri Light" w:cs="Calibri Light"/>
          <w:sz w:val="24"/>
          <w:szCs w:val="24"/>
          <w:lang w:eastAsia="en-US"/>
        </w:rPr>
        <w:t>toward the most credible and impactful sources in the discipline, particularly when constructing the theoretical framework or selecting relevant literature. In the context of my research in Islamic economic law, referring to these journals is essential to enhance the credibility of the study and to rely on well-established and up-to-date scholarly literature in the field</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{"citationItems":[{"id":"ITEM-1","itemData":{"DOI":"10.1177/1350508420939245","ISSN":"13505084 (ISSN)","abstract":"In this article, we use the critical theory literature to describe the processes of co-optation by which capitalism engages with its radical alternatives in order to subvert their emancipatory potential. We chose the global Islamic banking industry as our empirical context, which represents bold efforts to build a radical alternative embedded in Islamic moral precepts. However, we observed that the performative intent of capitalist discourse, reflected in a strong preoccupation with effectiveness and efficiency, has come to dominate all economic claims in the Islamic banking industry. The oppositional ideas that were intended to disturb the economic status quo now reproduce it along with its privileges, despite the vaulted rhetoric about establishing a genuine alternative. The article ends by mapping out some implications of re-introducing co-optation in the critical theory literature. © The Author(s) 2020.","author":[{"dropping-particle":"","family":"Ul-Haq","given":"S","non-dropping-particle":"","parse-names":false,"suffix":""},{"dropping-particle":"","family":"Lone","given":"R A","non-dropping-particle":"","parse-names":false,"suffix":""},{"dropping-particle":"","family":"Ashraf","given":"N","non-dropping-particle":"","parse-names":false,"suffix":""}],"container-title":"Organization","id":"ITEM-1","issue":"1","issued":{"date-parts":[["2022"]]},"language":"English","note":"Export Date: 24 April 2025; Cited By: 13; Correspondence Address: N. Ashraf; Montpellier Business School, France; email: naeem.ashrf@gmail.com","page":"129-154","publisher":"SAGE Publications Ltd","publisher-place":"Karachi School of Business and Leadership, Pakistan","title":"A theory of capitalist co-optation of radical alternatives: The case of Islamic banking industry","type":"article-journal","volume":"29"},"uris":["http://www.mendeley.com/documents/?uuid=0eb88330-f38b-47a2-aa86-53b52d19b927"]}],"mendeley":{"formattedCitation":"(Ul-Haq et al., 2022)","plainTextFormattedCitation":"(Ul-Haq et al., 2022)","previouslyFormattedCitation":"(Ul-Haq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(Ul-Haq et al., 2022)</w:t>
      </w:r>
      <w:r w:rsidR="00BF5A85">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w:t>
      </w:r>
    </w:p>
    <w:p w14:paraId="5AC30BE7" w14:textId="0D6C7110" w:rsidR="001A4C9F" w:rsidRDefault="001A4C9F" w:rsidP="003E017E">
      <w:pPr>
        <w:autoSpaceDE/>
        <w:autoSpaceDN/>
        <w:spacing w:after="200" w:line="276" w:lineRule="auto"/>
        <w:ind w:left="426"/>
        <w:jc w:val="center"/>
        <w:rPr>
          <w:rFonts w:ascii="Calibri Light" w:eastAsia="MS Mincho" w:hAnsi="Calibri Light" w:cs="Calibri Light"/>
          <w:sz w:val="24"/>
          <w:szCs w:val="24"/>
          <w:rtl/>
          <w:lang w:eastAsia="en-US"/>
        </w:rPr>
      </w:pPr>
      <w:r>
        <w:rPr>
          <w:noProof/>
        </w:rPr>
        <w:lastRenderedPageBreak/>
        <w:drawing>
          <wp:inline distT="0" distB="0" distL="0" distR="0" wp14:anchorId="6D6810D8" wp14:editId="54601888">
            <wp:extent cx="4582140" cy="2638096"/>
            <wp:effectExtent l="0" t="0" r="9525" b="0"/>
            <wp:docPr id="9069207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03097" cy="2650162"/>
                    </a:xfrm>
                    <a:prstGeom prst="rect">
                      <a:avLst/>
                    </a:prstGeom>
                    <a:noFill/>
                    <a:ln>
                      <a:noFill/>
                    </a:ln>
                  </pic:spPr>
                </pic:pic>
              </a:graphicData>
            </a:graphic>
          </wp:inline>
        </w:drawing>
      </w:r>
    </w:p>
    <w:p w14:paraId="1612541A" w14:textId="40C3F1A3" w:rsidR="001A4C9F" w:rsidRDefault="001A4C9F" w:rsidP="001A4C9F">
      <w:pPr>
        <w:autoSpaceDE/>
        <w:autoSpaceDN/>
        <w:spacing w:after="200" w:line="276" w:lineRule="auto"/>
        <w:ind w:left="426"/>
        <w:jc w:val="center"/>
        <w:rPr>
          <w:rFonts w:ascii="Calibri Light" w:eastAsia="MS Mincho" w:hAnsi="Calibri Light" w:cs="Calibri Light"/>
          <w:sz w:val="24"/>
          <w:szCs w:val="24"/>
          <w:rtl/>
          <w:lang w:eastAsia="en-US"/>
        </w:rPr>
      </w:pPr>
      <w:r w:rsidRPr="001A4C9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9</w:t>
      </w:r>
      <w:r w:rsidRPr="001A4C9F">
        <w:rPr>
          <w:rFonts w:ascii="Calibri Light" w:eastAsia="MS Mincho" w:hAnsi="Calibri Light" w:cs="Calibri Light"/>
          <w:b/>
          <w:bCs/>
          <w:sz w:val="24"/>
          <w:szCs w:val="24"/>
          <w:lang w:eastAsia="en-US"/>
        </w:rPr>
        <w:t>.</w:t>
      </w:r>
      <w:r w:rsidRPr="001A4C9F">
        <w:rPr>
          <w:rFonts w:ascii="Calibri Light" w:eastAsia="MS Mincho" w:hAnsi="Calibri Light" w:cs="Calibri Light"/>
          <w:sz w:val="24"/>
          <w:szCs w:val="24"/>
          <w:lang w:eastAsia="en-US"/>
        </w:rPr>
        <w:t xml:space="preserve"> The Top 10 Journals according to Scopus ranking</w:t>
      </w:r>
    </w:p>
    <w:p w14:paraId="474BE7FE" w14:textId="00F79E72" w:rsidR="008F1989" w:rsidRPr="00E758FF" w:rsidRDefault="00E758FF" w:rsidP="00B06D1D">
      <w:pPr>
        <w:autoSpaceDE/>
        <w:autoSpaceDN/>
        <w:spacing w:after="200" w:line="276" w:lineRule="auto"/>
        <w:ind w:left="426"/>
        <w:jc w:val="both"/>
        <w:rPr>
          <w:rFonts w:ascii="Calibri Light" w:eastAsia="MS Mincho" w:hAnsi="Calibri Light" w:cs="Calibri Light"/>
          <w:b/>
          <w:bCs/>
          <w:sz w:val="24"/>
          <w:szCs w:val="24"/>
          <w:rtl/>
          <w:lang w:eastAsia="en-US"/>
        </w:rPr>
      </w:pPr>
      <w:r w:rsidRPr="00E758FF">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5</w:t>
      </w:r>
      <w:r w:rsidRPr="00E758FF">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Pr="00E758FF">
        <w:rPr>
          <w:rFonts w:ascii="Calibri Light" w:eastAsia="MS Mincho" w:hAnsi="Calibri Light" w:cs="Calibri Light"/>
          <w:b/>
          <w:bCs/>
          <w:sz w:val="24"/>
          <w:szCs w:val="24"/>
          <w:lang w:eastAsia="en-US"/>
        </w:rPr>
        <w:t>Word Analysis using Most Frequent Words</w:t>
      </w:r>
    </w:p>
    <w:p w14:paraId="21A4B217" w14:textId="0ED9A596" w:rsidR="00E758FF" w:rsidRPr="00E758FF" w:rsidRDefault="00E758FF" w:rsidP="00BF5A85">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10</w:t>
      </w:r>
      <w:r>
        <w:rPr>
          <w:rFonts w:ascii="Calibri Light" w:eastAsia="MS Mincho" w:hAnsi="Calibri Light" w:cs="Calibri Light"/>
          <w:sz w:val="24"/>
          <w:szCs w:val="24"/>
          <w:lang w:eastAsia="en-US"/>
        </w:rPr>
        <w:t xml:space="preserve"> </w:t>
      </w:r>
      <w:r w:rsidRPr="00E758FF">
        <w:rPr>
          <w:rFonts w:ascii="Calibri Light" w:eastAsia="MS Mincho" w:hAnsi="Calibri Light" w:cs="Calibri Light"/>
          <w:sz w:val="24"/>
          <w:szCs w:val="24"/>
          <w:lang w:eastAsia="en-US"/>
        </w:rPr>
        <w:t xml:space="preserve">show a keyword co-occurrence network generated using </w:t>
      </w:r>
      <w:proofErr w:type="spellStart"/>
      <w:r w:rsidRPr="00E758FF">
        <w:rPr>
          <w:rFonts w:ascii="Calibri Light" w:eastAsia="MS Mincho" w:hAnsi="Calibri Light" w:cs="Calibri Light"/>
          <w:sz w:val="24"/>
          <w:szCs w:val="24"/>
          <w:lang w:eastAsia="en-US"/>
        </w:rPr>
        <w:t>VOSviewer</w:t>
      </w:r>
      <w:proofErr w:type="spellEnd"/>
      <w:r w:rsidRPr="00E758FF">
        <w:rPr>
          <w:rFonts w:ascii="Calibri Light" w:eastAsia="MS Mincho" w:hAnsi="Calibri Light" w:cs="Calibri Light"/>
          <w:sz w:val="24"/>
          <w:szCs w:val="24"/>
          <w:lang w:eastAsia="en-US"/>
        </w:rPr>
        <w:t xml:space="preserve"> based on bibliometric data derived from 1,149   publications collected from the Scopus database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6181C">
        <w:rPr>
          <w:rFonts w:ascii="Calibri Light" w:eastAsia="MS Mincho" w:hAnsi="Calibri Light" w:cs="Calibri Light"/>
          <w:sz w:val="24"/>
          <w:szCs w:val="24"/>
          <w:lang w:eastAsia="en-US"/>
        </w:rPr>
        <w:instrText>ADDIN CSL_CITATION {"citationItems":[{"id":"ITEM-1","itemData":{"DOI":"https://doi.org/10.23917/qist.v4i1.7360","ISSN":"2828-2779","abstract":"This study aims to conduct a bibliometric analysis of research intersecting the Sustainable Development Goals (SDGs) and Maqasid Shariah Tafsir, with a focus on using VOSviewer software to visualize research patterns and trends. The analysis spans the last decade, exploring publication trends over time, influential journals, prolific authors, and the most productive countries and institutions in this field. The results show a significant growth in research integrating Maqasid Shariah principles, focusing on the preservation of religion, life, intellect, lineage, and wealth, with the 17 SDGs, such as poverty eradication, quality education, and environmental sustainability. The analysis also highlights key research keywords and emerging themes, such as ethical governance, social justice, and economic sustainability. Using VOSviewer helps create visual maps of research networks, providing insights into relationships between authors, institutions, and keywords. The analysis reveals the prominent role of specific countries and institutions that support research in this area, emphasizing the importance of interdisciplinary collaboration in advancing this discourse. The study provides a foundation for understanding the relationship between Shariah principles and the SDGs, opening avenues for future research aimed at enhancing the use of Islamic values to address global sustainability challenges. The findings assist policymakers and researchers in identifying research gaps and collaboration opportunities for greater impact.","author":[{"dropping-particle":"","family":"Elbanna","given":"Mariam","non-dropping-particle":"","parse-names":false,"suffix":""},{"dropping-particle":"","family":"Wadi","given":"Munshid Falih","non-dropping-particle":"","parse-names":false,"suffix":""},{"dropping-particle":"","family":"Radiamoda","given":"Anwar M.","non-dropping-particle":"","parse-names":false,"suffix":""},{"dropping-particle":"","family":"Matsuyama","given":"Yohei","non-dropping-particle":"","parse-names":false,"suffix":""},{"dropping-particle":"Bin","family":"Ishak","given":"Mohamad Haeqal","non-dropping-particle":"","parse-names":false,"suffix":""}],"container-title":"QiST: Journal of Quran and Tafseer Studies","id":"ITEM-1","issue":"1","issued":{"date-parts":[["2025","1","3"]]},"page":"1-22","title":"A Bibliometric Analysis of Sustainable Development Goals (SDGs) Through the Lens of Maqasid Shariah Tafsir","type":"article-journal","volume":"4"},"uris":["http://www.mendeley.com/documents/?uuid=d931fe88-e306-4ffa-8e96-190819c6bf2a"]}],"mendeley":{"formattedCitation":"(Elbanna et al., 2025)","plainTextFormattedCitation":"(Elbanna et al., 2025)","previouslyFormattedCitation":"(Elbanna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(Elbanna et al., 2025)</w:t>
      </w:r>
      <w:r w:rsidR="00C6181C">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xml:space="preserve">. From this dataset, a total of 2,655 keywords were initially extracted. For the purpose of clarity and analytical significance, a minimum co-occurrence threshold of five was applied—meaning only keywords that appeared at least five times across the dataset were included in the final analysis. As a result, 167 keywords met this criterion and were used to construct the visual network displayed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{"citationItems":[{"id":"ITEM-1","itemData":{"DOI":"10.1002/ijfe.1986","ISSN":"10769307 (ISSN)","abstract":"This paper empirically investigates whether intellectual capital (IC) and shariah governance jointly affect the economic performance of Islamic banks (IBs). In contrast to prior research, this paper disaggregate IC and corporate governance features and examine whether the two are jointly related to economic performance. These relationships are further explored before, during and after the financial crisis based on a sample of 64 Islamic banks operating in different regions during the period 2007–2014. The required data to calculate different constituents of IC efficiency and governance mechanism is hand collected from 512 annual reports. After controlling for other corporate governance and bank-specific characteristics (operational type, bank size, listing status, risk, type of auditor, accounting standard and region), we find both intellectual capital efficiency and shariah governance proxies (size and dominance of prominent scholars of shariah supervisory board) to have a significant positive relationship with accounting measure of performance. However, based on market performance measure, only one proxy for shariah governance mechanism, that is, prominent scholars on SSB, is found to be significant but in the negative direction. These results provide important insights into the relationship between IC efficiency, corporate governance and performance in Islamic banking business model and have policy and practical implications. © 2020 The Authors. International Journal of Finance &amp; Economics published by John Wiley &amp; Sons Ltd.","author":[{"dropping-particle":"","family":"Nawaz","given":"T","non-dropping-particle":"","parse-names":false,"suffix":""},{"dropping-particle":"","family":"Haniffa","given":"R","non-dropping-particle":"","parse-names":false,"suffix":""},{"dropping-particle":"","family":"Hudaib","given":"M","non-dropping-particle":"","parse-names":false,"suffix":""}],"container-title":"International Journal of Finance and Economics","id":"ITEM-1","issue":"3","issued":{"date-parts":[["2021"]]},"language":"English","note":"Export Date: 24 April 2025; Cited By: 41; Correspondence Address: T. Nawaz; Department of Accounting, Finance and Economics, Plymouth Business School, University of Plymouth, Plymouth, United Kingdom; email: tnawaz@plymouth.ac.uk","page":"3770-3787","publisher":"John Wiley and Sons Ltd","publisher-place":"Department of Accounting, Finance and Economics, Plymouth Business School, University of Plymouth, Plymouth, United Kingdom","title":"On intellectual capital efficiency and shariah governance in Islamic banking business model","type":"article-journal","volume":"26"},"uris":["http://www.mendeley.com/documents/?uuid=29e8403d-d67c-40ae-927e-425440d1211e"]}],"mendeley":{"formattedCitation":"(Nawaz et al., 2021)","plainTextFormattedCitation":"(Nawaz et al., 2021)","previouslyFormattedCitation":"(Nawaz et al., 2021)"},"properties":{"noteIndex":0},"schema":"https://github.com/citation-style-language/schema/raw/master/csl-citation.json"}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(Nawaz et al., 2021)</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69AE9CD9" w14:textId="0586AA52"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The network is visually organized into distinct clusters, each represented by a different color, to signify closely related keywords that frequently appear together within the literature</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{"citationItems":[{"id":"ITEM-1","itemData":{"DOI":"10.1108/QRFM-04-2024-0108","ISSN":"17554179 (ISSN)","abstract":"Purpose: This paper aims to explore Islamic banking through the lens of Maqasid Shariah so that it can be reimagined to achieve societal well-being and greater confidence of Islamic banking stakeholders in Islamic banking products and practices. Additionally, it aims to identify the gap between Islamic banking theory and its existing practices. Design/methodology/approach: This paper uses the qualitative content analysis method based on the data gathered through semistructured interviews with Islamic banking stakeholders, including Shariah scholars, Islamic economics and finance researchers and Islamic bankers. Findings: This study suggests that Maqasid Shariah represents Islam’s holistic view as a comprehensive code of life that considers individual and societal well-being. If an Islamic bank needs Shariah compliance, it is required to comply with Maqasid Shariah as well. For this purpose, this study proposes that Islamic banks should adopt value-based intermediation. Findings further suggest that the Islamic banks of Pakistan are realizing the Maqasid Aammah and many of the Maqasid Khassah relevant to Islamic banking and finance. It is revealed that Islamic banks are not merely working to maximize shareholders’ wealth but are conducting real economic activities, which bring employment, and distribute charity funds besides corporate social responsibility for the community’s welfare. This study proposes that Islamic banks, along with corporate financing and sovereign Sukuk, should also provide microfinancing to the underprivileged segments of society, which will empower and uplift their communities. This way, IBF practices can be harmonized with the idealized ones Islamic economists advocate. Ultimately, this study proposes specific reforms in Islamic banking in the light of Maqasid Shariah. Originality/value: To the best of the authors’ knowledge, this is the first study that contributes to Islamic economics and finance knowledge by integrating different perspectives of Shariah scholars, bankers and economists on Islamic banking. It also offers context for policy implications, especially regarding financial engineering. © 2024, Emerald Publishing Limited.","author":[{"dropping-particle":"","family":"Sheikh","given":"R","non-dropping-particle":"","parse-names":false,"suffix":""},{"dropping-particle":"","family":"Hussain","given":"K","non-dropping-particle":"","parse-names":false,"suffix":""}],"container-title":"Qualitative Research in Financial Markets","id":"ITEM-1","issued":{"date-parts":[["2024"]]},"language":"English","note":"Export Date: 24 April 2025; Cited By: 0; Correspondence Address: R. Sheikh; Riphah School of Leadership, Riphah International University, Islamabad, Pakistan; email: rafiullah.sheikh@riphah.edu.pk","publisher":"Emerald Publishing","publisher-place":"Riphah School of Leadership, Riphah International University, Islamabad, Pakistan","title":"Reimagining Islamic banking in the light of Maqasid Shariah","type":"article-journal"},"uris":["http://www.mendeley.com/documents/?uuid=bf705165-5e95-42e8-b7b5-8e7f8b4684e9"]}],"mendeley":{"formattedCitation":"(Sheikh &amp; Hussain, 2024)","plainTextFormattedCitation":"(Sheikh &amp; Hussain, 2024)","previouslyFormattedCitation":"(Sheikh &amp; Hussain,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(Sheikh &amp; Hussain,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The size of each keyword label reflects its frequency of occurrence, while the proximity and thickness of the lines (edges) between keywords indicate the strength of their co-occurrence relationships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{"citationItems":[{"id":"ITEM-1","itemData":{"DOI":"10.21098/jimf.v9i4.1784","ISSN":"24606146 (ISSN)","abstract":"This article analyzes the performance of Islamic banking in Malaysia and Indonesia using a comprehensive evaluation framework. Malaysia is known for its leading role in Islamic finance, while Indonesia has faced criticism for slower growth. The study argues that assessing Islamic banking performance solely based on financial metrics is insufficient and proposes a broader framework based on the Maqasid Shariah (objectives of Islamic law) for a more objective standard. Using data from 2010 to 2019, the study constructs a Maqasid Shariah Index of Islamic Bank (MSI-iB) and adopts a T-test as well as a panel data model to evaluate their performance. The index includes five sub-indices representing different aspects of the Maqasid Shariah framework. Results show varied scores among Islamic banks in both countries with no statistical difference between the two countries, but with Indonesia leading in religiosity and intellectuality dimensions and Malaysia leading in the posterity dimension. These results challenge the perception that Malaysia’s Islamic banking performance is inherently superior to Indonesia’s based solely on financial metrics. Considering the Maqasid Shariah framework is crucial to evaluating Islamic banking performance, highlighting the significance of non-financial indicators. The study concludes that a comprehensive perspective is necessary, incorporating both financial and non-financial factors, to assess overall performance. © 2023 Bank Indonesia Institute. All Rights Reserved.","author":[{"dropping-particle":"","family":"Hakam Naja","given":"A","non-dropping-particle":"","parse-names":false,"suffix":""}],"container-title":"Journal of Islamic Monetary Economics and Finance","id":"ITEM-1","issue":"4","issued":{"date-parts":[["2023"]]},"language":"English","note":"Export Date: 24 April 2025; Cited By: 3; Correspondence Address: A. Hakam Naja; Padjadjaran University, Indonesia; email: hakamnaja219@gmail.com","page":"611-636","publisher":"Bank Indonesia Institute","publisher-place":"Padjadjaran University, Indonesia","title":"IS ISLAMIC BANKING PERFORMANCE IN MALAYSIA TRULY BETTER THAN INDONESIA?","type":"article-journal","volume":"9"},"uris":["http://www.mendeley.com/documents/?uuid=6657084a-1697-47d7-81d2-31ad655620a0"]}],"mendeley":{"formattedCitation":"(Hakam Naja, 2023)","plainTextFormattedCitation":"(Hakam Naja, 2023)","previouslyFormattedCitation":"(Hakam Naja,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(Hakam Naja,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At the center of the map, the term “Islamic banking” serves as the core node, surrounded by several overlapping thematic clusters, each distinguished by a unique color. The dark blue cluster represents core themes such as “corporate governance,” “financial development,” and “Shariah”, highlighting the structural and regulatory foundations of Islamic banking. In contrast, the red cluster focuses on terms such as “conventional banks,” “credit risk,” and “Basel accord,” reflecting comparative analyses between Islamic and conventional banking systems, particularly in the context of risk and regulation</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{"citationItems":[{"id":"ITEM-1","itemData":{"DOI":"10.22495/jgrv13i2siart3","ISSN":"22209352 (ISSN)","abstract":"This study investigates the pivotal role of robust legal instruments in driving the outstanding performance of Malaysia’s Islamic banking industry. Our primary objective is to discern the correlation between the regulatory framework’s legal strength and the industry’s achievements. To achieve this, we embark on a comprehensive exploration of the historical progression of Islamic banking in Malaysia. We scrutinize the dynamics and milestones that have shaped the industry, with particular emphasis on its impressive growth. We then delve into the development of the regulatory frameworks, analyzing how the availability of strong legal instruments has contributed to the sector’s triumph. This study finding the presence of robust legal instruments has been a catalyst for the ascension of Malaysia’s Islamic banking industry. Coupled with accommodating regulations and responsive regulatory institutions, these legal foundations have underpinned the sector’s remarkable success. This study underscores the critical importance of having sufficient legal instruments to nurture the Islamic banking industry. We recommend that governments aspiring to bolster Islamic banking’s performance consider the provision of such legal frameworks. Consequently, this research carries significant implications for policymakers and industry stakeholders alike, offering insights into the essential ingredients for fostering a thriving Islamic banking sector. © 2024 The Authors.","author":[{"dropping-particle":"","family":"Triyanta","given":"A","non-dropping-particle":"","parse-names":false,"suffix":""},{"dropping-particle":"","family":"Hassan","given":"R","non-dropping-particle":"","parse-names":false,"suffix":""}],"container-title":"Journal of Governance and Regulation","id":"ITEM-1","issue":"2 (special issue)","issued":{"date-parts":[["2024"]]},"language":"English","note":"Export Date: 24 April 2025; Cited By: 0","page":"267-274","publisher":"Virtus Interpress","publisher-place":"Universitas Islam Indonesia, Yogyakarta, Indonesia","title":"THE CONNECTION BETWEEN ROBUST LEGAL INSTRUMENTS AND THE EXCEPTIONAL PERFORMANCE OF THE ISLAMIC BANKING INDUSTRY","type":"article-journal","volume":"13"},"uris":["http://www.mendeley.com/documents/?uuid=f59f57ed-4881-4100-9572-814b8f418cd0"]}],"mendeley":{"formattedCitation":"(Triyanta &amp; Hassan, 2024)","plainTextFormattedCitation":"(Triyanta &amp; Hassan, 2024)","previouslyFormattedCitation":"(Triyanta &amp; Hassan,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(Triyanta &amp; Hassan,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03F8D3AD" w14:textId="77777777" w:rsidR="008F1989" w:rsidRDefault="008F1989" w:rsidP="00B06D1D">
      <w:pPr>
        <w:autoSpaceDE/>
        <w:autoSpaceDN/>
        <w:spacing w:after="200" w:line="276" w:lineRule="auto"/>
        <w:ind w:left="426"/>
        <w:jc w:val="both"/>
        <w:rPr>
          <w:rFonts w:ascii="Calibri Light" w:eastAsia="MS Mincho" w:hAnsi="Calibri Light" w:cs="Calibri Light"/>
          <w:sz w:val="24"/>
          <w:szCs w:val="24"/>
          <w:rtl/>
          <w:lang w:eastAsia="en-US"/>
        </w:rPr>
      </w:pPr>
    </w:p>
    <w:p w14:paraId="75956F56" w14:textId="508E5CD4" w:rsidR="008F1989" w:rsidRDefault="00E758FF" w:rsidP="00B06D1D">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eastAsia="Calibri" w:cs="Traditional Arabic"/>
          <w:noProof/>
          <w:sz w:val="24"/>
          <w:szCs w:val="24"/>
          <w:lang w:val="en-ID" w:eastAsia="en-US"/>
        </w:rPr>
        <w:lastRenderedPageBreak/>
        <w:drawing>
          <wp:anchor distT="0" distB="0" distL="114300" distR="114300" simplePos="0" relativeHeight="251701760" behindDoc="0" locked="0" layoutInCell="1" allowOverlap="1" wp14:anchorId="008C175F" wp14:editId="57E96958">
            <wp:simplePos x="0" y="0"/>
            <wp:positionH relativeFrom="margin">
              <wp:align>center</wp:align>
            </wp:positionH>
            <wp:positionV relativeFrom="paragraph">
              <wp:posOffset>210575</wp:posOffset>
            </wp:positionV>
            <wp:extent cx="4826000" cy="3018155"/>
            <wp:effectExtent l="0" t="0" r="0" b="0"/>
            <wp:wrapTopAndBottom/>
            <wp:docPr id="213476263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26000" cy="3018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9EA645" w14:textId="2A0507B0" w:rsidR="008F1989" w:rsidRDefault="00E758FF" w:rsidP="00E758FF">
      <w:pPr>
        <w:autoSpaceDE/>
        <w:autoSpaceDN/>
        <w:spacing w:after="200" w:line="276" w:lineRule="auto"/>
        <w:ind w:left="426"/>
        <w:jc w:val="center"/>
        <w:rPr>
          <w:rFonts w:ascii="Calibri Light" w:eastAsia="MS Mincho" w:hAnsi="Calibri Light" w:cs="Calibri Light"/>
          <w:sz w:val="24"/>
          <w:szCs w:val="24"/>
          <w:rtl/>
          <w:lang w:eastAsia="en-US"/>
        </w:rPr>
      </w:pPr>
      <w:r w:rsidRPr="00E758F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10</w:t>
      </w:r>
      <w:r w:rsidRPr="00E758FF">
        <w:rPr>
          <w:rFonts w:ascii="Calibri Light" w:eastAsia="MS Mincho" w:hAnsi="Calibri Light" w:cs="Calibri Light"/>
          <w:b/>
          <w:bCs/>
          <w:sz w:val="24"/>
          <w:szCs w:val="24"/>
          <w:lang w:eastAsia="en-US"/>
        </w:rPr>
        <w:t xml:space="preserve">. </w:t>
      </w:r>
      <w:r w:rsidRPr="00E758FF">
        <w:rPr>
          <w:rFonts w:ascii="Calibri Light" w:eastAsia="MS Mincho" w:hAnsi="Calibri Light" w:cs="Calibri Light"/>
          <w:sz w:val="24"/>
          <w:szCs w:val="24"/>
          <w:lang w:eastAsia="en-US"/>
        </w:rPr>
        <w:t>Keyword co-occurrence network</w:t>
      </w:r>
    </w:p>
    <w:p w14:paraId="616D599D" w14:textId="1A40BE5E" w:rsidR="00E758FF" w:rsidRPr="00E758FF" w:rsidRDefault="00E758FF" w:rsidP="00E758FF">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The green cluster encompasses behavioral and social concepts like “trust,” “service quality,” and “religiosity,” indicating a growing research interest in customer perception and satisfaction within Islamic finance. The orange cluster explores themes related to “corporate social responsibility” and “sustainable development,” emphasizing the ethical and socially responsible dimensions of Islamic banking. On the other hand, the purple cluster reflects the geographical scope of the literature, with countries such as “Indonesia,” “Pakistan,” and “Malaysia” featuring prominently, as they represent key markets for Islamic financial services. The light blue cluster addresses technical and financial aspects, including “financial performance” and “regression analysis.” Meanwhile, the yellow cluster highlights key Islamic finance instruments such as “Murabaha” and “</w:t>
      </w:r>
      <w:proofErr w:type="spellStart"/>
      <w:r w:rsidRPr="00E758FF">
        <w:rPr>
          <w:rFonts w:ascii="Calibri Light" w:eastAsia="MS Mincho" w:hAnsi="Calibri Light" w:cs="Calibri Light"/>
          <w:sz w:val="24"/>
          <w:szCs w:val="24"/>
          <w:lang w:eastAsia="en-US"/>
        </w:rPr>
        <w:t>Musharakah</w:t>
      </w:r>
      <w:proofErr w:type="spellEnd"/>
      <w:r w:rsidRPr="00E758FF">
        <w:rPr>
          <w:rFonts w:ascii="Calibri Light" w:eastAsia="MS Mincho" w:hAnsi="Calibri Light" w:cs="Calibri Light"/>
          <w:sz w:val="24"/>
          <w:szCs w:val="24"/>
          <w:lang w:eastAsia="en-US"/>
        </w:rPr>
        <w:t>,” shedding light on the operational mechanisms within Islamic banks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{"citationItems":[{"id":"ITEM-1","itemData":{"DOI":"10.1016/j.cpa.2022.102449","ISSN":"10452354 (ISSN)","abstract":"This paper explores the manner in which a range of issues relating to emotional propensities – including ethics, trust, fear and institutional exploitation of these – shape perceptions about the Islamic banking industry in the UK. Much of the ethos and practice of Shariah that originally defined such activities have been lost amidst the hegemony of global capital(ism) and a lack of innovation, transparency and social concern have been cited as potential sources of alienation for consumers otherwise likely to be interested in Islamic financial services. However, understanding regarding the impact of emotion in this context is very limited, despite potentially representing motivations for a broad range of financial decision-making. A critical accounting framework is used here to interpret evidence from a series of 32 interviews conducted with UK-based Muslims. The analysis unmasks the hidden interests of Islamic banks and suggests that enhanced stakeholder participation might be transformational in terms of meeting societal needs provided that the complex, but powerful, impact of emotional propensities is recognised. © 2022 The Authors","author":[{"dropping-particle":"","family":"Riaz","given":"U","non-dropping-particle":"","parse-names":false,"suffix":""},{"dropping-particle":"","family":"Burton","given":"B","non-dropping-particle":"","parse-names":false,"suffix":""},{"dropping-particle":"","family":"Fearfull","given":"A","non-dropping-particle":"","parse-names":false,"suffix":""}],"container-title":"Critical Perspectives on Accounting","id":"ITEM-1","issued":{"date-parts":[["2023"]]},"language":"English","note":"Export Date: 24 April 2025; Cited By: 11; Correspondence Address: U. Riaz; Aston Business School, Aston University, Birmingham, Aston Street, B4 7ET, United Kingdom; email: u.riaz@aston.ac.uk","publisher":"Academic Press","publisher-place":"Aston Business School, Aston University, Aston Street, Birmingham, B4 7ET, United Kingdom","title":"Emotional propensities and the contemporary Islamic banking industry","type":"article-journal","volume":"94"},"uris":["http://www.mendeley.com/documents/?uuid=6d571bc6-e28a-4bb0-b3b5-d4c9e9ba748c"]}],"mendeley":{"formattedCitation":"(Riaz et al., 2023)","plainTextFormattedCitation":"(Riaz et al., 2023)","previouslyFormattedCitation":"(Riaz et al.,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(Riaz et al.,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413C8AB9" w14:textId="3B13C71C"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This visualization provides a structured overview of the main research themes, subtopics, and interconnections within the field of Islamic banking.</w:t>
      </w:r>
    </w:p>
    <w:tbl>
      <w:tblPr>
        <w:tblStyle w:val="PlainTable23"/>
        <w:tblW w:w="8505" w:type="dxa"/>
        <w:tblInd w:w="284" w:type="dxa"/>
        <w:tblLook w:val="04A0" w:firstRow="1" w:lastRow="0" w:firstColumn="1" w:lastColumn="0" w:noHBand="0" w:noVBand="1"/>
      </w:tblPr>
      <w:tblGrid>
        <w:gridCol w:w="2254"/>
        <w:gridCol w:w="2254"/>
        <w:gridCol w:w="2254"/>
        <w:gridCol w:w="1743"/>
      </w:tblGrid>
      <w:tr w:rsidR="00415A81" w:rsidRPr="00415A81" w14:paraId="127492BE" w14:textId="77777777" w:rsidTr="001C1A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shd w:val="clear" w:color="auto" w:fill="E5B8B7" w:themeFill="accent2" w:themeFillTint="66"/>
          </w:tcPr>
          <w:p w14:paraId="6A88AB7A" w14:textId="77777777" w:rsidR="00415A81" w:rsidRPr="00415A81" w:rsidRDefault="00415A81" w:rsidP="00415A81">
            <w:pPr>
              <w:autoSpaceDE/>
              <w:autoSpaceDN/>
              <w:rPr>
                <w:rFonts w:ascii="Calibri Light" w:hAnsi="Calibri Light" w:cs="Calibri Light"/>
                <w:lang w:val="en-ID" w:eastAsia="en-US"/>
              </w:rPr>
            </w:pPr>
            <w:r w:rsidRPr="00415A81">
              <w:rPr>
                <w:rFonts w:ascii="Calibri Light" w:hAnsi="Calibri Light" w:cs="Calibri Light"/>
                <w:lang w:val="en-ID" w:eastAsia="en-US"/>
              </w:rPr>
              <w:t>keywords</w:t>
            </w:r>
          </w:p>
        </w:tc>
        <w:tc>
          <w:tcPr>
            <w:tcW w:w="2254" w:type="dxa"/>
            <w:shd w:val="clear" w:color="auto" w:fill="E5B8B7" w:themeFill="accent2" w:themeFillTint="66"/>
          </w:tcPr>
          <w:p w14:paraId="1827468F"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Cluster</w:t>
            </w:r>
          </w:p>
        </w:tc>
        <w:tc>
          <w:tcPr>
            <w:tcW w:w="2254" w:type="dxa"/>
            <w:shd w:val="clear" w:color="auto" w:fill="E5B8B7" w:themeFill="accent2" w:themeFillTint="66"/>
          </w:tcPr>
          <w:p w14:paraId="35CA8A4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Occurrences</w:t>
            </w:r>
          </w:p>
        </w:tc>
        <w:tc>
          <w:tcPr>
            <w:tcW w:w="1743" w:type="dxa"/>
            <w:shd w:val="clear" w:color="auto" w:fill="E5B8B7" w:themeFill="accent2" w:themeFillTint="66"/>
          </w:tcPr>
          <w:p w14:paraId="3626C332"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Total link</w:t>
            </w:r>
          </w:p>
          <w:p w14:paraId="081B180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Strength</w:t>
            </w:r>
          </w:p>
        </w:tc>
      </w:tr>
      <w:tr w:rsidR="00415A81" w:rsidRPr="00415A81" w14:paraId="2A4DFFED"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D2E353A" w14:textId="77777777" w:rsidR="00415A81" w:rsidRPr="00415A81" w:rsidRDefault="00415A81" w:rsidP="00415A81">
            <w:pPr>
              <w:autoSpaceDE/>
              <w:autoSpaceDN/>
              <w:rPr>
                <w:lang w:val="en-ID" w:eastAsia="en-US"/>
              </w:rPr>
            </w:pPr>
            <w:r w:rsidRPr="00415A81">
              <w:rPr>
                <w:lang w:val="en-ID" w:eastAsia="en-US"/>
              </w:rPr>
              <w:t>Islamic banking</w:t>
            </w:r>
          </w:p>
        </w:tc>
        <w:tc>
          <w:tcPr>
            <w:tcW w:w="2254" w:type="dxa"/>
          </w:tcPr>
          <w:p w14:paraId="10BCC060"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42CCF3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559</w:t>
            </w:r>
          </w:p>
        </w:tc>
        <w:tc>
          <w:tcPr>
            <w:tcW w:w="1743" w:type="dxa"/>
          </w:tcPr>
          <w:p w14:paraId="3616F8A7"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818</w:t>
            </w:r>
          </w:p>
        </w:tc>
      </w:tr>
      <w:tr w:rsidR="00415A81" w:rsidRPr="00415A81" w14:paraId="33F25D18"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D5FF819" w14:textId="77777777" w:rsidR="00415A81" w:rsidRPr="00415A81" w:rsidRDefault="00415A81" w:rsidP="00415A81">
            <w:pPr>
              <w:autoSpaceDE/>
              <w:autoSpaceDN/>
              <w:rPr>
                <w:lang w:val="en-ID" w:eastAsia="en-US"/>
              </w:rPr>
            </w:pPr>
            <w:r w:rsidRPr="00415A81">
              <w:rPr>
                <w:lang w:val="en-ID" w:eastAsia="en-US"/>
              </w:rPr>
              <w:t xml:space="preserve">Basel accord </w:t>
            </w:r>
          </w:p>
        </w:tc>
        <w:tc>
          <w:tcPr>
            <w:tcW w:w="2254" w:type="dxa"/>
          </w:tcPr>
          <w:p w14:paraId="35BD981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w:t>
            </w:r>
          </w:p>
        </w:tc>
        <w:tc>
          <w:tcPr>
            <w:tcW w:w="2254" w:type="dxa"/>
          </w:tcPr>
          <w:p w14:paraId="4581AA3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30</w:t>
            </w:r>
          </w:p>
        </w:tc>
        <w:tc>
          <w:tcPr>
            <w:tcW w:w="1743" w:type="dxa"/>
          </w:tcPr>
          <w:p w14:paraId="1A6BC85D"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41</w:t>
            </w:r>
          </w:p>
        </w:tc>
      </w:tr>
      <w:tr w:rsidR="00415A81" w:rsidRPr="00415A81" w14:paraId="4BD65387"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73EA3C3B" w14:textId="77777777" w:rsidR="00415A81" w:rsidRPr="00415A81" w:rsidRDefault="00415A81" w:rsidP="00415A81">
            <w:pPr>
              <w:autoSpaceDE/>
              <w:autoSpaceDN/>
              <w:rPr>
                <w:lang w:val="en-ID" w:eastAsia="en-US"/>
              </w:rPr>
            </w:pPr>
            <w:r w:rsidRPr="00415A81">
              <w:rPr>
                <w:lang w:val="en-ID" w:eastAsia="en-US"/>
              </w:rPr>
              <w:t xml:space="preserve">Islamic finance </w:t>
            </w:r>
          </w:p>
        </w:tc>
        <w:tc>
          <w:tcPr>
            <w:tcW w:w="2254" w:type="dxa"/>
          </w:tcPr>
          <w:p w14:paraId="7C158D7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61E09C3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104</w:t>
            </w:r>
          </w:p>
        </w:tc>
        <w:tc>
          <w:tcPr>
            <w:tcW w:w="1743" w:type="dxa"/>
          </w:tcPr>
          <w:p w14:paraId="00D6CF2B"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166</w:t>
            </w:r>
          </w:p>
        </w:tc>
      </w:tr>
      <w:tr w:rsidR="00415A81" w:rsidRPr="00415A81" w14:paraId="5C0047C5"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784F30A4" w14:textId="77777777" w:rsidR="00415A81" w:rsidRPr="00415A81" w:rsidRDefault="00415A81" w:rsidP="00415A81">
            <w:pPr>
              <w:autoSpaceDE/>
              <w:autoSpaceDN/>
              <w:rPr>
                <w:lang w:val="en-ID" w:eastAsia="en-US"/>
              </w:rPr>
            </w:pPr>
            <w:r w:rsidRPr="00415A81">
              <w:rPr>
                <w:lang w:val="en-ID" w:eastAsia="en-US"/>
              </w:rPr>
              <w:t xml:space="preserve">Banking </w:t>
            </w:r>
          </w:p>
        </w:tc>
        <w:tc>
          <w:tcPr>
            <w:tcW w:w="2254" w:type="dxa"/>
          </w:tcPr>
          <w:p w14:paraId="1109FDA4"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5</w:t>
            </w:r>
          </w:p>
        </w:tc>
        <w:tc>
          <w:tcPr>
            <w:tcW w:w="2254" w:type="dxa"/>
          </w:tcPr>
          <w:p w14:paraId="47542C02"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90</w:t>
            </w:r>
          </w:p>
        </w:tc>
        <w:tc>
          <w:tcPr>
            <w:tcW w:w="1743" w:type="dxa"/>
          </w:tcPr>
          <w:p w14:paraId="032921B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342</w:t>
            </w:r>
          </w:p>
        </w:tc>
      </w:tr>
      <w:tr w:rsidR="00415A81" w:rsidRPr="00415A81" w14:paraId="12E224F6"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1CE30EE" w14:textId="77777777" w:rsidR="00415A81" w:rsidRPr="00415A81" w:rsidRDefault="00415A81" w:rsidP="00415A81">
            <w:pPr>
              <w:autoSpaceDE/>
              <w:autoSpaceDN/>
              <w:rPr>
                <w:lang w:val="en-ID" w:eastAsia="en-US"/>
              </w:rPr>
            </w:pPr>
            <w:r w:rsidRPr="00415A81">
              <w:rPr>
                <w:lang w:val="en-ID" w:eastAsia="en-US"/>
              </w:rPr>
              <w:t xml:space="preserve">Islamic Marketing </w:t>
            </w:r>
          </w:p>
        </w:tc>
        <w:tc>
          <w:tcPr>
            <w:tcW w:w="2254" w:type="dxa"/>
          </w:tcPr>
          <w:p w14:paraId="2E37D535"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7</w:t>
            </w:r>
          </w:p>
        </w:tc>
        <w:tc>
          <w:tcPr>
            <w:tcW w:w="2254" w:type="dxa"/>
          </w:tcPr>
          <w:p w14:paraId="2EFB1551"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14</w:t>
            </w:r>
          </w:p>
        </w:tc>
        <w:tc>
          <w:tcPr>
            <w:tcW w:w="1743" w:type="dxa"/>
          </w:tcPr>
          <w:p w14:paraId="716D8DB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21</w:t>
            </w:r>
          </w:p>
        </w:tc>
      </w:tr>
      <w:tr w:rsidR="00415A81" w:rsidRPr="00415A81" w14:paraId="7F2C91FD"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8B09A82" w14:textId="77777777" w:rsidR="00415A81" w:rsidRPr="00415A81" w:rsidRDefault="00415A81" w:rsidP="00415A81">
            <w:pPr>
              <w:autoSpaceDE/>
              <w:autoSpaceDN/>
              <w:rPr>
                <w:lang w:val="en-ID" w:eastAsia="en-US"/>
              </w:rPr>
            </w:pPr>
            <w:r w:rsidRPr="00415A81">
              <w:rPr>
                <w:lang w:val="en-ID" w:eastAsia="en-US"/>
              </w:rPr>
              <w:t>Islamic Economics</w:t>
            </w:r>
          </w:p>
        </w:tc>
        <w:tc>
          <w:tcPr>
            <w:tcW w:w="2254" w:type="dxa"/>
          </w:tcPr>
          <w:p w14:paraId="7A2415FC"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556C5D8E"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11</w:t>
            </w:r>
          </w:p>
        </w:tc>
        <w:tc>
          <w:tcPr>
            <w:tcW w:w="1743" w:type="dxa"/>
          </w:tcPr>
          <w:p w14:paraId="394DF7EA"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10</w:t>
            </w:r>
          </w:p>
        </w:tc>
      </w:tr>
      <w:tr w:rsidR="00415A81" w:rsidRPr="00415A81" w14:paraId="35B532A8"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6BE989C6" w14:textId="77777777" w:rsidR="00415A81" w:rsidRPr="00415A81" w:rsidRDefault="00415A81" w:rsidP="00415A81">
            <w:pPr>
              <w:autoSpaceDE/>
              <w:autoSpaceDN/>
              <w:rPr>
                <w:lang w:val="en-ID" w:eastAsia="en-US"/>
              </w:rPr>
            </w:pPr>
            <w:r w:rsidRPr="00415A81">
              <w:rPr>
                <w:lang w:val="en-ID" w:eastAsia="en-US"/>
              </w:rPr>
              <w:t>Financial crisis</w:t>
            </w:r>
          </w:p>
        </w:tc>
        <w:tc>
          <w:tcPr>
            <w:tcW w:w="2254" w:type="dxa"/>
          </w:tcPr>
          <w:p w14:paraId="79575C4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w:t>
            </w:r>
          </w:p>
        </w:tc>
        <w:tc>
          <w:tcPr>
            <w:tcW w:w="2254" w:type="dxa"/>
          </w:tcPr>
          <w:p w14:paraId="277CDB0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29</w:t>
            </w:r>
          </w:p>
        </w:tc>
        <w:tc>
          <w:tcPr>
            <w:tcW w:w="1743" w:type="dxa"/>
          </w:tcPr>
          <w:p w14:paraId="7BEC5CE8"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83</w:t>
            </w:r>
          </w:p>
        </w:tc>
      </w:tr>
      <w:tr w:rsidR="00415A81" w:rsidRPr="00415A81" w14:paraId="49927C17"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36532F9" w14:textId="77777777" w:rsidR="00415A81" w:rsidRPr="00415A81" w:rsidRDefault="00415A81" w:rsidP="00415A81">
            <w:pPr>
              <w:autoSpaceDE/>
              <w:autoSpaceDN/>
              <w:rPr>
                <w:lang w:val="en-ID" w:eastAsia="en-US"/>
              </w:rPr>
            </w:pPr>
            <w:r w:rsidRPr="00415A81">
              <w:rPr>
                <w:lang w:val="en-ID" w:eastAsia="en-US"/>
              </w:rPr>
              <w:t>Basal iii</w:t>
            </w:r>
          </w:p>
        </w:tc>
        <w:tc>
          <w:tcPr>
            <w:tcW w:w="2254" w:type="dxa"/>
          </w:tcPr>
          <w:p w14:paraId="5C61291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167123E8"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16</w:t>
            </w:r>
          </w:p>
        </w:tc>
        <w:tc>
          <w:tcPr>
            <w:tcW w:w="1743" w:type="dxa"/>
          </w:tcPr>
          <w:p w14:paraId="0D7B2DA3"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31</w:t>
            </w:r>
          </w:p>
        </w:tc>
      </w:tr>
      <w:tr w:rsidR="00415A81" w:rsidRPr="00415A81" w14:paraId="3F6AF6E0"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3AF48D6" w14:textId="77777777" w:rsidR="00415A81" w:rsidRPr="00415A81" w:rsidRDefault="00415A81" w:rsidP="00415A81">
            <w:pPr>
              <w:autoSpaceDE/>
              <w:autoSpaceDN/>
              <w:rPr>
                <w:lang w:val="en-ID" w:eastAsia="en-US"/>
              </w:rPr>
            </w:pPr>
            <w:r w:rsidRPr="00415A81">
              <w:rPr>
                <w:lang w:val="en-ID" w:eastAsia="en-US"/>
              </w:rPr>
              <w:lastRenderedPageBreak/>
              <w:t>fintech</w:t>
            </w:r>
          </w:p>
        </w:tc>
        <w:tc>
          <w:tcPr>
            <w:tcW w:w="2254" w:type="dxa"/>
          </w:tcPr>
          <w:p w14:paraId="468A0259"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788EA8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w:t>
            </w:r>
          </w:p>
        </w:tc>
        <w:tc>
          <w:tcPr>
            <w:tcW w:w="1743" w:type="dxa"/>
          </w:tcPr>
          <w:p w14:paraId="1A9ACB03"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24</w:t>
            </w:r>
          </w:p>
        </w:tc>
      </w:tr>
      <w:tr w:rsidR="00415A81" w:rsidRPr="00415A81" w14:paraId="41BD57A2"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58DBF7A" w14:textId="77777777" w:rsidR="00415A81" w:rsidRPr="00415A81" w:rsidRDefault="00415A81" w:rsidP="00415A81">
            <w:pPr>
              <w:autoSpaceDE/>
              <w:autoSpaceDN/>
              <w:rPr>
                <w:lang w:val="en-ID" w:eastAsia="en-US"/>
              </w:rPr>
            </w:pPr>
            <w:r w:rsidRPr="00415A81">
              <w:rPr>
                <w:lang w:val="en-ID" w:eastAsia="en-US"/>
              </w:rPr>
              <w:t>sharia</w:t>
            </w:r>
          </w:p>
        </w:tc>
        <w:tc>
          <w:tcPr>
            <w:tcW w:w="2254" w:type="dxa"/>
          </w:tcPr>
          <w:p w14:paraId="29F7657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w:t>
            </w:r>
          </w:p>
        </w:tc>
        <w:tc>
          <w:tcPr>
            <w:tcW w:w="2254" w:type="dxa"/>
          </w:tcPr>
          <w:p w14:paraId="12FC5E46"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12</w:t>
            </w:r>
          </w:p>
        </w:tc>
        <w:tc>
          <w:tcPr>
            <w:tcW w:w="1743" w:type="dxa"/>
          </w:tcPr>
          <w:p w14:paraId="76B9675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25</w:t>
            </w:r>
          </w:p>
        </w:tc>
      </w:tr>
    </w:tbl>
    <w:p w14:paraId="5F6A1AA2" w14:textId="3983B35A" w:rsidR="008F1989" w:rsidRDefault="00415A81" w:rsidP="00415A81">
      <w:pPr>
        <w:autoSpaceDE/>
        <w:autoSpaceDN/>
        <w:spacing w:after="200" w:line="276" w:lineRule="auto"/>
        <w:ind w:left="426"/>
        <w:jc w:val="center"/>
        <w:rPr>
          <w:rFonts w:ascii="Calibri Light" w:eastAsia="MS Mincho" w:hAnsi="Calibri Light" w:cs="Calibri Light"/>
          <w:sz w:val="24"/>
          <w:szCs w:val="24"/>
          <w:rtl/>
          <w:lang w:eastAsia="en-US"/>
        </w:rPr>
      </w:pPr>
      <w:r w:rsidRPr="00415A81">
        <w:rPr>
          <w:rFonts w:ascii="Calibri Light" w:eastAsia="MS Mincho" w:hAnsi="Calibri Light" w:cs="Calibri Light"/>
          <w:b/>
          <w:bCs/>
          <w:sz w:val="24"/>
          <w:szCs w:val="24"/>
          <w:lang w:eastAsia="en-US"/>
        </w:rPr>
        <w:t xml:space="preserve">Table </w:t>
      </w:r>
      <w:proofErr w:type="gramStart"/>
      <w:r w:rsidR="001A4C9F">
        <w:rPr>
          <w:rFonts w:ascii="Calibri Light" w:eastAsia="MS Mincho" w:hAnsi="Calibri Light" w:cs="Calibri Light" w:hint="cs"/>
          <w:b/>
          <w:bCs/>
          <w:sz w:val="24"/>
          <w:szCs w:val="24"/>
          <w:rtl/>
          <w:lang w:eastAsia="en-US"/>
        </w:rPr>
        <w:t>4</w:t>
      </w:r>
      <w:r w:rsidRPr="00415A81">
        <w:rPr>
          <w:rFonts w:ascii="Calibri Light" w:eastAsia="MS Mincho" w:hAnsi="Calibri Light" w:cs="Calibri Light"/>
          <w:b/>
          <w:bCs/>
          <w:sz w:val="24"/>
          <w:szCs w:val="24"/>
          <w:lang w:eastAsia="en-US"/>
        </w:rPr>
        <w:t>.</w:t>
      </w:r>
      <w:r w:rsidRPr="00415A81">
        <w:rPr>
          <w:rFonts w:ascii="Calibri Light" w:eastAsia="MS Mincho" w:hAnsi="Calibri Light" w:cs="Calibri Light"/>
          <w:sz w:val="24"/>
          <w:szCs w:val="24"/>
          <w:lang w:eastAsia="en-US"/>
        </w:rPr>
        <w:t>The</w:t>
      </w:r>
      <w:proofErr w:type="gramEnd"/>
      <w:r w:rsidRPr="00415A81">
        <w:rPr>
          <w:rFonts w:ascii="Calibri Light" w:eastAsia="MS Mincho" w:hAnsi="Calibri Light" w:cs="Calibri Light"/>
          <w:sz w:val="24"/>
          <w:szCs w:val="24"/>
          <w:lang w:eastAsia="en-US"/>
        </w:rPr>
        <w:t xml:space="preserve"> top 10 keywords on occurrence</w:t>
      </w:r>
    </w:p>
    <w:p w14:paraId="21D2CBBB" w14:textId="1C7524ED" w:rsidR="008F1989" w:rsidRDefault="00546E89" w:rsidP="00B06D1D">
      <w:pPr>
        <w:autoSpaceDE/>
        <w:autoSpaceDN/>
        <w:spacing w:after="200" w:line="276" w:lineRule="auto"/>
        <w:ind w:left="426"/>
        <w:jc w:val="both"/>
        <w:rPr>
          <w:rFonts w:ascii="Calibri Light" w:eastAsia="MS Mincho" w:hAnsi="Calibri Light" w:cs="Calibri Light"/>
          <w:sz w:val="24"/>
          <w:szCs w:val="24"/>
          <w:lang w:eastAsia="en-US"/>
        </w:rPr>
      </w:pPr>
      <w:r w:rsidRPr="00415A81">
        <w:rPr>
          <w:rFonts w:eastAsia="Calibri" w:cs="Traditional Arabic"/>
          <w:noProof/>
          <w:sz w:val="24"/>
          <w:szCs w:val="24"/>
          <w:lang w:val="en-ID" w:eastAsia="en-US"/>
        </w:rPr>
        <w:drawing>
          <wp:anchor distT="0" distB="0" distL="114300" distR="114300" simplePos="0" relativeHeight="251703808" behindDoc="0" locked="0" layoutInCell="1" allowOverlap="1" wp14:anchorId="755B90D5" wp14:editId="54A0AEE5">
            <wp:simplePos x="0" y="0"/>
            <wp:positionH relativeFrom="margin">
              <wp:align>right</wp:align>
            </wp:positionH>
            <wp:positionV relativeFrom="paragraph">
              <wp:posOffset>2173947</wp:posOffset>
            </wp:positionV>
            <wp:extent cx="5377180" cy="2246630"/>
            <wp:effectExtent l="0" t="0" r="0" b="1270"/>
            <wp:wrapTopAndBottom/>
            <wp:docPr id="46765379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7180" cy="2246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5A81" w:rsidRPr="00415A81">
        <w:rPr>
          <w:rFonts w:ascii="Calibri Light" w:eastAsia="MS Mincho" w:hAnsi="Calibri Light" w:cs="Calibri Light"/>
          <w:sz w:val="24"/>
          <w:szCs w:val="24"/>
          <w:lang w:eastAsia="en-US"/>
        </w:rPr>
        <w:t xml:space="preserve">Table </w:t>
      </w:r>
      <w:r w:rsidR="001A4C9F">
        <w:rPr>
          <w:rFonts w:ascii="Calibri Light" w:eastAsia="MS Mincho" w:hAnsi="Calibri Light" w:cs="Calibri Light" w:hint="cs"/>
          <w:sz w:val="24"/>
          <w:szCs w:val="24"/>
          <w:rtl/>
          <w:lang w:eastAsia="en-US"/>
        </w:rPr>
        <w:t>4</w:t>
      </w:r>
      <w:r w:rsidR="00415A81" w:rsidRPr="00415A81">
        <w:rPr>
          <w:rFonts w:ascii="Calibri Light" w:eastAsia="MS Mincho" w:hAnsi="Calibri Light" w:cs="Calibri Light"/>
          <w:sz w:val="24"/>
          <w:szCs w:val="24"/>
          <w:lang w:eastAsia="en-US"/>
        </w:rPr>
        <w:t xml:space="preserve"> presents key terms frequently appearing in the literature on Islamic banking, distributed across different conceptual clusters. "Islamic banking" ranks highest in both frequency (559) and total link strength (818), followed by "Islamic finance" and "Banking", highlighting their central role in the field. Terms such as "Basel accord" and "Basel III" appear in separate clusters, indicating a research focus on risk and financial regulation. Meanwhile, "Fintech" and "Islamic Marketing" reflect a shift toward technology and Islamic consumer behavior. Concepts like "Sharia" and "Islamic economics" emphasize the field's ethical and jurisprudential dimensions, showcasing the thematic diversity and interdisciplinary nature of Islamic banking research</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{"citationItems":[{"id":"ITEM-1","itemData":{"DOI":"10.1108/JM2-10-2020-0256","ISSN":"17465664 (ISSN)","abstract":"Purpose: This paper aims to compare perceptions of Islamic bank customers concerning FinTech services in Malaysia and Saudi Arabia. It also investigates the level to which customers are willing to adapt FinTech services. Design/methodology/approach: Primary data was collected from May to September 2019 using a questionnaire to survey 102 Islamic bank customers in Malaysia and 147 in Saudi Arabia. The data are analyzed based on Structural Equation Modelling using the partial least squares approach. Findings: The findings show that knowledge, attitude and subjective norms are the highly significant determining factors that influence customers’ opinions on adapting to new technology, but awareness demonstrates only a moderately positive effect. Moreover, the impact of these factors on the intention to adopt FinTech services significantly differs between Malaysian and Saudi Arabian customers. Originality/value: This is an original study based on primary data on customers of Islamic banking in Malaysia and Saudi Arabia. It provides some novel insights into how the banking industry can boost customers’ confidence and enhance their patronage by adopting FinTech in their business operation model. These findings should be of value to senior management, policymakers and regulators in the banking industry in both Muslim and non-Muslim countries. © 2021, Emerald Publishing Limited.","author":[{"dropping-particle":"","family":"Oladapo","given":"I A","non-dropping-particle":"","parse-names":false,"suffix":""},{"dropping-particle":"","family":"Hamoudah","given":"M M","non-dropping-particle":"","parse-names":false,"suffix":""},{"dropping-particle":"","family":"Alam","given":"M M","non-dropping-particle":"","parse-names":false,"suffix":""},{"dropping-particle":"","family":"Olaopa","given":"O R","non-dropping-particle":"","parse-names":false,"suffix":""},{"dropping-particle":"","family":"Muda","given":"R","non-dropping-particle":"","parse-names":false,"suffix":""}],"container-title":"Journal of Modelling in Management","id":"ITEM-1","issue":"4","issued":{"date-parts":[["2022"]]},"language":"English","note":"Export Date: 24 April 2025; Cited By: 39; Correspondence Address: I.A. Oladapo; Department of Economics, College of Business Administration, Imam Abdulrahman Bin Faisal University, Dammam, Saudi Arabia; email: iaoladapo@iau.edu.sa","page":"1241-1261","publisher":"Emerald Publishing","publisher-place":"Department of Economics, College of Business Administration, Imam Abdulrahman Bin Faisal University, Dammam, Saudi Arabia","title":"Customers’ perceptions of FinTech adaptability in the Islamic banking sector: comparative study on Malaysia and Saudi Arabia","type":"article-journal","volume":"17"},"uris":["http://www.mendeley.com/documents/?uuid=89d15f42-af9a-4532-8235-bc86bae60458"]}],"mendeley":{"formattedCitation":"(Oladapo et al., 2022)","plainTextFormattedCitation":"(Oladapo et al., 2022)","previouslyFormattedCitation":"(Oladapo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(Oladapo et al., 2022)</w:t>
      </w:r>
      <w:r w:rsidR="00BF5A85">
        <w:rPr>
          <w:rFonts w:ascii="Calibri Light" w:eastAsia="MS Mincho" w:hAnsi="Calibri Light" w:cs="Calibri Light"/>
          <w:sz w:val="24"/>
          <w:szCs w:val="24"/>
          <w:lang w:eastAsia="en-US"/>
        </w:rPr>
        <w:fldChar w:fldCharType="end"/>
      </w:r>
      <w:r w:rsidR="00415A81" w:rsidRPr="00415A81">
        <w:rPr>
          <w:rFonts w:ascii="Calibri Light" w:eastAsia="MS Mincho" w:hAnsi="Calibri Light" w:cs="Calibri Light"/>
          <w:sz w:val="24"/>
          <w:szCs w:val="24"/>
          <w:lang w:eastAsia="en-US"/>
        </w:rPr>
        <w:t>.</w:t>
      </w:r>
    </w:p>
    <w:p w14:paraId="7C91667F" w14:textId="36266D2D" w:rsidR="00415A81" w:rsidRDefault="00546E89" w:rsidP="00546E89">
      <w:pPr>
        <w:autoSpaceDE/>
        <w:autoSpaceDN/>
        <w:spacing w:after="200" w:line="276" w:lineRule="auto"/>
        <w:ind w:left="426"/>
        <w:jc w:val="center"/>
        <w:rPr>
          <w:rFonts w:ascii="Calibri Light" w:eastAsia="MS Mincho" w:hAnsi="Calibri Light" w:cs="Calibri Light"/>
          <w:sz w:val="24"/>
          <w:szCs w:val="24"/>
          <w:rtl/>
          <w:lang w:eastAsia="en-US"/>
        </w:rPr>
      </w:pPr>
      <w:r w:rsidRPr="00546E89">
        <w:rPr>
          <w:rFonts w:ascii="Calibri Light" w:eastAsia="MS Mincho" w:hAnsi="Calibri Light" w:cs="Calibri Light"/>
          <w:b/>
          <w:bCs/>
          <w:sz w:val="24"/>
          <w:szCs w:val="24"/>
          <w:lang w:eastAsia="en-US"/>
        </w:rPr>
        <w:t xml:space="preserve">Figure </w:t>
      </w:r>
      <w:r w:rsidR="001A4C9F">
        <w:rPr>
          <w:rFonts w:ascii="Calibri Light" w:eastAsia="MS Mincho" w:hAnsi="Calibri Light" w:cs="Calibri Light" w:hint="cs"/>
          <w:b/>
          <w:bCs/>
          <w:sz w:val="24"/>
          <w:szCs w:val="24"/>
          <w:rtl/>
          <w:lang w:eastAsia="en-US"/>
        </w:rPr>
        <w:t>1</w:t>
      </w:r>
      <w:r w:rsidR="001F582A">
        <w:rPr>
          <w:rFonts w:ascii="Calibri Light" w:eastAsia="MS Mincho" w:hAnsi="Calibri Light" w:cs="Calibri Light"/>
          <w:b/>
          <w:bCs/>
          <w:sz w:val="24"/>
          <w:szCs w:val="24"/>
          <w:lang w:eastAsia="en-US"/>
        </w:rPr>
        <w:t>1</w:t>
      </w:r>
      <w:r w:rsidRPr="00546E89">
        <w:rPr>
          <w:rFonts w:ascii="Calibri Light" w:eastAsia="MS Mincho" w:hAnsi="Calibri Light" w:cs="Calibri Light"/>
          <w:b/>
          <w:bCs/>
          <w:sz w:val="24"/>
          <w:szCs w:val="24"/>
          <w:lang w:eastAsia="en-US"/>
        </w:rPr>
        <w:t>.</w:t>
      </w:r>
      <w:r>
        <w:rPr>
          <w:rFonts w:ascii="Calibri Light" w:eastAsia="MS Mincho" w:hAnsi="Calibri Light" w:cs="Calibri Light"/>
          <w:b/>
          <w:bCs/>
          <w:sz w:val="24"/>
          <w:szCs w:val="24"/>
          <w:lang w:eastAsia="en-US"/>
        </w:rPr>
        <w:t xml:space="preserve"> </w:t>
      </w:r>
      <w:r w:rsidRPr="00546E89">
        <w:rPr>
          <w:rFonts w:ascii="Calibri Light" w:eastAsia="MS Mincho" w:hAnsi="Calibri Light" w:cs="Calibri Light"/>
          <w:sz w:val="24"/>
          <w:szCs w:val="24"/>
          <w:lang w:eastAsia="en-US"/>
        </w:rPr>
        <w:t>The word cloud of strategic Basel and Islamic Banking research</w:t>
      </w:r>
    </w:p>
    <w:p w14:paraId="2AAF43EF" w14:textId="40D3E6ED" w:rsidR="008F1989" w:rsidRDefault="00546E89" w:rsidP="00B06D1D">
      <w:pPr>
        <w:autoSpaceDE/>
        <w:autoSpaceDN/>
        <w:spacing w:after="200" w:line="276" w:lineRule="auto"/>
        <w:ind w:left="426"/>
        <w:jc w:val="both"/>
        <w:rPr>
          <w:rFonts w:ascii="Calibri Light" w:eastAsia="MS Mincho" w:hAnsi="Calibri Light" w:cs="Calibri Light"/>
          <w:sz w:val="24"/>
          <w:szCs w:val="24"/>
          <w:rtl/>
          <w:lang w:eastAsia="en-US"/>
        </w:rPr>
      </w:pPr>
      <w:r w:rsidRPr="00546E89">
        <w:rPr>
          <w:rFonts w:ascii="Calibri Light" w:eastAsia="MS Mincho" w:hAnsi="Calibri Light" w:cs="Calibri Light"/>
          <w:sz w:val="24"/>
          <w:szCs w:val="24"/>
          <w:lang w:eastAsia="en-US"/>
        </w:rPr>
        <w:t xml:space="preserve">Figure </w:t>
      </w:r>
      <w:r w:rsidR="001A4C9F">
        <w:rPr>
          <w:rFonts w:ascii="Calibri Light" w:eastAsia="MS Mincho" w:hAnsi="Calibri Light" w:cs="Calibri Light" w:hint="cs"/>
          <w:sz w:val="24"/>
          <w:szCs w:val="24"/>
          <w:rtl/>
          <w:lang w:eastAsia="en-US"/>
        </w:rPr>
        <w:t>1</w:t>
      </w:r>
      <w:r w:rsidR="001F582A">
        <w:rPr>
          <w:rFonts w:ascii="Calibri Light" w:eastAsia="MS Mincho" w:hAnsi="Calibri Light" w:cs="Calibri Light"/>
          <w:sz w:val="24"/>
          <w:szCs w:val="24"/>
          <w:lang w:eastAsia="en-US"/>
        </w:rPr>
        <w:t>1</w:t>
      </w:r>
      <w:r w:rsidRPr="00546E89">
        <w:rPr>
          <w:rFonts w:ascii="Calibri Light" w:eastAsia="MS Mincho" w:hAnsi="Calibri Light" w:cs="Calibri Light"/>
          <w:sz w:val="24"/>
          <w:szCs w:val="24"/>
          <w:lang w:eastAsia="en-US"/>
        </w:rPr>
        <w:t xml:space="preserve"> presents a word cloud in the image above highlights the central focus on topics related to Basel Accords and Islamic Banking, with frequent associations to key economic and financial concepts. The prominence of terms such as Basel Accords, Islamic Banking, economy, Islam, and bank reflects the dominant themes within this research field. It is evident that regulatory frameworks and Sharia-compliant financial practices form the core of scholarly interest. The inclusion of words like finance, regulation, risk, and compliance indicates a strong emphasis on the legal and economic dimensions of banking operations. Furthermore, the presence of terms such as development, stability, and growth suggests a broader concern with the macroeconomic implications and the evolving role of Islamic finance within global financial systems</w:t>
      </w:r>
      <w:r w:rsidR="00465FB0">
        <w:rPr>
          <w:rFonts w:ascii="Calibri Light" w:eastAsia="MS Mincho" w:hAnsi="Calibri Light" w:cs="Calibri Light"/>
          <w:sz w:val="24"/>
          <w:szCs w:val="24"/>
          <w:lang w:eastAsia="en-US"/>
        </w:rPr>
        <w:t xml:space="preserve"> </w:t>
      </w:r>
      <w:r w:rsidR="00465FB0">
        <w:rPr>
          <w:rFonts w:ascii="Calibri Light" w:eastAsia="MS Mincho" w:hAnsi="Calibri Light" w:cs="Calibri Light"/>
          <w:sz w:val="24"/>
          <w:szCs w:val="24"/>
          <w:lang w:eastAsia="en-US"/>
        </w:rPr>
        <w:fldChar w:fldCharType="begin" w:fldLock="1"/>
      </w:r>
      <w:r w:rsidR="00465FB0">
        <w:rPr>
          <w:rFonts w:ascii="Calibri Light" w:eastAsia="MS Mincho" w:hAnsi="Calibri Light" w:cs="Calibri Light"/>
          <w:sz w:val="24"/>
          <w:szCs w:val="24"/>
          <w:lang w:eastAsia="en-US"/>
        </w:rPr>
        <w:instrText>ADDIN CSL_CITATION {"citationItems":[{"id":"ITEM-1","itemData":{"DOI":"10.1108/JIMA-02-2023-0036","ISSN":"17590833 (ISSN)","abstract":"Purpose: This study aims to investigate the comparative importance of factors influencing the customer shift behavior from conventional to Islamic banking for consumer finance in Pakistan. Design/methodology/approach: First, a comprehensive analysis of the existing literature was conducted to identify a broad range of factors related to customer shift behavior. Through an expert sampling, 14 essential factors were chosen for further investigation. Second, a questionnaire was developed using the analytical hierarchy process (AHP). This questionnaire was then distributed among customers who had previously been using conventional banking services but had made a shift toward Islamic banking. The purpose of this questionnaire was to gather data and insights regarding their motivations and decision-making process behind the shift, and a sample 215 customers are taken in the study. Findings: The results of AHP depicts that the religiosity is a most important factor influencing customers to shift from conventional to Islamic banking, and the second most important factor is pricing. The other subsequent important factors are reputation of the bank, marketing and promotion, service quality, behavior of banks staff, Shariah compliance, management, convenience, fastness and charges/fees. Whereas documentation, ambiance and recommendation are found least important factors to patronize Islamic banking. Practical implications: The study recommends Islamic banks to create awareness, concentrating on religious factor to have a greater impact on growth of Islamic banking and shrinking of conventional banking. Further, it suggests Islamic banks to apply Shariah-recommended approach of doing business, to help community in best possible way and to launch differentiated marketing techniques to attract customers. It also proposes regulatory authorities to provide facilitation to Islamic banking business by providing level playing field similar to conventional banking, tax equality and conversion of public financing from conventional banking to Islamic banking. Originality/value: The originality of this study lies in its comprehensive analysis of factors influencing consumer shift behavior from conventional to Islamic banking in the context of consumer finance in Pakistan. By using the AHP, the study provides a structured approach to understanding the relative importance of these factors. This is the uniqueness of the paper that it applies the AHP for the analysis. Furthermore…","author":[{"dropping-particle":"","family":"Ahmad","given":"M","non-dropping-particle":"","parse-names":false,"suffix":""},{"dropping-particle":"","family":"Zafar","given":"M B","non-dropping-particle":"","parse-names":false,"suffix":""},{"dropping-particle":"","family":"Perveen","given":"A","non-dropping-particle":"","parse-names":false,"suffix":""}],"container-title":"Journal of Islamic Marketing","id":"ITEM-1","issue":"5","issued":{"date-parts":[["2024"]]},"language":"English","note":"Export Date: 24 April 2025; Cited By: 7; Correspondence Address: M.B. Zafar; School of Islamic Economics, Banking and Finance, Minhaj University Lahore, Lahore, Pakistan; email: bilalezafar@gmail.com","page":"1280-1302","publisher":"Emerald Publishing","publisher-place":"Sheikh Zayed Islamic Center, University of Karachi, Karachi, Pakistan","title":"Consumer shift behavior from conventional to Islamic banking: decision-making analysis through AHP","type":"article-journal","volume":"15"},"uris":["http://www.mendeley.com/documents/?uuid=cc961569-f30a-4986-98d8-8b7ae94f986f"]}],"mendeley":{"formattedCitation":"(Ahmad et al., 2024)","plainTextFormattedCitation":"(Ahmad et al., 2024)","previouslyFormattedCitation":"(Ahmad et al., 2024)"},"properties":{"noteIndex":0},"schema":"https://github.com/citation-style-language/schema/raw/master/csl-citation.json"}</w:instrText>
      </w:r>
      <w:r w:rsidR="00465FB0">
        <w:rPr>
          <w:rFonts w:ascii="Calibri Light" w:eastAsia="MS Mincho" w:hAnsi="Calibri Light" w:cs="Calibri Light"/>
          <w:sz w:val="24"/>
          <w:szCs w:val="24"/>
          <w:lang w:eastAsia="en-US"/>
        </w:rPr>
        <w:fldChar w:fldCharType="separate"/>
      </w:r>
      <w:r w:rsidR="00465FB0" w:rsidRPr="00465FB0">
        <w:rPr>
          <w:rFonts w:ascii="Calibri Light" w:eastAsia="MS Mincho" w:hAnsi="Calibri Light" w:cs="Calibri Light"/>
          <w:noProof/>
          <w:sz w:val="24"/>
          <w:szCs w:val="24"/>
          <w:lang w:eastAsia="en-US"/>
        </w:rPr>
        <w:t>(Ahmad et al., 2024)</w:t>
      </w:r>
      <w:r w:rsidR="00465FB0">
        <w:rPr>
          <w:rFonts w:ascii="Calibri Light" w:eastAsia="MS Mincho" w:hAnsi="Calibri Light" w:cs="Calibri Light"/>
          <w:sz w:val="24"/>
          <w:szCs w:val="24"/>
          <w:lang w:eastAsia="en-US"/>
        </w:rPr>
        <w:fldChar w:fldCharType="end"/>
      </w:r>
      <w:r w:rsidRPr="00546E89">
        <w:rPr>
          <w:rFonts w:ascii="Calibri Light" w:eastAsia="MS Mincho" w:hAnsi="Calibri Light" w:cs="Calibri Light"/>
          <w:sz w:val="24"/>
          <w:szCs w:val="24"/>
          <w:lang w:eastAsia="en-US"/>
        </w:rPr>
        <w:t>.</w:t>
      </w:r>
    </w:p>
    <w:p w14:paraId="09411317" w14:textId="77777777" w:rsidR="00E434D8" w:rsidRDefault="00E434D8" w:rsidP="00E434D8">
      <w:pPr>
        <w:autoSpaceDE/>
        <w:autoSpaceDN/>
        <w:spacing w:after="200" w:line="276" w:lineRule="auto"/>
        <w:ind w:left="426"/>
        <w:jc w:val="both"/>
        <w:rPr>
          <w:rFonts w:ascii="Calibri Light" w:eastAsia="MS Mincho" w:hAnsi="Calibri Light" w:cs="Calibri Light"/>
          <w:b/>
          <w:sz w:val="24"/>
          <w:szCs w:val="24"/>
          <w:rtl/>
          <w:lang w:eastAsia="en-US"/>
        </w:rPr>
      </w:pPr>
      <w:r w:rsidRPr="00E434D8">
        <w:rPr>
          <w:rFonts w:ascii="Calibri Light" w:eastAsia="MS Mincho" w:hAnsi="Calibri Light" w:cs="Calibri Light"/>
          <w:b/>
          <w:sz w:val="24"/>
          <w:szCs w:val="24"/>
          <w:lang w:val="id-ID" w:eastAsia="en-US"/>
        </w:rPr>
        <w:t>DISCUSSION</w:t>
      </w:r>
      <w:r w:rsidRPr="00E434D8">
        <w:rPr>
          <w:rFonts w:ascii="Calibri Light" w:eastAsia="MS Mincho" w:hAnsi="Calibri Light" w:cs="Calibri Light"/>
          <w:b/>
          <w:sz w:val="24"/>
          <w:szCs w:val="24"/>
          <w:lang w:eastAsia="en-US"/>
        </w:rPr>
        <w:t xml:space="preserve"> </w:t>
      </w:r>
    </w:p>
    <w:p w14:paraId="118E711B" w14:textId="1C4EF694" w:rsidR="00E434D8" w:rsidRPr="00E434D8" w:rsidRDefault="00E434D8" w:rsidP="00E434D8">
      <w:pPr>
        <w:autoSpaceDE/>
        <w:autoSpaceDN/>
        <w:spacing w:after="200" w:line="276" w:lineRule="auto"/>
        <w:ind w:left="426"/>
        <w:jc w:val="both"/>
        <w:rPr>
          <w:rFonts w:ascii="Calibri Light" w:eastAsia="MS Mincho" w:hAnsi="Calibri Light" w:cs="Calibri Light"/>
          <w:b/>
          <w:sz w:val="24"/>
          <w:szCs w:val="24"/>
          <w:lang w:val="id-ID" w:eastAsia="en-US"/>
        </w:rPr>
      </w:pPr>
      <w:r w:rsidRPr="00E434D8">
        <w:rPr>
          <w:rFonts w:ascii="Calibri Light" w:eastAsia="MS Mincho" w:hAnsi="Calibri Light" w:cs="Calibri Light"/>
          <w:sz w:val="24"/>
          <w:szCs w:val="24"/>
          <w:lang w:val="en-ID" w:eastAsia="en-US"/>
        </w:rPr>
        <w:lastRenderedPageBreak/>
        <w:t xml:space="preserve">The bibliometric analysis in this study shows a significant growth in research related to the Basel Accords and Islamic banking, reflecting the increasing interest in this dynamic academic field. </w:t>
      </w:r>
      <w:commentRangeStart w:id="19"/>
      <w:r w:rsidRPr="00E434D8">
        <w:rPr>
          <w:rFonts w:ascii="Calibri Light" w:eastAsia="MS Mincho" w:hAnsi="Calibri Light" w:cs="Calibri Light"/>
          <w:sz w:val="24"/>
          <w:szCs w:val="24"/>
          <w:lang w:val="en-ID" w:eastAsia="en-US"/>
        </w:rPr>
        <w:t xml:space="preserve">Since 2015, there has been a steady rise in publications </w:t>
      </w:r>
      <w:commentRangeEnd w:id="19"/>
      <w:r w:rsidR="008F621C">
        <w:rPr>
          <w:rStyle w:val="CommentReference"/>
        </w:rPr>
        <w:commentReference w:id="19"/>
      </w:r>
      <w:r w:rsidRPr="00E434D8">
        <w:rPr>
          <w:rFonts w:ascii="Calibri Light" w:eastAsia="MS Mincho" w:hAnsi="Calibri Light" w:cs="Calibri Light"/>
          <w:sz w:val="24"/>
          <w:szCs w:val="24"/>
          <w:lang w:val="en-ID" w:eastAsia="en-US"/>
        </w:rPr>
        <w:t>addressing the impact of Basel regulations on Islamic banking systems, with notable peaks in 2020 and 2022. This trend aligns with major regulatory shifts like Basel III and the growing role of Islamic banking in the global financial system. The rise in publications responds to the growing challenges related to financial stability, risk management, and the role of Islamic banks in providing finance in compliance with Sharia principles, making it a focal point for academic discussions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{"citationItems":[{"id":"ITEM-1","itemData":{"DOI":"10.1016/j.jretconser.2021.102558","ISSN":"09696989 (ISSN)","abstract":"Increased support from customers for Islamic financial services is very important to create resilience and competitiveness in the Islamic banking industry. By highlighting certain social activities, this paper estimates the role of Islamic banks’ CSR in influencing customer loyalty, both individually and through the integrated roles of image, trust, satisfaction, and reputation. These paths explore how CSR makes customers impressed, convinced, satisfied, amazed, and ultimately loyal to Islamic banks. The empirical analysis of partial least square structural equation modeling (n = 283) has shown that CSR directly and positively impacts loyalty. Indirectly, these two aspects have an insignificant relationship through the serial roles of image-reputation and satisfaction-reputation, but significant through the single role of reputation and the serial role of trust-reputation. This study has resulted in an updated prediction model of Islamic banking customer loyalty. The practical implication lies in the importance of developing CSR to generate trust and reputation which ultimately increase customer loyalty toward Islamic banks. © 2021 Elsevier Ltd","author":[{"dropping-particle":"","family":"Muflih","given":"M","non-dropping-particle":"","parse-names":false,"suffix":""}],"container-title":"Journal of Retailing and Consumer Services","id":"ITEM-1","issued":{"date-parts":[["2021"]]},"language":"English","note":"Export Date: 24 April 2025; Cited By: 59","publisher":"Elsevier Ltd","publisher-place":"Accounting Department, Politeknik Negeri Bandung, Indonesia","title":"The link between corporate social responsibility and customer loyalty: Empirical evidence from the Islamic banking industry","type":"article-journal","volume":"61"},"uris":["http://www.mendeley.com/documents/?uuid=73eadbe0-359c-4a33-97cb-b9346f6612e4"]}],"mendeley":{"formattedCitation":"(Muflih, 2021)","plainTextFormattedCitation":"(Muflih, 2021)","previouslyFormattedCitation":"(Muflih, 2021)"},"properties":{"noteIndex":0},"schema":"https://github.com/citation-style-language/schema/raw/master/csl-citation.json"}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(Muflih, 2021)</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2095E5D6" w14:textId="0E781062"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The analysis of influential authors highlights Dr. M.K. Hassan as a key figure, whose contributions have significantly shaped research in this area. These contributions serve as foundational references in understanding the research trends, reflecting the importance of in-depth studies to develop regulatory frameworks for Islamic banking and guide academic discourse on the alignment of global financial standards with Sharia-compliant practices. This role is crucial in ensuring that Islamic banking systems adhere to international standards while addressing the unique challenges they face in global financial markets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{"citationItems":[{"id":"ITEM-1","itemData":{"DOI":"10.1016/j.iref.2022.02.014","ISSN":"10590560 (ISSN)","abstract":"In this paper, we examine the use of book-to-market equity (BE/ME) as a determinant of asset correlations in the Basel Accord on regulatory capital requirements. Utilizing an international sample from 38 countries during 1989–2017, we discover that asset correlations, controlling for firm size and default probability, are negatively associated with BE/ME. We further decompose BE/ME according to Daniel and Titman (2006) and Penman et al. (2007) to explore why BE/ME can capture variations in asset correlations. The former method demonstrates that obligors with higher assets-in-place (higher BE/ME) exhibit lower asset correlations, and the latter approach reveals that obligors with higher operating risk have lower asset correlations. These findings suggest that BE/ME is potentially a crucial factor in improving estimates of asset correlations and reducing bank regulatory capital arbitrage. © 2022 Elsevier Inc.","author":[{"dropping-particle":"","family":"Ho","given":"K.-C.","non-dropping-particle":"","parse-names":false,"suffix":""},{"dropping-particle":"","family":"Lee","given":"S.-C.","non-dropping-particle":"","parse-names":false,"suffix":""},{"dropping-particle":"","family":"Chen","given":"J.-L.","non-dropping-particle":"","parse-names":false,"suffix":""}],"container-title":"International Review of Economics and Finance","id":"ITEM-1","issued":{"date-parts":[["2022"]]},"language":"English","note":"Export Date: 24 April 2025; Cited By: 2; Correspondence Address: J.-L. Chen; College of Business, Valparaiso University, Valparaiso, 1909 Chapel Dr, 46383, United States; email: jiunlin.chen@valpo.edu","page":"258-274","publisher":"Elsevier Inc.","publisher-place":"School of Finance, Fuzhou University of International Studies and Trade, China","title":"Book-to-market equity and asset correlations—An international study","type":"article-journal","volume":"79"},"uris":["http://www.mendeley.com/documents/?uuid=3e5e2f66-8098-44d5-85d2-584ee8c4b992"]}],"mendeley":{"formattedCitation":"(Ho et al., 2022)","plainTextFormattedCitation":"(Ho et al., 2022)","previouslyFormattedCitation":"(Ho et al.,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(Ho et al.,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19F1218" w14:textId="3A0385A1"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Geographical analysis reveals that Islamic countries, especially Malaysia and Indonesia, have been central in academic research on the Basel Accords and Islamic banking. This can be attributed to their advanced institutional frameworks for Islamic finance, positioning them as leading research hubs in this field</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{"citationItems":[{"id":"ITEM-1","itemData":{"DOI":"10.1017/bap.2021.16","ISSN":"13695258 (ISSN)","abstract":"Recent developments in the international banking system, especially the 2007-9 crisis and subsequent wave of postcrisis regulation, have drawn increasing attention to the structural power of banks and banking systems. States need a functioning financial system to ensure the overall health of their economies, so states must shape policy to protect their financial firms. National financial systems may be dominated either by banks or by capital markets. In states where banks dominate provision of capital, states must shape policy to protect their banks because of their structural importance, independent of any lobbying or other direct action on the part of banks to exercise instrumental power. The entangling of structural and instrumental power means studying differences in structural power requires either careful case-study work or cross-national comparison of responses to a common shock. The implementation of the 2011 Basel III Accords provides just such an opportunity. This article offers a quantitative analysis of a new dataset of implementation of Basel III components in the Basel Committee on Banking Stability member states from 2011 to 2019 and demonstrates the structural power of banks in bank-based systems to accelerate implementation of favorable policies and slow implementation of unfavorable ones.  © The Author(s), 2021.","author":[{"dropping-particle":"","family":"Mitchell","given":"C","non-dropping-particle":"","parse-names":false,"suffix":""}],"container-title":"Business and Politics","id":"ITEM-1","issue":"1","issued":{"date-parts":[["2022"]]},"language":"English","note":"Export Date: 24 April 2025; Cited By: 5; Correspondence Address: C. Mitchell; Mount Holyoke College, South Hadley, 01075, United States; email: mitchell@mtholyoke.edu","page":"1-17","publisher":"Cambridge University Press","publisher-place":"Mount Holyoke College, South Hadley, 01075, MA, United States","title":"The Power of Delay: Banking System Structure and Implementation of the Basel Accords","type":"article-journal","volume":"24"},"uris":["http://www.mendeley.com/documents/?uuid=0c034651-1adc-475c-9c22-3baf0c4efbe8"]}],"mendeley":{"formattedCitation":"(Mitchell, 2022)","plainTextFormattedCitation":"(Mitchell, 2022)","previouslyFormattedCitation":"(Mitchell,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(Mitchell,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 On the other hand, countries like the United Kingdom and the United States, while not dominant in Islamic banking, still contribute to comparative studies between conventional and Islamic banking systems, reflecting a cross-cultural interest in regulatory alignment. This dynamic points to an increasing need for international collaboration between Western and Islamic countries in developing regulatory frameworks that integrate global financial practices with Islamic financial principles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(Barra et al., 2023)</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E85E3E8" w14:textId="1C56557F"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Furthermore, the bibliometric networks provide a comprehensive view of the research evolution in this field, with increasing focus on topics such as corporate governance, risk management, and sustainability within Islamic banking. These themes are reflected in the various semantic clusters that dominate the literature, illustrating the close connections between global financial risks and Sharia-compliant practices. Islamic finance is gaining more attention as social and economic transformations occur, with a growing interest in topics like corporate social responsibility and sustainable development in Islamic banking</w:t>
      </w:r>
      <w:r w:rsidR="00C6181C">
        <w:rPr>
          <w:rFonts w:ascii="Calibri Light" w:eastAsia="MS Mincho" w:hAnsi="Calibri Light" w:cs="Calibri Light"/>
          <w:sz w:val="24"/>
          <w:szCs w:val="24"/>
          <w:lang w:val="en-ID" w:eastAsia="en-US"/>
        </w:rPr>
        <w:fldChar w:fldCharType="begin" w:fldLock="1"/>
      </w:r>
      <w:r w:rsidR="00C6181C">
        <w:rPr>
          <w:rFonts w:ascii="Calibri Light" w:eastAsia="MS Mincho" w:hAnsi="Calibri Light" w:cs="Calibri Light"/>
          <w:sz w:val="24"/>
          <w:szCs w:val="24"/>
          <w:lang w:val="en-ID" w:eastAsia="en-US"/>
        </w:rPr>
        <w:instrText>ADDIN CSL_CITATION {"citationItems":[{"id":"ITEM-1","itemData":{"DOI":"10.31893/multirev.2024132","ISSN":"25953982","abstract":"This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Reviews","id":"ITEM-1","issue":"8","issued":{"date-parts":[["2024"]]},"title":"Islamic accounting: Ethics and contextualization of recording in Muamalah transactions","type":"article-journal","volume":"7"},"uris":["http://www.mendeley.com/documents/?uuid=70ee3ab1-de26-4a29-9949-d4bc0429ddd4"]}],"mendeley":{"formattedCitation":"(Muthoifin et al., 2024)","plainTextFormattedCitation":"(Muthoifin et al., 2024)","previouslyFormattedCitation":"(Muthoifin et al., 2024)"},"properties":{"noteIndex":0},"schema":"https://github.com/citation-style-language/schema/raw/master/csl-citation.json"}</w:instrText>
      </w:r>
      <w:r w:rsidR="00C6181C">
        <w:rPr>
          <w:rFonts w:ascii="Calibri Light" w:eastAsia="MS Mincho" w:hAnsi="Calibri Light" w:cs="Calibri Light"/>
          <w:sz w:val="24"/>
          <w:szCs w:val="24"/>
          <w:lang w:val="en-ID" w:eastAsia="en-US"/>
        </w:rPr>
        <w:fldChar w:fldCharType="separate"/>
      </w:r>
      <w:r w:rsidR="00C6181C" w:rsidRPr="00C6181C">
        <w:rPr>
          <w:rFonts w:ascii="Calibri Light" w:eastAsia="MS Mincho" w:hAnsi="Calibri Light" w:cs="Calibri Light"/>
          <w:noProof/>
          <w:sz w:val="24"/>
          <w:szCs w:val="24"/>
          <w:lang w:val="en-ID" w:eastAsia="en-US"/>
        </w:rPr>
        <w:t>(Muthoifin et al., 2024)</w:t>
      </w:r>
      <w:r w:rsidR="00C6181C">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6D8BF202" w14:textId="781B49A6" w:rsidR="00E434D8" w:rsidRPr="00E434D8" w:rsidRDefault="00E434D8" w:rsidP="00232961">
      <w:pPr>
        <w:autoSpaceDE/>
        <w:autoSpaceDN/>
        <w:spacing w:after="200" w:line="276" w:lineRule="auto"/>
        <w:ind w:left="426"/>
        <w:jc w:val="both"/>
        <w:rPr>
          <w:rFonts w:ascii="Calibri Light" w:eastAsia="MS Mincho" w:hAnsi="Calibri Light" w:cs="Calibri Light"/>
          <w:sz w:val="24"/>
          <w:szCs w:val="24"/>
          <w:rtl/>
          <w:lang w:val="en-ID" w:eastAsia="en-US"/>
        </w:rPr>
      </w:pPr>
      <w:r w:rsidRPr="00E434D8">
        <w:rPr>
          <w:rFonts w:ascii="Calibri Light" w:eastAsia="MS Mincho" w:hAnsi="Calibri Light" w:cs="Calibri Light"/>
          <w:sz w:val="24"/>
          <w:szCs w:val="24"/>
          <w:lang w:val="en-ID" w:eastAsia="en-US"/>
        </w:rPr>
        <w:t xml:space="preserve">Through these trends, this study emphasizes the importance of continued research in the field of Islamic banking and its development within the global regulatory framework. The </w:t>
      </w:r>
      <w:r w:rsidRPr="00E434D8">
        <w:rPr>
          <w:rFonts w:ascii="Calibri Light" w:eastAsia="MS Mincho" w:hAnsi="Calibri Light" w:cs="Calibri Light"/>
          <w:sz w:val="24"/>
          <w:szCs w:val="24"/>
          <w:lang w:val="en-ID" w:eastAsia="en-US"/>
        </w:rPr>
        <w:lastRenderedPageBreak/>
        <w:t xml:space="preserve">alignment of conventional banking systems with Sharia principles is essential for addressing contemporary financial challenges, opening doors for researchers and policymakers to develop innovative solutions that contribute to global financial </w:t>
      </w:r>
      <w:proofErr w:type="gramStart"/>
      <w:r w:rsidRPr="00E434D8">
        <w:rPr>
          <w:rFonts w:ascii="Calibri Light" w:eastAsia="MS Mincho" w:hAnsi="Calibri Light" w:cs="Calibri Light"/>
          <w:sz w:val="24"/>
          <w:szCs w:val="24"/>
          <w:lang w:val="en-ID" w:eastAsia="en-US"/>
        </w:rPr>
        <w:t>stability</w:t>
      </w:r>
      <w:r w:rsidR="00465FB0">
        <w:rPr>
          <w:rFonts w:ascii="Calibri Light" w:eastAsia="MS Mincho" w:hAnsi="Calibri Light" w:cs="Calibri Light"/>
          <w:sz w:val="24"/>
          <w:szCs w:val="24"/>
          <w:lang w:val="en-ID" w:eastAsia="en-US"/>
        </w:rPr>
        <w:t xml:space="preserve"> </w:t>
      </w:r>
      <w:r w:rsidRPr="00E434D8">
        <w:rPr>
          <w:rFonts w:ascii="Calibri Light" w:eastAsia="MS Mincho" w:hAnsi="Calibri Light" w:cs="Calibri Light"/>
          <w:sz w:val="24"/>
          <w:szCs w:val="24"/>
          <w:lang w:val="en-ID" w:eastAsia="en-US"/>
        </w:rPr>
        <w:t>.</w:t>
      </w:r>
      <w:proofErr w:type="gramEnd"/>
    </w:p>
    <w:p w14:paraId="5D5458E0" w14:textId="77777777" w:rsidR="00741058" w:rsidRPr="002003B1"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commentRangeStart w:id="20"/>
      <w:r w:rsidRPr="00122F5F">
        <w:rPr>
          <w:rFonts w:ascii="Calibri Light" w:hAnsi="Calibri Light" w:cs="Calibri Light"/>
          <w:b/>
          <w:sz w:val="24"/>
          <w:szCs w:val="24"/>
        </w:rPr>
        <w:t>CONCLUSION</w:t>
      </w:r>
      <w:r w:rsidRPr="00122F5F">
        <w:rPr>
          <w:rFonts w:ascii="Calibri Light" w:hAnsi="Calibri Light" w:cs="Calibri Light"/>
          <w:b/>
          <w:color w:val="7030A0"/>
          <w:sz w:val="23"/>
        </w:rPr>
        <w:t xml:space="preserve"> </w:t>
      </w:r>
      <w:commentRangeEnd w:id="20"/>
      <w:r w:rsidR="008F621C">
        <w:rPr>
          <w:rStyle w:val="CommentReference"/>
        </w:rPr>
        <w:commentReference w:id="20"/>
      </w:r>
    </w:p>
    <w:p w14:paraId="4C49085A" w14:textId="6FD11D1B" w:rsidR="006254AD" w:rsidRPr="006254AD" w:rsidRDefault="006254AD" w:rsidP="002D33A7">
      <w:pPr>
        <w:tabs>
          <w:tab w:val="left" w:pos="3900"/>
        </w:tabs>
        <w:spacing w:before="120" w:after="120"/>
        <w:ind w:right="-1"/>
        <w:jc w:val="both"/>
        <w:rPr>
          <w:rFonts w:ascii="Calibri Light" w:hAnsi="Calibri Light" w:cs="Calibri Light"/>
          <w:sz w:val="24"/>
          <w:szCs w:val="24"/>
          <w:lang w:val="en-ID"/>
        </w:rPr>
      </w:pPr>
      <w:r w:rsidRPr="006254AD">
        <w:rPr>
          <w:rFonts w:ascii="Calibri Light" w:hAnsi="Calibri Light" w:cs="Calibri Light"/>
          <w:sz w:val="24"/>
          <w:szCs w:val="24"/>
          <w:lang w:val="en-ID"/>
        </w:rPr>
        <w:t xml:space="preserve">This study provides a comprehensive bibliometric analysis of the intersection between the Basel Accords and Islamic banking, </w:t>
      </w:r>
      <w:commentRangeStart w:id="21"/>
      <w:r w:rsidRPr="006254AD">
        <w:rPr>
          <w:rFonts w:ascii="Calibri Light" w:hAnsi="Calibri Light" w:cs="Calibri Light"/>
          <w:sz w:val="24"/>
          <w:szCs w:val="24"/>
          <w:lang w:val="en-ID"/>
        </w:rPr>
        <w:t>revealing key trends and the continued growth of academic publications in this field since 2015,</w:t>
      </w:r>
      <w:commentRangeEnd w:id="21"/>
      <w:r w:rsidR="008F621C">
        <w:rPr>
          <w:rStyle w:val="CommentReference"/>
        </w:rPr>
        <w:commentReference w:id="21"/>
      </w:r>
      <w:r w:rsidRPr="006254AD">
        <w:rPr>
          <w:rFonts w:ascii="Calibri Light" w:hAnsi="Calibri Light" w:cs="Calibri Light"/>
          <w:sz w:val="24"/>
          <w:szCs w:val="24"/>
          <w:lang w:val="en-ID"/>
        </w:rPr>
        <w:t xml:space="preserve"> with notable increases in recent years. The findings suggest that research in this area is steadily expanding, reflecting the growing interest in discussions surrounding risk management frameworks and Sharia-compliant banking practices in light of global financial regulations.</w:t>
      </w:r>
      <w:r w:rsidR="001F582A">
        <w:rPr>
          <w:rFonts w:ascii="Calibri Light" w:hAnsi="Calibri Light" w:cs="Calibri Light"/>
          <w:sz w:val="24"/>
          <w:szCs w:val="24"/>
          <w:lang w:val="en-ID"/>
        </w:rPr>
        <w:t xml:space="preserve"> </w:t>
      </w:r>
      <w:r w:rsidRPr="006254AD">
        <w:rPr>
          <w:rFonts w:ascii="Calibri Light" w:hAnsi="Calibri Light" w:cs="Calibri Light"/>
          <w:sz w:val="24"/>
          <w:szCs w:val="24"/>
          <w:lang w:val="en-ID"/>
        </w:rPr>
        <w:t>Geographical data analysis highlights the significant contributions of Asian and Middle Eastern countries, with particular focus on nations striving to align global financial systems with Islamic banking practices. Additionally, keyword network analysis shows that research in Islamic banking has become more diversified, with increasing interest in themes such as corporate governance, financial stability, social responsibility, and emerging technological innovations like fintech.</w:t>
      </w:r>
      <w:r w:rsidR="002D33A7">
        <w:rPr>
          <w:rFonts w:ascii="Calibri Light" w:hAnsi="Calibri Light" w:cs="Calibri Light"/>
          <w:sz w:val="24"/>
          <w:szCs w:val="24"/>
          <w:lang w:val="en-ID"/>
        </w:rPr>
        <w:t xml:space="preserve"> </w:t>
      </w:r>
      <w:r w:rsidRPr="006254AD">
        <w:rPr>
          <w:rFonts w:ascii="Calibri Light" w:hAnsi="Calibri Light" w:cs="Calibri Light"/>
          <w:sz w:val="24"/>
          <w:szCs w:val="24"/>
          <w:lang w:val="en-ID"/>
        </w:rPr>
        <w:t>The study underscores the importance of ongoing collaboration among researchers and global academic institutions to establish effective regulatory frameworks that are Sharia-compliant, in order to enhance the sustainability and effectiveness of Islamic banking within the global financial system. In conclusion, this study highlights the continued need for research and development in this field to ensure the integration of Islamic banking into the future global financial landscape.</w:t>
      </w:r>
    </w:p>
    <w:p w14:paraId="2B98BE3C" w14:textId="77777777" w:rsidR="00741058" w:rsidRPr="00122F5F" w:rsidRDefault="006E466B" w:rsidP="00C44781">
      <w:pPr>
        <w:pStyle w:val="ListParagraph"/>
        <w:tabs>
          <w:tab w:val="left" w:pos="3900"/>
        </w:tabs>
        <w:spacing w:before="120" w:after="120" w:line="240" w:lineRule="auto"/>
        <w:ind w:left="0" w:right="-1"/>
        <w:contextualSpacing w:val="0"/>
        <w:jc w:val="both"/>
        <w:rPr>
          <w:rFonts w:ascii="Calibri Light" w:hAnsi="Calibri Light" w:cs="Calibri Light"/>
          <w:noProof w:val="0"/>
          <w:color w:val="FF0000"/>
          <w:sz w:val="23"/>
          <w:rtl/>
        </w:rPr>
      </w:pPr>
      <w:r>
        <w:rPr>
          <w:rFonts w:ascii="Calibri Light" w:hAnsi="Calibri Light" w:cs="Calibri Light"/>
          <w:color w:val="FF0000"/>
          <w:sz w:val="23"/>
        </w:rPr>
        <w:tab/>
      </w:r>
    </w:p>
    <w:p w14:paraId="1DC6C091" w14:textId="77777777"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6CD63A10" w14:textId="77777777" w:rsidR="00E810D4" w:rsidRPr="00ED1805" w:rsidRDefault="00E810D4" w:rsidP="00ED1805">
      <w:pPr>
        <w:pStyle w:val="ListParagraph"/>
        <w:spacing w:before="120" w:after="120"/>
        <w:ind w:left="440" w:right="-1" w:hanging="14"/>
        <w:jc w:val="both"/>
        <w:rPr>
          <w:rFonts w:ascii="Calibri Light" w:hAnsi="Calibri Light" w:cs="Calibri Light"/>
          <w:sz w:val="24"/>
          <w:szCs w:val="22"/>
          <w:lang w:val="en-ID"/>
        </w:rPr>
      </w:pPr>
      <w:r w:rsidRPr="00E810D4">
        <w:rPr>
          <w:sz w:val="24"/>
          <w:szCs w:val="24"/>
          <w:lang w:val="en-ID" w:eastAsia="en-ID"/>
        </w:rPr>
        <w:t xml:space="preserve"> </w:t>
      </w:r>
      <w:r w:rsidRPr="00ED1805">
        <w:rPr>
          <w:rFonts w:ascii="Calibri Light" w:hAnsi="Calibri Light" w:cs="Calibri Light"/>
          <w:sz w:val="24"/>
          <w:szCs w:val="22"/>
          <w:lang w:val="en-ID"/>
        </w:rPr>
        <w:t>The author would like to thank the editors and anonymous reviewers for their assistance</w:t>
      </w:r>
      <w:r w:rsidR="00A526EF">
        <w:rPr>
          <w:rFonts w:ascii="Calibri Light" w:hAnsi="Calibri Light" w:cs="Calibri Light"/>
          <w:sz w:val="24"/>
          <w:szCs w:val="22"/>
          <w:lang w:val="en-ID"/>
        </w:rPr>
        <w:t xml:space="preserve"> </w:t>
      </w:r>
      <w:r w:rsidRPr="00ED1805">
        <w:rPr>
          <w:rFonts w:ascii="Calibri Light" w:hAnsi="Calibri Light" w:cs="Calibri Light"/>
          <w:sz w:val="24"/>
          <w:szCs w:val="22"/>
          <w:lang w:val="en-ID"/>
        </w:rPr>
        <w:t>in</w:t>
      </w:r>
      <w:r w:rsidR="00ED1805">
        <w:rPr>
          <w:rFonts w:ascii="Calibri Light" w:hAnsi="Calibri Light" w:cs="Calibri Light"/>
          <w:sz w:val="24"/>
          <w:szCs w:val="22"/>
          <w:lang w:val="en-ID"/>
        </w:rPr>
        <w:t xml:space="preserve"> </w:t>
      </w:r>
      <w:r w:rsidRPr="00ED1805">
        <w:rPr>
          <w:rFonts w:ascii="Calibri Light" w:hAnsi="Calibri Light" w:cs="Calibri Light"/>
          <w:sz w:val="24"/>
          <w:szCs w:val="22"/>
          <w:lang w:val="en-ID"/>
        </w:rPr>
        <w:t>improving the quality of the research documents.</w:t>
      </w:r>
    </w:p>
    <w:p w14:paraId="717E6B46" w14:textId="77777777" w:rsidR="00741058" w:rsidRDefault="00741058" w:rsidP="001602A0">
      <w:pPr>
        <w:numPr>
          <w:ilvl w:val="0"/>
          <w:numId w:val="28"/>
        </w:numPr>
        <w:spacing w:line="240" w:lineRule="atLeast"/>
        <w:jc w:val="both"/>
        <w:rPr>
          <w:rFonts w:ascii="Calibri Light" w:hAnsi="Calibri Light" w:cs="Calibri Light"/>
          <w:b/>
          <w:color w:val="7030A0"/>
          <w:sz w:val="24"/>
          <w:szCs w:val="24"/>
        </w:rPr>
      </w:pPr>
      <w:r w:rsidRPr="00122F5F">
        <w:rPr>
          <w:rFonts w:ascii="Calibri Light" w:hAnsi="Calibri Light" w:cs="Calibri Light"/>
          <w:b/>
          <w:sz w:val="24"/>
          <w:szCs w:val="24"/>
        </w:rPr>
        <w:t>REFERENCES</w:t>
      </w:r>
      <w:r w:rsidRPr="00122F5F">
        <w:rPr>
          <w:rFonts w:ascii="Calibri Light" w:hAnsi="Calibri Light" w:cs="Calibri Light"/>
          <w:b/>
          <w:color w:val="7030A0"/>
          <w:sz w:val="24"/>
          <w:szCs w:val="24"/>
        </w:rPr>
        <w:t xml:space="preserve"> </w:t>
      </w:r>
    </w:p>
    <w:p w14:paraId="3FCA2595" w14:textId="1655258F"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7030A0"/>
          <w:sz w:val="24"/>
          <w:szCs w:val="24"/>
        </w:rPr>
        <w:fldChar w:fldCharType="begin" w:fldLock="1"/>
      </w:r>
      <w:r w:rsidRPr="000900AD">
        <w:rPr>
          <w:rFonts w:ascii="Calibri Light" w:hAnsi="Calibri Light" w:cs="Calibri Light"/>
          <w:b/>
          <w:color w:val="7030A0"/>
          <w:sz w:val="24"/>
          <w:szCs w:val="24"/>
        </w:rPr>
        <w:instrText xml:space="preserve">ADDIN Mendeley Bibliography CSL_BIBLIOGRAPHY </w:instrText>
      </w:r>
      <w:r>
        <w:rPr>
          <w:rFonts w:ascii="Calibri Light" w:hAnsi="Calibri Light" w:cs="Calibri Light"/>
          <w:b/>
          <w:color w:val="7030A0"/>
          <w:sz w:val="24"/>
          <w:szCs w:val="24"/>
        </w:rPr>
        <w:fldChar w:fldCharType="separate"/>
      </w:r>
      <w:r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Pr="000900AD">
        <w:rPr>
          <w:rFonts w:ascii="Calibri Light" w:hAnsi="Calibri Light" w:cs="Calibri Light"/>
          <w:i/>
          <w:iCs/>
          <w:sz w:val="24"/>
        </w:rPr>
        <w:t>Journal of the Knowledge Economy</w:t>
      </w:r>
      <w:r w:rsidRPr="000900AD">
        <w:rPr>
          <w:rFonts w:ascii="Calibri Light" w:hAnsi="Calibri Light" w:cs="Calibri Light"/>
          <w:sz w:val="24"/>
        </w:rPr>
        <w:t xml:space="preserve">, </w:t>
      </w:r>
      <w:r w:rsidRPr="000900AD">
        <w:rPr>
          <w:rFonts w:ascii="Calibri Light" w:hAnsi="Calibri Light" w:cs="Calibri Light"/>
          <w:i/>
          <w:iCs/>
          <w:sz w:val="24"/>
        </w:rPr>
        <w:t>14</w:t>
      </w:r>
      <w:r w:rsidRPr="000900AD">
        <w:rPr>
          <w:rFonts w:ascii="Calibri Light" w:hAnsi="Calibri Light" w:cs="Calibri Light"/>
          <w:sz w:val="24"/>
        </w:rPr>
        <w:t>(2), 946–965. https://doi.org/10.1007/s13132-022-00933-y</w:t>
      </w:r>
    </w:p>
    <w:p w14:paraId="4910A9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1F44AF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90EC82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3722430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w:t>
      </w:r>
      <w:r w:rsidRPr="000900AD">
        <w:rPr>
          <w:rFonts w:ascii="Calibri Light" w:hAnsi="Calibri Light" w:cs="Calibri Light"/>
          <w:sz w:val="24"/>
        </w:rPr>
        <w:lastRenderedPageBreak/>
        <w:t xml:space="preserve">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38727E3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1B601A6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0E1E43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4FDFDE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1F028FE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4056D2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5DE1EC6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3F37BE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58A4862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3ABC6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8723C5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181DBF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 xml:space="preserve">(2–3), 229–237. </w:t>
      </w:r>
      <w:r w:rsidRPr="000900AD">
        <w:rPr>
          <w:rFonts w:ascii="Calibri Light" w:hAnsi="Calibri Light" w:cs="Calibri Light"/>
          <w:sz w:val="24"/>
        </w:rPr>
        <w:lastRenderedPageBreak/>
        <w:t>https://doi.org/10.1504/IJMEF.2024.139028</w:t>
      </w:r>
    </w:p>
    <w:p w14:paraId="6DDFED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429E2A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48CEDCE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2FCADE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72A8750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439E358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779626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76C1C1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02204D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2C484F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6D2A648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0E60A0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w:t>
      </w:r>
      <w:r w:rsidRPr="000900AD">
        <w:rPr>
          <w:rFonts w:ascii="Calibri Light" w:hAnsi="Calibri Light" w:cs="Calibri Light"/>
          <w:sz w:val="24"/>
        </w:rPr>
        <w:lastRenderedPageBreak/>
        <w:t xml:space="preserve">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2C05FD8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7CDC76E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30C9E7E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4CD2C2D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C88985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2F4999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5805D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1889842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6E9EE8A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6150933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6B2C1C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65A391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E4E20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651BC3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78AEC3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63865C3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348BEF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776E610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63D590DE" w14:textId="5F568C67" w:rsidR="000900AD" w:rsidRDefault="000900AD" w:rsidP="008847ED">
      <w:pPr>
        <w:spacing w:line="240" w:lineRule="atLeast"/>
        <w:ind w:left="1276" w:hanging="502"/>
        <w:jc w:val="both"/>
        <w:rPr>
          <w:rFonts w:ascii="Calibri Light" w:hAnsi="Calibri Light" w:cs="Calibri Light"/>
          <w:b/>
          <w:color w:val="7030A0"/>
          <w:sz w:val="24"/>
          <w:szCs w:val="24"/>
        </w:rPr>
      </w:pPr>
      <w:r>
        <w:rPr>
          <w:rFonts w:ascii="Calibri Light" w:hAnsi="Calibri Light" w:cs="Calibri Light"/>
          <w:b/>
          <w:color w:val="7030A0"/>
          <w:sz w:val="24"/>
          <w:szCs w:val="24"/>
        </w:rPr>
        <w:fldChar w:fldCharType="end"/>
      </w:r>
    </w:p>
    <w:p w14:paraId="4800F6BB" w14:textId="2060A454" w:rsidR="000900AD" w:rsidRPr="000900AD" w:rsidRDefault="003C27F1"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A6A6A6"/>
          <w:sz w:val="24"/>
          <w:szCs w:val="24"/>
        </w:rPr>
        <w:fldChar w:fldCharType="begin" w:fldLock="1"/>
      </w:r>
      <w:r w:rsidRPr="000900AD">
        <w:rPr>
          <w:rFonts w:ascii="Calibri Light" w:hAnsi="Calibri Light" w:cs="Calibri Light"/>
          <w:b/>
          <w:color w:val="A6A6A6"/>
          <w:sz w:val="24"/>
          <w:szCs w:val="24"/>
        </w:rPr>
        <w:instrText xml:space="preserve">ADDIN Mendeley Bibliography CSL_BIBLIOGRAPHY </w:instrText>
      </w:r>
      <w:r>
        <w:rPr>
          <w:rFonts w:ascii="Calibri Light" w:hAnsi="Calibri Light" w:cs="Calibri Light"/>
          <w:b/>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8064C4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AA4D8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46C7A2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7095E7C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41EA9C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6093413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w:t>
      </w:r>
      <w:r w:rsidRPr="000900AD">
        <w:rPr>
          <w:rFonts w:ascii="Calibri Light" w:hAnsi="Calibri Light" w:cs="Calibri Light"/>
          <w:sz w:val="24"/>
        </w:rPr>
        <w:lastRenderedPageBreak/>
        <w:t xml:space="preserve">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0C3A6E6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38AACD9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0B9F22E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730BD9F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28B5492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4DC3F2A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71418F5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7B24FB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54C425C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3EAA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5BBF48F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45E34A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 xml:space="preserve">International Journal of Productivity </w:t>
      </w:r>
      <w:r w:rsidRPr="000900AD">
        <w:rPr>
          <w:rFonts w:ascii="Calibri Light" w:hAnsi="Calibri Light" w:cs="Calibri Light"/>
          <w:i/>
          <w:iCs/>
          <w:sz w:val="24"/>
        </w:rPr>
        <w:lastRenderedPageBreak/>
        <w:t>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3D176C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6A17F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C9EF22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8BC182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2F6AE0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6C7E84E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CBC72C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748BD0E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32D9DF8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6B60D4B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7CCE7EA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18DD89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w:t>
      </w:r>
      <w:r w:rsidRPr="000900AD">
        <w:rPr>
          <w:rFonts w:ascii="Calibri Light" w:hAnsi="Calibri Light" w:cs="Calibri Light"/>
          <w:sz w:val="24"/>
        </w:rPr>
        <w:lastRenderedPageBreak/>
        <w:t xml:space="preserve">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05EE4D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2212A53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059E75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540D71D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22D603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73EF1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4D39E1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15638F8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2786CF7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79D2E23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2A3E840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B5C8F4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68F0BB1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7645E1E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71F758F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391DE39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3D107B4C" w14:textId="08D051EE" w:rsidR="001602A0" w:rsidRPr="00540F02" w:rsidRDefault="003C27F1" w:rsidP="008847ED">
      <w:pPr>
        <w:spacing w:line="240" w:lineRule="atLeast"/>
        <w:ind w:left="1276" w:hanging="502"/>
        <w:jc w:val="both"/>
        <w:rPr>
          <w:rFonts w:ascii="Calibri Light" w:hAnsi="Calibri Light" w:cs="Calibri Light"/>
          <w:b/>
          <w:color w:val="A6A6A6"/>
          <w:sz w:val="24"/>
          <w:szCs w:val="24"/>
          <w:lang w:val="id-ID"/>
        </w:rPr>
      </w:pPr>
      <w:r>
        <w:rPr>
          <w:rFonts w:ascii="Calibri Light" w:hAnsi="Calibri Light" w:cs="Calibri Light"/>
          <w:b/>
          <w:color w:val="A6A6A6"/>
          <w:sz w:val="24"/>
          <w:szCs w:val="24"/>
          <w:lang w:val="id-ID"/>
        </w:rPr>
        <w:fldChar w:fldCharType="end"/>
      </w:r>
    </w:p>
    <w:p w14:paraId="4DF8EF8D" w14:textId="6E047032" w:rsidR="000900AD" w:rsidRPr="000900AD" w:rsidRDefault="00A33DAA"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Pr>
          <w:rFonts w:ascii="Calibri Light" w:hAnsi="Calibri Light" w:cs="Calibri Light"/>
          <w:color w:val="A6A6A6"/>
          <w:sz w:val="24"/>
          <w:szCs w:val="24"/>
        </w:rPr>
        <w:fldChar w:fldCharType="begin" w:fldLock="1"/>
      </w:r>
      <w:r w:rsidRPr="000900AD">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20AD14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0BBEE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61A8690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14D2371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5F9754E0"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4B9FFD1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3BCAAB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7EE7FD5"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63AAD52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2BC15ED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346128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0E5FF1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11B4BCB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5DB7AE9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AB28E7B"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5F10EF8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27C20EF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w:t>
      </w:r>
      <w:r w:rsidRPr="000900AD">
        <w:rPr>
          <w:rFonts w:ascii="Calibri Light" w:hAnsi="Calibri Light" w:cs="Calibri Light"/>
          <w:sz w:val="24"/>
        </w:rPr>
        <w:lastRenderedPageBreak/>
        <w:t xml:space="preserve">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AC61744"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7C77623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0B00DCD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B25B2F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04FC62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7F70F1B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2AF62B3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0E48A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1AAC340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5B53EA0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 xml:space="preserve">(1), 1–17. </w:t>
      </w:r>
      <w:r w:rsidRPr="000900AD">
        <w:rPr>
          <w:rFonts w:ascii="Calibri Light" w:hAnsi="Calibri Light" w:cs="Calibri Light"/>
          <w:sz w:val="24"/>
        </w:rPr>
        <w:lastRenderedPageBreak/>
        <w:t>https://doi.org/10.1017/bap.2021.16</w:t>
      </w:r>
    </w:p>
    <w:p w14:paraId="3D46A67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5A6D612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3135C06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762427E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641CCBD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3FC51D5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0804A1A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4BB2D5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BC7EF27"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02E5EA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5DF1B1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sz w:val="24"/>
        </w:rPr>
        <w:lastRenderedPageBreak/>
        <w:t>https://doi.org/10.1108/QRFM-04-2024-0108</w:t>
      </w:r>
    </w:p>
    <w:p w14:paraId="1C37AD6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F04FCD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D63F66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1EF0BF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14F9565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3C72DBF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1D6C82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66CB833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046DB4D8" w14:textId="06F6C2B0" w:rsidR="000900AD" w:rsidRPr="000900AD" w:rsidRDefault="00A33DAA" w:rsidP="008847ED">
      <w:pPr>
        <w:pStyle w:val="ListParagraph"/>
        <w:numPr>
          <w:ilvl w:val="0"/>
          <w:numId w:val="33"/>
        </w:numPr>
        <w:ind w:left="1276" w:hanging="502"/>
        <w:jc w:val="both"/>
      </w:pPr>
      <w:r>
        <w:rPr>
          <w:color w:val="A6A6A6"/>
          <w:szCs w:val="24"/>
        </w:rPr>
        <w:fldChar w:fldCharType="end"/>
      </w:r>
      <w:r w:rsidR="00804B31">
        <w:rPr>
          <w:color w:val="A6A6A6"/>
          <w:szCs w:val="24"/>
        </w:rPr>
        <w:fldChar w:fldCharType="begin" w:fldLock="1"/>
      </w:r>
      <w:r w:rsidR="00804B31">
        <w:rPr>
          <w:color w:val="A6A6A6"/>
          <w:szCs w:val="24"/>
        </w:rPr>
        <w:instrText xml:space="preserve">ADDIN Mendeley Bibliography CSL_BIBLIOGRAPHY </w:instrText>
      </w:r>
      <w:r w:rsidR="00804B31">
        <w:rPr>
          <w:color w:val="A6A6A6"/>
          <w:szCs w:val="24"/>
        </w:rPr>
        <w:fldChar w:fldCharType="separate"/>
      </w:r>
      <w:r w:rsidR="000900AD" w:rsidRPr="000900AD">
        <w:t xml:space="preserve">Abrar, M., Abbas, S., Kousar, S., &amp; Mushtaq, M. (2023). Investigation on the Effects of Customer Knowledge, Political Support, and Innovation on the Growth of Islamic Banking System: a Case Study of Pakistan. </w:t>
      </w:r>
      <w:r w:rsidR="000900AD" w:rsidRPr="000900AD">
        <w:rPr>
          <w:i/>
          <w:iCs/>
        </w:rPr>
        <w:t>Journal of the Knowledge Economy</w:t>
      </w:r>
      <w:r w:rsidR="000900AD" w:rsidRPr="000900AD">
        <w:t xml:space="preserve">, </w:t>
      </w:r>
      <w:r w:rsidR="000900AD" w:rsidRPr="000900AD">
        <w:rPr>
          <w:i/>
          <w:iCs/>
        </w:rPr>
        <w:t>14</w:t>
      </w:r>
      <w:r w:rsidR="000900AD" w:rsidRPr="000900AD">
        <w:t>(2), 946–965. https://doi.org/10.1007/s13132-022-00933-y</w:t>
      </w:r>
    </w:p>
    <w:p w14:paraId="7FBF703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Afrida, Y., Rivai, H. A., Syahrul, L., &amp; Lukito, H. (2024). Readiness to change in Islamic banking: the significance of adaptability and Islamic work ethics. </w:t>
      </w:r>
      <w:r w:rsidRPr="000900AD">
        <w:rPr>
          <w:rFonts w:cs="Calibri"/>
          <w:i/>
          <w:iCs/>
        </w:rPr>
        <w:t>Journal of Islamic Marketing</w:t>
      </w:r>
      <w:r w:rsidRPr="000900AD">
        <w:rPr>
          <w:rFonts w:cs="Calibri"/>
        </w:rPr>
        <w:t xml:space="preserve">, </w:t>
      </w:r>
      <w:r w:rsidRPr="000900AD">
        <w:rPr>
          <w:rFonts w:cs="Calibri"/>
          <w:i/>
          <w:iCs/>
        </w:rPr>
        <w:t>15</w:t>
      </w:r>
      <w:r w:rsidRPr="000900AD">
        <w:rPr>
          <w:rFonts w:cs="Calibri"/>
        </w:rPr>
        <w:t>(12), 3445–3463. https://doi.org/10.1108/JIMA-11-2023-0357</w:t>
      </w:r>
    </w:p>
    <w:p w14:paraId="6E42206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Ahmad, M., Zafar, M. B., &amp; Perveen, A. (2024). Consumer shift behavior from conventional to Islamic banking: decision-making analysis through AHP. </w:t>
      </w:r>
      <w:r w:rsidRPr="000900AD">
        <w:rPr>
          <w:rFonts w:cs="Calibri"/>
          <w:i/>
          <w:iCs/>
        </w:rPr>
        <w:t xml:space="preserve">Journal of </w:t>
      </w:r>
      <w:r w:rsidRPr="000900AD">
        <w:rPr>
          <w:rFonts w:cs="Calibri"/>
          <w:i/>
          <w:iCs/>
        </w:rPr>
        <w:lastRenderedPageBreak/>
        <w:t>Islamic Marketing</w:t>
      </w:r>
      <w:r w:rsidRPr="000900AD">
        <w:rPr>
          <w:rFonts w:cs="Calibri"/>
        </w:rPr>
        <w:t xml:space="preserve">, </w:t>
      </w:r>
      <w:r w:rsidRPr="000900AD">
        <w:rPr>
          <w:rFonts w:cs="Calibri"/>
          <w:i/>
          <w:iCs/>
        </w:rPr>
        <w:t>15</w:t>
      </w:r>
      <w:r w:rsidRPr="000900AD">
        <w:rPr>
          <w:rFonts w:cs="Calibri"/>
        </w:rPr>
        <w:t>(5), 1280–1302. https://doi.org/10.1108/JIMA-02-2023-0036</w:t>
      </w:r>
    </w:p>
    <w:p w14:paraId="79E2625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Al-Homaidi, E. A., Al-Matari, E. M., Anagreh, S., Tabash, M. I., &amp; Mareai Senan, N. A. (2021). The relationship between zakat disclosures and Islamic banking performance: Evidence from Yemen. </w:t>
      </w:r>
      <w:r w:rsidRPr="000900AD">
        <w:rPr>
          <w:rFonts w:cs="Calibri"/>
          <w:i/>
          <w:iCs/>
        </w:rPr>
        <w:t>Banks and Bank Systems</w:t>
      </w:r>
      <w:r w:rsidRPr="000900AD">
        <w:rPr>
          <w:rFonts w:cs="Calibri"/>
        </w:rPr>
        <w:t xml:space="preserve">, </w:t>
      </w:r>
      <w:r w:rsidRPr="000900AD">
        <w:rPr>
          <w:rFonts w:cs="Calibri"/>
          <w:i/>
          <w:iCs/>
        </w:rPr>
        <w:t>16</w:t>
      </w:r>
      <w:r w:rsidRPr="000900AD">
        <w:rPr>
          <w:rFonts w:cs="Calibri"/>
        </w:rPr>
        <w:t>(1), 52–61. https://doi.org/10.21511/bbs.16(1).2021.05</w:t>
      </w:r>
    </w:p>
    <w:p w14:paraId="7CE389B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A., Zulkhibri, M., &amp; Kishwar, T. (2022). IFSB Standards Adoption and Its Impact on Islamic Banking Practices: Evidence from Pakistan. </w:t>
      </w:r>
      <w:r w:rsidRPr="000900AD">
        <w:rPr>
          <w:rFonts w:cs="Calibri"/>
          <w:i/>
          <w:iCs/>
        </w:rPr>
        <w:t>Journal of King Abdulaziz University, Islamic Economics</w:t>
      </w:r>
      <w:r w:rsidRPr="000900AD">
        <w:rPr>
          <w:rFonts w:cs="Calibri"/>
        </w:rPr>
        <w:t xml:space="preserve">, </w:t>
      </w:r>
      <w:r w:rsidRPr="000900AD">
        <w:rPr>
          <w:rFonts w:cs="Calibri"/>
          <w:i/>
          <w:iCs/>
        </w:rPr>
        <w:t>35</w:t>
      </w:r>
      <w:r w:rsidRPr="000900AD">
        <w:rPr>
          <w:rFonts w:cs="Calibri"/>
        </w:rPr>
        <w:t>(2), 55–76. https://doi.org/10.4197/Islec.35-2.4</w:t>
      </w:r>
    </w:p>
    <w:p w14:paraId="4027BAF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cs="Calibri"/>
          <w:i/>
          <w:iCs/>
        </w:rPr>
        <w:t>Journal of Lifestyle and SDGs Review</w:t>
      </w:r>
      <w:r w:rsidRPr="000900AD">
        <w:rPr>
          <w:rFonts w:cs="Calibri"/>
        </w:rPr>
        <w:t xml:space="preserve">, </w:t>
      </w:r>
      <w:r w:rsidRPr="000900AD">
        <w:rPr>
          <w:rFonts w:cs="Calibri"/>
          <w:i/>
          <w:iCs/>
        </w:rPr>
        <w:t>5</w:t>
      </w:r>
      <w:r w:rsidRPr="000900AD">
        <w:rPr>
          <w:rFonts w:cs="Calibri"/>
        </w:rPr>
        <w:t>(1), e03295–e03295.</w:t>
      </w:r>
    </w:p>
    <w:p w14:paraId="4F3BEB6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S. A., Loussaief, A., &amp; Ahmed, M. (2022). A comparative analysis of employees’ and customers’ attitude towards Islamic banking. </w:t>
      </w:r>
      <w:r w:rsidRPr="000900AD">
        <w:rPr>
          <w:rFonts w:cs="Calibri"/>
          <w:i/>
          <w:iCs/>
        </w:rPr>
        <w:t>International Journal of Ethics and Systems</w:t>
      </w:r>
      <w:r w:rsidRPr="000900AD">
        <w:rPr>
          <w:rFonts w:cs="Calibri"/>
        </w:rPr>
        <w:t xml:space="preserve">, </w:t>
      </w:r>
      <w:r w:rsidRPr="000900AD">
        <w:rPr>
          <w:rFonts w:cs="Calibri"/>
          <w:i/>
          <w:iCs/>
        </w:rPr>
        <w:t>38</w:t>
      </w:r>
      <w:r w:rsidRPr="000900AD">
        <w:rPr>
          <w:rFonts w:cs="Calibri"/>
        </w:rPr>
        <w:t>(2), 209–234. https://doi.org/10.1108/IJOES-03-2021-0053</w:t>
      </w:r>
    </w:p>
    <w:p w14:paraId="48C269D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Altwijry, O. I., Mohammed, M. O., Hassan, M. K., &amp; Selim, M. (2022). Developing a Shari’ah based FinTech Money Creation Free [SFMCF] model for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15</w:t>
      </w:r>
      <w:r w:rsidRPr="000900AD">
        <w:rPr>
          <w:rFonts w:cs="Calibri"/>
        </w:rPr>
        <w:t>(4), 739–758. https://doi.org/10.1108/IMEFM-05-2021-0189</w:t>
      </w:r>
    </w:p>
    <w:p w14:paraId="6563496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Amuda, Y. J., &amp; Al-Nasser, S. A. (2024). Exploring encounters and prodigies of Islamic banks in non-Muslim states: towards enhancing regulatory frameworks of Islamic banking system. </w:t>
      </w:r>
      <w:r w:rsidRPr="000900AD">
        <w:rPr>
          <w:rFonts w:cs="Calibri"/>
          <w:i/>
          <w:iCs/>
        </w:rPr>
        <w:t>International Journal of Law and Management</w:t>
      </w:r>
      <w:r w:rsidRPr="000900AD">
        <w:rPr>
          <w:rFonts w:cs="Calibri"/>
        </w:rPr>
        <w:t>. https://doi.org/10.1108/IJLMA-11-2023-0250</w:t>
      </w:r>
    </w:p>
    <w:p w14:paraId="2D02D3C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Andri Nirwana, A. N., Elbanna, M., Ismail, F. H., Daud, Z., Mohd Salleh, N., Bin Kirin, A., Marisa, S. N., &amp; Husein, M. Z. (2024). PRISMA-Based Study on Integrating Islamic Principles into Legal Systems: Human Rights in Egypt and Indonesia. </w:t>
      </w:r>
      <w:r w:rsidRPr="000900AD">
        <w:rPr>
          <w:rFonts w:cs="Calibri"/>
          <w:i/>
          <w:iCs/>
        </w:rPr>
        <w:t>International Journal of Law and Society</w:t>
      </w:r>
      <w:r w:rsidRPr="000900AD">
        <w:rPr>
          <w:rFonts w:cs="Calibri"/>
        </w:rPr>
        <w:t xml:space="preserve">, </w:t>
      </w:r>
      <w:r w:rsidRPr="000900AD">
        <w:rPr>
          <w:rFonts w:cs="Calibri"/>
          <w:i/>
          <w:iCs/>
        </w:rPr>
        <w:t>3</w:t>
      </w:r>
      <w:r w:rsidRPr="000900AD">
        <w:rPr>
          <w:rFonts w:cs="Calibri"/>
        </w:rPr>
        <w:t>(3), 173–186. https://doi.org/10.59683/ijls.v3i3.90</w:t>
      </w:r>
    </w:p>
    <w:p w14:paraId="60831BF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Barra, C., Papaccio, A., &amp; Ruggiero, N. (2023). Basel accords and banking inefficiency: Evidence from the Italian local market. </w:t>
      </w:r>
      <w:r w:rsidRPr="000900AD">
        <w:rPr>
          <w:rFonts w:cs="Calibri"/>
          <w:i/>
          <w:iCs/>
        </w:rPr>
        <w:t>International Journal of Finance and Economics</w:t>
      </w:r>
      <w:r w:rsidRPr="000900AD">
        <w:rPr>
          <w:rFonts w:cs="Calibri"/>
        </w:rPr>
        <w:t xml:space="preserve">, </w:t>
      </w:r>
      <w:r w:rsidRPr="000900AD">
        <w:rPr>
          <w:rFonts w:cs="Calibri"/>
          <w:i/>
          <w:iCs/>
        </w:rPr>
        <w:t>28</w:t>
      </w:r>
      <w:r w:rsidRPr="000900AD">
        <w:rPr>
          <w:rFonts w:cs="Calibri"/>
        </w:rPr>
        <w:t>(4), 4079–4119. https://doi.org/10.1002/ijfe.2637</w:t>
      </w:r>
    </w:p>
    <w:p w14:paraId="20D5703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Ben Jedidia, K., &amp; Hamza, H. (2024). Does PLS in Islamic banking limit excessive money creation? </w:t>
      </w:r>
      <w:r w:rsidRPr="000900AD">
        <w:rPr>
          <w:rFonts w:cs="Calibri"/>
          <w:i/>
          <w:iCs/>
        </w:rPr>
        <w:t>Journal of Islamic Accounting and Business Research</w:t>
      </w:r>
      <w:r w:rsidRPr="000900AD">
        <w:rPr>
          <w:rFonts w:cs="Calibri"/>
        </w:rPr>
        <w:t xml:space="preserve">, </w:t>
      </w:r>
      <w:r w:rsidRPr="000900AD">
        <w:rPr>
          <w:rFonts w:cs="Calibri"/>
          <w:i/>
          <w:iCs/>
        </w:rPr>
        <w:t>15</w:t>
      </w:r>
      <w:r w:rsidRPr="000900AD">
        <w:rPr>
          <w:rFonts w:cs="Calibri"/>
        </w:rPr>
        <w:t>(3), 422–442. https://doi.org/10.1108/JIABR-02-2022-0047</w:t>
      </w:r>
    </w:p>
    <w:p w14:paraId="373E7D0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Budiman, T., Febrian, E., &amp; Azis, Y. (2022). THE EFFECT OF GEOGRAPHICAL FACTORS ON ISLAMIC BANKING SUSTAINABILITY PERFORMANCE: AN INSTRUMENTAL VARIABLE QUANTILE REGRESSION ANALYSIS. </w:t>
      </w:r>
      <w:r w:rsidRPr="000900AD">
        <w:rPr>
          <w:rFonts w:cs="Calibri"/>
          <w:i/>
          <w:iCs/>
        </w:rPr>
        <w:t>Asian Economic and Financial Review</w:t>
      </w:r>
      <w:r w:rsidRPr="000900AD">
        <w:rPr>
          <w:rFonts w:cs="Calibri"/>
        </w:rPr>
        <w:t xml:space="preserve">, </w:t>
      </w:r>
      <w:r w:rsidRPr="000900AD">
        <w:rPr>
          <w:rFonts w:cs="Calibri"/>
          <w:i/>
          <w:iCs/>
        </w:rPr>
        <w:t>12</w:t>
      </w:r>
      <w:r w:rsidRPr="000900AD">
        <w:rPr>
          <w:rFonts w:cs="Calibri"/>
        </w:rPr>
        <w:t>(2), 70–88. https://doi.org/10.18488/5002.v12i2.4411</w:t>
      </w:r>
    </w:p>
    <w:p w14:paraId="734FD60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Elbanna, M., Wadi, M. F., Radiamoda, A. M., Matsuyama, Y., &amp; Ishak, M. H. Bin. (2025). A Bibliometric Analysis of Sustainable Development Goals (SDGs) Through the Lens of Maqasid Shariah Tafsir. </w:t>
      </w:r>
      <w:r w:rsidRPr="000900AD">
        <w:rPr>
          <w:rFonts w:cs="Calibri"/>
          <w:i/>
          <w:iCs/>
        </w:rPr>
        <w:t>QiST: Journal of Quran and Tafseer Studies</w:t>
      </w:r>
      <w:r w:rsidRPr="000900AD">
        <w:rPr>
          <w:rFonts w:cs="Calibri"/>
        </w:rPr>
        <w:t xml:space="preserve">, </w:t>
      </w:r>
      <w:r w:rsidRPr="000900AD">
        <w:rPr>
          <w:rFonts w:cs="Calibri"/>
          <w:i/>
          <w:iCs/>
        </w:rPr>
        <w:t>4</w:t>
      </w:r>
      <w:r w:rsidRPr="000900AD">
        <w:rPr>
          <w:rFonts w:cs="Calibri"/>
        </w:rPr>
        <w:t>(1), 1–22. https://doi.org/https://doi.org/10.23917/qist.v4i1.7360</w:t>
      </w:r>
    </w:p>
    <w:p w14:paraId="58D2ABE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Faizi, F. (2024). How are Islamic banking products developed? Evidence from emerging country. </w:t>
      </w:r>
      <w:r w:rsidRPr="000900AD">
        <w:rPr>
          <w:rFonts w:cs="Calibri"/>
          <w:i/>
          <w:iCs/>
        </w:rPr>
        <w:t>Cogent Economics and Finance</w:t>
      </w:r>
      <w:r w:rsidRPr="000900AD">
        <w:rPr>
          <w:rFonts w:cs="Calibri"/>
        </w:rPr>
        <w:t xml:space="preserve">, </w:t>
      </w:r>
      <w:r w:rsidRPr="000900AD">
        <w:rPr>
          <w:rFonts w:cs="Calibri"/>
          <w:i/>
          <w:iCs/>
        </w:rPr>
        <w:t>12</w:t>
      </w:r>
      <w:r w:rsidRPr="000900AD">
        <w:rPr>
          <w:rFonts w:cs="Calibri"/>
        </w:rPr>
        <w:t xml:space="preserve">(1). </w:t>
      </w:r>
      <w:r w:rsidRPr="000900AD">
        <w:rPr>
          <w:rFonts w:cs="Calibri"/>
        </w:rPr>
        <w:lastRenderedPageBreak/>
        <w:t>https://doi.org/10.1080/23322039.2024.2378961</w:t>
      </w:r>
    </w:p>
    <w:p w14:paraId="2518886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Fathoni, M. A., Rodoni, A., Al Arif, M. N. R., &amp; Hidayah, N. (2024). Intention to participate in Islamic banking in Indonesia: Does socio-political identity matter? </w:t>
      </w:r>
      <w:r w:rsidRPr="000900AD">
        <w:rPr>
          <w:rFonts w:cs="Calibri"/>
          <w:i/>
          <w:iCs/>
        </w:rPr>
        <w:t>Journal of Islamic Marketing</w:t>
      </w:r>
      <w:r w:rsidRPr="000900AD">
        <w:rPr>
          <w:rFonts w:cs="Calibri"/>
        </w:rPr>
        <w:t>. https://doi.org/10.1108/JIMA-12-2023-0397</w:t>
      </w:r>
    </w:p>
    <w:p w14:paraId="393634C2"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Faturohman, T., Purwono, M. Z., &amp; Ooi, S. K. (2024). User acceptance of Islamic banking in Indonesia: the implementation of technology acceptance models. </w:t>
      </w:r>
      <w:r w:rsidRPr="000900AD">
        <w:rPr>
          <w:rFonts w:cs="Calibri"/>
          <w:i/>
          <w:iCs/>
        </w:rPr>
        <w:t>International Journal of Monetary Economics and Finance</w:t>
      </w:r>
      <w:r w:rsidRPr="000900AD">
        <w:rPr>
          <w:rFonts w:cs="Calibri"/>
        </w:rPr>
        <w:t xml:space="preserve">, </w:t>
      </w:r>
      <w:r w:rsidRPr="000900AD">
        <w:rPr>
          <w:rFonts w:cs="Calibri"/>
          <w:i/>
          <w:iCs/>
        </w:rPr>
        <w:t>17</w:t>
      </w:r>
      <w:r w:rsidRPr="000900AD">
        <w:rPr>
          <w:rFonts w:cs="Calibri"/>
        </w:rPr>
        <w:t>(2–3), 229–237. https://doi.org/10.1504/IJMEF.2024.139028</w:t>
      </w:r>
    </w:p>
    <w:p w14:paraId="6F92BFA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Fitri, F. A., Syukur, M., Majid, M. S. A., Farhana, I., &amp; Hatta, F. (2022). Do intellectual capital and financing matter for the profitability of the Islamic banking industry in Indonesia? </w:t>
      </w:r>
      <w:r w:rsidRPr="000900AD">
        <w:rPr>
          <w:rFonts w:cs="Calibri"/>
          <w:i/>
          <w:iCs/>
        </w:rPr>
        <w:t>International Journal of Monetary Economics and Finance</w:t>
      </w:r>
      <w:r w:rsidRPr="000900AD">
        <w:rPr>
          <w:rFonts w:cs="Calibri"/>
        </w:rPr>
        <w:t xml:space="preserve">, </w:t>
      </w:r>
      <w:r w:rsidRPr="000900AD">
        <w:rPr>
          <w:rFonts w:cs="Calibri"/>
          <w:i/>
          <w:iCs/>
        </w:rPr>
        <w:t>15</w:t>
      </w:r>
      <w:r w:rsidRPr="000900AD">
        <w:rPr>
          <w:rFonts w:cs="Calibri"/>
        </w:rPr>
        <w:t>(3), 293–308. https://doi.org/10.1504/ijmef.2022.126888</w:t>
      </w:r>
    </w:p>
    <w:p w14:paraId="6BD061C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Guizani, M., &amp; Ajmi, A. N. (2022). Islamic banking and corporate investment efficiency: empirical evidence from Malaysia. </w:t>
      </w:r>
      <w:r w:rsidRPr="000900AD">
        <w:rPr>
          <w:rFonts w:cs="Calibri"/>
          <w:i/>
          <w:iCs/>
        </w:rPr>
        <w:t>International Journal of Productivity and Performance Management</w:t>
      </w:r>
      <w:r w:rsidRPr="000900AD">
        <w:rPr>
          <w:rFonts w:cs="Calibri"/>
        </w:rPr>
        <w:t xml:space="preserve">, </w:t>
      </w:r>
      <w:r w:rsidRPr="000900AD">
        <w:rPr>
          <w:rFonts w:cs="Calibri"/>
          <w:i/>
          <w:iCs/>
        </w:rPr>
        <w:t>71</w:t>
      </w:r>
      <w:r w:rsidRPr="000900AD">
        <w:rPr>
          <w:rFonts w:cs="Calibri"/>
        </w:rPr>
        <w:t>(5), 1854–1871. https://doi.org/10.1108/IJPPM-06-2020-0331</w:t>
      </w:r>
    </w:p>
    <w:p w14:paraId="344515B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Hakam Naja, A. (2023). IS ISLAMIC BANKING PERFORMANCE IN MALAYSIA TRULY BETTER THAN INDONESIA? </w:t>
      </w:r>
      <w:r w:rsidRPr="000900AD">
        <w:rPr>
          <w:rFonts w:cs="Calibri"/>
          <w:i/>
          <w:iCs/>
        </w:rPr>
        <w:t>Journal of Islamic Monetary Economics and Finance</w:t>
      </w:r>
      <w:r w:rsidRPr="000900AD">
        <w:rPr>
          <w:rFonts w:cs="Calibri"/>
        </w:rPr>
        <w:t xml:space="preserve">, </w:t>
      </w:r>
      <w:r w:rsidRPr="000900AD">
        <w:rPr>
          <w:rFonts w:cs="Calibri"/>
          <w:i/>
          <w:iCs/>
        </w:rPr>
        <w:t>9</w:t>
      </w:r>
      <w:r w:rsidRPr="000900AD">
        <w:rPr>
          <w:rFonts w:cs="Calibri"/>
        </w:rPr>
        <w:t>(4), 611–636. https://doi.org/10.21098/jimf.v9i4.1784</w:t>
      </w:r>
    </w:p>
    <w:p w14:paraId="5960083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Hassan, M. K., Sohel, M. N. I., Choudhury, T., &amp; Rashid, M. (2024). A systematic literature review of risks in Islamic banking system: research agenda and future research directions. </w:t>
      </w:r>
      <w:r w:rsidRPr="000900AD">
        <w:rPr>
          <w:rFonts w:cs="Calibri"/>
          <w:i/>
          <w:iCs/>
        </w:rPr>
        <w:t>Risk Management</w:t>
      </w:r>
      <w:r w:rsidRPr="000900AD">
        <w:rPr>
          <w:rFonts w:cs="Calibri"/>
        </w:rPr>
        <w:t xml:space="preserve">, </w:t>
      </w:r>
      <w:r w:rsidRPr="000900AD">
        <w:rPr>
          <w:rFonts w:cs="Calibri"/>
          <w:i/>
          <w:iCs/>
        </w:rPr>
        <w:t>26</w:t>
      </w:r>
      <w:r w:rsidRPr="000900AD">
        <w:rPr>
          <w:rFonts w:cs="Calibri"/>
        </w:rPr>
        <w:t>(1). https://doi.org/10.1057/s41283-023-00135-z</w:t>
      </w:r>
    </w:p>
    <w:p w14:paraId="542913C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Hermawati, A., Ali, S., Fettry, S., Hendarto, T., &amp; Husin, H. (2021). Freelancers Intentions Towards Adoption Of Islamic Banking. </w:t>
      </w:r>
      <w:r w:rsidRPr="000900AD">
        <w:rPr>
          <w:rFonts w:cs="Calibri"/>
          <w:i/>
          <w:iCs/>
        </w:rPr>
        <w:t>Academy of Strategic Management Journal</w:t>
      </w:r>
      <w:r w:rsidRPr="000900AD">
        <w:rPr>
          <w:rFonts w:cs="Calibri"/>
        </w:rPr>
        <w:t xml:space="preserve">, </w:t>
      </w:r>
      <w:r w:rsidRPr="000900AD">
        <w:rPr>
          <w:rFonts w:cs="Calibri"/>
          <w:i/>
          <w:iCs/>
        </w:rPr>
        <w:t>20</w:t>
      </w:r>
      <w:r w:rsidRPr="000900AD">
        <w:rPr>
          <w:rFonts w:cs="Calibri"/>
        </w:rPr>
        <w:t>(2), 1–16. https://www.scopus.com/inward/record.uri?eid=2-s2.0-85104261973&amp;partnerID=40&amp;md5=3e018c371c1eaf93307b64b4d38b50a5</w:t>
      </w:r>
    </w:p>
    <w:p w14:paraId="46E8B0A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Ho, K.-C., Lee, S.-C., &amp; Chen, J.-L. (2022). Book-to-market equity and asset correlations—An international study. </w:t>
      </w:r>
      <w:r w:rsidRPr="000900AD">
        <w:rPr>
          <w:rFonts w:cs="Calibri"/>
          <w:i/>
          <w:iCs/>
        </w:rPr>
        <w:t>International Review of Economics and Finance</w:t>
      </w:r>
      <w:r w:rsidRPr="000900AD">
        <w:rPr>
          <w:rFonts w:cs="Calibri"/>
        </w:rPr>
        <w:t xml:space="preserve">, </w:t>
      </w:r>
      <w:r w:rsidRPr="000900AD">
        <w:rPr>
          <w:rFonts w:cs="Calibri"/>
          <w:i/>
          <w:iCs/>
        </w:rPr>
        <w:t>79</w:t>
      </w:r>
      <w:r w:rsidRPr="000900AD">
        <w:rPr>
          <w:rFonts w:cs="Calibri"/>
        </w:rPr>
        <w:t>, 258–274. https://doi.org/10.1016/j.iref.2022.02.014</w:t>
      </w:r>
    </w:p>
    <w:p w14:paraId="67CDDE1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Huang, C., Moreira, F., &amp; Archibald, T. W. (2024). Should Basel-style liquidity requirements be set countercyclically? Evidence from a numerical analysis. </w:t>
      </w:r>
      <w:r w:rsidRPr="000900AD">
        <w:rPr>
          <w:rFonts w:cs="Calibri"/>
          <w:i/>
          <w:iCs/>
        </w:rPr>
        <w:t>International Review of Financial Analysis</w:t>
      </w:r>
      <w:r w:rsidRPr="000900AD">
        <w:rPr>
          <w:rFonts w:cs="Calibri"/>
        </w:rPr>
        <w:t xml:space="preserve">, </w:t>
      </w:r>
      <w:r w:rsidRPr="000900AD">
        <w:rPr>
          <w:rFonts w:cs="Calibri"/>
          <w:i/>
          <w:iCs/>
        </w:rPr>
        <w:t>95</w:t>
      </w:r>
      <w:r w:rsidRPr="000900AD">
        <w:rPr>
          <w:rFonts w:cs="Calibri"/>
        </w:rPr>
        <w:t>. https://doi.org/10.1016/j.irfa.2024.103502</w:t>
      </w:r>
    </w:p>
    <w:p w14:paraId="5FCD257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Hudayati, A. (2023). Exploring the Nexus of Disclosure of Sharia Compliance and Governance in Islamic Banking: A Comprehensive Analysis of the Sharia Supervisory Board. </w:t>
      </w:r>
      <w:r w:rsidRPr="000900AD">
        <w:rPr>
          <w:rFonts w:cs="Calibri"/>
          <w:i/>
          <w:iCs/>
        </w:rPr>
        <w:t>Management and Accounting Review</w:t>
      </w:r>
      <w:r w:rsidRPr="000900AD">
        <w:rPr>
          <w:rFonts w:cs="Calibri"/>
        </w:rPr>
        <w:t xml:space="preserve">, </w:t>
      </w:r>
      <w:r w:rsidRPr="000900AD">
        <w:rPr>
          <w:rFonts w:cs="Calibri"/>
          <w:i/>
          <w:iCs/>
        </w:rPr>
        <w:t>22</w:t>
      </w:r>
      <w:r w:rsidRPr="000900AD">
        <w:rPr>
          <w:rFonts w:cs="Calibri"/>
        </w:rPr>
        <w:t>(3), 407–428. https://www.scopus.com/inward/record.uri?eid=2-s2.0-85179718521&amp;partnerID=40&amp;md5=c1d4efeffba5a3e6e85b32d01d1e3a12</w:t>
      </w:r>
    </w:p>
    <w:p w14:paraId="5C241B2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Isman, I. (2024). </w:t>
      </w:r>
      <w:r w:rsidRPr="000900AD">
        <w:rPr>
          <w:rFonts w:cs="Calibri"/>
          <w:i/>
          <w:iCs/>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cs="Calibri"/>
        </w:rPr>
        <w:t xml:space="preserve">. </w:t>
      </w:r>
      <w:r w:rsidRPr="000900AD">
        <w:rPr>
          <w:rFonts w:cs="Calibri"/>
          <w:i/>
          <w:iCs/>
        </w:rPr>
        <w:t>September</w:t>
      </w:r>
      <w:r w:rsidRPr="000900AD">
        <w:rPr>
          <w:rFonts w:cs="Calibri"/>
        </w:rPr>
        <w:t>.</w:t>
      </w:r>
    </w:p>
    <w:p w14:paraId="703292D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Jatmiko, W., Ebrahim, M. S., Iqbal, A., &amp; Wojakowski, R. M. (2023). Can trade credit rejuvenate Islamic banking? </w:t>
      </w:r>
      <w:r w:rsidRPr="000900AD">
        <w:rPr>
          <w:rFonts w:cs="Calibri"/>
          <w:i/>
          <w:iCs/>
        </w:rPr>
        <w:t>Review of Quantitative Finance and Accounting</w:t>
      </w:r>
      <w:r w:rsidRPr="000900AD">
        <w:rPr>
          <w:rFonts w:cs="Calibri"/>
        </w:rPr>
        <w:t xml:space="preserve">, </w:t>
      </w:r>
      <w:r w:rsidRPr="000900AD">
        <w:rPr>
          <w:rFonts w:cs="Calibri"/>
          <w:i/>
          <w:iCs/>
        </w:rPr>
        <w:t>60</w:t>
      </w:r>
      <w:r w:rsidRPr="000900AD">
        <w:rPr>
          <w:rFonts w:cs="Calibri"/>
        </w:rPr>
        <w:t>(1), 111–146. https://doi.org/10.1007/s11156-022-01092-6</w:t>
      </w:r>
    </w:p>
    <w:p w14:paraId="5F381C9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lastRenderedPageBreak/>
        <w:t xml:space="preserve">Mitchell, C. (2022). The Power of Delay: Banking System Structure and Implementation of the Basel Accords. </w:t>
      </w:r>
      <w:r w:rsidRPr="000900AD">
        <w:rPr>
          <w:rFonts w:cs="Calibri"/>
          <w:i/>
          <w:iCs/>
        </w:rPr>
        <w:t>Business and Politics</w:t>
      </w:r>
      <w:r w:rsidRPr="000900AD">
        <w:rPr>
          <w:rFonts w:cs="Calibri"/>
        </w:rPr>
        <w:t xml:space="preserve">, </w:t>
      </w:r>
      <w:r w:rsidRPr="000900AD">
        <w:rPr>
          <w:rFonts w:cs="Calibri"/>
          <w:i/>
          <w:iCs/>
        </w:rPr>
        <w:t>24</w:t>
      </w:r>
      <w:r w:rsidRPr="000900AD">
        <w:rPr>
          <w:rFonts w:cs="Calibri"/>
        </w:rPr>
        <w:t>(1), 1–17. https://doi.org/10.1017/bap.2021.16</w:t>
      </w:r>
    </w:p>
    <w:p w14:paraId="06AEC36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Mohd Thas Thaker, H., Lelchumanan, B., Ah Mand, A., &amp; Khaliq, A. (2024). Push – pull – mooring determinants of non-Muslims’ withdrawal from Islamic banking: evidence from Malaysia.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17</w:t>
      </w:r>
      <w:r w:rsidRPr="000900AD">
        <w:rPr>
          <w:rFonts w:cs="Calibri"/>
        </w:rPr>
        <w:t>(1), 195–212. https://doi.org/10.1108/IMEFM-04-2023-0144</w:t>
      </w:r>
    </w:p>
    <w:p w14:paraId="798BE0E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Muflih, M. (2021). The link between corporate social responsibility and customer loyalty: Empirical evidence from the Islamic banking industry. </w:t>
      </w:r>
      <w:r w:rsidRPr="000900AD">
        <w:rPr>
          <w:rFonts w:cs="Calibri"/>
          <w:i/>
          <w:iCs/>
        </w:rPr>
        <w:t>Journal of Retailing and Consumer Services</w:t>
      </w:r>
      <w:r w:rsidRPr="000900AD">
        <w:rPr>
          <w:rFonts w:cs="Calibri"/>
        </w:rPr>
        <w:t xml:space="preserve">, </w:t>
      </w:r>
      <w:r w:rsidRPr="000900AD">
        <w:rPr>
          <w:rFonts w:cs="Calibri"/>
          <w:i/>
          <w:iCs/>
        </w:rPr>
        <w:t>61</w:t>
      </w:r>
      <w:r w:rsidRPr="000900AD">
        <w:rPr>
          <w:rFonts w:cs="Calibri"/>
        </w:rPr>
        <w:t>. https://doi.org/10.1016/j.jretconser.2021.102558</w:t>
      </w:r>
    </w:p>
    <w:p w14:paraId="063FA92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Muthoifin, M., Amelia, I., &amp; Eprahim Ali, A. B. (2024). Islamic accounting: Ethics and contextualization of recording in Muamalah transactions. </w:t>
      </w:r>
      <w:r w:rsidRPr="000900AD">
        <w:rPr>
          <w:rFonts w:cs="Calibri"/>
          <w:i/>
          <w:iCs/>
        </w:rPr>
        <w:t>Multidisciplinary Reviews</w:t>
      </w:r>
      <w:r w:rsidRPr="000900AD">
        <w:rPr>
          <w:rFonts w:cs="Calibri"/>
        </w:rPr>
        <w:t xml:space="preserve">, </w:t>
      </w:r>
      <w:r w:rsidRPr="000900AD">
        <w:rPr>
          <w:rFonts w:cs="Calibri"/>
          <w:i/>
          <w:iCs/>
        </w:rPr>
        <w:t>7</w:t>
      </w:r>
      <w:r w:rsidRPr="000900AD">
        <w:rPr>
          <w:rFonts w:cs="Calibri"/>
        </w:rPr>
        <w:t>(8). https://doi.org/10.31893/multirev.2024132</w:t>
      </w:r>
    </w:p>
    <w:p w14:paraId="53490FA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Nawaz, T., Haniffa, R., &amp; Hudaib, M. (2021). On intellectual capital efficiency and shariah governance in Islamic banking business model.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(3), 3770–3787. https://doi.org/10.1002/ijfe.1986</w:t>
      </w:r>
    </w:p>
    <w:p w14:paraId="34EAC613"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Nouman, M., Ullah, K., &amp; Jan, S. (2022). DOMAINS and MOTIVES of MUSHARAKAH SPUR in the ISLAMIC BANKING INDUSTRY of PAKISTAN. </w:t>
      </w:r>
      <w:r w:rsidRPr="000900AD">
        <w:rPr>
          <w:rFonts w:cs="Calibri"/>
          <w:i/>
          <w:iCs/>
        </w:rPr>
        <w:t>Singapore Economic Review</w:t>
      </w:r>
      <w:r w:rsidRPr="000900AD">
        <w:rPr>
          <w:rFonts w:cs="Calibri"/>
        </w:rPr>
        <w:t xml:space="preserve">, </w:t>
      </w:r>
      <w:r w:rsidRPr="000900AD">
        <w:rPr>
          <w:rFonts w:cs="Calibri"/>
          <w:i/>
          <w:iCs/>
        </w:rPr>
        <w:t>67</w:t>
      </w:r>
      <w:r w:rsidRPr="000900AD">
        <w:rPr>
          <w:rFonts w:cs="Calibri"/>
        </w:rPr>
        <w:t>(1), 381–409. https://doi.org/10.1142/S0217590819500620</w:t>
      </w:r>
    </w:p>
    <w:p w14:paraId="2DBD8E29"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Oladapo, I. A., Hamoudah, M. M., Alam, M. M., Olaopa, O. R., &amp; Muda, R. (2022). Customers’ perceptions of FinTech adaptability in the Islamic banking sector: comparative study on Malaysia and Saudi Arabia. </w:t>
      </w:r>
      <w:r w:rsidRPr="000900AD">
        <w:rPr>
          <w:rFonts w:cs="Calibri"/>
          <w:i/>
          <w:iCs/>
        </w:rPr>
        <w:t>Journal of Modelling in Management</w:t>
      </w:r>
      <w:r w:rsidRPr="000900AD">
        <w:rPr>
          <w:rFonts w:cs="Calibri"/>
        </w:rPr>
        <w:t xml:space="preserve">, </w:t>
      </w:r>
      <w:r w:rsidRPr="000900AD">
        <w:rPr>
          <w:rFonts w:cs="Calibri"/>
          <w:i/>
          <w:iCs/>
        </w:rPr>
        <w:t>17</w:t>
      </w:r>
      <w:r w:rsidRPr="000900AD">
        <w:rPr>
          <w:rFonts w:cs="Calibri"/>
        </w:rPr>
        <w:t>(4), 1241–1261. https://doi.org/10.1108/JM2-10-2020-0256</w:t>
      </w:r>
    </w:p>
    <w:p w14:paraId="5C038AC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Rahman, M. H., &amp; Chowdhury, N. M. S. I. (2024). The prospects of istijrar financing in Islamic banking: an exploratory study in Bangladesh. </w:t>
      </w:r>
      <w:r w:rsidRPr="000900AD">
        <w:rPr>
          <w:rFonts w:cs="Calibri"/>
          <w:i/>
          <w:iCs/>
        </w:rPr>
        <w:t>Qualitative Research in Financial Markets</w:t>
      </w:r>
      <w:r w:rsidRPr="000900AD">
        <w:rPr>
          <w:rFonts w:cs="Calibri"/>
        </w:rPr>
        <w:t xml:space="preserve">, </w:t>
      </w:r>
      <w:r w:rsidRPr="000900AD">
        <w:rPr>
          <w:rFonts w:cs="Calibri"/>
          <w:i/>
          <w:iCs/>
        </w:rPr>
        <w:t>16</w:t>
      </w:r>
      <w:r w:rsidRPr="000900AD">
        <w:rPr>
          <w:rFonts w:cs="Calibri"/>
        </w:rPr>
        <w:t>(1), 135–158. https://doi.org/10.1108/QRFM-10-2022-0173</w:t>
      </w:r>
    </w:p>
    <w:p w14:paraId="0EEF732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Riaz, U., Burton, B., &amp; Fearfull, A. (2023). Emotional propensities and the contemporary Islamic banking industry. </w:t>
      </w:r>
      <w:r w:rsidRPr="000900AD">
        <w:rPr>
          <w:rFonts w:cs="Calibri"/>
          <w:i/>
          <w:iCs/>
        </w:rPr>
        <w:t>Critical Perspectives on Accounting</w:t>
      </w:r>
      <w:r w:rsidRPr="000900AD">
        <w:rPr>
          <w:rFonts w:cs="Calibri"/>
        </w:rPr>
        <w:t xml:space="preserve">, </w:t>
      </w:r>
      <w:r w:rsidRPr="000900AD">
        <w:rPr>
          <w:rFonts w:cs="Calibri"/>
          <w:i/>
          <w:iCs/>
        </w:rPr>
        <w:t>94</w:t>
      </w:r>
      <w:r w:rsidRPr="000900AD">
        <w:rPr>
          <w:rFonts w:cs="Calibri"/>
        </w:rPr>
        <w:t>. https://doi.org/10.1016/j.cpa.2022.102449</w:t>
      </w:r>
    </w:p>
    <w:p w14:paraId="13221D0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Sarea, A. M., Khalid, A., Shamsuddin, A. B., Hawaldar, I., &amp; Hossen, Z. (2021). Online financial reporting disclosure in Islamic banking: Evidence from Bahrain. </w:t>
      </w:r>
      <w:r w:rsidRPr="000900AD">
        <w:rPr>
          <w:rFonts w:cs="Calibri"/>
          <w:i/>
          <w:iCs/>
        </w:rPr>
        <w:t>International Journal of Economics and Business Research</w:t>
      </w:r>
      <w:r w:rsidRPr="000900AD">
        <w:rPr>
          <w:rFonts w:cs="Calibri"/>
        </w:rPr>
        <w:t xml:space="preserve">, </w:t>
      </w:r>
      <w:r w:rsidRPr="000900AD">
        <w:rPr>
          <w:rFonts w:cs="Calibri"/>
          <w:i/>
          <w:iCs/>
        </w:rPr>
        <w:t>22</w:t>
      </w:r>
      <w:r w:rsidRPr="000900AD">
        <w:rPr>
          <w:rFonts w:cs="Calibri"/>
        </w:rPr>
        <w:t>(4), 311–327. https://doi.org/10.1504/IJEBR.2021.118378</w:t>
      </w:r>
    </w:p>
    <w:p w14:paraId="1EC0584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Shaikh, S. A. (2023). Economic Evaluation of Islamic Banking in Pakistan. </w:t>
      </w:r>
      <w:r w:rsidRPr="000900AD">
        <w:rPr>
          <w:rFonts w:cs="Calibri"/>
          <w:i/>
          <w:iCs/>
        </w:rPr>
        <w:t>Journal of King Abdulaziz University, Islamic Economics</w:t>
      </w:r>
      <w:r w:rsidRPr="000900AD">
        <w:rPr>
          <w:rFonts w:cs="Calibri"/>
        </w:rPr>
        <w:t xml:space="preserve">, </w:t>
      </w:r>
      <w:r w:rsidRPr="000900AD">
        <w:rPr>
          <w:rFonts w:cs="Calibri"/>
          <w:i/>
          <w:iCs/>
        </w:rPr>
        <w:t>36</w:t>
      </w:r>
      <w:r w:rsidRPr="000900AD">
        <w:rPr>
          <w:rFonts w:cs="Calibri"/>
        </w:rPr>
        <w:t>(1), 91–111. https://doi.org/10.4197/Islec.36-1.5</w:t>
      </w:r>
    </w:p>
    <w:p w14:paraId="54087C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Sheikh, R., &amp; Hussain, K. (2024). Reimagining Islamic banking in the light of Maqasid Shariah. </w:t>
      </w:r>
      <w:r w:rsidRPr="000900AD">
        <w:rPr>
          <w:rFonts w:cs="Calibri"/>
          <w:i/>
          <w:iCs/>
        </w:rPr>
        <w:t>Qualitative Research in Financial Markets</w:t>
      </w:r>
      <w:r w:rsidRPr="000900AD">
        <w:rPr>
          <w:rFonts w:cs="Calibri"/>
        </w:rPr>
        <w:t>. https://doi.org/10.1108/QRFM-04-2024-0108</w:t>
      </w:r>
    </w:p>
    <w:p w14:paraId="648DF47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Suliyono, J., &amp; Risfandy, T. (2021). ISLAMIC BANKING MARKET DISCIPLINE IN INDONESIA. </w:t>
      </w:r>
      <w:r w:rsidRPr="000900AD">
        <w:rPr>
          <w:rFonts w:cs="Calibri"/>
          <w:i/>
          <w:iCs/>
        </w:rPr>
        <w:t>Journal of Islamic Monetary Economics and Finance</w:t>
      </w:r>
      <w:r w:rsidRPr="000900AD">
        <w:rPr>
          <w:rFonts w:cs="Calibri"/>
        </w:rPr>
        <w:t xml:space="preserve">, </w:t>
      </w:r>
      <w:r w:rsidRPr="000900AD">
        <w:rPr>
          <w:rFonts w:cs="Calibri"/>
          <w:i/>
          <w:iCs/>
        </w:rPr>
        <w:t>7</w:t>
      </w:r>
      <w:r w:rsidRPr="000900AD">
        <w:rPr>
          <w:rFonts w:cs="Calibri"/>
        </w:rPr>
        <w:t>(3), 457–472. https://doi.org/10.21098/jimf.v7i3.1376</w:t>
      </w:r>
    </w:p>
    <w:p w14:paraId="34E97A1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Syah, D., &amp; Rahmadani, G. (2024). The Profit-Sharing System in Financing Islamic </w:t>
      </w:r>
      <w:r w:rsidRPr="000900AD">
        <w:rPr>
          <w:rFonts w:cs="Calibri"/>
        </w:rPr>
        <w:lastRenderedPageBreak/>
        <w:t xml:space="preserve">Banking. </w:t>
      </w:r>
      <w:r w:rsidRPr="000900AD">
        <w:rPr>
          <w:rFonts w:cs="Calibri"/>
          <w:i/>
          <w:iCs/>
        </w:rPr>
        <w:t xml:space="preserve">Qubahan Academic Journal </w:t>
      </w:r>
      <w:r w:rsidRPr="000900AD">
        <w:rPr>
          <w:rFonts w:cs="Calibri"/>
        </w:rPr>
        <w:t xml:space="preserve">, </w:t>
      </w:r>
      <w:r w:rsidRPr="000900AD">
        <w:rPr>
          <w:rFonts w:cs="Calibri"/>
          <w:i/>
          <w:iCs/>
        </w:rPr>
        <w:t>4</w:t>
      </w:r>
      <w:r w:rsidRPr="000900AD">
        <w:rPr>
          <w:rFonts w:cs="Calibri"/>
        </w:rPr>
        <w:t>(1), 300–309. https://doi.org/10.48161/qaj.v4n1a198</w:t>
      </w:r>
    </w:p>
    <w:p w14:paraId="7BFC8E0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Triyanta, A., &amp; Hassan, R. (2024). THE CONNECTION BETWEEN ROBUST LEGAL INSTRUMENTS AND THE EXCEPTIONAL PERFORMANCE OF THE ISLAMIC BANKING INDUSTRY. </w:t>
      </w:r>
      <w:r w:rsidRPr="000900AD">
        <w:rPr>
          <w:rFonts w:cs="Calibri"/>
          <w:i/>
          <w:iCs/>
        </w:rPr>
        <w:t>Journal of Governance and Regulation</w:t>
      </w:r>
      <w:r w:rsidRPr="000900AD">
        <w:rPr>
          <w:rFonts w:cs="Calibri"/>
        </w:rPr>
        <w:t xml:space="preserve">, </w:t>
      </w:r>
      <w:r w:rsidRPr="000900AD">
        <w:rPr>
          <w:rFonts w:cs="Calibri"/>
          <w:i/>
          <w:iCs/>
        </w:rPr>
        <w:t>13</w:t>
      </w:r>
      <w:r w:rsidRPr="000900AD">
        <w:rPr>
          <w:rFonts w:cs="Calibri"/>
        </w:rPr>
        <w:t>(2 (special issue)), 267–274. https://doi.org/10.22495/jgrv13i2siart3</w:t>
      </w:r>
    </w:p>
    <w:p w14:paraId="22E28B8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Ul-Haq, S., Lone, R. A., &amp; Ashraf, N. (2022). A theory of capitalist co-optation of radical alternatives: The case of Islamic banking industry. </w:t>
      </w:r>
      <w:r w:rsidRPr="000900AD">
        <w:rPr>
          <w:rFonts w:cs="Calibri"/>
          <w:i/>
          <w:iCs/>
        </w:rPr>
        <w:t>Organization</w:t>
      </w:r>
      <w:r w:rsidRPr="000900AD">
        <w:rPr>
          <w:rFonts w:cs="Calibri"/>
        </w:rPr>
        <w:t xml:space="preserve">, </w:t>
      </w:r>
      <w:r w:rsidRPr="000900AD">
        <w:rPr>
          <w:rFonts w:cs="Calibri"/>
          <w:i/>
          <w:iCs/>
        </w:rPr>
        <w:t>29</w:t>
      </w:r>
      <w:r w:rsidRPr="000900AD">
        <w:rPr>
          <w:rFonts w:cs="Calibri"/>
        </w:rPr>
        <w:t>(1), 129–154. https://doi.org/10.1177/1350508420939245</w:t>
      </w:r>
    </w:p>
    <w:p w14:paraId="6810596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A., Zhao, X., Kamal, M. A., Riaz, A., &amp; Zheng, B. (2021). Exploring asymmetric relationship between Islamic banking development and economic growth in Pakistan: Fresh evidence from a non-linear ARDL approach.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(4), 6168–6187. https://doi.org/10.1002/ijfe.2115</w:t>
      </w:r>
    </w:p>
    <w:p w14:paraId="564241D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K., Ashfaque, M., Atiq, M., Khan, M., &amp; Hussain, A. (2023). Shariah capabilities and value propositions of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16</w:t>
      </w:r>
      <w:r w:rsidRPr="000900AD">
        <w:rPr>
          <w:rFonts w:cs="Calibri"/>
        </w:rPr>
        <w:t>(4), 701–715. https://doi.org/10.1108/IMEFM-12-2019-0518</w:t>
      </w:r>
    </w:p>
    <w:p w14:paraId="46E5DB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Umar, U. H., AbuBakar, M., Baita, A. J., Kademi, T. T., &amp; Haron, M. H. (2021). Do academic and professional institutions promote the awareness and knowledge of Islamic banking and finance in Nigeria? </w:t>
      </w:r>
      <w:r w:rsidRPr="000900AD">
        <w:rPr>
          <w:rFonts w:cs="Calibri"/>
          <w:i/>
          <w:iCs/>
        </w:rPr>
        <w:t>Journal of Islamic Accounting and Business Research</w:t>
      </w:r>
      <w:r w:rsidRPr="000900AD">
        <w:rPr>
          <w:rFonts w:cs="Calibri"/>
        </w:rPr>
        <w:t xml:space="preserve">, </w:t>
      </w:r>
      <w:r w:rsidRPr="000900AD">
        <w:rPr>
          <w:rFonts w:cs="Calibri"/>
          <w:i/>
          <w:iCs/>
        </w:rPr>
        <w:t>12</w:t>
      </w:r>
      <w:r w:rsidRPr="000900AD">
        <w:rPr>
          <w:rFonts w:cs="Calibri"/>
        </w:rPr>
        <w:t>(3), 401–417. https://doi.org/10.1108/JIABR-05-2020-0171</w:t>
      </w:r>
    </w:p>
    <w:p w14:paraId="7B13858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Yusuf, M., Dasawaty, E. S., Esra, M. A., Apriwenni, P., Meiden, C., &amp; Fahlevi, M. (2024). Integrated reporting, corporate governance, and financial sustainability in Islamic banking. </w:t>
      </w:r>
      <w:r w:rsidRPr="000900AD">
        <w:rPr>
          <w:rFonts w:cs="Calibri"/>
          <w:i/>
          <w:iCs/>
        </w:rPr>
        <w:t>Uncertain Supply Chain Management</w:t>
      </w:r>
      <w:r w:rsidRPr="000900AD">
        <w:rPr>
          <w:rFonts w:cs="Calibri"/>
        </w:rPr>
        <w:t xml:space="preserve">, </w:t>
      </w:r>
      <w:r w:rsidRPr="000900AD">
        <w:rPr>
          <w:rFonts w:cs="Calibri"/>
          <w:i/>
          <w:iCs/>
        </w:rPr>
        <w:t>12</w:t>
      </w:r>
      <w:r w:rsidRPr="000900AD">
        <w:rPr>
          <w:rFonts w:cs="Calibri"/>
        </w:rPr>
        <w:t>(1), 273–290. https://doi.org/10.5267/j.uscm.2023.9.022</w:t>
      </w:r>
    </w:p>
    <w:p w14:paraId="3C56DC31" w14:textId="7DB7DC7B" w:rsidR="006538D6" w:rsidRPr="00E810D4" w:rsidRDefault="00804B31" w:rsidP="008847ED">
      <w:pPr>
        <w:pStyle w:val="ListParagraph"/>
        <w:spacing w:before="120" w:after="120" w:line="240" w:lineRule="auto"/>
        <w:ind w:left="1276" w:right="-1" w:hanging="502"/>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E810D4" w:rsidSect="007816FC">
      <w:headerReference w:type="even" r:id="rId26"/>
      <w:headerReference w:type="default" r:id="rId27"/>
      <w:footerReference w:type="even" r:id="rId28"/>
      <w:footerReference w:type="default" r:id="rId29"/>
      <w:headerReference w:type="first" r:id="rId30"/>
      <w:footerReference w:type="first" r:id="rId31"/>
      <w:pgSz w:w="11907" w:h="16840" w:code="9"/>
      <w:pgMar w:top="1418" w:right="1418" w:bottom="1418" w:left="1418" w:header="720" w:footer="720"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r" w:date="2025-06-11T13:19:00Z" w:initials="r">
    <w:p w14:paraId="0911BD3D" w14:textId="3501ED1D" w:rsidR="008F621C" w:rsidRDefault="008F621C">
      <w:pPr>
        <w:pStyle w:val="CommentText"/>
      </w:pPr>
      <w:r>
        <w:rPr>
          <w:rStyle w:val="CommentReference"/>
        </w:rPr>
        <w:annotationRef/>
      </w:r>
      <w:r w:rsidRPr="008F621C">
        <w:t>It is unclear what regulatory aspects are being studied (is it sharia-compliance, capital adequacy, or governance?).</w:t>
      </w:r>
    </w:p>
  </w:comment>
  <w:comment w:id="1" w:author="r" w:date="2025-06-11T13:19:00Z" w:initials="r">
    <w:p w14:paraId="2D628657" w14:textId="02262BCB" w:rsidR="008F621C" w:rsidRDefault="008F621C">
      <w:pPr>
        <w:pStyle w:val="CommentText"/>
      </w:pPr>
      <w:r>
        <w:rPr>
          <w:rStyle w:val="CommentReference"/>
        </w:rPr>
        <w:annotationRef/>
      </w:r>
      <w:r w:rsidRPr="008F621C">
        <w:t>This study follows a systematic methodology based on the PRISMA framework. PRISMA is typically used for systematic reviews, not bibliometrics. If using PRISMA, explain its adaptation for bibliometrics.</w:t>
      </w:r>
    </w:p>
  </w:comment>
  <w:comment w:id="2" w:author="r" w:date="2025-06-11T13:19:00Z" w:initials="r">
    <w:p w14:paraId="4ABD6EF7" w14:textId="77777777" w:rsidR="008F621C" w:rsidRDefault="008F621C" w:rsidP="008F621C">
      <w:pPr>
        <w:pStyle w:val="CommentText"/>
      </w:pPr>
      <w:r>
        <w:rPr>
          <w:rStyle w:val="CommentReference"/>
        </w:rPr>
        <w:annotationRef/>
      </w:r>
      <w:r>
        <w:t>Too normative. Emphasize empirical findings instead, for example:</w:t>
      </w:r>
    </w:p>
    <w:p w14:paraId="6644613D" w14:textId="6056CD33" w:rsidR="008F621C" w:rsidRDefault="008F621C" w:rsidP="008F621C">
      <w:pPr>
        <w:pStyle w:val="CommentText"/>
      </w:pPr>
      <w:r>
        <w:t>"The study found that Basel III (X%) research was dominant over Basel IV (Y%), indicating a lack of discussion on the adaptation of the latest standards."</w:t>
      </w:r>
    </w:p>
  </w:comment>
  <w:comment w:id="3" w:author="r" w:date="2025-06-11T13:19:00Z" w:initials="r">
    <w:p w14:paraId="2E28CC38" w14:textId="052A8474" w:rsidR="008F621C" w:rsidRDefault="008F621C">
      <w:pPr>
        <w:pStyle w:val="CommentText"/>
      </w:pPr>
      <w:r>
        <w:rPr>
          <w:rStyle w:val="CommentReference"/>
        </w:rPr>
        <w:annotationRef/>
      </w:r>
      <w:r w:rsidRPr="008F621C">
        <w:t>The presentation of findings is not long enough, here you only write in one sentence. The rest you explain the impact, or research recommendations. Use numbers/data (number of articles, annual trends, etc.) to strengthen the findings.</w:t>
      </w:r>
    </w:p>
  </w:comment>
  <w:comment w:id="4" w:author="r" w:date="2025-06-11T13:20:00Z" w:initials="r">
    <w:p w14:paraId="2839BEC2" w14:textId="33767891" w:rsidR="008F621C" w:rsidRDefault="008F621C">
      <w:pPr>
        <w:pStyle w:val="CommentText"/>
      </w:pPr>
      <w:r>
        <w:rPr>
          <w:rStyle w:val="CommentReference"/>
        </w:rPr>
        <w:annotationRef/>
      </w:r>
      <w:r w:rsidRPr="008F621C">
        <w:t xml:space="preserve">The opening paragraph is too general, </w:t>
      </w:r>
      <w:proofErr w:type="gramStart"/>
      <w:r w:rsidRPr="008F621C">
        <w:t>Add</w:t>
      </w:r>
      <w:proofErr w:type="gramEnd"/>
      <w:r w:rsidRPr="008F621C">
        <w:t xml:space="preserve"> specific reasons why this topic is important today. The explanation of the impact of the Basel Accord is not critical enough.</w:t>
      </w:r>
    </w:p>
  </w:comment>
  <w:comment w:id="5" w:author="r" w:date="2025-06-11T13:20:00Z" w:initials="r">
    <w:p w14:paraId="36CA28EE" w14:textId="7D568762" w:rsidR="008F621C" w:rsidRDefault="008F621C">
      <w:pPr>
        <w:pStyle w:val="CommentText"/>
      </w:pPr>
      <w:r>
        <w:rPr>
          <w:rStyle w:val="CommentReference"/>
        </w:rPr>
        <w:annotationRef/>
      </w:r>
      <w:r w:rsidRPr="008F621C">
        <w:t>A brief explanation of the Basel Accords (e.g., its goals in global banking stability) is needed for the context of less familiar readers.</w:t>
      </w:r>
    </w:p>
  </w:comment>
  <w:comment w:id="6" w:author="r" w:date="2025-06-11T13:20:00Z" w:initials="r">
    <w:p w14:paraId="67B21EF5" w14:textId="7419C097" w:rsidR="008F621C" w:rsidRDefault="008F621C">
      <w:pPr>
        <w:pStyle w:val="CommentText"/>
      </w:pPr>
      <w:r>
        <w:rPr>
          <w:rStyle w:val="CommentReference"/>
        </w:rPr>
        <w:annotationRef/>
      </w:r>
      <w:r w:rsidRPr="008F621C">
        <w:t>Don't talk about methods in the introduction, this section just focuses on the background, theoretical studies and previous research.</w:t>
      </w:r>
    </w:p>
  </w:comment>
  <w:comment w:id="7" w:author="r" w:date="2025-06-11T13:20:00Z" w:initials="r">
    <w:p w14:paraId="7B339402" w14:textId="04ED4614" w:rsidR="008F621C" w:rsidRDefault="008F621C">
      <w:pPr>
        <w:pStyle w:val="CommentText"/>
      </w:pPr>
      <w:r>
        <w:rPr>
          <w:rStyle w:val="CommentReference"/>
        </w:rPr>
        <w:annotationRef/>
      </w:r>
      <w:r w:rsidRPr="008F621C">
        <w:t>discuss the impact of English exclusion (e.g., potential neglect of relevant research in Arabic/Malay).</w:t>
      </w:r>
    </w:p>
  </w:comment>
  <w:comment w:id="8" w:author="r" w:date="2025-06-11T13:20:00Z" w:initials="r">
    <w:p w14:paraId="024F7561" w14:textId="499638C9" w:rsidR="008F621C" w:rsidRDefault="008F621C">
      <w:pPr>
        <w:pStyle w:val="CommentText"/>
      </w:pPr>
      <w:r>
        <w:rPr>
          <w:rStyle w:val="CommentReference"/>
        </w:rPr>
        <w:annotationRef/>
      </w:r>
      <w:r w:rsidRPr="008F621C">
        <w:t>Provide examples of specific exclusion criteria (e.g., studies that only discuss Basel without any relevance to Sharia, or vice versa). Was the selection done manually or using tools such as EndNote? If manually, indicate the number of researchers involved to reduce bias.</w:t>
      </w:r>
    </w:p>
  </w:comment>
  <w:comment w:id="9" w:author="r" w:date="2025-06-11T13:21:00Z" w:initials="r">
    <w:p w14:paraId="30B84BBB" w14:textId="4F94A514" w:rsidR="008F621C" w:rsidRDefault="008F621C">
      <w:pPr>
        <w:pStyle w:val="CommentText"/>
      </w:pPr>
      <w:r>
        <w:rPr>
          <w:rStyle w:val="CommentReference"/>
        </w:rPr>
        <w:annotationRef/>
      </w:r>
      <w:r w:rsidRPr="008F621C">
        <w:t xml:space="preserve">Please specify the version of </w:t>
      </w:r>
      <w:proofErr w:type="spellStart"/>
      <w:r w:rsidRPr="008F621C">
        <w:t>VOSviewer</w:t>
      </w:r>
      <w:proofErr w:type="spellEnd"/>
      <w:r w:rsidRPr="008F621C">
        <w:t xml:space="preserve"> or R </w:t>
      </w:r>
      <w:proofErr w:type="spellStart"/>
      <w:r w:rsidRPr="008F621C">
        <w:t>Bibliometrix</w:t>
      </w:r>
      <w:proofErr w:type="spellEnd"/>
      <w:r w:rsidRPr="008F621C">
        <w:t xml:space="preserve"> used and the network parameters (e.g., minimum citations, cluster analysis). Does the analysis include metrics such as citation count, h-index, or </w:t>
      </w:r>
      <w:proofErr w:type="spellStart"/>
      <w:r w:rsidRPr="008F621C">
        <w:t>altmetrics</w:t>
      </w:r>
      <w:proofErr w:type="spellEnd"/>
      <w:r w:rsidRPr="008F621C">
        <w:t>? If not, omitting these may be a limitation.</w:t>
      </w:r>
    </w:p>
  </w:comment>
  <w:comment w:id="14" w:author="r" w:date="2025-06-11T13:21:00Z" w:initials="r">
    <w:p w14:paraId="7600B579" w14:textId="79DA4BD4" w:rsidR="008F621C" w:rsidRDefault="008F621C">
      <w:pPr>
        <w:pStyle w:val="CommentText"/>
      </w:pPr>
      <w:r>
        <w:rPr>
          <w:rStyle w:val="CommentReference"/>
        </w:rPr>
        <w:annotationRef/>
      </w:r>
      <w:r w:rsidRPr="008F621C">
        <w:t>State explicitly what the blue represents (is it just growth or absolute numbers?). If there is no decline (orange), why mention it?</w:t>
      </w:r>
    </w:p>
  </w:comment>
  <w:comment w:id="15" w:author="r" w:date="2025-06-11T13:21:00Z" w:initials="r">
    <w:p w14:paraId="0DA3CA38" w14:textId="6E7BBF04" w:rsidR="008F621C" w:rsidRDefault="008F621C">
      <w:pPr>
        <w:pStyle w:val="CommentText"/>
      </w:pPr>
      <w:r>
        <w:rPr>
          <w:rStyle w:val="CommentReference"/>
        </w:rPr>
        <w:annotationRef/>
      </w:r>
      <w:r w:rsidRPr="008F621C">
        <w:t>Compare that to other research fields—is 65 publications considered low for a multidisciplinary theme like this?</w:t>
      </w:r>
    </w:p>
  </w:comment>
  <w:comment w:id="16" w:author="r" w:date="2025-06-11T13:21:00Z" w:initials="r">
    <w:p w14:paraId="262C54BC" w14:textId="410ED4C8" w:rsidR="008F621C" w:rsidRDefault="008F621C">
      <w:pPr>
        <w:pStyle w:val="CommentText"/>
      </w:pPr>
      <w:r>
        <w:rPr>
          <w:rStyle w:val="CommentReference"/>
        </w:rPr>
        <w:annotationRef/>
      </w:r>
      <w:r w:rsidRPr="008F621C">
        <w:t>The naming of the image is not the image of the author or data processing, but the image of what, what is the image talking about?</w:t>
      </w:r>
    </w:p>
  </w:comment>
  <w:comment w:id="17" w:author="r" w:date="2025-06-11T13:21:00Z" w:initials="r">
    <w:p w14:paraId="6110479C" w14:textId="038898DA" w:rsidR="008F621C" w:rsidRDefault="008F621C">
      <w:pPr>
        <w:pStyle w:val="CommentText"/>
      </w:pPr>
      <w:r>
        <w:rPr>
          <w:rStyle w:val="CommentReference"/>
        </w:rPr>
        <w:annotationRef/>
      </w:r>
      <w:r w:rsidRPr="008F621C">
        <w:t>Include a table listing dominant topics per cluster (e.g., yellow cluster = Basel III + Islamic fintech).</w:t>
      </w:r>
    </w:p>
  </w:comment>
  <w:comment w:id="19" w:author="r" w:date="2025-06-11T13:22:00Z" w:initials="r">
    <w:p w14:paraId="3C7B2E6A" w14:textId="4F273732" w:rsidR="008F621C" w:rsidRDefault="008F621C">
      <w:pPr>
        <w:pStyle w:val="CommentText"/>
      </w:pPr>
      <w:r>
        <w:rPr>
          <w:rStyle w:val="CommentReference"/>
        </w:rPr>
        <w:annotationRef/>
      </w:r>
      <w:r w:rsidRPr="008F621C">
        <w:t>Explain whether the increase in publications in 2020–2022 is directly related to Basel III or other factors. State which Basel III rules (e.g., LCR, NSFR) have received the most scrutiny and why.</w:t>
      </w:r>
    </w:p>
  </w:comment>
  <w:comment w:id="20" w:author="r" w:date="2025-06-11T13:22:00Z" w:initials="r">
    <w:p w14:paraId="727667A9" w14:textId="4F25FCF4" w:rsidR="008F621C" w:rsidRDefault="008F621C">
      <w:pPr>
        <w:pStyle w:val="CommentText"/>
      </w:pPr>
      <w:r>
        <w:rPr>
          <w:rStyle w:val="CommentReference"/>
        </w:rPr>
        <w:annotationRef/>
      </w:r>
      <w:r w:rsidRPr="008F621C">
        <w:t>Explain why these findings are important to central banks, academics, or sharia practitioners.</w:t>
      </w:r>
    </w:p>
  </w:comment>
  <w:comment w:id="21" w:author="r" w:date="2025-06-11T13:22:00Z" w:initials="r">
    <w:p w14:paraId="11B0B62E" w14:textId="3B0B7E1B" w:rsidR="008F621C" w:rsidRDefault="008F621C">
      <w:pPr>
        <w:pStyle w:val="CommentText"/>
      </w:pPr>
      <w:r>
        <w:rPr>
          <w:rStyle w:val="CommentReference"/>
        </w:rPr>
        <w:annotationRef/>
      </w:r>
      <w:r w:rsidRPr="008F621C">
        <w:t>State a percentage increase figure (e.g., “40% increase since 2015”) to support the claim.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911BD3D" w15:done="0"/>
  <w15:commentEx w15:paraId="2D628657" w15:done="0"/>
  <w15:commentEx w15:paraId="6644613D" w15:done="0"/>
  <w15:commentEx w15:paraId="2E28CC38" w15:done="0"/>
  <w15:commentEx w15:paraId="2839BEC2" w15:done="0"/>
  <w15:commentEx w15:paraId="36CA28EE" w15:done="0"/>
  <w15:commentEx w15:paraId="67B21EF5" w15:done="0"/>
  <w15:commentEx w15:paraId="7B339402" w15:done="0"/>
  <w15:commentEx w15:paraId="024F7561" w15:done="0"/>
  <w15:commentEx w15:paraId="30B84BBB" w15:done="0"/>
  <w15:commentEx w15:paraId="7600B579" w15:done="0"/>
  <w15:commentEx w15:paraId="0DA3CA38" w15:done="0"/>
  <w15:commentEx w15:paraId="262C54BC" w15:done="0"/>
  <w15:commentEx w15:paraId="6110479C" w15:done="0"/>
  <w15:commentEx w15:paraId="3C7B2E6A" w15:done="0"/>
  <w15:commentEx w15:paraId="727667A9" w15:done="0"/>
  <w15:commentEx w15:paraId="11B0B6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65C2E12" w16cex:dateUtc="2025-06-11T06:19:00Z"/>
  <w16cex:commentExtensible w16cex:durableId="3083DCD9" w16cex:dateUtc="2025-06-11T06:19:00Z"/>
  <w16cex:commentExtensible w16cex:durableId="355F5F56" w16cex:dateUtc="2025-06-11T06:19:00Z"/>
  <w16cex:commentExtensible w16cex:durableId="5ADD3E72" w16cex:dateUtc="2025-06-11T06:19:00Z"/>
  <w16cex:commentExtensible w16cex:durableId="4AC3B767" w16cex:dateUtc="2025-06-11T06:20:00Z"/>
  <w16cex:commentExtensible w16cex:durableId="7691C663" w16cex:dateUtc="2025-06-11T06:20:00Z"/>
  <w16cex:commentExtensible w16cex:durableId="599C65D9" w16cex:dateUtc="2025-06-11T06:20:00Z"/>
  <w16cex:commentExtensible w16cex:durableId="02090259" w16cex:dateUtc="2025-06-11T06:20:00Z"/>
  <w16cex:commentExtensible w16cex:durableId="0267CD66" w16cex:dateUtc="2025-06-11T06:20:00Z"/>
  <w16cex:commentExtensible w16cex:durableId="68571BFD" w16cex:dateUtc="2025-06-11T06:21:00Z"/>
  <w16cex:commentExtensible w16cex:durableId="20D45DB7" w16cex:dateUtc="2025-06-11T06:21:00Z"/>
  <w16cex:commentExtensible w16cex:durableId="1F82499F" w16cex:dateUtc="2025-06-11T06:21:00Z"/>
  <w16cex:commentExtensible w16cex:durableId="7D4E2B19" w16cex:dateUtc="2025-06-11T06:21:00Z"/>
  <w16cex:commentExtensible w16cex:durableId="776E19AB" w16cex:dateUtc="2025-06-11T06:21:00Z"/>
  <w16cex:commentExtensible w16cex:durableId="3E9807DB" w16cex:dateUtc="2025-06-11T06:22:00Z"/>
  <w16cex:commentExtensible w16cex:durableId="7F6BB51C" w16cex:dateUtc="2025-06-11T06:22:00Z"/>
  <w16cex:commentExtensible w16cex:durableId="4D145187" w16cex:dateUtc="2025-06-11T06: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911BD3D" w16cid:durableId="665C2E12"/>
  <w16cid:commentId w16cid:paraId="2D628657" w16cid:durableId="3083DCD9"/>
  <w16cid:commentId w16cid:paraId="6644613D" w16cid:durableId="355F5F56"/>
  <w16cid:commentId w16cid:paraId="2E28CC38" w16cid:durableId="5ADD3E72"/>
  <w16cid:commentId w16cid:paraId="2839BEC2" w16cid:durableId="4AC3B767"/>
  <w16cid:commentId w16cid:paraId="36CA28EE" w16cid:durableId="7691C663"/>
  <w16cid:commentId w16cid:paraId="67B21EF5" w16cid:durableId="599C65D9"/>
  <w16cid:commentId w16cid:paraId="7B339402" w16cid:durableId="02090259"/>
  <w16cid:commentId w16cid:paraId="024F7561" w16cid:durableId="0267CD66"/>
  <w16cid:commentId w16cid:paraId="30B84BBB" w16cid:durableId="68571BFD"/>
  <w16cid:commentId w16cid:paraId="7600B579" w16cid:durableId="20D45DB7"/>
  <w16cid:commentId w16cid:paraId="0DA3CA38" w16cid:durableId="1F82499F"/>
  <w16cid:commentId w16cid:paraId="262C54BC" w16cid:durableId="7D4E2B19"/>
  <w16cid:commentId w16cid:paraId="6110479C" w16cid:durableId="776E19AB"/>
  <w16cid:commentId w16cid:paraId="3C7B2E6A" w16cid:durableId="3E9807DB"/>
  <w16cid:commentId w16cid:paraId="727667A9" w16cid:durableId="7F6BB51C"/>
  <w16cid:commentId w16cid:paraId="11B0B62E" w16cid:durableId="4D14518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D60802" w14:textId="77777777" w:rsidR="00BD1A3E" w:rsidRDefault="00BD1A3E">
      <w:r>
        <w:separator/>
      </w:r>
    </w:p>
  </w:endnote>
  <w:endnote w:type="continuationSeparator" w:id="0">
    <w:p w14:paraId="21096A50" w14:textId="77777777" w:rsidR="00BD1A3E" w:rsidRDefault="00BD1A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739E8C" w14:textId="0DB08A09" w:rsidR="00122F5F" w:rsidRPr="00540F02" w:rsidRDefault="005742A6"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A8E2A0A" wp14:editId="019008DC">
              <wp:simplePos x="0" y="0"/>
              <wp:positionH relativeFrom="column">
                <wp:posOffset>5151755</wp:posOffset>
              </wp:positionH>
              <wp:positionV relativeFrom="paragraph">
                <wp:posOffset>-64770</wp:posOffset>
              </wp:positionV>
              <wp:extent cx="619760" cy="278130"/>
              <wp:effectExtent l="13335" t="7620" r="5080" b="9525"/>
              <wp:wrapNone/>
              <wp:docPr id="74424113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E2A0A" id="Rectangle 7" o:spid="_x0000_s1045"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5996402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BFFC6F" w14:textId="48FD8C49" w:rsidR="0008220C" w:rsidRPr="00540F02" w:rsidRDefault="005742A6"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1AEFABBC" wp14:editId="741AF388">
              <wp:simplePos x="0" y="0"/>
              <wp:positionH relativeFrom="column">
                <wp:posOffset>5151755</wp:posOffset>
              </wp:positionH>
              <wp:positionV relativeFrom="paragraph">
                <wp:posOffset>-64770</wp:posOffset>
              </wp:positionV>
              <wp:extent cx="619760" cy="278130"/>
              <wp:effectExtent l="13335" t="7620" r="5080" b="9525"/>
              <wp:wrapNone/>
              <wp:docPr id="77496678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FABBC" id="_x0000_s1046"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2A44180D"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05028D" w14:textId="11B9FBCA" w:rsidR="00965E3F" w:rsidRPr="0008220C" w:rsidRDefault="005742A6"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63D54A80" wp14:editId="18DA8200">
              <wp:simplePos x="0" y="0"/>
              <wp:positionH relativeFrom="column">
                <wp:posOffset>5151755</wp:posOffset>
              </wp:positionH>
              <wp:positionV relativeFrom="paragraph">
                <wp:posOffset>-64770</wp:posOffset>
              </wp:positionV>
              <wp:extent cx="619760" cy="278130"/>
              <wp:effectExtent l="13335" t="7620" r="5080" b="9525"/>
              <wp:wrapNone/>
              <wp:docPr id="54830162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54A80" id="Rectangle 12" o:spid="_x0000_s1050"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033FA3F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F485D1" w14:textId="77777777" w:rsidR="00BD1A3E" w:rsidRDefault="00BD1A3E">
      <w:r>
        <w:separator/>
      </w:r>
    </w:p>
  </w:footnote>
  <w:footnote w:type="continuationSeparator" w:id="0">
    <w:p w14:paraId="6C739013" w14:textId="77777777" w:rsidR="00BD1A3E" w:rsidRDefault="00BD1A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F532E3" w14:textId="5BD93A2C" w:rsidR="00122F5F" w:rsidRDefault="005742A6" w:rsidP="00122F5F">
    <w:pPr>
      <w:pStyle w:val="Header"/>
    </w:pPr>
    <w:r>
      <w:rPr>
        <w:noProof/>
      </w:rPr>
      <mc:AlternateContent>
        <mc:Choice Requires="wps">
          <w:drawing>
            <wp:anchor distT="0" distB="0" distL="114300" distR="114300" simplePos="0" relativeHeight="251656192" behindDoc="1" locked="0" layoutInCell="1" allowOverlap="1" wp14:anchorId="3818EDB0" wp14:editId="73DF62AB">
              <wp:simplePos x="0" y="0"/>
              <wp:positionH relativeFrom="page">
                <wp:posOffset>962025</wp:posOffset>
              </wp:positionH>
              <wp:positionV relativeFrom="page">
                <wp:posOffset>947420</wp:posOffset>
              </wp:positionV>
              <wp:extent cx="1998980" cy="229870"/>
              <wp:effectExtent l="0" t="4445" r="1270" b="3810"/>
              <wp:wrapNone/>
              <wp:docPr id="116642325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18EDB0" id="_x0000_t202" coordsize="21600,21600" o:spt="202" path="m,l,21600r21600,l21600,xe">
              <v:stroke joinstyle="miter"/>
              <v:path gradientshapeok="t" o:connecttype="rect"/>
            </v:shapetype>
            <v:shape id="Text Box 1" o:spid="_x0000_s1039"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F6338ED" wp14:editId="358829CC">
              <wp:simplePos x="0" y="0"/>
              <wp:positionH relativeFrom="page">
                <wp:posOffset>6497955</wp:posOffset>
              </wp:positionH>
              <wp:positionV relativeFrom="page">
                <wp:posOffset>445135</wp:posOffset>
              </wp:positionV>
              <wp:extent cx="231775" cy="177800"/>
              <wp:effectExtent l="1905" t="0" r="4445" b="0"/>
              <wp:wrapNone/>
              <wp:docPr id="1995149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6338ED" id="Text Box 2" o:spid="_x0000_s1040"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0C8BBA96" wp14:editId="5EA7D5CA">
              <wp:simplePos x="0" y="0"/>
              <wp:positionH relativeFrom="page">
                <wp:posOffset>3143250</wp:posOffset>
              </wp:positionH>
              <wp:positionV relativeFrom="page">
                <wp:posOffset>784860</wp:posOffset>
              </wp:positionV>
              <wp:extent cx="3523615" cy="416560"/>
              <wp:effectExtent l="0" t="3810" r="635" b="0"/>
              <wp:wrapNone/>
              <wp:docPr id="21704940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8BBA96" id="Text Box 3" o:spid="_x0000_s1041"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6781C1D7" wp14:editId="11AE7C6B">
          <wp:extent cx="1099185" cy="501015"/>
          <wp:effectExtent l="0" t="0" r="0" b="0"/>
          <wp:docPr id="17082772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6ADD042" w14:textId="77777777" w:rsidR="00122F5F" w:rsidRDefault="00122F5F" w:rsidP="00122F5F">
    <w:pPr>
      <w:pStyle w:val="Header"/>
      <w:rPr>
        <w:sz w:val="16"/>
        <w:szCs w:val="16"/>
      </w:rPr>
    </w:pPr>
  </w:p>
  <w:p w14:paraId="451B4ABF" w14:textId="77777777" w:rsidR="00AA4AE4" w:rsidRDefault="00AA4AE4" w:rsidP="00122F5F">
    <w:pPr>
      <w:pStyle w:val="Header"/>
      <w:rPr>
        <w:sz w:val="16"/>
        <w:szCs w:val="16"/>
      </w:rPr>
    </w:pPr>
  </w:p>
  <w:p w14:paraId="430F58E7"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FC2CCE" w14:textId="0F2CD7FB" w:rsidR="00540F02" w:rsidRDefault="005742A6" w:rsidP="00540F02">
    <w:pPr>
      <w:pStyle w:val="Header"/>
    </w:pPr>
    <w:r>
      <w:rPr>
        <w:noProof/>
      </w:rPr>
      <mc:AlternateContent>
        <mc:Choice Requires="wps">
          <w:drawing>
            <wp:anchor distT="0" distB="0" distL="114300" distR="114300" simplePos="0" relativeHeight="251658240" behindDoc="1" locked="0" layoutInCell="1" allowOverlap="1" wp14:anchorId="77F63B88" wp14:editId="71135EE8">
              <wp:simplePos x="0" y="0"/>
              <wp:positionH relativeFrom="page">
                <wp:posOffset>962025</wp:posOffset>
              </wp:positionH>
              <wp:positionV relativeFrom="page">
                <wp:posOffset>947420</wp:posOffset>
              </wp:positionV>
              <wp:extent cx="1998980" cy="229870"/>
              <wp:effectExtent l="0" t="4445" r="1270" b="3810"/>
              <wp:wrapNone/>
              <wp:docPr id="3063815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63B88" id="_x0000_t202" coordsize="21600,21600" o:spt="202" path="m,l,21600r21600,l21600,xe">
              <v:stroke joinstyle="miter"/>
              <v:path gradientshapeok="t" o:connecttype="rect"/>
            </v:shapetype>
            <v:shape id="Text Box 4" o:spid="_x0000_s1042"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C56B5DC" wp14:editId="3D0F1F6F">
              <wp:simplePos x="0" y="0"/>
              <wp:positionH relativeFrom="page">
                <wp:posOffset>6464300</wp:posOffset>
              </wp:positionH>
              <wp:positionV relativeFrom="page">
                <wp:posOffset>467360</wp:posOffset>
              </wp:positionV>
              <wp:extent cx="231775" cy="177800"/>
              <wp:effectExtent l="0" t="635" r="0" b="2540"/>
              <wp:wrapNone/>
              <wp:docPr id="22309424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6B5DC" id="Text Box 5" o:spid="_x0000_s1043"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58B90A9" wp14:editId="6B389420">
              <wp:simplePos x="0" y="0"/>
              <wp:positionH relativeFrom="page">
                <wp:posOffset>3143250</wp:posOffset>
              </wp:positionH>
              <wp:positionV relativeFrom="page">
                <wp:posOffset>784860</wp:posOffset>
              </wp:positionV>
              <wp:extent cx="3523615" cy="416560"/>
              <wp:effectExtent l="0" t="3810" r="635" b="0"/>
              <wp:wrapNone/>
              <wp:docPr id="143997817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B90A9" id="Text Box 6" o:spid="_x0000_s1044"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6399822" wp14:editId="31D6F47E">
          <wp:extent cx="1099185" cy="501015"/>
          <wp:effectExtent l="0" t="0" r="0" b="0"/>
          <wp:docPr id="72899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274F9D73" w14:textId="77777777" w:rsidR="00540F02" w:rsidRDefault="00540F02" w:rsidP="00540F02">
    <w:pPr>
      <w:pStyle w:val="Header"/>
      <w:rPr>
        <w:sz w:val="16"/>
        <w:szCs w:val="16"/>
      </w:rPr>
    </w:pPr>
  </w:p>
  <w:p w14:paraId="34580A9D" w14:textId="77777777" w:rsidR="00540F02" w:rsidRDefault="00540F02" w:rsidP="00540F02">
    <w:pPr>
      <w:pStyle w:val="Header"/>
      <w:rPr>
        <w:sz w:val="16"/>
        <w:szCs w:val="16"/>
      </w:rPr>
    </w:pPr>
  </w:p>
  <w:p w14:paraId="309BE79A"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BA8AB" w14:textId="7C161386" w:rsidR="00FF1D30" w:rsidRDefault="005742A6">
    <w:pPr>
      <w:pStyle w:val="Header"/>
    </w:pPr>
    <w:r>
      <w:rPr>
        <w:noProof/>
      </w:rPr>
      <mc:AlternateContent>
        <mc:Choice Requires="wps">
          <w:drawing>
            <wp:anchor distT="0" distB="0" distL="114300" distR="114300" simplePos="0" relativeHeight="251652096" behindDoc="1" locked="0" layoutInCell="1" allowOverlap="1" wp14:anchorId="779C0690" wp14:editId="0E8E1707">
              <wp:simplePos x="0" y="0"/>
              <wp:positionH relativeFrom="page">
                <wp:posOffset>942975</wp:posOffset>
              </wp:positionH>
              <wp:positionV relativeFrom="page">
                <wp:posOffset>947420</wp:posOffset>
              </wp:positionV>
              <wp:extent cx="1998980" cy="229870"/>
              <wp:effectExtent l="0" t="4445" r="1270" b="3810"/>
              <wp:wrapNone/>
              <wp:docPr id="16250994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9C0690" id="_x0000_t202" coordsize="21600,21600" o:spt="202" path="m,l,21600r21600,l21600,xe">
              <v:stroke joinstyle="miter"/>
              <v:path gradientshapeok="t" o:connecttype="rect"/>
            </v:shapetype>
            <v:shape id="Text Box 9" o:spid="_x0000_s1047"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37B4B627" wp14:editId="75A34832">
              <wp:simplePos x="0" y="0"/>
              <wp:positionH relativeFrom="page">
                <wp:posOffset>6464300</wp:posOffset>
              </wp:positionH>
              <wp:positionV relativeFrom="page">
                <wp:posOffset>439420</wp:posOffset>
              </wp:positionV>
              <wp:extent cx="231775" cy="177800"/>
              <wp:effectExtent l="0" t="1270" r="0" b="1905"/>
              <wp:wrapNone/>
              <wp:docPr id="82203146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4B627" id="Text Box 10" o:spid="_x0000_s1048"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2ABCC91D" wp14:editId="35EBF4C7">
              <wp:simplePos x="0" y="0"/>
              <wp:positionH relativeFrom="page">
                <wp:posOffset>3143250</wp:posOffset>
              </wp:positionH>
              <wp:positionV relativeFrom="page">
                <wp:posOffset>784860</wp:posOffset>
              </wp:positionV>
              <wp:extent cx="3516630" cy="416560"/>
              <wp:effectExtent l="0" t="3810" r="0" b="0"/>
              <wp:wrapNone/>
              <wp:docPr id="21268047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BCC91D" id="Text Box 11" o:spid="_x0000_s1049"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277C3A4C" wp14:editId="1929EA41">
          <wp:extent cx="1099185" cy="501015"/>
          <wp:effectExtent l="0" t="0" r="0" b="0"/>
          <wp:docPr id="121095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DB29F68" w14:textId="77777777" w:rsidR="00FF1D30" w:rsidRDefault="00FF1D30">
    <w:pPr>
      <w:pStyle w:val="Header"/>
      <w:rPr>
        <w:sz w:val="16"/>
        <w:szCs w:val="16"/>
      </w:rPr>
    </w:pPr>
  </w:p>
  <w:p w14:paraId="089A3938" w14:textId="77777777" w:rsidR="00FF1D30" w:rsidRDefault="00FF1D30">
    <w:pPr>
      <w:pStyle w:val="Header"/>
      <w:rPr>
        <w:sz w:val="16"/>
        <w:szCs w:val="16"/>
      </w:rPr>
    </w:pPr>
  </w:p>
  <w:p w14:paraId="1F91C40E"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96F0B11"/>
    <w:multiLevelType w:val="hybridMultilevel"/>
    <w:tmpl w:val="7E4CAE7E"/>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1"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2" w15:restartNumberingAfterBreak="0">
    <w:nsid w:val="1F0401F9"/>
    <w:multiLevelType w:val="hybridMultilevel"/>
    <w:tmpl w:val="DBBC6596"/>
    <w:lvl w:ilvl="0" w:tplc="ED406B02">
      <w:start w:val="1"/>
      <w:numFmt w:val="decimal"/>
      <w:lvlText w:val="[%1]"/>
      <w:lvlJc w:val="left"/>
      <w:pPr>
        <w:ind w:left="1070" w:hanging="360"/>
      </w:pPr>
      <w:rPr>
        <w:rFonts w:hint="default"/>
      </w:rPr>
    </w:lvl>
    <w:lvl w:ilvl="1" w:tplc="38090019" w:tentative="1">
      <w:start w:val="1"/>
      <w:numFmt w:val="lowerLetter"/>
      <w:lvlText w:val="%2."/>
      <w:lvlJc w:val="left"/>
      <w:pPr>
        <w:ind w:left="1790" w:hanging="360"/>
      </w:pPr>
    </w:lvl>
    <w:lvl w:ilvl="2" w:tplc="3809001B" w:tentative="1">
      <w:start w:val="1"/>
      <w:numFmt w:val="lowerRoman"/>
      <w:lvlText w:val="%3."/>
      <w:lvlJc w:val="right"/>
      <w:pPr>
        <w:ind w:left="2510" w:hanging="180"/>
      </w:pPr>
    </w:lvl>
    <w:lvl w:ilvl="3" w:tplc="3809000F" w:tentative="1">
      <w:start w:val="1"/>
      <w:numFmt w:val="decimal"/>
      <w:lvlText w:val="%4."/>
      <w:lvlJc w:val="left"/>
      <w:pPr>
        <w:ind w:left="3230" w:hanging="360"/>
      </w:pPr>
    </w:lvl>
    <w:lvl w:ilvl="4" w:tplc="38090019" w:tentative="1">
      <w:start w:val="1"/>
      <w:numFmt w:val="lowerLetter"/>
      <w:lvlText w:val="%5."/>
      <w:lvlJc w:val="left"/>
      <w:pPr>
        <w:ind w:left="3950" w:hanging="360"/>
      </w:pPr>
    </w:lvl>
    <w:lvl w:ilvl="5" w:tplc="3809001B" w:tentative="1">
      <w:start w:val="1"/>
      <w:numFmt w:val="lowerRoman"/>
      <w:lvlText w:val="%6."/>
      <w:lvlJc w:val="right"/>
      <w:pPr>
        <w:ind w:left="4670" w:hanging="180"/>
      </w:pPr>
    </w:lvl>
    <w:lvl w:ilvl="6" w:tplc="3809000F" w:tentative="1">
      <w:start w:val="1"/>
      <w:numFmt w:val="decimal"/>
      <w:lvlText w:val="%7."/>
      <w:lvlJc w:val="left"/>
      <w:pPr>
        <w:ind w:left="5390" w:hanging="360"/>
      </w:pPr>
    </w:lvl>
    <w:lvl w:ilvl="7" w:tplc="38090019" w:tentative="1">
      <w:start w:val="1"/>
      <w:numFmt w:val="lowerLetter"/>
      <w:lvlText w:val="%8."/>
      <w:lvlJc w:val="left"/>
      <w:pPr>
        <w:ind w:left="6110" w:hanging="360"/>
      </w:pPr>
    </w:lvl>
    <w:lvl w:ilvl="8" w:tplc="3809001B" w:tentative="1">
      <w:start w:val="1"/>
      <w:numFmt w:val="lowerRoman"/>
      <w:lvlText w:val="%9."/>
      <w:lvlJc w:val="right"/>
      <w:pPr>
        <w:ind w:left="6830" w:hanging="180"/>
      </w:p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6"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7"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8" w15:restartNumberingAfterBreak="0">
    <w:nsid w:val="3A910A7D"/>
    <w:multiLevelType w:val="hybridMultilevel"/>
    <w:tmpl w:val="FFFFFFFF"/>
    <w:lvl w:ilvl="0" w:tplc="FFFFFFF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2EC5E81"/>
    <w:multiLevelType w:val="hybridMultilevel"/>
    <w:tmpl w:val="834EBF32"/>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5"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6"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7"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8"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9"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2"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2073262972">
    <w:abstractNumId w:val="16"/>
  </w:num>
  <w:num w:numId="2" w16cid:durableId="485970993">
    <w:abstractNumId w:val="9"/>
  </w:num>
  <w:num w:numId="3" w16cid:durableId="410200282">
    <w:abstractNumId w:val="10"/>
  </w:num>
  <w:num w:numId="4" w16cid:durableId="2137285493">
    <w:abstractNumId w:val="26"/>
  </w:num>
  <w:num w:numId="5" w16cid:durableId="1019962932">
    <w:abstractNumId w:val="25"/>
  </w:num>
  <w:num w:numId="6" w16cid:durableId="370957493">
    <w:abstractNumId w:val="24"/>
  </w:num>
  <w:num w:numId="7" w16cid:durableId="1162768867">
    <w:abstractNumId w:val="31"/>
  </w:num>
  <w:num w:numId="8" w16cid:durableId="1438022640">
    <w:abstractNumId w:val="17"/>
  </w:num>
  <w:num w:numId="9" w16cid:durableId="2006592035">
    <w:abstractNumId w:val="27"/>
  </w:num>
  <w:num w:numId="10" w16cid:durableId="1061251243">
    <w:abstractNumId w:val="28"/>
  </w:num>
  <w:num w:numId="11" w16cid:durableId="967396715">
    <w:abstractNumId w:val="13"/>
  </w:num>
  <w:num w:numId="12" w16cid:durableId="1171063890">
    <w:abstractNumId w:val="21"/>
  </w:num>
  <w:num w:numId="13" w16cid:durableId="1903101194">
    <w:abstractNumId w:val="7"/>
  </w:num>
  <w:num w:numId="14" w16cid:durableId="210653759">
    <w:abstractNumId w:val="0"/>
  </w:num>
  <w:num w:numId="15" w16cid:durableId="2072386098">
    <w:abstractNumId w:val="32"/>
  </w:num>
  <w:num w:numId="16" w16cid:durableId="613246020">
    <w:abstractNumId w:val="23"/>
  </w:num>
  <w:num w:numId="17" w16cid:durableId="1116872063">
    <w:abstractNumId w:val="30"/>
  </w:num>
  <w:num w:numId="18" w16cid:durableId="1252080476">
    <w:abstractNumId w:val="29"/>
  </w:num>
  <w:num w:numId="19" w16cid:durableId="2101637754">
    <w:abstractNumId w:val="20"/>
  </w:num>
  <w:num w:numId="20" w16cid:durableId="220168126">
    <w:abstractNumId w:val="5"/>
  </w:num>
  <w:num w:numId="21" w16cid:durableId="1619142303">
    <w:abstractNumId w:val="1"/>
  </w:num>
  <w:num w:numId="22" w16cid:durableId="1619409271">
    <w:abstractNumId w:val="14"/>
  </w:num>
  <w:num w:numId="23" w16cid:durableId="1469056629">
    <w:abstractNumId w:val="2"/>
  </w:num>
  <w:num w:numId="24" w16cid:durableId="1543590173">
    <w:abstractNumId w:val="3"/>
  </w:num>
  <w:num w:numId="25" w16cid:durableId="177155830">
    <w:abstractNumId w:val="4"/>
  </w:num>
  <w:num w:numId="26" w16cid:durableId="1094084349">
    <w:abstractNumId w:val="11"/>
  </w:num>
  <w:num w:numId="27" w16cid:durableId="1235236214">
    <w:abstractNumId w:val="15"/>
  </w:num>
  <w:num w:numId="28" w16cid:durableId="943655462">
    <w:abstractNumId w:val="6"/>
  </w:num>
  <w:num w:numId="29" w16cid:durableId="78598166">
    <w:abstractNumId w:val="19"/>
  </w:num>
  <w:num w:numId="30" w16cid:durableId="680085252">
    <w:abstractNumId w:val="18"/>
  </w:num>
  <w:num w:numId="31" w16cid:durableId="1306934484">
    <w:abstractNumId w:val="22"/>
  </w:num>
  <w:num w:numId="32" w16cid:durableId="1428503509">
    <w:abstractNumId w:val="8"/>
  </w:num>
  <w:num w:numId="33" w16cid:durableId="1036853100">
    <w:abstractNumId w:val="12"/>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
    <w15:presenceInfo w15:providerId="None" w15:userId="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1D0"/>
    <w:rsid w:val="00005ED9"/>
    <w:rsid w:val="00010DEE"/>
    <w:rsid w:val="00017625"/>
    <w:rsid w:val="00022076"/>
    <w:rsid w:val="000243A3"/>
    <w:rsid w:val="00024881"/>
    <w:rsid w:val="0002569B"/>
    <w:rsid w:val="000417D3"/>
    <w:rsid w:val="00046968"/>
    <w:rsid w:val="000475BE"/>
    <w:rsid w:val="00055DD9"/>
    <w:rsid w:val="00055FC4"/>
    <w:rsid w:val="0006191D"/>
    <w:rsid w:val="00066AC1"/>
    <w:rsid w:val="0007302E"/>
    <w:rsid w:val="0007539D"/>
    <w:rsid w:val="00076F8C"/>
    <w:rsid w:val="0008220C"/>
    <w:rsid w:val="000877EE"/>
    <w:rsid w:val="00087E52"/>
    <w:rsid w:val="000900AD"/>
    <w:rsid w:val="0009204F"/>
    <w:rsid w:val="0009638F"/>
    <w:rsid w:val="000A0B41"/>
    <w:rsid w:val="000A2548"/>
    <w:rsid w:val="000B0038"/>
    <w:rsid w:val="000B0CE5"/>
    <w:rsid w:val="000B59CD"/>
    <w:rsid w:val="000C034F"/>
    <w:rsid w:val="000C3688"/>
    <w:rsid w:val="000E1F30"/>
    <w:rsid w:val="000E31DC"/>
    <w:rsid w:val="000F66AA"/>
    <w:rsid w:val="00103AFF"/>
    <w:rsid w:val="00110D78"/>
    <w:rsid w:val="00116ED8"/>
    <w:rsid w:val="00117792"/>
    <w:rsid w:val="00117FCE"/>
    <w:rsid w:val="00122F5F"/>
    <w:rsid w:val="00123EF2"/>
    <w:rsid w:val="001245CB"/>
    <w:rsid w:val="0013783B"/>
    <w:rsid w:val="001578E9"/>
    <w:rsid w:val="001602A0"/>
    <w:rsid w:val="00162A30"/>
    <w:rsid w:val="00165813"/>
    <w:rsid w:val="00171D19"/>
    <w:rsid w:val="00173196"/>
    <w:rsid w:val="0018288D"/>
    <w:rsid w:val="001834D8"/>
    <w:rsid w:val="00187357"/>
    <w:rsid w:val="0019427B"/>
    <w:rsid w:val="00194BA9"/>
    <w:rsid w:val="001A07A8"/>
    <w:rsid w:val="001A410B"/>
    <w:rsid w:val="001A4C9F"/>
    <w:rsid w:val="001B3613"/>
    <w:rsid w:val="001B7FC2"/>
    <w:rsid w:val="001C1AEE"/>
    <w:rsid w:val="001C2739"/>
    <w:rsid w:val="001C3D6C"/>
    <w:rsid w:val="001C3DA7"/>
    <w:rsid w:val="001C7BDA"/>
    <w:rsid w:val="001D5E03"/>
    <w:rsid w:val="001D7DEE"/>
    <w:rsid w:val="001E02DA"/>
    <w:rsid w:val="001E2AAA"/>
    <w:rsid w:val="001F2D87"/>
    <w:rsid w:val="001F3695"/>
    <w:rsid w:val="001F582A"/>
    <w:rsid w:val="00200009"/>
    <w:rsid w:val="002003B1"/>
    <w:rsid w:val="0020406B"/>
    <w:rsid w:val="0020676E"/>
    <w:rsid w:val="00211FAA"/>
    <w:rsid w:val="002132FC"/>
    <w:rsid w:val="0021416E"/>
    <w:rsid w:val="00216CB6"/>
    <w:rsid w:val="00217165"/>
    <w:rsid w:val="00217D1E"/>
    <w:rsid w:val="00220E29"/>
    <w:rsid w:val="00223090"/>
    <w:rsid w:val="00224082"/>
    <w:rsid w:val="00232863"/>
    <w:rsid w:val="00232961"/>
    <w:rsid w:val="00241B8D"/>
    <w:rsid w:val="00251164"/>
    <w:rsid w:val="00253D8A"/>
    <w:rsid w:val="002563E9"/>
    <w:rsid w:val="00260D64"/>
    <w:rsid w:val="002632DB"/>
    <w:rsid w:val="002676D3"/>
    <w:rsid w:val="00271DA6"/>
    <w:rsid w:val="0027200A"/>
    <w:rsid w:val="00274990"/>
    <w:rsid w:val="00287EDB"/>
    <w:rsid w:val="00295FB9"/>
    <w:rsid w:val="002961FA"/>
    <w:rsid w:val="002A293E"/>
    <w:rsid w:val="002A4E05"/>
    <w:rsid w:val="002B594F"/>
    <w:rsid w:val="002C2FAC"/>
    <w:rsid w:val="002C3797"/>
    <w:rsid w:val="002D0F54"/>
    <w:rsid w:val="002D1D04"/>
    <w:rsid w:val="002D2DAC"/>
    <w:rsid w:val="002D33A7"/>
    <w:rsid w:val="002E0452"/>
    <w:rsid w:val="002E1840"/>
    <w:rsid w:val="002E29FD"/>
    <w:rsid w:val="002E4286"/>
    <w:rsid w:val="002E695D"/>
    <w:rsid w:val="002F4D18"/>
    <w:rsid w:val="00301FEB"/>
    <w:rsid w:val="00303D42"/>
    <w:rsid w:val="0030640D"/>
    <w:rsid w:val="00312D76"/>
    <w:rsid w:val="00334520"/>
    <w:rsid w:val="00334792"/>
    <w:rsid w:val="003363F0"/>
    <w:rsid w:val="00336A9A"/>
    <w:rsid w:val="0034128C"/>
    <w:rsid w:val="00347671"/>
    <w:rsid w:val="003524EC"/>
    <w:rsid w:val="00362CBC"/>
    <w:rsid w:val="00366775"/>
    <w:rsid w:val="0037001C"/>
    <w:rsid w:val="00381B26"/>
    <w:rsid w:val="00382478"/>
    <w:rsid w:val="00386F26"/>
    <w:rsid w:val="00387148"/>
    <w:rsid w:val="00387C94"/>
    <w:rsid w:val="00391ACE"/>
    <w:rsid w:val="003948B0"/>
    <w:rsid w:val="00395535"/>
    <w:rsid w:val="003B28D6"/>
    <w:rsid w:val="003B2BD3"/>
    <w:rsid w:val="003C27F1"/>
    <w:rsid w:val="003C40CE"/>
    <w:rsid w:val="003C482F"/>
    <w:rsid w:val="003C5369"/>
    <w:rsid w:val="003E017E"/>
    <w:rsid w:val="003E1185"/>
    <w:rsid w:val="003E6CBB"/>
    <w:rsid w:val="003E7145"/>
    <w:rsid w:val="003F1684"/>
    <w:rsid w:val="004003CF"/>
    <w:rsid w:val="00400BB8"/>
    <w:rsid w:val="00406663"/>
    <w:rsid w:val="00406D0E"/>
    <w:rsid w:val="00411F5E"/>
    <w:rsid w:val="00413EEB"/>
    <w:rsid w:val="00415562"/>
    <w:rsid w:val="00415A81"/>
    <w:rsid w:val="004174DD"/>
    <w:rsid w:val="0042287C"/>
    <w:rsid w:val="00423FBA"/>
    <w:rsid w:val="00425716"/>
    <w:rsid w:val="00425E5D"/>
    <w:rsid w:val="004308C0"/>
    <w:rsid w:val="0043544C"/>
    <w:rsid w:val="0043726F"/>
    <w:rsid w:val="00442F6C"/>
    <w:rsid w:val="004460D4"/>
    <w:rsid w:val="00451D00"/>
    <w:rsid w:val="00453027"/>
    <w:rsid w:val="004535C9"/>
    <w:rsid w:val="004538A9"/>
    <w:rsid w:val="004573CA"/>
    <w:rsid w:val="00461A20"/>
    <w:rsid w:val="00463904"/>
    <w:rsid w:val="004657C4"/>
    <w:rsid w:val="00465FB0"/>
    <w:rsid w:val="00467DAA"/>
    <w:rsid w:val="00476E9F"/>
    <w:rsid w:val="00481B20"/>
    <w:rsid w:val="00482EA1"/>
    <w:rsid w:val="00483B07"/>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E43C7"/>
    <w:rsid w:val="004F5144"/>
    <w:rsid w:val="004F5368"/>
    <w:rsid w:val="00500754"/>
    <w:rsid w:val="00500AAF"/>
    <w:rsid w:val="005022AA"/>
    <w:rsid w:val="005031E8"/>
    <w:rsid w:val="0050390B"/>
    <w:rsid w:val="00503DD2"/>
    <w:rsid w:val="005062E6"/>
    <w:rsid w:val="005227C8"/>
    <w:rsid w:val="005323E6"/>
    <w:rsid w:val="00534B65"/>
    <w:rsid w:val="00534EF0"/>
    <w:rsid w:val="0053629A"/>
    <w:rsid w:val="005367ED"/>
    <w:rsid w:val="00540F02"/>
    <w:rsid w:val="0054303A"/>
    <w:rsid w:val="00543077"/>
    <w:rsid w:val="005469BE"/>
    <w:rsid w:val="00546E89"/>
    <w:rsid w:val="005478C9"/>
    <w:rsid w:val="00553784"/>
    <w:rsid w:val="005569E1"/>
    <w:rsid w:val="0056036E"/>
    <w:rsid w:val="005611F1"/>
    <w:rsid w:val="005626AA"/>
    <w:rsid w:val="005635B4"/>
    <w:rsid w:val="00564E9B"/>
    <w:rsid w:val="00566D1B"/>
    <w:rsid w:val="0057036A"/>
    <w:rsid w:val="00571CFE"/>
    <w:rsid w:val="005742A6"/>
    <w:rsid w:val="00590269"/>
    <w:rsid w:val="00591DE5"/>
    <w:rsid w:val="0059236C"/>
    <w:rsid w:val="00597AAB"/>
    <w:rsid w:val="005A1BE1"/>
    <w:rsid w:val="005A4F69"/>
    <w:rsid w:val="005A5D6C"/>
    <w:rsid w:val="005A6A0E"/>
    <w:rsid w:val="005C14AA"/>
    <w:rsid w:val="005C56C8"/>
    <w:rsid w:val="005C6309"/>
    <w:rsid w:val="005C643D"/>
    <w:rsid w:val="005D4A0D"/>
    <w:rsid w:val="005D59B6"/>
    <w:rsid w:val="005E7673"/>
    <w:rsid w:val="005F6F53"/>
    <w:rsid w:val="00602879"/>
    <w:rsid w:val="006035FA"/>
    <w:rsid w:val="006052AE"/>
    <w:rsid w:val="006070C7"/>
    <w:rsid w:val="00615265"/>
    <w:rsid w:val="0061613E"/>
    <w:rsid w:val="0062129F"/>
    <w:rsid w:val="00622926"/>
    <w:rsid w:val="0062388D"/>
    <w:rsid w:val="006254AD"/>
    <w:rsid w:val="006352D0"/>
    <w:rsid w:val="00637098"/>
    <w:rsid w:val="00637BE1"/>
    <w:rsid w:val="006419D1"/>
    <w:rsid w:val="00643F44"/>
    <w:rsid w:val="00650832"/>
    <w:rsid w:val="00650CEB"/>
    <w:rsid w:val="006514A8"/>
    <w:rsid w:val="006527D4"/>
    <w:rsid w:val="006538D6"/>
    <w:rsid w:val="00654B07"/>
    <w:rsid w:val="00672ECC"/>
    <w:rsid w:val="00674C01"/>
    <w:rsid w:val="00674CB5"/>
    <w:rsid w:val="00680536"/>
    <w:rsid w:val="006902BB"/>
    <w:rsid w:val="006A4FA3"/>
    <w:rsid w:val="006A7DFF"/>
    <w:rsid w:val="006B04B2"/>
    <w:rsid w:val="006B0510"/>
    <w:rsid w:val="006B2D02"/>
    <w:rsid w:val="006B4974"/>
    <w:rsid w:val="006B6E0F"/>
    <w:rsid w:val="006C0BEA"/>
    <w:rsid w:val="006C65C4"/>
    <w:rsid w:val="006C6EBD"/>
    <w:rsid w:val="006C7730"/>
    <w:rsid w:val="006D0A4B"/>
    <w:rsid w:val="006D6149"/>
    <w:rsid w:val="006D782E"/>
    <w:rsid w:val="006E2742"/>
    <w:rsid w:val="006E2F83"/>
    <w:rsid w:val="006E466B"/>
    <w:rsid w:val="006E7FC3"/>
    <w:rsid w:val="006F411A"/>
    <w:rsid w:val="00704378"/>
    <w:rsid w:val="00706053"/>
    <w:rsid w:val="007066E4"/>
    <w:rsid w:val="00707398"/>
    <w:rsid w:val="007169EC"/>
    <w:rsid w:val="00724398"/>
    <w:rsid w:val="007277EC"/>
    <w:rsid w:val="00727B9E"/>
    <w:rsid w:val="00741058"/>
    <w:rsid w:val="00750DAC"/>
    <w:rsid w:val="00755AB4"/>
    <w:rsid w:val="00761E7C"/>
    <w:rsid w:val="00762C77"/>
    <w:rsid w:val="007636FC"/>
    <w:rsid w:val="00771574"/>
    <w:rsid w:val="00774469"/>
    <w:rsid w:val="00775180"/>
    <w:rsid w:val="007774E4"/>
    <w:rsid w:val="007816FC"/>
    <w:rsid w:val="00781D8B"/>
    <w:rsid w:val="00791E50"/>
    <w:rsid w:val="007923B1"/>
    <w:rsid w:val="007925B5"/>
    <w:rsid w:val="0079311F"/>
    <w:rsid w:val="007933FE"/>
    <w:rsid w:val="00796577"/>
    <w:rsid w:val="00796A75"/>
    <w:rsid w:val="007A2AA8"/>
    <w:rsid w:val="007A5A78"/>
    <w:rsid w:val="007A62B7"/>
    <w:rsid w:val="007A65BF"/>
    <w:rsid w:val="007B135B"/>
    <w:rsid w:val="007B5A8D"/>
    <w:rsid w:val="007B6823"/>
    <w:rsid w:val="007D5BA1"/>
    <w:rsid w:val="007E4168"/>
    <w:rsid w:val="007E508F"/>
    <w:rsid w:val="007F02FB"/>
    <w:rsid w:val="007F2213"/>
    <w:rsid w:val="007F37D6"/>
    <w:rsid w:val="007F422E"/>
    <w:rsid w:val="007F5B9D"/>
    <w:rsid w:val="008003D6"/>
    <w:rsid w:val="00802718"/>
    <w:rsid w:val="00802990"/>
    <w:rsid w:val="00802A5B"/>
    <w:rsid w:val="00802A96"/>
    <w:rsid w:val="008049B4"/>
    <w:rsid w:val="00804B31"/>
    <w:rsid w:val="00810811"/>
    <w:rsid w:val="00815661"/>
    <w:rsid w:val="008157AA"/>
    <w:rsid w:val="00815993"/>
    <w:rsid w:val="00817086"/>
    <w:rsid w:val="0082272E"/>
    <w:rsid w:val="00835E51"/>
    <w:rsid w:val="00846249"/>
    <w:rsid w:val="00852EC7"/>
    <w:rsid w:val="0085484D"/>
    <w:rsid w:val="00862178"/>
    <w:rsid w:val="00862DDA"/>
    <w:rsid w:val="00863A78"/>
    <w:rsid w:val="00867428"/>
    <w:rsid w:val="008678F7"/>
    <w:rsid w:val="00874EB7"/>
    <w:rsid w:val="008752FD"/>
    <w:rsid w:val="008765A5"/>
    <w:rsid w:val="00882CAF"/>
    <w:rsid w:val="008847ED"/>
    <w:rsid w:val="00886BAD"/>
    <w:rsid w:val="0088746C"/>
    <w:rsid w:val="008940D8"/>
    <w:rsid w:val="008A257B"/>
    <w:rsid w:val="008A7B81"/>
    <w:rsid w:val="008B23F8"/>
    <w:rsid w:val="008B4BA9"/>
    <w:rsid w:val="008B7A0F"/>
    <w:rsid w:val="008C2547"/>
    <w:rsid w:val="008C302B"/>
    <w:rsid w:val="008C3C9B"/>
    <w:rsid w:val="008C3DC2"/>
    <w:rsid w:val="008C45DE"/>
    <w:rsid w:val="008C62AD"/>
    <w:rsid w:val="008D0F02"/>
    <w:rsid w:val="008D5536"/>
    <w:rsid w:val="008D75B2"/>
    <w:rsid w:val="008E554D"/>
    <w:rsid w:val="008F0CE5"/>
    <w:rsid w:val="008F1989"/>
    <w:rsid w:val="008F3342"/>
    <w:rsid w:val="008F621C"/>
    <w:rsid w:val="00901F00"/>
    <w:rsid w:val="00902F9C"/>
    <w:rsid w:val="00906AC7"/>
    <w:rsid w:val="00907E40"/>
    <w:rsid w:val="00911A24"/>
    <w:rsid w:val="009206DD"/>
    <w:rsid w:val="009231B3"/>
    <w:rsid w:val="00923573"/>
    <w:rsid w:val="009276FB"/>
    <w:rsid w:val="00936811"/>
    <w:rsid w:val="00940F83"/>
    <w:rsid w:val="0094187E"/>
    <w:rsid w:val="00944018"/>
    <w:rsid w:val="00945575"/>
    <w:rsid w:val="0094630C"/>
    <w:rsid w:val="0095288D"/>
    <w:rsid w:val="0095456E"/>
    <w:rsid w:val="00954B9B"/>
    <w:rsid w:val="00954BA8"/>
    <w:rsid w:val="00965E3F"/>
    <w:rsid w:val="00965F50"/>
    <w:rsid w:val="0098193E"/>
    <w:rsid w:val="00987772"/>
    <w:rsid w:val="009917BE"/>
    <w:rsid w:val="0099291C"/>
    <w:rsid w:val="009929B4"/>
    <w:rsid w:val="00994209"/>
    <w:rsid w:val="009A1281"/>
    <w:rsid w:val="009A1E24"/>
    <w:rsid w:val="009B2397"/>
    <w:rsid w:val="009B4065"/>
    <w:rsid w:val="009B6344"/>
    <w:rsid w:val="009B764B"/>
    <w:rsid w:val="009C7D8B"/>
    <w:rsid w:val="009D7AA9"/>
    <w:rsid w:val="009E2468"/>
    <w:rsid w:val="009E336E"/>
    <w:rsid w:val="009E3624"/>
    <w:rsid w:val="009E4EBA"/>
    <w:rsid w:val="009F091C"/>
    <w:rsid w:val="009F2D64"/>
    <w:rsid w:val="009F409C"/>
    <w:rsid w:val="009F6F7B"/>
    <w:rsid w:val="00A03126"/>
    <w:rsid w:val="00A03679"/>
    <w:rsid w:val="00A13315"/>
    <w:rsid w:val="00A14CEF"/>
    <w:rsid w:val="00A175E3"/>
    <w:rsid w:val="00A272D2"/>
    <w:rsid w:val="00A27B34"/>
    <w:rsid w:val="00A30493"/>
    <w:rsid w:val="00A32E17"/>
    <w:rsid w:val="00A33DAA"/>
    <w:rsid w:val="00A37C4B"/>
    <w:rsid w:val="00A427DC"/>
    <w:rsid w:val="00A430B8"/>
    <w:rsid w:val="00A43298"/>
    <w:rsid w:val="00A43778"/>
    <w:rsid w:val="00A4558F"/>
    <w:rsid w:val="00A50B27"/>
    <w:rsid w:val="00A526EF"/>
    <w:rsid w:val="00A549F9"/>
    <w:rsid w:val="00A54DE6"/>
    <w:rsid w:val="00A562A0"/>
    <w:rsid w:val="00A5653C"/>
    <w:rsid w:val="00A574C4"/>
    <w:rsid w:val="00A60243"/>
    <w:rsid w:val="00A602DE"/>
    <w:rsid w:val="00A64896"/>
    <w:rsid w:val="00A64A27"/>
    <w:rsid w:val="00A67525"/>
    <w:rsid w:val="00A71464"/>
    <w:rsid w:val="00A72FCF"/>
    <w:rsid w:val="00A758BF"/>
    <w:rsid w:val="00A762E8"/>
    <w:rsid w:val="00A762F0"/>
    <w:rsid w:val="00A8066D"/>
    <w:rsid w:val="00A80B2E"/>
    <w:rsid w:val="00A80C31"/>
    <w:rsid w:val="00A819B4"/>
    <w:rsid w:val="00A82EEE"/>
    <w:rsid w:val="00A83D78"/>
    <w:rsid w:val="00A83E44"/>
    <w:rsid w:val="00A877F4"/>
    <w:rsid w:val="00A91CAD"/>
    <w:rsid w:val="00A92D0F"/>
    <w:rsid w:val="00A95B23"/>
    <w:rsid w:val="00AA4AE4"/>
    <w:rsid w:val="00AA4E7D"/>
    <w:rsid w:val="00AA4FC8"/>
    <w:rsid w:val="00AA6636"/>
    <w:rsid w:val="00AC388E"/>
    <w:rsid w:val="00AC6628"/>
    <w:rsid w:val="00AD05B1"/>
    <w:rsid w:val="00AD169A"/>
    <w:rsid w:val="00AD2E20"/>
    <w:rsid w:val="00AD3EFD"/>
    <w:rsid w:val="00AD559D"/>
    <w:rsid w:val="00AD5DCB"/>
    <w:rsid w:val="00AE283C"/>
    <w:rsid w:val="00AF35CC"/>
    <w:rsid w:val="00AF4940"/>
    <w:rsid w:val="00AF73DF"/>
    <w:rsid w:val="00B029D3"/>
    <w:rsid w:val="00B02CE0"/>
    <w:rsid w:val="00B06D1D"/>
    <w:rsid w:val="00B17324"/>
    <w:rsid w:val="00B23F90"/>
    <w:rsid w:val="00B25EDF"/>
    <w:rsid w:val="00B35DC8"/>
    <w:rsid w:val="00B4389C"/>
    <w:rsid w:val="00B47B2C"/>
    <w:rsid w:val="00B56B54"/>
    <w:rsid w:val="00B60784"/>
    <w:rsid w:val="00B7002E"/>
    <w:rsid w:val="00B70E6B"/>
    <w:rsid w:val="00B75A4B"/>
    <w:rsid w:val="00B768CC"/>
    <w:rsid w:val="00B80A1A"/>
    <w:rsid w:val="00B8520B"/>
    <w:rsid w:val="00B86AE8"/>
    <w:rsid w:val="00B86BF7"/>
    <w:rsid w:val="00B905EC"/>
    <w:rsid w:val="00B91F74"/>
    <w:rsid w:val="00B9472D"/>
    <w:rsid w:val="00BA5B4B"/>
    <w:rsid w:val="00BA6FF3"/>
    <w:rsid w:val="00BB08FA"/>
    <w:rsid w:val="00BB2B6F"/>
    <w:rsid w:val="00BB50DF"/>
    <w:rsid w:val="00BB6938"/>
    <w:rsid w:val="00BC51D8"/>
    <w:rsid w:val="00BD1A3E"/>
    <w:rsid w:val="00BD3E7E"/>
    <w:rsid w:val="00BD5835"/>
    <w:rsid w:val="00BD5D62"/>
    <w:rsid w:val="00BD79A0"/>
    <w:rsid w:val="00BE144D"/>
    <w:rsid w:val="00BE17FD"/>
    <w:rsid w:val="00BE30EB"/>
    <w:rsid w:val="00BF2AAA"/>
    <w:rsid w:val="00BF5A85"/>
    <w:rsid w:val="00BF672B"/>
    <w:rsid w:val="00C0213A"/>
    <w:rsid w:val="00C02E08"/>
    <w:rsid w:val="00C03879"/>
    <w:rsid w:val="00C0389E"/>
    <w:rsid w:val="00C10C09"/>
    <w:rsid w:val="00C11C42"/>
    <w:rsid w:val="00C152F9"/>
    <w:rsid w:val="00C1756D"/>
    <w:rsid w:val="00C21420"/>
    <w:rsid w:val="00C26170"/>
    <w:rsid w:val="00C377E7"/>
    <w:rsid w:val="00C420B8"/>
    <w:rsid w:val="00C44781"/>
    <w:rsid w:val="00C50A65"/>
    <w:rsid w:val="00C549E7"/>
    <w:rsid w:val="00C56155"/>
    <w:rsid w:val="00C6051D"/>
    <w:rsid w:val="00C6181C"/>
    <w:rsid w:val="00C67610"/>
    <w:rsid w:val="00C71E29"/>
    <w:rsid w:val="00C72516"/>
    <w:rsid w:val="00C7503D"/>
    <w:rsid w:val="00C90327"/>
    <w:rsid w:val="00C93C98"/>
    <w:rsid w:val="00CA4275"/>
    <w:rsid w:val="00CA65CF"/>
    <w:rsid w:val="00CA7439"/>
    <w:rsid w:val="00CB41DC"/>
    <w:rsid w:val="00CB5866"/>
    <w:rsid w:val="00CB660C"/>
    <w:rsid w:val="00CC56D8"/>
    <w:rsid w:val="00CE2A67"/>
    <w:rsid w:val="00CE741E"/>
    <w:rsid w:val="00CF03A1"/>
    <w:rsid w:val="00CF57D6"/>
    <w:rsid w:val="00D26ADD"/>
    <w:rsid w:val="00D26D30"/>
    <w:rsid w:val="00D44083"/>
    <w:rsid w:val="00D46384"/>
    <w:rsid w:val="00D57022"/>
    <w:rsid w:val="00D57A56"/>
    <w:rsid w:val="00D63088"/>
    <w:rsid w:val="00D67104"/>
    <w:rsid w:val="00D67519"/>
    <w:rsid w:val="00D71087"/>
    <w:rsid w:val="00D73826"/>
    <w:rsid w:val="00D775DE"/>
    <w:rsid w:val="00D813BC"/>
    <w:rsid w:val="00D90FE5"/>
    <w:rsid w:val="00D94113"/>
    <w:rsid w:val="00D96860"/>
    <w:rsid w:val="00DA1969"/>
    <w:rsid w:val="00DC3AF3"/>
    <w:rsid w:val="00DC5DB0"/>
    <w:rsid w:val="00DC66E5"/>
    <w:rsid w:val="00DC78F5"/>
    <w:rsid w:val="00DC7B34"/>
    <w:rsid w:val="00DD601D"/>
    <w:rsid w:val="00DD6F37"/>
    <w:rsid w:val="00DE1E48"/>
    <w:rsid w:val="00DE4617"/>
    <w:rsid w:val="00DF0C41"/>
    <w:rsid w:val="00DF0EC0"/>
    <w:rsid w:val="00DF1636"/>
    <w:rsid w:val="00DF2729"/>
    <w:rsid w:val="00DF48E5"/>
    <w:rsid w:val="00DF5622"/>
    <w:rsid w:val="00DF6442"/>
    <w:rsid w:val="00E005F9"/>
    <w:rsid w:val="00E02E72"/>
    <w:rsid w:val="00E0470A"/>
    <w:rsid w:val="00E17217"/>
    <w:rsid w:val="00E30D6B"/>
    <w:rsid w:val="00E30E14"/>
    <w:rsid w:val="00E363A9"/>
    <w:rsid w:val="00E36AA2"/>
    <w:rsid w:val="00E434D8"/>
    <w:rsid w:val="00E439CB"/>
    <w:rsid w:val="00E46E84"/>
    <w:rsid w:val="00E51701"/>
    <w:rsid w:val="00E5640B"/>
    <w:rsid w:val="00E566B0"/>
    <w:rsid w:val="00E649E6"/>
    <w:rsid w:val="00E65AF8"/>
    <w:rsid w:val="00E73641"/>
    <w:rsid w:val="00E758FF"/>
    <w:rsid w:val="00E75F6E"/>
    <w:rsid w:val="00E77C4D"/>
    <w:rsid w:val="00E810D4"/>
    <w:rsid w:val="00E90314"/>
    <w:rsid w:val="00E90C62"/>
    <w:rsid w:val="00E922F2"/>
    <w:rsid w:val="00E93AC4"/>
    <w:rsid w:val="00EA2EA0"/>
    <w:rsid w:val="00EA4465"/>
    <w:rsid w:val="00EA4EF4"/>
    <w:rsid w:val="00EA5258"/>
    <w:rsid w:val="00EB2CFF"/>
    <w:rsid w:val="00EB323F"/>
    <w:rsid w:val="00EB5A85"/>
    <w:rsid w:val="00EB743A"/>
    <w:rsid w:val="00EC4D8B"/>
    <w:rsid w:val="00ED1805"/>
    <w:rsid w:val="00ED2F7D"/>
    <w:rsid w:val="00ED5DCF"/>
    <w:rsid w:val="00F00D99"/>
    <w:rsid w:val="00F01DBC"/>
    <w:rsid w:val="00F05A83"/>
    <w:rsid w:val="00F06CD1"/>
    <w:rsid w:val="00F06FB4"/>
    <w:rsid w:val="00F1027C"/>
    <w:rsid w:val="00F1612A"/>
    <w:rsid w:val="00F20576"/>
    <w:rsid w:val="00F23791"/>
    <w:rsid w:val="00F31ECF"/>
    <w:rsid w:val="00F331B5"/>
    <w:rsid w:val="00F3381A"/>
    <w:rsid w:val="00F369EC"/>
    <w:rsid w:val="00F4322E"/>
    <w:rsid w:val="00F51BE9"/>
    <w:rsid w:val="00F52044"/>
    <w:rsid w:val="00F52B04"/>
    <w:rsid w:val="00F52E83"/>
    <w:rsid w:val="00F660DB"/>
    <w:rsid w:val="00F727DB"/>
    <w:rsid w:val="00F7294C"/>
    <w:rsid w:val="00F814D0"/>
    <w:rsid w:val="00F9056B"/>
    <w:rsid w:val="00F91387"/>
    <w:rsid w:val="00F956D7"/>
    <w:rsid w:val="00F97E21"/>
    <w:rsid w:val="00FA3FD1"/>
    <w:rsid w:val="00FA4B17"/>
    <w:rsid w:val="00FB2A93"/>
    <w:rsid w:val="00FB4ACA"/>
    <w:rsid w:val="00FB5880"/>
    <w:rsid w:val="00FC13D6"/>
    <w:rsid w:val="00FC2DC7"/>
    <w:rsid w:val="00FC3C69"/>
    <w:rsid w:val="00FC3FCF"/>
    <w:rsid w:val="00FC4C88"/>
    <w:rsid w:val="00FC679E"/>
    <w:rsid w:val="00FD08EE"/>
    <w:rsid w:val="00FE0722"/>
    <w:rsid w:val="00FE59A0"/>
    <w:rsid w:val="00FE703C"/>
    <w:rsid w:val="00FF1D30"/>
    <w:rsid w:val="00FF2F74"/>
    <w:rsid w:val="00FF4D86"/>
    <w:rsid w:val="00FF5F3B"/>
    <w:rsid w:val="00FF67B3"/>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7A43CC6"/>
  <w14:defaultImageDpi w14:val="96"/>
  <w15:docId w15:val="{625792D6-6E3F-4381-A627-284507FD8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rsid w:val="00672ECC"/>
    <w:rPr>
      <w:sz w:val="24"/>
      <w:szCs w:val="24"/>
    </w:rPr>
  </w:style>
  <w:style w:type="table" w:styleId="PlainTable2">
    <w:name w:val="Plain Table 2"/>
    <w:basedOn w:val="TableNormal"/>
    <w:uiPriority w:val="42"/>
    <w:rsid w:val="0007539D"/>
    <w:tblPr>
      <w:tblStyleRowBandSize w:val="1"/>
      <w:tblStyleColBandSize w:val="1"/>
      <w:tblBorders>
        <w:top w:val="single" w:sz="4" w:space="0" w:color="7F7F7F"/>
        <w:bottom w:val="single" w:sz="4" w:space="0" w:color="7F7F7F"/>
      </w:tblBorders>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TableGrid1">
    <w:name w:val="Table Grid1"/>
    <w:basedOn w:val="TableNormal"/>
    <w:next w:val="TableGrid"/>
    <w:uiPriority w:val="39"/>
    <w:rsid w:val="004573CA"/>
    <w:rPr>
      <w:rFonts w:cs="Traditional Arabic"/>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ypography-modulelvnit">
    <w:name w:val="typography-module__lvnit"/>
    <w:basedOn w:val="DefaultParagraphFont"/>
    <w:rsid w:val="0037001C"/>
    <w:rPr>
      <w:rFonts w:cs="Times New Roman"/>
    </w:rPr>
  </w:style>
  <w:style w:type="table" w:styleId="PlainTable4">
    <w:name w:val="Plain Table 4"/>
    <w:basedOn w:val="TableNormal"/>
    <w:uiPriority w:val="44"/>
    <w:rsid w:val="00A64A27"/>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styleId="TableSimple1">
    <w:name w:val="Table Simple 1"/>
    <w:basedOn w:val="TableNormal"/>
    <w:uiPriority w:val="99"/>
    <w:rsid w:val="00A64A27"/>
    <w:pPr>
      <w:autoSpaceDE w:val="0"/>
      <w:autoSpaceDN w:val="0"/>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6" w:space="0" w:color="auto"/>
          <w:tr2bl w:val="none" w:sz="6" w:space="0" w:color="auto"/>
        </w:tcBorders>
      </w:tcPr>
    </w:tblStylePr>
    <w:tblStylePr w:type="lastRow">
      <w:rPr>
        <w:rFonts w:cs="Times New Roman"/>
      </w:rPr>
      <w:tblPr/>
      <w:tcPr>
        <w:tcBorders>
          <w:top w:val="single" w:sz="6" w:space="0" w:color="008000"/>
          <w:tl2br w:val="none" w:sz="6" w:space="0" w:color="auto"/>
          <w:tr2bl w:val="none" w:sz="6" w:space="0" w:color="auto"/>
        </w:tcBorders>
      </w:tcPr>
    </w:tblStylePr>
  </w:style>
  <w:style w:type="table" w:styleId="TableContemporary">
    <w:name w:val="Table Contemporary"/>
    <w:basedOn w:val="TableNormal"/>
    <w:uiPriority w:val="99"/>
    <w:rsid w:val="00A64A27"/>
    <w:pPr>
      <w:autoSpaceDE w:val="0"/>
      <w:autoSpaceDN w:val="0"/>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6" w:space="0" w:color="auto"/>
          <w:tr2bl w:val="none" w:sz="6" w:space="0" w:color="auto"/>
        </w:tcBorders>
        <w:shd w:val="pct20" w:color="000000" w:fill="FFFFFF"/>
      </w:tcPr>
    </w:tblStylePr>
    <w:tblStylePr w:type="band1Horz">
      <w:rPr>
        <w:rFonts w:cs="Times New Roman"/>
        <w:color w:val="auto"/>
      </w:rPr>
      <w:tblPr/>
      <w:tcPr>
        <w:tcBorders>
          <w:tl2br w:val="none" w:sz="6" w:space="0" w:color="auto"/>
          <w:tr2bl w:val="none" w:sz="6" w:space="0" w:color="auto"/>
        </w:tcBorders>
        <w:shd w:val="pct5" w:color="000000" w:fill="FFFFFF"/>
      </w:tcPr>
    </w:tblStylePr>
    <w:tblStylePr w:type="band2Horz">
      <w:rPr>
        <w:rFonts w:cs="Times New Roman"/>
        <w:color w:val="auto"/>
      </w:rPr>
      <w:tblPr/>
      <w:tcPr>
        <w:tcBorders>
          <w:tl2br w:val="none" w:sz="6" w:space="0" w:color="auto"/>
          <w:tr2bl w:val="none" w:sz="6" w:space="0" w:color="auto"/>
        </w:tcBorders>
        <w:shd w:val="pct20" w:color="000000" w:fill="FFFFFF"/>
      </w:tcPr>
    </w:tblStylePr>
  </w:style>
  <w:style w:type="table" w:styleId="PlainTable3">
    <w:name w:val="Plain Table 3"/>
    <w:basedOn w:val="TableNormal"/>
    <w:uiPriority w:val="43"/>
    <w:rsid w:val="006A4FA3"/>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styleId="TableClassic1">
    <w:name w:val="Table Classic 1"/>
    <w:basedOn w:val="TableNormal"/>
    <w:uiPriority w:val="99"/>
    <w:rsid w:val="006A4FA3"/>
    <w:pPr>
      <w:autoSpaceDE w:val="0"/>
      <w:autoSpaceDN w:val="0"/>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6" w:space="0" w:color="auto"/>
          <w:tr2bl w:val="none" w:sz="6" w:space="0" w:color="auto"/>
        </w:tcBorders>
      </w:tcPr>
    </w:tblStylePr>
    <w:tblStylePr w:type="lastRow">
      <w:rPr>
        <w:rFonts w:cs="Times New Roman"/>
        <w:color w:val="auto"/>
      </w:rPr>
      <w:tblPr/>
      <w:tcPr>
        <w:tcBorders>
          <w:top w:val="single" w:sz="6" w:space="0" w:color="000000"/>
          <w:tl2br w:val="none" w:sz="6" w:space="0" w:color="auto"/>
          <w:tr2bl w:val="none" w:sz="6" w:space="0" w:color="auto"/>
        </w:tcBorders>
      </w:tcPr>
    </w:tblStylePr>
    <w:tblStylePr w:type="firstCol">
      <w:rPr>
        <w:rFonts w:cs="Times New Roman"/>
      </w:rPr>
      <w:tblPr/>
      <w:tcPr>
        <w:tcBorders>
          <w:right w:val="single" w:sz="6" w:space="0" w:color="000000"/>
          <w:tl2br w:val="none" w:sz="6" w:space="0" w:color="auto"/>
          <w:tr2bl w:val="none" w:sz="6" w:space="0" w:color="auto"/>
        </w:tcBorders>
      </w:tcPr>
    </w:tblStylePr>
    <w:tblStylePr w:type="neCell">
      <w:rPr>
        <w:rFonts w:cs="Times New Roman"/>
        <w:b/>
        <w:bCs/>
        <w:i w:val="0"/>
        <w:iCs w:val="0"/>
      </w:rPr>
      <w:tblPr/>
      <w:tcPr>
        <w:tcBorders>
          <w:tl2br w:val="none" w:sz="6" w:space="0" w:color="auto"/>
          <w:tr2bl w:val="none" w:sz="6" w:space="0" w:color="auto"/>
        </w:tcBorders>
      </w:tcPr>
    </w:tblStylePr>
    <w:tblStylePr w:type="swCell">
      <w:rPr>
        <w:rFonts w:cs="Times New Roman"/>
        <w:b/>
        <w:bCs/>
      </w:rPr>
      <w:tblPr/>
      <w:tcPr>
        <w:tcBorders>
          <w:tl2br w:val="none" w:sz="6" w:space="0" w:color="auto"/>
          <w:tr2bl w:val="none" w:sz="6" w:space="0" w:color="auto"/>
        </w:tcBorders>
      </w:tcPr>
    </w:tblStylePr>
  </w:style>
  <w:style w:type="table" w:customStyle="1" w:styleId="PlainTable21">
    <w:name w:val="Plain Table 21"/>
    <w:basedOn w:val="TableNormal"/>
    <w:next w:val="PlainTable2"/>
    <w:uiPriority w:val="42"/>
    <w:rsid w:val="00CB5866"/>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2">
    <w:name w:val="Plain Table 22"/>
    <w:basedOn w:val="TableNormal"/>
    <w:next w:val="PlainTable2"/>
    <w:uiPriority w:val="42"/>
    <w:rsid w:val="00D26D30"/>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3">
    <w:name w:val="Plain Table 23"/>
    <w:basedOn w:val="TableNormal"/>
    <w:next w:val="PlainTable2"/>
    <w:uiPriority w:val="42"/>
    <w:rsid w:val="00415A81"/>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CommentReference">
    <w:name w:val="annotation reference"/>
    <w:basedOn w:val="DefaultParagraphFont"/>
    <w:uiPriority w:val="99"/>
    <w:rsid w:val="00954B9B"/>
    <w:rPr>
      <w:sz w:val="16"/>
      <w:szCs w:val="16"/>
    </w:rPr>
  </w:style>
  <w:style w:type="paragraph" w:styleId="CommentText">
    <w:name w:val="annotation text"/>
    <w:basedOn w:val="Normal"/>
    <w:link w:val="CommentTextChar"/>
    <w:uiPriority w:val="99"/>
    <w:rsid w:val="00954B9B"/>
  </w:style>
  <w:style w:type="character" w:customStyle="1" w:styleId="CommentTextChar">
    <w:name w:val="Comment Text Char"/>
    <w:basedOn w:val="DefaultParagraphFont"/>
    <w:link w:val="CommentText"/>
    <w:uiPriority w:val="99"/>
    <w:rsid w:val="00954B9B"/>
    <w:rPr>
      <w:lang w:val="en-US" w:eastAsia="en-GB"/>
    </w:rPr>
  </w:style>
  <w:style w:type="paragraph" w:styleId="CommentSubject">
    <w:name w:val="annotation subject"/>
    <w:basedOn w:val="CommentText"/>
    <w:next w:val="CommentText"/>
    <w:link w:val="CommentSubjectChar"/>
    <w:uiPriority w:val="99"/>
    <w:rsid w:val="00954B9B"/>
    <w:rPr>
      <w:b/>
      <w:bCs/>
    </w:rPr>
  </w:style>
  <w:style w:type="character" w:customStyle="1" w:styleId="CommentSubjectChar">
    <w:name w:val="Comment Subject Char"/>
    <w:basedOn w:val="CommentTextChar"/>
    <w:link w:val="CommentSubject"/>
    <w:uiPriority w:val="99"/>
    <w:rsid w:val="00954B9B"/>
    <w:rPr>
      <w:b/>
      <w:bCs/>
      <w:lang w:val="en-US" w:eastAsia="en-GB"/>
    </w:rPr>
  </w:style>
  <w:style w:type="character" w:customStyle="1" w:styleId="rynqvb">
    <w:name w:val="rynqvb"/>
    <w:basedOn w:val="DefaultParagraphFont"/>
    <w:rsid w:val="00817086"/>
  </w:style>
  <w:style w:type="character" w:customStyle="1" w:styleId="hwtze">
    <w:name w:val="hwtze"/>
    <w:basedOn w:val="DefaultParagraphFont"/>
    <w:rsid w:val="00564E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5148501">
      <w:bodyDiv w:val="1"/>
      <w:marLeft w:val="0"/>
      <w:marRight w:val="0"/>
      <w:marTop w:val="0"/>
      <w:marBottom w:val="0"/>
      <w:divBdr>
        <w:top w:val="none" w:sz="0" w:space="0" w:color="auto"/>
        <w:left w:val="none" w:sz="0" w:space="0" w:color="auto"/>
        <w:bottom w:val="none" w:sz="0" w:space="0" w:color="auto"/>
        <w:right w:val="none" w:sz="0" w:space="0" w:color="auto"/>
      </w:divBdr>
    </w:div>
    <w:div w:id="334303255">
      <w:bodyDiv w:val="1"/>
      <w:marLeft w:val="0"/>
      <w:marRight w:val="0"/>
      <w:marTop w:val="0"/>
      <w:marBottom w:val="0"/>
      <w:divBdr>
        <w:top w:val="none" w:sz="0" w:space="0" w:color="auto"/>
        <w:left w:val="none" w:sz="0" w:space="0" w:color="auto"/>
        <w:bottom w:val="none" w:sz="0" w:space="0" w:color="auto"/>
        <w:right w:val="none" w:sz="0" w:space="0" w:color="auto"/>
      </w:divBdr>
    </w:div>
    <w:div w:id="371273661">
      <w:bodyDiv w:val="1"/>
      <w:marLeft w:val="0"/>
      <w:marRight w:val="0"/>
      <w:marTop w:val="0"/>
      <w:marBottom w:val="0"/>
      <w:divBdr>
        <w:top w:val="none" w:sz="0" w:space="0" w:color="auto"/>
        <w:left w:val="none" w:sz="0" w:space="0" w:color="auto"/>
        <w:bottom w:val="none" w:sz="0" w:space="0" w:color="auto"/>
        <w:right w:val="none" w:sz="0" w:space="0" w:color="auto"/>
      </w:divBdr>
    </w:div>
    <w:div w:id="381758855">
      <w:bodyDiv w:val="1"/>
      <w:marLeft w:val="0"/>
      <w:marRight w:val="0"/>
      <w:marTop w:val="0"/>
      <w:marBottom w:val="0"/>
      <w:divBdr>
        <w:top w:val="none" w:sz="0" w:space="0" w:color="auto"/>
        <w:left w:val="none" w:sz="0" w:space="0" w:color="auto"/>
        <w:bottom w:val="none" w:sz="0" w:space="0" w:color="auto"/>
        <w:right w:val="none" w:sz="0" w:space="0" w:color="auto"/>
      </w:divBdr>
    </w:div>
    <w:div w:id="383338311">
      <w:marLeft w:val="0"/>
      <w:marRight w:val="0"/>
      <w:marTop w:val="0"/>
      <w:marBottom w:val="0"/>
      <w:divBdr>
        <w:top w:val="none" w:sz="0" w:space="0" w:color="auto"/>
        <w:left w:val="none" w:sz="0" w:space="0" w:color="auto"/>
        <w:bottom w:val="none" w:sz="0" w:space="0" w:color="auto"/>
        <w:right w:val="none" w:sz="0" w:space="0" w:color="auto"/>
      </w:divBdr>
      <w:divsChild>
        <w:div w:id="383338315">
          <w:marLeft w:val="0"/>
          <w:marRight w:val="0"/>
          <w:marTop w:val="0"/>
          <w:marBottom w:val="0"/>
          <w:divBdr>
            <w:top w:val="none" w:sz="0" w:space="0" w:color="auto"/>
            <w:left w:val="none" w:sz="0" w:space="0" w:color="auto"/>
            <w:bottom w:val="none" w:sz="0" w:space="0" w:color="auto"/>
            <w:right w:val="none" w:sz="0" w:space="0" w:color="auto"/>
          </w:divBdr>
          <w:divsChild>
            <w:div w:id="383338327">
              <w:marLeft w:val="0"/>
              <w:marRight w:val="0"/>
              <w:marTop w:val="0"/>
              <w:marBottom w:val="0"/>
              <w:divBdr>
                <w:top w:val="none" w:sz="0" w:space="0" w:color="auto"/>
                <w:left w:val="none" w:sz="0" w:space="0" w:color="auto"/>
                <w:bottom w:val="none" w:sz="0" w:space="0" w:color="auto"/>
                <w:right w:val="none" w:sz="0" w:space="0" w:color="auto"/>
              </w:divBdr>
              <w:divsChild>
                <w:div w:id="383338324">
                  <w:marLeft w:val="0"/>
                  <w:marRight w:val="0"/>
                  <w:marTop w:val="0"/>
                  <w:marBottom w:val="0"/>
                  <w:divBdr>
                    <w:top w:val="none" w:sz="0" w:space="0" w:color="auto"/>
                    <w:left w:val="none" w:sz="0" w:space="0" w:color="auto"/>
                    <w:bottom w:val="none" w:sz="0" w:space="0" w:color="auto"/>
                    <w:right w:val="none" w:sz="0" w:space="0" w:color="auto"/>
                  </w:divBdr>
                  <w:divsChild>
                    <w:div w:id="38333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26">
          <w:marLeft w:val="0"/>
          <w:marRight w:val="0"/>
          <w:marTop w:val="0"/>
          <w:marBottom w:val="0"/>
          <w:divBdr>
            <w:top w:val="none" w:sz="0" w:space="0" w:color="auto"/>
            <w:left w:val="none" w:sz="0" w:space="0" w:color="auto"/>
            <w:bottom w:val="none" w:sz="0" w:space="0" w:color="auto"/>
            <w:right w:val="none" w:sz="0" w:space="0" w:color="auto"/>
          </w:divBdr>
          <w:divsChild>
            <w:div w:id="383338322">
              <w:marLeft w:val="0"/>
              <w:marRight w:val="0"/>
              <w:marTop w:val="0"/>
              <w:marBottom w:val="0"/>
              <w:divBdr>
                <w:top w:val="none" w:sz="0" w:space="0" w:color="auto"/>
                <w:left w:val="none" w:sz="0" w:space="0" w:color="auto"/>
                <w:bottom w:val="none" w:sz="0" w:space="0" w:color="auto"/>
                <w:right w:val="none" w:sz="0" w:space="0" w:color="auto"/>
              </w:divBdr>
              <w:divsChild>
                <w:div w:id="383338313">
                  <w:marLeft w:val="0"/>
                  <w:marRight w:val="0"/>
                  <w:marTop w:val="0"/>
                  <w:marBottom w:val="0"/>
                  <w:divBdr>
                    <w:top w:val="none" w:sz="0" w:space="0" w:color="auto"/>
                    <w:left w:val="none" w:sz="0" w:space="0" w:color="auto"/>
                    <w:bottom w:val="none" w:sz="0" w:space="0" w:color="auto"/>
                    <w:right w:val="none" w:sz="0" w:space="0" w:color="auto"/>
                  </w:divBdr>
                  <w:divsChild>
                    <w:div w:id="38333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14">
      <w:marLeft w:val="0"/>
      <w:marRight w:val="0"/>
      <w:marTop w:val="0"/>
      <w:marBottom w:val="0"/>
      <w:divBdr>
        <w:top w:val="none" w:sz="0" w:space="0" w:color="auto"/>
        <w:left w:val="none" w:sz="0" w:space="0" w:color="auto"/>
        <w:bottom w:val="none" w:sz="0" w:space="0" w:color="auto"/>
        <w:right w:val="none" w:sz="0" w:space="0" w:color="auto"/>
      </w:divBdr>
    </w:div>
    <w:div w:id="383338316">
      <w:marLeft w:val="0"/>
      <w:marRight w:val="0"/>
      <w:marTop w:val="0"/>
      <w:marBottom w:val="0"/>
      <w:divBdr>
        <w:top w:val="none" w:sz="0" w:space="0" w:color="auto"/>
        <w:left w:val="none" w:sz="0" w:space="0" w:color="auto"/>
        <w:bottom w:val="none" w:sz="0" w:space="0" w:color="auto"/>
        <w:right w:val="none" w:sz="0" w:space="0" w:color="auto"/>
      </w:divBdr>
    </w:div>
    <w:div w:id="383338318">
      <w:marLeft w:val="0"/>
      <w:marRight w:val="0"/>
      <w:marTop w:val="0"/>
      <w:marBottom w:val="0"/>
      <w:divBdr>
        <w:top w:val="none" w:sz="0" w:space="0" w:color="auto"/>
        <w:left w:val="none" w:sz="0" w:space="0" w:color="auto"/>
        <w:bottom w:val="none" w:sz="0" w:space="0" w:color="auto"/>
        <w:right w:val="none" w:sz="0" w:space="0" w:color="auto"/>
      </w:divBdr>
      <w:divsChild>
        <w:div w:id="383338319">
          <w:marLeft w:val="0"/>
          <w:marRight w:val="0"/>
          <w:marTop w:val="0"/>
          <w:marBottom w:val="0"/>
          <w:divBdr>
            <w:top w:val="none" w:sz="0" w:space="0" w:color="auto"/>
            <w:left w:val="none" w:sz="0" w:space="0" w:color="auto"/>
            <w:bottom w:val="none" w:sz="0" w:space="0" w:color="auto"/>
            <w:right w:val="none" w:sz="0" w:space="0" w:color="auto"/>
          </w:divBdr>
          <w:divsChild>
            <w:div w:id="38333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338320">
      <w:marLeft w:val="0"/>
      <w:marRight w:val="0"/>
      <w:marTop w:val="0"/>
      <w:marBottom w:val="0"/>
      <w:divBdr>
        <w:top w:val="none" w:sz="0" w:space="0" w:color="auto"/>
        <w:left w:val="none" w:sz="0" w:space="0" w:color="auto"/>
        <w:bottom w:val="none" w:sz="0" w:space="0" w:color="auto"/>
        <w:right w:val="none" w:sz="0" w:space="0" w:color="auto"/>
      </w:divBdr>
    </w:div>
    <w:div w:id="383338323">
      <w:marLeft w:val="0"/>
      <w:marRight w:val="0"/>
      <w:marTop w:val="0"/>
      <w:marBottom w:val="0"/>
      <w:divBdr>
        <w:top w:val="none" w:sz="0" w:space="0" w:color="auto"/>
        <w:left w:val="none" w:sz="0" w:space="0" w:color="auto"/>
        <w:bottom w:val="none" w:sz="0" w:space="0" w:color="auto"/>
        <w:right w:val="none" w:sz="0" w:space="0" w:color="auto"/>
      </w:divBdr>
    </w:div>
    <w:div w:id="383338325">
      <w:marLeft w:val="0"/>
      <w:marRight w:val="0"/>
      <w:marTop w:val="0"/>
      <w:marBottom w:val="0"/>
      <w:divBdr>
        <w:top w:val="none" w:sz="0" w:space="0" w:color="auto"/>
        <w:left w:val="none" w:sz="0" w:space="0" w:color="auto"/>
        <w:bottom w:val="none" w:sz="0" w:space="0" w:color="auto"/>
        <w:right w:val="none" w:sz="0" w:space="0" w:color="auto"/>
      </w:divBdr>
    </w:div>
    <w:div w:id="383338328">
      <w:marLeft w:val="0"/>
      <w:marRight w:val="0"/>
      <w:marTop w:val="0"/>
      <w:marBottom w:val="0"/>
      <w:divBdr>
        <w:top w:val="none" w:sz="0" w:space="0" w:color="auto"/>
        <w:left w:val="none" w:sz="0" w:space="0" w:color="auto"/>
        <w:bottom w:val="none" w:sz="0" w:space="0" w:color="auto"/>
        <w:right w:val="none" w:sz="0" w:space="0" w:color="auto"/>
      </w:divBdr>
      <w:divsChild>
        <w:div w:id="383338307">
          <w:marLeft w:val="0"/>
          <w:marRight w:val="0"/>
          <w:marTop w:val="0"/>
          <w:marBottom w:val="0"/>
          <w:divBdr>
            <w:top w:val="none" w:sz="0" w:space="0" w:color="auto"/>
            <w:left w:val="none" w:sz="0" w:space="0" w:color="auto"/>
            <w:bottom w:val="none" w:sz="0" w:space="0" w:color="auto"/>
            <w:right w:val="none" w:sz="0" w:space="0" w:color="auto"/>
          </w:divBdr>
          <w:divsChild>
            <w:div w:id="383338309">
              <w:marLeft w:val="0"/>
              <w:marRight w:val="0"/>
              <w:marTop w:val="0"/>
              <w:marBottom w:val="0"/>
              <w:divBdr>
                <w:top w:val="none" w:sz="0" w:space="0" w:color="auto"/>
                <w:left w:val="none" w:sz="0" w:space="0" w:color="auto"/>
                <w:bottom w:val="none" w:sz="0" w:space="0" w:color="auto"/>
                <w:right w:val="none" w:sz="0" w:space="0" w:color="auto"/>
              </w:divBdr>
              <w:divsChild>
                <w:div w:id="383338330">
                  <w:marLeft w:val="0"/>
                  <w:marRight w:val="0"/>
                  <w:marTop w:val="0"/>
                  <w:marBottom w:val="0"/>
                  <w:divBdr>
                    <w:top w:val="none" w:sz="0" w:space="0" w:color="auto"/>
                    <w:left w:val="none" w:sz="0" w:space="0" w:color="auto"/>
                    <w:bottom w:val="none" w:sz="0" w:space="0" w:color="auto"/>
                    <w:right w:val="none" w:sz="0" w:space="0" w:color="auto"/>
                  </w:divBdr>
                  <w:divsChild>
                    <w:div w:id="38333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10">
          <w:marLeft w:val="0"/>
          <w:marRight w:val="0"/>
          <w:marTop w:val="0"/>
          <w:marBottom w:val="0"/>
          <w:divBdr>
            <w:top w:val="none" w:sz="0" w:space="0" w:color="auto"/>
            <w:left w:val="none" w:sz="0" w:space="0" w:color="auto"/>
            <w:bottom w:val="none" w:sz="0" w:space="0" w:color="auto"/>
            <w:right w:val="none" w:sz="0" w:space="0" w:color="auto"/>
          </w:divBdr>
          <w:divsChild>
            <w:div w:id="383338306">
              <w:marLeft w:val="0"/>
              <w:marRight w:val="0"/>
              <w:marTop w:val="0"/>
              <w:marBottom w:val="0"/>
              <w:divBdr>
                <w:top w:val="none" w:sz="0" w:space="0" w:color="auto"/>
                <w:left w:val="none" w:sz="0" w:space="0" w:color="auto"/>
                <w:bottom w:val="none" w:sz="0" w:space="0" w:color="auto"/>
                <w:right w:val="none" w:sz="0" w:space="0" w:color="auto"/>
              </w:divBdr>
              <w:divsChild>
                <w:div w:id="383338305">
                  <w:marLeft w:val="0"/>
                  <w:marRight w:val="0"/>
                  <w:marTop w:val="0"/>
                  <w:marBottom w:val="0"/>
                  <w:divBdr>
                    <w:top w:val="none" w:sz="0" w:space="0" w:color="auto"/>
                    <w:left w:val="none" w:sz="0" w:space="0" w:color="auto"/>
                    <w:bottom w:val="none" w:sz="0" w:space="0" w:color="auto"/>
                    <w:right w:val="none" w:sz="0" w:space="0" w:color="auto"/>
                  </w:divBdr>
                  <w:divsChild>
                    <w:div w:id="38333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29">
      <w:marLeft w:val="0"/>
      <w:marRight w:val="0"/>
      <w:marTop w:val="0"/>
      <w:marBottom w:val="0"/>
      <w:divBdr>
        <w:top w:val="none" w:sz="0" w:space="0" w:color="auto"/>
        <w:left w:val="none" w:sz="0" w:space="0" w:color="auto"/>
        <w:bottom w:val="none" w:sz="0" w:space="0" w:color="auto"/>
        <w:right w:val="none" w:sz="0" w:space="0" w:color="auto"/>
      </w:divBdr>
    </w:div>
    <w:div w:id="441417465">
      <w:bodyDiv w:val="1"/>
      <w:marLeft w:val="0"/>
      <w:marRight w:val="0"/>
      <w:marTop w:val="0"/>
      <w:marBottom w:val="0"/>
      <w:divBdr>
        <w:top w:val="none" w:sz="0" w:space="0" w:color="auto"/>
        <w:left w:val="none" w:sz="0" w:space="0" w:color="auto"/>
        <w:bottom w:val="none" w:sz="0" w:space="0" w:color="auto"/>
        <w:right w:val="none" w:sz="0" w:space="0" w:color="auto"/>
      </w:divBdr>
    </w:div>
    <w:div w:id="558635445">
      <w:bodyDiv w:val="1"/>
      <w:marLeft w:val="0"/>
      <w:marRight w:val="0"/>
      <w:marTop w:val="0"/>
      <w:marBottom w:val="0"/>
      <w:divBdr>
        <w:top w:val="none" w:sz="0" w:space="0" w:color="auto"/>
        <w:left w:val="none" w:sz="0" w:space="0" w:color="auto"/>
        <w:bottom w:val="none" w:sz="0" w:space="0" w:color="auto"/>
        <w:right w:val="none" w:sz="0" w:space="0" w:color="auto"/>
      </w:divBdr>
    </w:div>
    <w:div w:id="1439519754">
      <w:bodyDiv w:val="1"/>
      <w:marLeft w:val="0"/>
      <w:marRight w:val="0"/>
      <w:marTop w:val="0"/>
      <w:marBottom w:val="0"/>
      <w:divBdr>
        <w:top w:val="none" w:sz="0" w:space="0" w:color="auto"/>
        <w:left w:val="none" w:sz="0" w:space="0" w:color="auto"/>
        <w:bottom w:val="none" w:sz="0" w:space="0" w:color="auto"/>
        <w:right w:val="none" w:sz="0" w:space="0" w:color="auto"/>
      </w:divBdr>
    </w:div>
    <w:div w:id="1910921418">
      <w:bodyDiv w:val="1"/>
      <w:marLeft w:val="0"/>
      <w:marRight w:val="0"/>
      <w:marTop w:val="0"/>
      <w:marBottom w:val="0"/>
      <w:divBdr>
        <w:top w:val="none" w:sz="0" w:space="0" w:color="auto"/>
        <w:left w:val="none" w:sz="0" w:space="0" w:color="auto"/>
        <w:bottom w:val="none" w:sz="0" w:space="0" w:color="auto"/>
        <w:right w:val="none" w:sz="0" w:space="0" w:color="auto"/>
      </w:divBdr>
    </w:div>
    <w:div w:id="2019770919">
      <w:bodyDiv w:val="1"/>
      <w:marLeft w:val="0"/>
      <w:marRight w:val="0"/>
      <w:marTop w:val="0"/>
      <w:marBottom w:val="0"/>
      <w:divBdr>
        <w:top w:val="none" w:sz="0" w:space="0" w:color="auto"/>
        <w:left w:val="none" w:sz="0" w:space="0" w:color="auto"/>
        <w:bottom w:val="none" w:sz="0" w:space="0" w:color="auto"/>
        <w:right w:val="none" w:sz="0" w:space="0" w:color="auto"/>
      </w:divBdr>
    </w:div>
    <w:div w:id="2105954149">
      <w:bodyDiv w:val="1"/>
      <w:marLeft w:val="0"/>
      <w:marRight w:val="0"/>
      <w:marTop w:val="0"/>
      <w:marBottom w:val="0"/>
      <w:divBdr>
        <w:top w:val="none" w:sz="0" w:space="0" w:color="auto"/>
        <w:left w:val="none" w:sz="0" w:space="0" w:color="auto"/>
        <w:bottom w:val="none" w:sz="0" w:space="0" w:color="auto"/>
        <w:right w:val="none" w:sz="0" w:space="0" w:color="auto"/>
      </w:divBdr>
    </w:div>
    <w:div w:id="212299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07/relationships/hdphoto" Target="media/hdphoto3.wdp"/><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1.png"/><Relationship Id="rId33" Type="http://schemas.microsoft.com/office/2011/relationships/people" Target="people.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footer" Target="footer1.xml"/><Relationship Id="rId10" Type="http://schemas.microsoft.com/office/2016/09/relationships/commentsIds" Target="commentsIds.xml"/><Relationship Id="rId19" Type="http://schemas.openxmlformats.org/officeDocument/2006/relationships/image" Target="media/image5.png"/><Relationship Id="rId31" Type="http://schemas.openxmlformats.org/officeDocument/2006/relationships/footer" Target="footer3.xml"/><Relationship Id="rId4" Type="http://schemas.openxmlformats.org/officeDocument/2006/relationships/settings" Target="settings.xml"/><Relationship Id="rId9" Type="http://schemas.microsoft.com/office/2011/relationships/commentsExtended" Target="commentsExtended.xml"/><Relationship Id="rId14" Type="http://schemas.microsoft.com/office/2007/relationships/hdphoto" Target="media/hdphoto1.wdp"/><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comments" Target="comments.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3AD3C-0A42-4AD3-917C-17024F541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36</Pages>
  <Words>35278</Words>
  <Characters>201088</Characters>
  <Application>Microsoft Office Word</Application>
  <DocSecurity>0</DocSecurity>
  <Lines>1675</Lines>
  <Paragraphs>471</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235895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r</cp:lastModifiedBy>
  <cp:revision>32</cp:revision>
  <cp:lastPrinted>2008-11-01T04:52:00Z</cp:lastPrinted>
  <dcterms:created xsi:type="dcterms:W3CDTF">2025-04-26T02:59:00Z</dcterms:created>
  <dcterms:modified xsi:type="dcterms:W3CDTF">2025-06-11T06:22:00Z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http://www.zotero.org/styles/apa</vt:lpwstr>
  </property>
  <property fmtid="{D5CDD505-2E9C-101B-9397-08002B2CF9AE}" pid="23" name="Mendeley Document_1">
    <vt:lpwstr>True</vt:lpwstr>
  </property>
  <property fmtid="{D5CDD505-2E9C-101B-9397-08002B2CF9AE}" pid="24" name="Mendeley Unique User Id_1">
    <vt:lpwstr>0ecf22fc-d155-3095-b975-1e9648574976</vt:lpwstr>
  </property>
</Properties>
</file>