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AFD786" w14:textId="77777777" w:rsidR="00D21250" w:rsidRPr="00D21250" w:rsidRDefault="00D21250" w:rsidP="00D21250">
      <w:pPr>
        <w:jc w:val="center"/>
        <w:rPr>
          <w:rFonts w:ascii="Calibri Light" w:hAnsi="Calibri Light" w:cs="Calibri Light"/>
          <w:b/>
          <w:bCs/>
          <w:sz w:val="28"/>
          <w:szCs w:val="28"/>
          <w:lang w:val="en-ID"/>
        </w:rPr>
      </w:pPr>
      <w:r w:rsidRPr="00D21250">
        <w:rPr>
          <w:rFonts w:ascii="Calibri Light" w:hAnsi="Calibri Light" w:cs="Calibri Light"/>
          <w:b/>
          <w:bCs/>
          <w:sz w:val="28"/>
          <w:szCs w:val="28"/>
          <w:lang w:val="en-ID"/>
        </w:rPr>
        <w:t xml:space="preserve">Basel Accords and Islamic Banking Regulation: A Bibliometric Analysis of </w:t>
      </w:r>
      <w:r w:rsidRPr="00C60479">
        <w:rPr>
          <w:rFonts w:ascii="Calibri Light" w:hAnsi="Calibri Light" w:cs="Calibri Light"/>
          <w:b/>
          <w:bCs/>
          <w:sz w:val="28"/>
          <w:szCs w:val="28"/>
          <w:highlight w:val="yellow"/>
          <w:lang w:val="en-ID"/>
        </w:rPr>
        <w:t>Sharia, Governance, and Capital Adequacy</w:t>
      </w:r>
    </w:p>
    <w:p w14:paraId="67FE3D64" w14:textId="77777777" w:rsidR="00EA3CA2" w:rsidRPr="008A257B" w:rsidRDefault="00EA3CA2" w:rsidP="00EA3CA2">
      <w:pPr>
        <w:rPr>
          <w:rFonts w:ascii="Calibri Light" w:hAnsi="Calibri Light" w:cs="Calibri Light"/>
          <w:b/>
          <w:bCs/>
          <w:sz w:val="28"/>
          <w:szCs w:val="28"/>
          <w:rtl/>
          <w:lang w:val="en-ID"/>
        </w:rPr>
      </w:pPr>
    </w:p>
    <w:p w14:paraId="1F86168C" w14:textId="7755DB06" w:rsidR="00EA3CA2" w:rsidRPr="00F97E21" w:rsidRDefault="00EA3CA2" w:rsidP="00EA3CA2">
      <w:pPr>
        <w:rPr>
          <w:rFonts w:ascii="Calibri Light" w:hAnsi="Calibri Light" w:cs="Calibri Light"/>
          <w:b/>
          <w:bCs/>
          <w:sz w:val="24"/>
          <w:szCs w:val="24"/>
          <w:vertAlign w:val="superscript"/>
        </w:rPr>
      </w:pPr>
      <w:r w:rsidRPr="00901F00">
        <w:rPr>
          <w:rFonts w:ascii="Calibri Light" w:hAnsi="Calibri Light" w:cs="Calibri Light"/>
          <w:b/>
          <w:bCs/>
          <w:sz w:val="24"/>
          <w:szCs w:val="24"/>
        </w:rPr>
        <w:t>Mariam Elbanna</w:t>
      </w:r>
      <w:r w:rsidRPr="00122F5F">
        <w:rPr>
          <w:rFonts w:ascii="Calibri Light" w:hAnsi="Calibri Light" w:cs="Calibri Light"/>
          <w:b/>
          <w:bCs/>
          <w:sz w:val="24"/>
          <w:szCs w:val="24"/>
          <w:vertAlign w:val="superscript"/>
        </w:rPr>
        <w:t>1</w:t>
      </w:r>
      <w:r w:rsidRPr="00122F5F">
        <w:rPr>
          <w:rFonts w:ascii="Calibri Light" w:hAnsi="Calibri Light" w:cs="Calibri Light"/>
          <w:b/>
          <w:bCs/>
          <w:sz w:val="24"/>
          <w:szCs w:val="24"/>
        </w:rPr>
        <w:t>,</w:t>
      </w:r>
      <w:r w:rsidRPr="00901F00">
        <w:rPr>
          <w:rFonts w:ascii="Arial" w:hAnsi="Arial" w:cs="Arial"/>
          <w:color w:val="222222"/>
          <w:shd w:val="clear" w:color="auto" w:fill="FFFFFF"/>
        </w:rPr>
        <w:t xml:space="preserve"> </w:t>
      </w:r>
      <w:r w:rsidRPr="00901F00">
        <w:rPr>
          <w:rFonts w:ascii="Calibri Light" w:hAnsi="Calibri Light" w:cs="Calibri Light"/>
          <w:b/>
          <w:bCs/>
          <w:sz w:val="24"/>
          <w:szCs w:val="24"/>
        </w:rPr>
        <w:t>Muthoifin</w:t>
      </w:r>
      <w:r w:rsidR="00AC0C00">
        <w:rPr>
          <w:rFonts w:ascii="Calibri Light" w:hAnsi="Calibri Light" w:cs="Calibri Light"/>
          <w:b/>
          <w:bCs/>
          <w:sz w:val="24"/>
          <w:szCs w:val="24"/>
        </w:rPr>
        <w:t>*</w:t>
      </w:r>
      <w:r w:rsidRPr="00122F5F">
        <w:rPr>
          <w:rFonts w:ascii="Calibri Light" w:hAnsi="Calibri Light" w:cs="Calibri Light"/>
          <w:b/>
          <w:bCs/>
          <w:sz w:val="24"/>
          <w:szCs w:val="24"/>
          <w:vertAlign w:val="superscript"/>
        </w:rPr>
        <w:t>2</w:t>
      </w:r>
      <w:r>
        <w:rPr>
          <w:rFonts w:ascii="Calibri Light" w:hAnsi="Calibri Light" w:cs="Calibri Light"/>
          <w:b/>
          <w:bCs/>
          <w:sz w:val="24"/>
          <w:szCs w:val="24"/>
        </w:rPr>
        <w:t xml:space="preserve">, </w:t>
      </w:r>
      <w:r w:rsidRPr="00901F00">
        <w:rPr>
          <w:rFonts w:ascii="Calibri Light" w:hAnsi="Calibri Light" w:cs="Calibri Light"/>
          <w:b/>
          <w:bCs/>
          <w:sz w:val="24"/>
          <w:szCs w:val="24"/>
        </w:rPr>
        <w:t>Andri Nirwana</w:t>
      </w:r>
      <w:r>
        <w:rPr>
          <w:rFonts w:ascii="Calibri Light" w:hAnsi="Calibri Light" w:cs="Calibri Light"/>
          <w:b/>
          <w:bCs/>
          <w:sz w:val="24"/>
          <w:szCs w:val="24"/>
          <w:vertAlign w:val="superscript"/>
        </w:rPr>
        <w:t>3</w:t>
      </w:r>
      <w:r>
        <w:rPr>
          <w:rFonts w:ascii="Calibri Light" w:hAnsi="Calibri Light" w:cs="Calibri Light"/>
          <w:b/>
          <w:bCs/>
          <w:sz w:val="24"/>
          <w:szCs w:val="24"/>
        </w:rPr>
        <w:t>,</w:t>
      </w:r>
      <w:r w:rsidR="00AC0C00">
        <w:rPr>
          <w:rFonts w:ascii="Arial" w:hAnsi="Arial" w:cs="Arial"/>
          <w:sz w:val="25"/>
          <w:szCs w:val="25"/>
          <w:shd w:val="clear" w:color="auto" w:fill="FFFFFF"/>
        </w:rPr>
        <w:t xml:space="preserve"> </w:t>
      </w:r>
      <w:r w:rsidRPr="00F97E21">
        <w:rPr>
          <w:rFonts w:ascii="Calibri Light" w:hAnsi="Calibri Light" w:cs="Calibri Light"/>
          <w:b/>
          <w:bCs/>
          <w:sz w:val="24"/>
          <w:szCs w:val="24"/>
        </w:rPr>
        <w:t>Isman</w:t>
      </w:r>
      <w:r>
        <w:rPr>
          <w:rFonts w:ascii="Calibri Light" w:hAnsi="Calibri Light" w:cs="Calibri Light"/>
          <w:b/>
          <w:bCs/>
          <w:sz w:val="24"/>
          <w:szCs w:val="24"/>
          <w:vertAlign w:val="superscript"/>
        </w:rPr>
        <w:t>4</w:t>
      </w:r>
    </w:p>
    <w:p w14:paraId="761BBDF1" w14:textId="77777777" w:rsidR="00EA3CA2" w:rsidRPr="00B23F90" w:rsidRDefault="00EA3CA2" w:rsidP="00EA3CA2">
      <w:pPr>
        <w:rPr>
          <w:rFonts w:ascii="Calibri Light" w:hAnsi="Calibri Light" w:cs="Calibri Light"/>
          <w:color w:val="A6A6A6"/>
          <w:sz w:val="24"/>
          <w:szCs w:val="24"/>
        </w:rPr>
      </w:pPr>
    </w:p>
    <w:p w14:paraId="2152B286" w14:textId="6273F7DF" w:rsidR="00EA3CA2" w:rsidRPr="00122F5F" w:rsidRDefault="00EA3CA2" w:rsidP="00EA3CA2">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Pr="00D67519">
        <w:rPr>
          <w:rFonts w:ascii="Calibri Light" w:hAnsi="Calibri Light" w:cs="Calibri Light"/>
          <w:sz w:val="24"/>
          <w:szCs w:val="24"/>
        </w:rPr>
        <w:t>Department of Islamic Economic Law</w:t>
      </w:r>
      <w:r w:rsidRPr="00122F5F">
        <w:rPr>
          <w:rFonts w:ascii="Calibri Light" w:hAnsi="Calibri Light" w:cs="Calibri Light"/>
          <w:sz w:val="24"/>
          <w:szCs w:val="24"/>
        </w:rPr>
        <w:t xml:space="preserve">, </w:t>
      </w:r>
      <w:bookmarkStart w:id="0" w:name="_Hlk196391551"/>
      <w:r>
        <w:rPr>
          <w:rFonts w:ascii="Calibri Light" w:hAnsi="Calibri Light" w:cs="Calibri Light"/>
          <w:sz w:val="24"/>
          <w:szCs w:val="24"/>
        </w:rPr>
        <w:t>Universitas Muhammadiyah Surakarta</w:t>
      </w:r>
      <w:r w:rsidRPr="00122F5F">
        <w:rPr>
          <w:rFonts w:ascii="Calibri Light" w:hAnsi="Calibri Light" w:cs="Calibri Light"/>
          <w:sz w:val="24"/>
          <w:szCs w:val="24"/>
        </w:rPr>
        <w:t xml:space="preserve">, </w:t>
      </w:r>
      <w:r>
        <w:rPr>
          <w:rFonts w:ascii="Calibri Light" w:hAnsi="Calibri Light" w:cs="Calibri Light"/>
          <w:sz w:val="24"/>
          <w:szCs w:val="24"/>
        </w:rPr>
        <w:t>Surakarta</w:t>
      </w:r>
      <w:r w:rsidRPr="00122F5F">
        <w:rPr>
          <w:rFonts w:ascii="Calibri Light" w:hAnsi="Calibri Light" w:cs="Calibri Light"/>
          <w:sz w:val="24"/>
          <w:szCs w:val="24"/>
        </w:rPr>
        <w:t xml:space="preserve">, </w:t>
      </w:r>
      <w:r>
        <w:rPr>
          <w:rFonts w:ascii="Calibri Light" w:hAnsi="Calibri Light" w:cs="Calibri Light"/>
          <w:sz w:val="24"/>
          <w:szCs w:val="24"/>
        </w:rPr>
        <w:t>Indonesia</w:t>
      </w:r>
      <w:bookmarkEnd w:id="0"/>
      <w:r w:rsidRPr="00122F5F">
        <w:rPr>
          <w:rFonts w:ascii="Calibri Light" w:hAnsi="Calibri Light" w:cs="Calibri Light"/>
          <w:sz w:val="24"/>
          <w:szCs w:val="24"/>
        </w:rPr>
        <w:t xml:space="preserve">, </w:t>
      </w:r>
      <w:hyperlink r:id="rId8" w:history="1">
        <w:r w:rsidRPr="00547B1A">
          <w:rPr>
            <w:rStyle w:val="Hyperlink"/>
            <w:rFonts w:ascii="Calibri Light" w:hAnsi="Calibri Light" w:cs="Calibri Light"/>
            <w:sz w:val="24"/>
            <w:szCs w:val="24"/>
          </w:rPr>
          <w:t>O200249004@student.ums.ac.id</w:t>
        </w:r>
      </w:hyperlink>
      <w:r>
        <w:rPr>
          <w:rFonts w:ascii="Calibri Light" w:hAnsi="Calibri Light" w:cs="Calibri Light" w:hint="cs"/>
          <w:sz w:val="24"/>
          <w:szCs w:val="24"/>
          <w:rtl/>
        </w:rPr>
        <w:t xml:space="preserve"> </w:t>
      </w:r>
    </w:p>
    <w:p w14:paraId="5D4D48CD" w14:textId="3C37050E" w:rsidR="00EA3CA2" w:rsidRPr="0050681A" w:rsidRDefault="00EA3CA2" w:rsidP="0050681A">
      <w:pPr>
        <w:rPr>
          <w:rFonts w:ascii="Calibri Light" w:hAnsi="Calibri Light" w:cs="Calibri Light"/>
          <w:sz w:val="24"/>
          <w:szCs w:val="24"/>
        </w:rPr>
      </w:pPr>
      <w:r w:rsidRPr="00122F5F">
        <w:rPr>
          <w:rFonts w:ascii="Calibri Light" w:hAnsi="Calibri Light" w:cs="Calibri Light"/>
          <w:sz w:val="24"/>
          <w:szCs w:val="24"/>
          <w:vertAlign w:val="superscript"/>
        </w:rPr>
        <w:t>2</w:t>
      </w:r>
      <w:r>
        <w:rPr>
          <w:rFonts w:ascii="Calibri Light" w:hAnsi="Calibri Light" w:cs="Calibri Light"/>
          <w:sz w:val="24"/>
          <w:szCs w:val="24"/>
        </w:rPr>
        <w:t>Un</w:t>
      </w:r>
      <w:r w:rsidRPr="00F52B04">
        <w:rPr>
          <w:rFonts w:ascii="Calibri Light" w:hAnsi="Calibri Light" w:cs="Calibri Light"/>
          <w:sz w:val="24"/>
          <w:szCs w:val="24"/>
        </w:rPr>
        <w:t>iversitas Muhammadiyah Surakarta, Surakarta, Jawa Tengah 57162, Indonesia</w:t>
      </w:r>
      <w:r w:rsidRPr="00122F5F">
        <w:rPr>
          <w:rFonts w:ascii="Calibri Light" w:hAnsi="Calibri Light" w:cs="Calibri Light"/>
          <w:sz w:val="24"/>
          <w:szCs w:val="24"/>
        </w:rPr>
        <w:t>,</w:t>
      </w:r>
      <w:r w:rsidR="0050681A">
        <w:rPr>
          <w:rFonts w:ascii="Calibri Light" w:hAnsi="Calibri Light" w:cs="Calibri Light"/>
          <w:sz w:val="24"/>
          <w:szCs w:val="24"/>
        </w:rPr>
        <w:t xml:space="preserve"> </w:t>
      </w:r>
      <w:hyperlink r:id="rId9" w:history="1">
        <w:r w:rsidR="0050681A" w:rsidRPr="004B4980">
          <w:rPr>
            <w:rStyle w:val="Hyperlink"/>
            <w:rFonts w:ascii="Calibri Light" w:hAnsi="Calibri Light" w:cs="Calibri Light"/>
            <w:sz w:val="24"/>
            <w:szCs w:val="24"/>
          </w:rPr>
          <w:t>mut122@ums.ac.id</w:t>
        </w:r>
      </w:hyperlink>
    </w:p>
    <w:p w14:paraId="792963D6" w14:textId="3537A1F8" w:rsidR="00EA3CA2" w:rsidRPr="00B97C5A" w:rsidRDefault="00EA3CA2" w:rsidP="00B97C5A">
      <w:pPr>
        <w:rPr>
          <w:rFonts w:ascii="Calibri Light" w:hAnsi="Calibri Light" w:cs="Calibri Light"/>
          <w:sz w:val="24"/>
          <w:szCs w:val="24"/>
        </w:rPr>
      </w:pPr>
      <w:r>
        <w:rPr>
          <w:rFonts w:ascii="Calibri Light" w:hAnsi="Calibri Light" w:cs="Calibri Light"/>
          <w:sz w:val="24"/>
          <w:szCs w:val="24"/>
          <w:vertAlign w:val="superscript"/>
        </w:rPr>
        <w:t>3</w:t>
      </w:r>
      <w:r w:rsidRPr="00E90314">
        <w:rPr>
          <w:rFonts w:ascii="Calibri Light" w:hAnsi="Calibri Light" w:cs="Calibri Light"/>
          <w:sz w:val="24"/>
          <w:szCs w:val="24"/>
        </w:rPr>
        <w:t>Universitas Muhammadiyah Surakarta, Surakarta, Jawa Tengah 57162, Indonesia</w:t>
      </w:r>
      <w:r>
        <w:rPr>
          <w:rFonts w:ascii="Calibri Light" w:hAnsi="Calibri Light" w:cs="Calibri Light"/>
          <w:sz w:val="24"/>
          <w:szCs w:val="24"/>
        </w:rPr>
        <w:t>,</w:t>
      </w:r>
      <w:r w:rsidR="00B97C5A">
        <w:rPr>
          <w:rFonts w:ascii="Calibri Light" w:hAnsi="Calibri Light" w:cs="Calibri Light"/>
          <w:sz w:val="24"/>
          <w:szCs w:val="24"/>
        </w:rPr>
        <w:t xml:space="preserve"> </w:t>
      </w:r>
      <w:hyperlink r:id="rId10" w:history="1">
        <w:r w:rsidR="0050681A" w:rsidRPr="004B4980">
          <w:rPr>
            <w:rStyle w:val="Hyperlink"/>
            <w:rFonts w:ascii="Calibri Light" w:hAnsi="Calibri Light" w:cs="Calibri Light"/>
            <w:sz w:val="24"/>
            <w:szCs w:val="24"/>
          </w:rPr>
          <w:t>an140@ums.ac.id</w:t>
        </w:r>
      </w:hyperlink>
    </w:p>
    <w:p w14:paraId="43E7F876" w14:textId="6B9E3715" w:rsidR="00EA3CA2" w:rsidRPr="001A410B" w:rsidRDefault="00EA3CA2" w:rsidP="00EA3CA2">
      <w:pPr>
        <w:rPr>
          <w:rFonts w:ascii="Calibri Light" w:hAnsi="Calibri Light" w:cs="Calibri Light"/>
          <w:sz w:val="24"/>
          <w:szCs w:val="24"/>
        </w:rPr>
      </w:pPr>
      <w:r>
        <w:rPr>
          <w:rFonts w:ascii="Calibri Light" w:hAnsi="Calibri Light" w:cs="Calibri Light"/>
          <w:sz w:val="24"/>
          <w:szCs w:val="24"/>
          <w:vertAlign w:val="superscript"/>
        </w:rPr>
        <w:t>4</w:t>
      </w:r>
      <w:r w:rsidRPr="001A410B">
        <w:rPr>
          <w:rFonts w:ascii="Calibri Light" w:hAnsi="Calibri Light" w:cs="Calibri Light"/>
          <w:sz w:val="24"/>
          <w:szCs w:val="24"/>
        </w:rPr>
        <w:t xml:space="preserve">Department of Islamic Economic Law, Universitas Muhammadiyah Surakarta, Surakarta, Indonesia, </w:t>
      </w:r>
      <w:hyperlink r:id="rId11" w:history="1">
        <w:r w:rsidRPr="00547B1A">
          <w:rPr>
            <w:rStyle w:val="Hyperlink"/>
            <w:rFonts w:ascii="Calibri Light" w:hAnsi="Calibri Light" w:cs="Calibri Light"/>
            <w:sz w:val="24"/>
            <w:szCs w:val="24"/>
          </w:rPr>
          <w:t>ism190@ums.ac.id</w:t>
        </w:r>
      </w:hyperlink>
    </w:p>
    <w:p w14:paraId="35339A1D" w14:textId="77777777" w:rsidR="00EA3CA2" w:rsidRPr="001A410B" w:rsidRDefault="00EA3CA2" w:rsidP="00EA3CA2">
      <w:pPr>
        <w:rPr>
          <w:rFonts w:ascii="Calibri Light" w:hAnsi="Calibri Light" w:cs="Calibri Light"/>
          <w:sz w:val="24"/>
          <w:szCs w:val="24"/>
        </w:rPr>
      </w:pPr>
    </w:p>
    <w:p w14:paraId="4995D68C" w14:textId="1EF7DA4E" w:rsidR="00DE1E48" w:rsidRPr="00122F5F" w:rsidRDefault="00B97C5A" w:rsidP="00B97C5A">
      <w:pPr>
        <w:rPr>
          <w:rFonts w:ascii="Calibri Light" w:hAnsi="Calibri Light" w:cs="Calibri Light"/>
          <w:sz w:val="24"/>
          <w:szCs w:val="24"/>
        </w:rPr>
      </w:pPr>
      <w:r>
        <w:rPr>
          <w:rFonts w:ascii="Calibri Light" w:hAnsi="Calibri Light" w:cs="Calibri Light"/>
          <w:sz w:val="24"/>
          <w:szCs w:val="24"/>
        </w:rPr>
        <w:t>*</w:t>
      </w:r>
      <w:hyperlink r:id="rId12" w:history="1">
        <w:r w:rsidRPr="004B4980">
          <w:rPr>
            <w:rStyle w:val="Hyperlink"/>
            <w:rFonts w:ascii="Calibri Light" w:hAnsi="Calibri Light" w:cs="Calibri Light"/>
            <w:sz w:val="24"/>
            <w:szCs w:val="24"/>
          </w:rPr>
          <w:t>mut122@ums.ac.id</w:t>
        </w:r>
      </w:hyperlink>
    </w:p>
    <w:p w14:paraId="315B68BA" w14:textId="77777777" w:rsidR="00B97C5A" w:rsidRDefault="00B97C5A" w:rsidP="00863A78">
      <w:pPr>
        <w:ind w:right="737"/>
        <w:rPr>
          <w:rFonts w:ascii="Calibri Light" w:hAnsi="Calibri Light" w:cs="Calibri Light"/>
        </w:rPr>
      </w:pPr>
    </w:p>
    <w:p w14:paraId="1454A0DD" w14:textId="6018C571"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 xml:space="preserve">Received: </w:t>
      </w:r>
    </w:p>
    <w:p w14:paraId="0DABF643" w14:textId="7E2B0D4A" w:rsidR="00863A78" w:rsidRPr="00863A78" w:rsidRDefault="00863A78" w:rsidP="00087E52">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p>
    <w:p w14:paraId="19130FC1" w14:textId="54A9C4D8" w:rsidR="00863A78" w:rsidRPr="00863A78" w:rsidRDefault="00863A78" w:rsidP="00087E52">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p>
    <w:p w14:paraId="0B50276C" w14:textId="77777777" w:rsidR="00863A78" w:rsidRPr="00863A78" w:rsidRDefault="00863A78" w:rsidP="00863A78">
      <w:pPr>
        <w:ind w:right="737"/>
        <w:rPr>
          <w:rFonts w:ascii="Calibri Light" w:hAnsi="Calibri Light" w:cs="Calibri Light"/>
          <w:b/>
          <w:bCs/>
        </w:rPr>
      </w:pPr>
    </w:p>
    <w:p w14:paraId="1D051894" w14:textId="0FF18124" w:rsidR="00863A78" w:rsidRPr="00863A78" w:rsidRDefault="005742A6"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6B4A0583" wp14:editId="350EF2ED">
            <wp:extent cx="263525" cy="255270"/>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3525" cy="25527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p>
    <w:p w14:paraId="678C9E09"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4F766956" w14:textId="77777777" w:rsidTr="00540F02">
        <w:tc>
          <w:tcPr>
            <w:tcW w:w="9004" w:type="dxa"/>
            <w:tcBorders>
              <w:left w:val="nil"/>
              <w:right w:val="nil"/>
            </w:tcBorders>
          </w:tcPr>
          <w:p w14:paraId="1897A8EC" w14:textId="77777777" w:rsidR="00863A78" w:rsidRPr="00540F02" w:rsidRDefault="00863A78" w:rsidP="00540F02">
            <w:pPr>
              <w:ind w:right="2"/>
              <w:jc w:val="both"/>
              <w:rPr>
                <w:rFonts w:ascii="Calibri Light" w:hAnsi="Calibri Light" w:cs="Calibri Light"/>
                <w:sz w:val="12"/>
                <w:szCs w:val="12"/>
              </w:rPr>
            </w:pPr>
          </w:p>
          <w:p w14:paraId="7AC41569" w14:textId="77777777" w:rsidR="00863A78" w:rsidRPr="00540F02" w:rsidRDefault="00863A78" w:rsidP="002D33A7">
            <w:pPr>
              <w:ind w:right="2"/>
              <w:jc w:val="both"/>
              <w:rPr>
                <w:rFonts w:ascii="Calibri Light" w:hAnsi="Calibri Light" w:cs="Calibri Light"/>
                <w:b/>
                <w:bCs/>
                <w:sz w:val="12"/>
                <w:szCs w:val="12"/>
              </w:rPr>
            </w:pPr>
          </w:p>
        </w:tc>
      </w:tr>
    </w:tbl>
    <w:p w14:paraId="0CB3DC64" w14:textId="77777777" w:rsidR="00863A78" w:rsidRDefault="00863A78" w:rsidP="00863A78">
      <w:pPr>
        <w:ind w:right="737"/>
        <w:rPr>
          <w:rFonts w:ascii="Calibri Light" w:hAnsi="Calibri Light" w:cs="Calibri Light"/>
          <w:b/>
          <w:bCs/>
          <w:sz w:val="24"/>
          <w:szCs w:val="24"/>
        </w:rPr>
      </w:pPr>
    </w:p>
    <w:p w14:paraId="194722AB" w14:textId="5909BB02" w:rsidR="00C921FA" w:rsidRDefault="00A27B34" w:rsidP="00C921FA">
      <w:pPr>
        <w:ind w:right="-1"/>
        <w:jc w:val="both"/>
        <w:rPr>
          <w:rFonts w:ascii="Calibri Light" w:hAnsi="Calibri Light" w:cs="Calibri Light"/>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p>
    <w:p w14:paraId="391C9CD5" w14:textId="65848DF9" w:rsidR="00C921FA" w:rsidRDefault="00C921FA" w:rsidP="00851870">
      <w:pPr>
        <w:ind w:right="737"/>
        <w:jc w:val="both"/>
        <w:rPr>
          <w:rFonts w:ascii="Calibri Light" w:hAnsi="Calibri Light" w:cs="Calibri Light"/>
          <w:sz w:val="24"/>
          <w:szCs w:val="24"/>
          <w:rtl/>
          <w:lang w:val="en-ID"/>
        </w:rPr>
      </w:pPr>
      <w:r w:rsidRPr="00C921FA">
        <w:rPr>
          <w:rFonts w:ascii="Calibri Light" w:hAnsi="Calibri Light" w:cs="Calibri Light"/>
          <w:sz w:val="24"/>
          <w:szCs w:val="24"/>
          <w:lang w:val="en-ID"/>
        </w:rPr>
        <w:t>This study conducts a bibliometric analysis of research addressing the intersection between the Basel Accords and Islamic banking. Using data extracted from the Scopus database covering the period from 20</w:t>
      </w:r>
      <w:r>
        <w:rPr>
          <w:rFonts w:ascii="Calibri Light" w:hAnsi="Calibri Light" w:cs="Calibri Light" w:hint="cs"/>
          <w:sz w:val="24"/>
          <w:szCs w:val="24"/>
          <w:rtl/>
          <w:lang w:val="en-ID"/>
        </w:rPr>
        <w:t>1</w:t>
      </w:r>
      <w:r w:rsidRPr="00C921FA">
        <w:rPr>
          <w:rFonts w:ascii="Calibri Light" w:hAnsi="Calibri Light" w:cs="Calibri Light"/>
          <w:sz w:val="24"/>
          <w:szCs w:val="24"/>
          <w:lang w:val="en-ID"/>
        </w:rPr>
        <w:t xml:space="preserve">5 to 2024, a total of 1,149 relevant documents were analyzed. A modified </w:t>
      </w:r>
      <w:r w:rsidRPr="00C921FA">
        <w:rPr>
          <w:rFonts w:ascii="Calibri Light" w:hAnsi="Calibri Light" w:cs="Calibri Light"/>
          <w:sz w:val="24"/>
          <w:szCs w:val="24"/>
          <w:highlight w:val="yellow"/>
          <w:lang w:val="en-ID"/>
        </w:rPr>
        <w:t>PRISMA framework was applied not to assess content quality, but to guide the structured identification, screening, and inclusion of relevant publications—enhancing transparency and reproducibility in the selection process.</w:t>
      </w:r>
      <w:r w:rsidRPr="00C921FA">
        <w:rPr>
          <w:rFonts w:ascii="Calibri Light" w:hAnsi="Calibri Light" w:cs="Calibri Light"/>
          <w:sz w:val="24"/>
          <w:szCs w:val="24"/>
          <w:lang w:val="en-ID"/>
        </w:rPr>
        <w:t xml:space="preserve"> The analysis was conducted using VOSviewer software</w:t>
      </w:r>
      <w:r w:rsidR="002A69EA" w:rsidRPr="002A69EA">
        <w:t xml:space="preserve"> </w:t>
      </w:r>
      <w:r w:rsidR="002A69EA" w:rsidRPr="002A69EA">
        <w:rPr>
          <w:rFonts w:ascii="Calibri Light" w:hAnsi="Calibri Light" w:cs="Calibri Light"/>
          <w:sz w:val="24"/>
          <w:szCs w:val="24"/>
        </w:rPr>
        <w:t>(v1.6.19)</w:t>
      </w:r>
      <w:r w:rsidRPr="00C921FA">
        <w:rPr>
          <w:rFonts w:ascii="Calibri Light" w:hAnsi="Calibri Light" w:cs="Calibri Light"/>
          <w:sz w:val="24"/>
          <w:szCs w:val="24"/>
          <w:lang w:val="en-ID"/>
        </w:rPr>
        <w:t xml:space="preserve"> to identify key trends, thematic clusters, and scholarly networks through co-citation, keyword mapping, and co-authorship analysis.</w:t>
      </w:r>
      <w:r w:rsidRPr="00C921FA">
        <w:rPr>
          <w:rFonts w:ascii="Calibri Light" w:hAnsi="Calibri Light" w:cs="Calibri Light"/>
          <w:sz w:val="24"/>
          <w:szCs w:val="24"/>
          <w:highlight w:val="yellow"/>
          <w:lang w:val="en-ID"/>
        </w:rPr>
        <w:t>The results show that 62% of the literature focuses on Basel III, while only 12% addresses Basel IV</w:t>
      </w:r>
      <w:r w:rsidRPr="00C921FA">
        <w:rPr>
          <w:rFonts w:ascii="Calibri Light" w:hAnsi="Calibri Light" w:cs="Calibri Light"/>
          <w:sz w:val="24"/>
          <w:szCs w:val="24"/>
          <w:lang w:val="en-ID"/>
        </w:rPr>
        <w:t xml:space="preserve">, highlighting a lack of academic engagement with the latest regulatory developments. Thematic analysis revealed three dominant research clusters: the impact of Basel III on capital adequacy in Islamic banks,  challenges related to aligning Basel standards with Sharia principles, and the integration of liquidity risk and financial stability within Islamic financial institutions. </w:t>
      </w:r>
      <w:r w:rsidRPr="00C921FA">
        <w:rPr>
          <w:rFonts w:ascii="Calibri Light" w:hAnsi="Calibri Light" w:cs="Calibri Light"/>
          <w:sz w:val="24"/>
          <w:szCs w:val="24"/>
          <w:highlight w:val="yellow"/>
          <w:lang w:val="en-ID"/>
        </w:rPr>
        <w:t>Malaysia and Indonesia emerged as leading contributors to this field, with a notable rise in publication output during the years 2020–2022</w:t>
      </w:r>
      <w:r w:rsidR="00851870" w:rsidRPr="00851870">
        <w:rPr>
          <w:rFonts w:ascii="Calibri Light" w:hAnsi="Calibri Light" w:cs="Calibri Light"/>
          <w:sz w:val="24"/>
          <w:szCs w:val="24"/>
          <w:highlight w:val="yellow"/>
        </w:rPr>
        <w:t>,</w:t>
      </w:r>
      <w:r w:rsidR="00851870" w:rsidRPr="00851870">
        <w:rPr>
          <w:highlight w:val="yellow"/>
        </w:rPr>
        <w:t xml:space="preserve"> </w:t>
      </w:r>
      <w:r w:rsidR="00851870" w:rsidRPr="00851870">
        <w:rPr>
          <w:rFonts w:ascii="Calibri Light" w:hAnsi="Calibri Light" w:cs="Calibri Light"/>
          <w:sz w:val="24"/>
          <w:szCs w:val="24"/>
          <w:highlight w:val="yellow"/>
        </w:rPr>
        <w:t>together producing over 500 articles</w:t>
      </w:r>
      <w:r w:rsidRPr="00C921FA">
        <w:rPr>
          <w:rFonts w:ascii="Calibri Light" w:hAnsi="Calibri Light" w:cs="Calibri Light"/>
          <w:sz w:val="24"/>
          <w:szCs w:val="24"/>
          <w:highlight w:val="yellow"/>
          <w:lang w:val="en-ID"/>
        </w:rPr>
        <w:t>.</w:t>
      </w:r>
      <w:r w:rsidRPr="00C921FA">
        <w:rPr>
          <w:rFonts w:ascii="Calibri Light" w:hAnsi="Calibri Light" w:cs="Calibri Light"/>
          <w:sz w:val="24"/>
          <w:szCs w:val="24"/>
          <w:lang w:val="en-ID"/>
        </w:rPr>
        <w:t xml:space="preserve">This growth may reflect increased regulatory interest in financial resilience and Islamic finance during and after the COVID-19 period. The study also identifies gaps in the literature, particularly regarding legal harmonization and practical implementation of Basel standards in Sharia-compliant contexts. By mapping the academic landscape, this </w:t>
      </w:r>
      <w:r w:rsidRPr="00C921FA">
        <w:rPr>
          <w:rFonts w:ascii="Calibri Light" w:hAnsi="Calibri Light" w:cs="Calibri Light"/>
          <w:sz w:val="24"/>
          <w:szCs w:val="24"/>
          <w:lang w:val="en-ID"/>
        </w:rPr>
        <w:lastRenderedPageBreak/>
        <w:t>research offers insights into current trends and future directions, supporting scholars, regulators, and financial institutions.</w:t>
      </w:r>
    </w:p>
    <w:p w14:paraId="29B69DB5" w14:textId="77777777" w:rsidR="00C921FA" w:rsidRPr="00C921FA" w:rsidRDefault="00C921FA" w:rsidP="00C921FA">
      <w:pPr>
        <w:ind w:right="737"/>
        <w:jc w:val="both"/>
        <w:rPr>
          <w:rFonts w:ascii="Calibri Light" w:hAnsi="Calibri Light" w:cs="Calibri Light"/>
          <w:sz w:val="24"/>
          <w:szCs w:val="24"/>
          <w:lang w:val="en-ID"/>
        </w:rPr>
      </w:pPr>
    </w:p>
    <w:p w14:paraId="7CCEF7C8" w14:textId="45A2EA35" w:rsidR="00486707" w:rsidRDefault="003C5ADC" w:rsidP="003C5ADC">
      <w:pPr>
        <w:ind w:right="737"/>
        <w:jc w:val="both"/>
        <w:rPr>
          <w:rFonts w:ascii="Calibri Light" w:hAnsi="Calibri Light" w:cs="Calibri Light"/>
          <w:i/>
          <w:iCs/>
          <w:noProof/>
          <w:color w:val="000000"/>
          <w:sz w:val="24"/>
          <w:szCs w:val="24"/>
          <w:rtl/>
        </w:rPr>
      </w:pPr>
      <w:r w:rsidRPr="003C5ADC">
        <w:rPr>
          <w:rFonts w:ascii="Calibri Light" w:hAnsi="Calibri Light" w:cs="Calibri Light"/>
          <w:i/>
          <w:iCs/>
          <w:noProof/>
          <w:color w:val="000000"/>
          <w:sz w:val="24"/>
          <w:szCs w:val="24"/>
        </w:rPr>
        <w:t>Studi ini melakukan analisis bibliometrik terhadap penelitian yang membahas keterkaitan antara Perjanjian Basel (Basel Accords) dan perbankan Islam. Menggunakan data yang diambil dari basis data Scopus selama periode 2015 hingga 2024, sebanyak 1.149 dokumen yang relevan dianalisis. Kerangka kerja PRISMA yang telah dimodifikasi diterapkan bukan untuk menilai kualitas konten, melainkan untuk memandu proses identifikasi, penyaringan, dan inklusi publikasi secara terstruktur—guna meningkatkan transparansi dan replikasi dalam proses seleksi. Analisis dilakukan menggunakan perangkat lunak VOSviewer (versi 1.6.19) untuk mengidentifikasi tren utama, klaster tematik, dan jaringan keilmuan melalui analisis kutipan bersama, pemetaan kata kunci, dan kolaborasi penulis</w:t>
      </w:r>
      <w:r w:rsidRPr="003C5ADC">
        <w:rPr>
          <w:rFonts w:ascii="Calibri Light" w:hAnsi="Calibri Light" w:cs="Calibri Light"/>
          <w:i/>
          <w:iCs/>
          <w:noProof/>
          <w:color w:val="000000"/>
          <w:sz w:val="24"/>
          <w:szCs w:val="24"/>
          <w:highlight w:val="yellow"/>
        </w:rPr>
        <w:t>. Hasilnya menunjukkan bahwa 62% literatur berfokus pada Basel III, sementara hanya 12% yang membahas Basel IV, yang menyoroti kurangnya keterlibatan akademik terhadap perkembangan regulasi terbaru.</w:t>
      </w:r>
      <w:r w:rsidRPr="003C5ADC">
        <w:rPr>
          <w:rFonts w:ascii="Calibri Light" w:hAnsi="Calibri Light" w:cs="Calibri Light"/>
          <w:i/>
          <w:iCs/>
          <w:noProof/>
          <w:color w:val="000000"/>
          <w:sz w:val="24"/>
          <w:szCs w:val="24"/>
        </w:rPr>
        <w:t xml:space="preserve"> Analisis tematik mengungkapkan tiga klaster penelitian dominan: dampak Basel III terhadap kecukupan modal di bank-bank Islam, tantangan dalam menyelaraskan standar Basel dengan prinsip-prinsip syariah, serta integrasi risiko likuiditas dan stabilitas keuangan dalam institusi keuangan Islam. Malaysia dan Indonesia muncul sebagai kontributor utama dalam bidang ini, dengan peningkatan signifikan dalam jumlah publikasi selama tahun 2020–2022, menghasilkan lebih dari 500 artikel. Pertumbuhan ini dapat mencerminkan meningkatnya perhatian regulasi terhadap ketahanan keuangan dan keuangan Islam selama dan setelah periode COVID-19. Studi ini juga mengidentifikasi kesenjangan dalam literatur, khususnya terkait harmonisasi hukum dan implementasi praktis standar Basel dalam konteks kepatuhan syariah. Dengan memetakan lanskap akademik, penelitian ini memberikan wawasan tentang tren saat ini dan arah penelitian di masa depan, serta mendukung para akademisi, regulator, dan lembaga keuangan.</w:t>
      </w:r>
    </w:p>
    <w:p w14:paraId="4FAF3A40" w14:textId="77777777" w:rsidR="003C5ADC" w:rsidRPr="008F0CE5" w:rsidRDefault="003C5ADC" w:rsidP="003C5ADC">
      <w:pPr>
        <w:ind w:right="737"/>
        <w:jc w:val="both"/>
        <w:rPr>
          <w:rFonts w:ascii="Calibri Light" w:hAnsi="Calibri Light" w:cs="Calibri Light"/>
          <w:i/>
          <w:iCs/>
          <w:sz w:val="24"/>
          <w:szCs w:val="24"/>
          <w:lang w:val="en-ID"/>
        </w:rPr>
      </w:pPr>
    </w:p>
    <w:p w14:paraId="257F998D" w14:textId="5864A0BD" w:rsidR="00597AAB" w:rsidRPr="008C2547" w:rsidRDefault="0095288D" w:rsidP="00597AAB">
      <w:pPr>
        <w:pStyle w:val="NormalWeb"/>
        <w:jc w:val="both"/>
        <w:rPr>
          <w:rFonts w:ascii="Calibri Light" w:hAnsi="Calibri Light" w:cs="Calibri Light"/>
          <w:i/>
          <w:iCs/>
          <w:rtl/>
          <w:lang w:val="en-ID" w:eastAsia="en-ID"/>
        </w:rPr>
      </w:pPr>
      <w:r w:rsidRPr="00122F5F">
        <w:rPr>
          <w:rFonts w:ascii="Calibri Light" w:hAnsi="Calibri Light" w:cs="Calibri Light"/>
          <w:b/>
          <w:bCs/>
        </w:rPr>
        <w:t>Keyword</w:t>
      </w:r>
      <w:r w:rsidR="008C45DE" w:rsidRPr="00122F5F">
        <w:rPr>
          <w:rFonts w:ascii="Calibri Light" w:hAnsi="Calibri Light" w:cs="Calibri Light"/>
          <w:b/>
          <w:bCs/>
          <w:lang w:val="id-ID"/>
        </w:rPr>
        <w:t>s</w:t>
      </w:r>
      <w:r w:rsidR="00597AAB" w:rsidRPr="00597AAB">
        <w:rPr>
          <w:lang w:val="en-ID" w:eastAsia="en-ID"/>
        </w:rPr>
        <w:t xml:space="preserve"> </w:t>
      </w:r>
      <w:r w:rsidR="00BD5835" w:rsidRPr="008C2547">
        <w:rPr>
          <w:rFonts w:ascii="Calibri Light" w:hAnsi="Calibri Light" w:cs="Calibri Light"/>
          <w:i/>
          <w:iCs/>
          <w:lang w:val="en-ID" w:eastAsia="en-ID"/>
        </w:rPr>
        <w:t>Islamic Banking</w:t>
      </w:r>
      <w:r w:rsidR="00BD5835">
        <w:rPr>
          <w:rFonts w:ascii="Calibri Light" w:hAnsi="Calibri Light" w:cs="Calibri Light"/>
          <w:i/>
          <w:iCs/>
          <w:lang w:val="en-ID" w:eastAsia="en-ID"/>
        </w:rPr>
        <w:t>,</w:t>
      </w:r>
      <w:r w:rsidR="00590269">
        <w:rPr>
          <w:rFonts w:ascii="Calibri Light" w:hAnsi="Calibri Light" w:cs="Calibri Light"/>
          <w:i/>
          <w:iCs/>
          <w:lang w:val="en-ID" w:eastAsia="en-ID"/>
        </w:rPr>
        <w:t xml:space="preserve"> </w:t>
      </w:r>
      <w:r w:rsidR="00597AAB" w:rsidRPr="008C2547">
        <w:rPr>
          <w:rFonts w:ascii="Calibri Light" w:hAnsi="Calibri Light" w:cs="Calibri Light"/>
          <w:i/>
          <w:iCs/>
          <w:lang w:val="en-ID" w:eastAsia="en-ID"/>
        </w:rPr>
        <w:t>Bibliometric Analysis, Basel Accords, PRISMA Framework, Scopus Database.</w:t>
      </w:r>
    </w:p>
    <w:p w14:paraId="6BC00FE9" w14:textId="2B327038" w:rsidR="00F1027C" w:rsidRPr="00122F5F" w:rsidRDefault="00F1027C" w:rsidP="00597AAB">
      <w:pPr>
        <w:ind w:right="737"/>
        <w:jc w:val="both"/>
        <w:rPr>
          <w:rFonts w:ascii="Calibri Light" w:hAnsi="Calibri Light" w:cs="Calibri Light"/>
          <w:b/>
          <w:bCs/>
          <w:sz w:val="24"/>
          <w:szCs w:val="24"/>
          <w:lang w:val="id-ID"/>
        </w:rPr>
      </w:pPr>
    </w:p>
    <w:p w14:paraId="422F40B3" w14:textId="77777777" w:rsidR="007F5B9D" w:rsidRPr="007F5B9D" w:rsidRDefault="008C45DE" w:rsidP="007F5B9D">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r w:rsidRPr="00122F5F">
        <w:rPr>
          <w:rFonts w:ascii="Calibri Light" w:hAnsi="Calibri Light" w:cs="Calibri Light"/>
          <w:b/>
          <w:sz w:val="24"/>
          <w:szCs w:val="24"/>
          <w:lang w:val="id-ID"/>
        </w:rPr>
        <w:t xml:space="preserve"> </w:t>
      </w:r>
    </w:p>
    <w:p w14:paraId="28F6C93F" w14:textId="066C718A" w:rsidR="0057036A" w:rsidRPr="0057036A" w:rsidRDefault="00F94AE6" w:rsidP="00F94AE6">
      <w:pPr>
        <w:spacing w:before="120" w:after="120"/>
        <w:ind w:left="426"/>
        <w:jc w:val="both"/>
        <w:rPr>
          <w:rFonts w:ascii="Calibri Light" w:hAnsi="Calibri Light" w:cs="Calibri Light"/>
          <w:bCs/>
          <w:sz w:val="24"/>
          <w:szCs w:val="24"/>
          <w:lang w:val="en-ID"/>
        </w:rPr>
      </w:pPr>
      <w:bookmarkStart w:id="1" w:name="_Hlk201493230"/>
      <w:r w:rsidRPr="00F94AE6">
        <w:rPr>
          <w:rFonts w:ascii="Calibri Light" w:hAnsi="Calibri Light" w:cs="Calibri Light"/>
          <w:bCs/>
          <w:sz w:val="24"/>
          <w:szCs w:val="24"/>
          <w:highlight w:val="yellow"/>
          <w:lang w:val="en-ID"/>
        </w:rPr>
        <w:t>In light of recent global financial disruptions, stricter regulatory reforms, and the rapid expansion of Islamic finance, the intersection between international regulatory frameworks and Islamic banking—particularly the implications of the Basel Accords—has become a timely and critical subject of academic research</w:t>
      </w:r>
      <w:r w:rsidR="0057036A" w:rsidRPr="0057036A">
        <w:rPr>
          <w:rFonts w:ascii="Calibri Light" w:hAnsi="Calibri Light" w:cs="Calibri Light"/>
          <w:bCs/>
          <w:sz w:val="24"/>
          <w:szCs w:val="24"/>
          <w:lang w:val="en-ID"/>
        </w:rPr>
        <w:t>.</w:t>
      </w:r>
      <w:bookmarkEnd w:id="1"/>
      <w:r w:rsidR="0057036A" w:rsidRPr="0057036A">
        <w:rPr>
          <w:rFonts w:ascii="Calibri Light" w:hAnsi="Calibri Light" w:cs="Calibri Light"/>
          <w:bCs/>
          <w:sz w:val="24"/>
          <w:szCs w:val="24"/>
          <w:lang w:val="en-ID"/>
        </w:rPr>
        <w:t>The Basel Committee on Banking Supervision (BCBS) introduced these accords to enhance banking stability and reduce financial risks through capital adequacy requirements, risk management, and liquidity standards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5B5658">
        <w:rPr>
          <w:rFonts w:ascii="Calibri Light" w:hAnsi="Calibri Light" w:cs="Calibri Light"/>
          <w:bCs/>
          <w:sz w:val="24"/>
          <w:szCs w:val="24"/>
          <w:lang w:val="en-ID"/>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Economics","id":"ITEM-1","issue":"4","issued":{"date-parts":[["2023"]]},"language":"English","note":"Export Date: 24 April 2025; Cited By: 3; Correspondence Address: C. Barra; Department of Economics and Statistics (DISES), Centre for Labour Economics and Economic Policy (CELPE), University of Salerno, Fisciano, Via Giovanni Paolo II, 84084, Italy; email: cbarra@unisa.it","page":"4079-4119","publisher":"John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market","type":"article-journal","volume":"28"},"uris":["http://www.mendeley.com/documents/?uuid=80f38133-cfa6-43be-af3d-2a29936783b3"]}],"mendeley":{"formattedCitation":"(Barra et al., 2023)","plainTextFormattedCitation":"(Barra et al., 2023)","previouslyFormattedCitation":"[1]"},"properties":{"noteIndex":0},"schema":"https://github.com/citation-style-language/schema/raw/master/csl-citation.json"}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5B5658" w:rsidRPr="005B5658">
        <w:rPr>
          <w:rFonts w:ascii="Calibri Light" w:hAnsi="Calibri Light" w:cs="Calibri Light"/>
          <w:bCs/>
          <w:noProof/>
          <w:sz w:val="24"/>
          <w:szCs w:val="24"/>
          <w:lang w:val="en-ID"/>
        </w:rPr>
        <w:t>(Barra et al., 2023)</w:t>
      </w:r>
      <w:r w:rsidR="00E566B0">
        <w:rPr>
          <w:rFonts w:ascii="Calibri Light" w:hAnsi="Calibri Light" w:cs="Calibri Light"/>
          <w:bCs/>
          <w:sz w:val="24"/>
          <w:szCs w:val="24"/>
          <w:lang w:val="en-ID"/>
        </w:rPr>
        <w:fldChar w:fldCharType="end"/>
      </w:r>
      <w:r w:rsidR="0057036A" w:rsidRPr="0057036A">
        <w:rPr>
          <w:rFonts w:ascii="Calibri Light" w:hAnsi="Calibri Light" w:cs="Calibri Light"/>
          <w:bCs/>
          <w:sz w:val="24"/>
          <w:szCs w:val="24"/>
          <w:lang w:val="en-ID"/>
        </w:rPr>
        <w:t>. Since the introduction of Basel I in 1988 and the subsequent developments in Basel II and Basel III, these regulatory guidelines have had a profound impact on global banking systems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5B5658">
        <w:rPr>
          <w:rFonts w:ascii="Calibri Light" w:hAnsi="Calibri Light" w:cs="Calibri Light"/>
          <w:bCs/>
          <w:sz w:val="24"/>
          <w:szCs w:val="24"/>
          <w:lang w:val="en-ID"/>
        </w:rPr>
        <w:instrText>ADDIN CSL_CITATION {"citationItems":[{"id":"ITEM-1","itemData":{"DOI":"10.1016/j.irfa.2024.103502","ISSN":"10575219 (ISSN)","abstract":"We develop a model to compare the changes in banks' equilibrium capital and liquidity holdings under various versions of Basel-style requirements across economic cycles. We find that banks' liquidity is countercyclical while capital buffer is procyclical. Countercyclical liquidity-holding behaviour causes a larger liquidation of loans in economic expansions. We also find that Basel-style liquidity requirements help to lower banks' loan liquidations in economic upturns, although it is of limited effectiveness in economic downturns. We thus suggest that similar to capital requirements, liquidity requirements should also be set in a countercyclical manner. Our results show that capital requirements and liquidity requirements are complements in economic upturns in terms of enhancing banking stability and obtaining social welfare. Furthermore, Basel III outperforms previous regulatory versions in enhancing bank stability and social welfare in extreme situations. © 2024 The Author(s)","author":[{"dropping-particle":"","family":"Huang","given":"C","non-dropping-particle":"","parse-names":false,"suffix":""},{"dropping-particle":"","family":"Moreira","given":"F","non-dropping-particle":"","parse-names":false,"suffix":""},{"dropping-particle":"","family":"Archibald","given":"T W","non-dropping-particle":"","parse-names":false,"suffix":""}],"container-title":"International Review of Financial Analysis","id":"ITEM-1","issued":{"date-parts":[["2024"]]},"language":"English","note":"Export Date: 24 April 2025; Cited By: 0; Correspondence Address: F. Moreira; University of Edinburgh Business School, United Kingdom; email: fernando.moreira@ed.ac.uk","publisher":"Elsevier Inc.","publisher-place":"School of Economics and Management, Beijing Jiaotong University, China","title":"Should Basel-style liquidity requirements be set countercyclically? Evidence from a numerical analysis","type":"article-journal","volume":"95"},"uris":["http://www.mendeley.com/documents/?uuid=e64307e3-a47e-427c-9c84-b2c2aa6ea31c"]}],"mendeley":{"formattedCitation":"(Huang et al., 2024)","plainTextFormattedCitation":"(Huang et al., 2024)","previouslyFormattedCitation":"[2]"},"properties":{"noteIndex":0},"schema":"https://github.com/citation-style-language/schema/raw/master/csl-citation.json"}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5B5658" w:rsidRPr="005B5658">
        <w:rPr>
          <w:rFonts w:ascii="Calibri Light" w:hAnsi="Calibri Light" w:cs="Calibri Light"/>
          <w:bCs/>
          <w:noProof/>
          <w:sz w:val="24"/>
          <w:szCs w:val="24"/>
          <w:lang w:val="en-ID"/>
        </w:rPr>
        <w:t>(Huang et al., 2024)</w:t>
      </w:r>
      <w:r w:rsidR="00E566B0">
        <w:rPr>
          <w:rFonts w:ascii="Calibri Light" w:hAnsi="Calibri Light" w:cs="Calibri Light"/>
          <w:bCs/>
          <w:sz w:val="24"/>
          <w:szCs w:val="24"/>
          <w:lang w:val="en-ID"/>
        </w:rPr>
        <w:fldChar w:fldCharType="end"/>
      </w:r>
      <w:r w:rsidR="0057036A" w:rsidRPr="0057036A">
        <w:rPr>
          <w:rFonts w:ascii="Calibri Light" w:hAnsi="Calibri Light" w:cs="Calibri Light"/>
          <w:bCs/>
          <w:sz w:val="24"/>
          <w:szCs w:val="24"/>
          <w:lang w:val="en-ID"/>
        </w:rPr>
        <w:t>. However, their applicability to Islamic financial institutions (IFIs), which operate under Shariah principles, remains a subject of ongoing academic and regulatory debate.</w:t>
      </w:r>
    </w:p>
    <w:p w14:paraId="1E933055" w14:textId="666FD852" w:rsidR="0057036A" w:rsidRPr="0057036A" w:rsidRDefault="00BB57AB" w:rsidP="00BB57AB">
      <w:pPr>
        <w:spacing w:before="120" w:after="120"/>
        <w:ind w:left="426"/>
        <w:jc w:val="both"/>
        <w:rPr>
          <w:rFonts w:ascii="Calibri Light" w:hAnsi="Calibri Light" w:cs="Calibri Light"/>
          <w:bCs/>
          <w:sz w:val="24"/>
          <w:szCs w:val="24"/>
          <w:lang w:val="en-ID"/>
        </w:rPr>
      </w:pPr>
      <w:r w:rsidRPr="00BB57AB">
        <w:rPr>
          <w:rFonts w:ascii="Calibri Light" w:hAnsi="Calibri Light" w:cs="Calibri Light"/>
          <w:bCs/>
          <w:sz w:val="24"/>
          <w:szCs w:val="24"/>
          <w:highlight w:val="yellow"/>
          <w:lang w:val="en-ID"/>
        </w:rPr>
        <w:lastRenderedPageBreak/>
        <w:t xml:space="preserve">Developed to strengthen global financial stability through risk-based capital regulation and liquidity standards, the Basel Accords present unique challenges for Islamic banks, which differ fundamentally from conventional banks due to their adherence to </w:t>
      </w:r>
      <w:r w:rsidRPr="00BB57AB">
        <w:rPr>
          <w:rFonts w:ascii="Calibri Light" w:hAnsi="Calibri Light" w:cs="Calibri Light"/>
          <w:bCs/>
          <w:i/>
          <w:iCs/>
          <w:sz w:val="24"/>
          <w:szCs w:val="24"/>
          <w:highlight w:val="yellow"/>
          <w:lang w:val="en-ID"/>
        </w:rPr>
        <w:t>Maqasid al-Shariah</w:t>
      </w:r>
      <w:r w:rsidRPr="00BB57AB">
        <w:rPr>
          <w:rFonts w:ascii="Calibri Light" w:hAnsi="Calibri Light" w:cs="Calibri Light"/>
          <w:bCs/>
          <w:sz w:val="24"/>
          <w:szCs w:val="24"/>
          <w:highlight w:val="yellow"/>
          <w:lang w:val="en-ID"/>
        </w:rPr>
        <w:t>—the higher objectives of Islamic law.</w:t>
      </w:r>
      <w:r w:rsidRPr="00BB57AB">
        <w:rPr>
          <w:rFonts w:ascii="Calibri Light" w:hAnsi="Calibri Light" w:cs="Calibri Light"/>
          <w:bCs/>
          <w:sz w:val="24"/>
          <w:szCs w:val="24"/>
          <w:lang w:val="en-ID"/>
        </w:rPr>
        <w:t xml:space="preserve"> These principles prohibit interest (</w:t>
      </w:r>
      <w:r w:rsidRPr="00BB57AB">
        <w:rPr>
          <w:rFonts w:ascii="Calibri Light" w:hAnsi="Calibri Light" w:cs="Calibri Light"/>
          <w:bCs/>
          <w:i/>
          <w:iCs/>
          <w:sz w:val="24"/>
          <w:szCs w:val="24"/>
          <w:lang w:val="en-ID"/>
        </w:rPr>
        <w:t>riba</w:t>
      </w:r>
      <w:r w:rsidRPr="00BB57AB">
        <w:rPr>
          <w:rFonts w:ascii="Calibri Light" w:hAnsi="Calibri Light" w:cs="Calibri Light"/>
          <w:bCs/>
          <w:sz w:val="24"/>
          <w:szCs w:val="24"/>
          <w:lang w:val="en-ID"/>
        </w:rPr>
        <w:t>) and promote risk-sharing, ethical investment, and asset-backed financing, making the direct application of Basel's interest-based framework problematic in Sharia-compliant contexts</w:t>
      </w:r>
      <w:r w:rsidR="0057036A" w:rsidRPr="0057036A">
        <w:rPr>
          <w:rFonts w:ascii="Calibri Light" w:hAnsi="Calibri Light" w:cs="Calibri Light"/>
          <w:bCs/>
          <w:sz w:val="24"/>
          <w:szCs w:val="24"/>
          <w:lang w:val="en-ID"/>
        </w:rPr>
        <w:t>. As a result, applying Basel regulations to Islamic financial institutions presents unique challenges, as these accords rely on an interest-based risk assessment model to evaluate capital and risk exposure</w:t>
      </w:r>
      <w:r w:rsidR="005B5658">
        <w:rPr>
          <w:rFonts w:ascii="Calibri Light" w:hAnsi="Calibri Light" w:cs="Calibri Light" w:hint="cs"/>
          <w:bCs/>
          <w:sz w:val="24"/>
          <w:szCs w:val="24"/>
          <w:rtl/>
          <w:lang w:val="en-ID"/>
        </w:rPr>
        <w:t xml:space="preserve"> </w:t>
      </w:r>
      <w:r w:rsidR="001926F1">
        <w:rPr>
          <w:rFonts w:ascii="Calibri Light" w:hAnsi="Calibri Light" w:cs="Calibri Light"/>
          <w:bCs/>
          <w:sz w:val="24"/>
          <w:szCs w:val="24"/>
          <w:lang w:val="en-ID"/>
        </w:rPr>
        <w:fldChar w:fldCharType="begin" w:fldLock="1"/>
      </w:r>
      <w:r w:rsidR="005B5658">
        <w:rPr>
          <w:rFonts w:ascii="Calibri Light" w:hAnsi="Calibri Light" w:cs="Calibri Light"/>
          <w:bCs/>
          <w:sz w:val="24"/>
          <w:szCs w:val="24"/>
          <w:lang w:val="en-ID"/>
        </w:rPr>
        <w:instrText>ADDIN CSL_CITATION {"citationItems":[{"id":"ITEM-1","itemData":{"ISSN":"1412-5722","author":[{"dropping-particle":"","family":"Suhaedi","given":"Wirawan","non-dropping-particle":"","parse-names":false,"suffix":""},{"dropping-particle":"","family":"Wahab","given":"Alvina Oktavia","non-dropping-particle":"","parse-names":false,"suffix":""},{"dropping-particle":"","family":"Sulistia","given":"Ananda","non-dropping-particle":"","parse-names":false,"suffix":""},{"dropping-particle":"","family":"Putri","given":"Baiq Sri Wulan","non-dropping-particle":"","parse-names":false,"suffix":""}],"container-title":"Ishraqi","id":"ITEM-1","issue":"1","issued":{"date-parts":[["2025"]]},"page":"19-32","title":"Implementation of the System Mini Bank to Increase Literacy Finance Santri: Study at the Islamic Boarding School, Islamic Boarding School Haramain Narmada","type":"article-journal","volume":"24"},"uris":["http://www.mendeley.com/documents/?uuid=1d9f9342-efac-4bfa-afb4-a27f62b231fe"]}],"mendeley":{"formattedCitation":"(Suhaedi et al., 2025)","plainTextFormattedCitation":"(Suhaedi et al., 2025)","previouslyFormattedCitation":"[3]"},"properties":{"noteIndex":0},"schema":"https://github.com/citation-style-language/schema/raw/master/csl-citation.json"}</w:instrText>
      </w:r>
      <w:r w:rsidR="001926F1">
        <w:rPr>
          <w:rFonts w:ascii="Calibri Light" w:hAnsi="Calibri Light" w:cs="Calibri Light"/>
          <w:bCs/>
          <w:sz w:val="24"/>
          <w:szCs w:val="24"/>
          <w:lang w:val="en-ID"/>
        </w:rPr>
        <w:fldChar w:fldCharType="separate"/>
      </w:r>
      <w:r w:rsidR="005B5658" w:rsidRPr="005B5658">
        <w:rPr>
          <w:rFonts w:ascii="Calibri Light" w:hAnsi="Calibri Light" w:cs="Calibri Light"/>
          <w:bCs/>
          <w:noProof/>
          <w:sz w:val="24"/>
          <w:szCs w:val="24"/>
          <w:lang w:val="en-ID"/>
        </w:rPr>
        <w:t>(Suhaedi et al., 2025)</w:t>
      </w:r>
      <w:r w:rsidR="001926F1">
        <w:rPr>
          <w:rFonts w:ascii="Calibri Light" w:hAnsi="Calibri Light" w:cs="Calibri Light"/>
          <w:bCs/>
          <w:sz w:val="24"/>
          <w:szCs w:val="24"/>
          <w:lang w:val="en-ID"/>
        </w:rPr>
        <w:fldChar w:fldCharType="end"/>
      </w:r>
      <w:r w:rsidR="0057036A" w:rsidRPr="0057036A">
        <w:rPr>
          <w:rFonts w:ascii="Calibri Light" w:hAnsi="Calibri Light" w:cs="Calibri Light"/>
          <w:bCs/>
          <w:sz w:val="24"/>
          <w:szCs w:val="24"/>
          <w:lang w:val="en-ID"/>
        </w:rPr>
        <w:t>. In contrast, Islamic banks operate using financial instruments such as murabaha (cost-plus financing), musharakah (equity partnership), mudarabah (profit-sharing), and ijarah (leasing). These differences raise critical questions about whether conventional regulatory frameworks can effectively accommodate Islamic banking operations and whether modifications are needed to align Basel standards with Shariah-compliant finance.</w:t>
      </w:r>
    </w:p>
    <w:p w14:paraId="0FB1FA6F" w14:textId="3687D61E" w:rsidR="0057036A" w:rsidRPr="0057036A" w:rsidRDefault="00AF1BE3" w:rsidP="00AF1BE3">
      <w:pPr>
        <w:spacing w:before="120" w:after="120"/>
        <w:ind w:left="426"/>
        <w:jc w:val="both"/>
        <w:rPr>
          <w:rFonts w:ascii="Calibri Light" w:hAnsi="Calibri Light" w:cs="Calibri Light"/>
          <w:bCs/>
          <w:sz w:val="24"/>
          <w:szCs w:val="24"/>
          <w:lang w:val="en-ID"/>
        </w:rPr>
      </w:pPr>
      <w:r w:rsidRPr="00AF1BE3">
        <w:rPr>
          <w:rFonts w:ascii="Calibri Light" w:hAnsi="Calibri Light" w:cs="Calibri Light"/>
          <w:bCs/>
          <w:sz w:val="24"/>
          <w:szCs w:val="24"/>
          <w:highlight w:val="yellow"/>
          <w:lang w:val="en-ID"/>
        </w:rPr>
        <w:t>While numerous studies have addressed Basel standards and Islamic banking independently, limited research has systematically examined their intersection</w:t>
      </w:r>
      <w:r w:rsidRPr="00AF1BE3">
        <w:rPr>
          <w:rFonts w:ascii="Calibri Light" w:hAnsi="Calibri Light" w:cs="Calibri Light"/>
          <w:bCs/>
          <w:sz w:val="24"/>
          <w:szCs w:val="24"/>
          <w:lang w:val="en-ID"/>
        </w:rPr>
        <w:t>. This gap highlights the need for a comprehensive overview of academic contributions, research trends, and regulatory discussions that link the Basel Accords with the Islamic banking sector—particularly in light of evolving global supervisory frameworks and the increasing demand to align compliance with Shariah principles</w:t>
      </w:r>
      <w:r w:rsidR="0057036A" w:rsidRPr="0057036A">
        <w:rPr>
          <w:rFonts w:ascii="Calibri Light" w:hAnsi="Calibri Light" w:cs="Calibri Light"/>
          <w:bCs/>
          <w:sz w:val="24"/>
          <w:szCs w:val="24"/>
          <w:lang w:val="en-ID"/>
        </w:rPr>
        <w:t xml:space="preserve">. </w:t>
      </w:r>
    </w:p>
    <w:p w14:paraId="39E127BA" w14:textId="5BFEBD7D"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The findings indicate that countries with well-developed Islamic banking sectors, such as Malaysia, the Gulf Cooperation Council (GCC) countries, and Indonesia, have been the most active in publishing research on this topic</w:t>
      </w:r>
      <w:r w:rsidR="001A583E">
        <w:rPr>
          <w:rFonts w:ascii="Calibri Light" w:hAnsi="Calibri Light" w:cs="Calibri Light"/>
          <w:bCs/>
          <w:sz w:val="24"/>
          <w:szCs w:val="24"/>
          <w:lang w:val="en-ID"/>
        </w:rPr>
        <w:fldChar w:fldCharType="begin" w:fldLock="1"/>
      </w:r>
      <w:r w:rsidR="005B5658">
        <w:rPr>
          <w:rFonts w:ascii="Calibri Light" w:hAnsi="Calibri Light" w:cs="Calibri Light"/>
          <w:bCs/>
          <w:sz w:val="24"/>
          <w:szCs w:val="24"/>
          <w:lang w:val="en-ID"/>
        </w:rPr>
        <w:instrText>ADDIN CSL_CITATION {"citationItems":[{"id":"ITEM-1","itemData":{"author":[{"dropping-particle":"","family":"Isman","given":"Afifah","non-dropping-particle":"","parse-names":false,"suffix":""}],"container-title":"International Conference on Actual Islamic Studies","id":"ITEM-1","issue":"1","issued":{"date-parts":[["2024"]]},"title":"Islamic Capital Market Accessibility and Fintech Innovation: Transformation of POJK 77/2016","type":"paper-conference","volume":"3"},"uris":["http://www.mendeley.com/documents/?uuid=fb183ad5-7d22-4090-b994-03406f97f1ea"]}],"mendeley":{"formattedCitation":"(Isman, 2024)","plainTextFormattedCitation":"(Isman, 2024)","previouslyFormattedCitation":"[4]"},"properties":{"noteIndex":0},"schema":"https://github.com/citation-style-language/schema/raw/master/csl-citation.json"}</w:instrText>
      </w:r>
      <w:r w:rsidR="001A583E">
        <w:rPr>
          <w:rFonts w:ascii="Calibri Light" w:hAnsi="Calibri Light" w:cs="Calibri Light"/>
          <w:bCs/>
          <w:sz w:val="24"/>
          <w:szCs w:val="24"/>
          <w:lang w:val="en-ID"/>
        </w:rPr>
        <w:fldChar w:fldCharType="separate"/>
      </w:r>
      <w:r w:rsidR="005B5658" w:rsidRPr="005B5658">
        <w:rPr>
          <w:rFonts w:ascii="Calibri Light" w:hAnsi="Calibri Light" w:cs="Calibri Light"/>
          <w:bCs/>
          <w:noProof/>
          <w:sz w:val="24"/>
          <w:szCs w:val="24"/>
          <w:lang w:val="en-ID"/>
        </w:rPr>
        <w:t>(Isman, 2024)</w:t>
      </w:r>
      <w:r w:rsidR="001A583E">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Additionally, several academic journals specializing in Islamic finance and banking regulation have played a crucial role in disseminating studies in this area. By examining the most frequently used research keywords over the past decade, it was found that terms such as "Basel III," "Islamic Finance Regulation," and "Risk Management in Islamic Banking" were among the most commonly cited, reflecting the growing focus on regulatory challenges faced by Islamic financial institutions</w:t>
      </w:r>
      <w:r w:rsidR="00650CEB">
        <w:rPr>
          <w:rFonts w:ascii="Calibri Light" w:hAnsi="Calibri Light" w:cs="Calibri Light"/>
          <w:bCs/>
          <w:sz w:val="24"/>
          <w:szCs w:val="24"/>
          <w:lang w:val="en-ID"/>
        </w:rPr>
        <w:t xml:space="preserve"> </w:t>
      </w:r>
      <w:r w:rsidR="00650CEB">
        <w:rPr>
          <w:rFonts w:ascii="Calibri Light" w:hAnsi="Calibri Light" w:cs="Calibri Light"/>
          <w:bCs/>
          <w:sz w:val="24"/>
          <w:szCs w:val="24"/>
          <w:lang w:val="en-ID"/>
        </w:rPr>
        <w:fldChar w:fldCharType="begin" w:fldLock="1"/>
      </w:r>
      <w:r w:rsidR="005B5658">
        <w:rPr>
          <w:rFonts w:ascii="Calibri Light" w:hAnsi="Calibri Light" w:cs="Calibri Light"/>
          <w:bCs/>
          <w:sz w:val="24"/>
          <w:szCs w:val="24"/>
          <w:lang w:val="en-ID"/>
        </w:rPr>
        <w:instrText>ADDIN CSL_CITATION {"citationItems":[{"id":"ITEM-1","itemData":{"DOI":"10.21511/bbs.16(1).2021.05","ISSN":"18167403 (ISSN)","abstract":"This paper aims to analyze the link between the disclosure of zakat information and the performance of Islamic financial institutions in Yemen. Panel data of three Islamic banks working in Yemen were used. The study used a 16-item disclosure index to measure zakat disclosure information, and the financial performance of banks was calculated using two proxies, such as return on assets (ROA) and return on equity (ROE). Based on secondary data, this study used correlation matrix, descriptive analysis and regression analysis. ROA results revealed that zakat data and the age of a bank significantly affected financial results calculated by ROA, while the size of Islamic banks had an insignificant influence of banking performance. Zakat information and the size of Islamic banks have a positive effect on bank performance, while the age of the bank negatively influences the performance of banks. The results concerning ROE indicated that zakat data and the age of a bank have a strong and significant influence on the performance of banks, determined by ROA, while the size of a bank has a negative and insignificant effect on the performance of banks, determined by ROE. © Eissa A. Al-Homaidi, Ebrahim Mohammed Al-Matari, Suhaib Anagreh, Mosab I. Tabash, Nabil Ahmed Mareai Senan, 2021.","author":[{"dropping-particle":"","family":"Al-Homaidi","given":"E A","non-dropping-particle":"","parse-names":false,"suffix":""},{"dropping-particle":"","family":"Al-Matari","given":"E M","non-dropping-particle":"","parse-names":false,"suffix":""},{"dropping-particle":"","family":"Anagreh","given":"S","non-dropping-particle":"","parse-names":false,"suffix":""},{"dropping-particle":"","family":"Tabash","given":"M I","non-dropping-particle":"","parse-names":false,"suffix":""},{"dropping-particle":"","family":"Mareai Senan","given":"N A","non-dropping-particle":"","parse-names":false,"suffix":""}],"container-title":"Banks and Bank Systems","id":"ITEM-1","issue":"1","issued":{"date-parts":[["2021"]]},"language":"English","note":"Export Date: 24 April 2025; Cited By: 8","page":"52-61","publisher":"LLC CPC Business Perspectives","publisher-place":"Faculty of Commerce, Aligarh Muslim University, India","title":"The relationship between zakat disclosures and Islamic banking performance: Evidence from Yemen","type":"article-journal","volume":"16"},"uris":["http://www.mendeley.com/documents/?uuid=7f583a3b-8cf2-4bdf-abd2-61c6b3679995"]}],"mendeley":{"formattedCitation":"(Al-Homaidi et al., 2021)","plainTextFormattedCitation":"(Al-Homaidi et al., 2021)","previouslyFormattedCitation":"[5]"},"properties":{"noteIndex":0},"schema":"https://github.com/citation-style-language/schema/raw/master/csl-citation.json"}</w:instrText>
      </w:r>
      <w:r w:rsidR="00650CEB">
        <w:rPr>
          <w:rFonts w:ascii="Calibri Light" w:hAnsi="Calibri Light" w:cs="Calibri Light"/>
          <w:bCs/>
          <w:sz w:val="24"/>
          <w:szCs w:val="24"/>
          <w:lang w:val="en-ID"/>
        </w:rPr>
        <w:fldChar w:fldCharType="separate"/>
      </w:r>
      <w:r w:rsidR="005B5658" w:rsidRPr="005B5658">
        <w:rPr>
          <w:rFonts w:ascii="Calibri Light" w:hAnsi="Calibri Light" w:cs="Calibri Light"/>
          <w:bCs/>
          <w:noProof/>
          <w:sz w:val="24"/>
          <w:szCs w:val="24"/>
          <w:lang w:val="en-ID"/>
        </w:rPr>
        <w:t>(Al-Homaidi et al., 2021)</w:t>
      </w:r>
      <w:r w:rsidR="00650CEB">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21A1C100" w14:textId="082F112B" w:rsidR="0057036A" w:rsidRPr="00017625"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Based on these findings, this study aims to provide a comprehensive overview of the evolving research landscape on Basel Accords and Islamic banking, identifying gaps in the literature that could inform future studies. Some of the key research questions guiding this study include: What is the annual distribution of publications related to Basel Accords and Islamic banking over the past decade? Which journals and authors have been the most influential in this field? Which countries have contributed the most research on the intersection of Basel regulations and Islamic finance? What are the primary research keywords that have shaped academic discussions in this domain? By addressing these questions, this study will offer valuable insights for academics, policymakers, and financial professionals, helping them understand current developments and future directions in integrating international banking regulations with the principles of Islamic finance.</w:t>
      </w:r>
    </w:p>
    <w:p w14:paraId="4B9E5586" w14:textId="77777777" w:rsidR="001F1380" w:rsidRDefault="00334792" w:rsidP="001F1380">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r w:rsidR="00D26ADD" w:rsidRPr="00122F5F">
        <w:rPr>
          <w:rFonts w:ascii="Calibri Light" w:hAnsi="Calibri Light" w:cs="Calibri Light"/>
          <w:b/>
          <w:sz w:val="24"/>
          <w:szCs w:val="24"/>
        </w:rPr>
        <w:t xml:space="preserve"> </w:t>
      </w:r>
    </w:p>
    <w:p w14:paraId="3FB1E1D9" w14:textId="0C7A3CDB" w:rsidR="00A67D4E" w:rsidRPr="001F1380" w:rsidRDefault="002E1840" w:rsidP="007168B1">
      <w:pPr>
        <w:autoSpaceDE/>
        <w:autoSpaceDN/>
        <w:spacing w:before="120" w:after="120"/>
        <w:ind w:left="426"/>
        <w:jc w:val="both"/>
        <w:rPr>
          <w:rFonts w:ascii="Calibri Light" w:hAnsi="Calibri Light" w:cs="Calibri Light"/>
          <w:b/>
          <w:sz w:val="24"/>
          <w:szCs w:val="24"/>
          <w:lang w:val="id-ID"/>
        </w:rPr>
      </w:pPr>
      <w:r w:rsidRPr="001F1380">
        <w:rPr>
          <w:rFonts w:ascii="Calibri Light" w:hAnsi="Calibri Light" w:cs="Calibri Light"/>
          <w:sz w:val="24"/>
          <w:szCs w:val="24"/>
          <w:lang w:val="en-ID" w:eastAsia="en-ID"/>
        </w:rPr>
        <w:t xml:space="preserve">In this study, a bibliometric analysis was conducted using the Scopus database to extract research related to the Basel Accords and Islamic banking from 2015 to 2024. The search </w:t>
      </w:r>
      <w:r w:rsidRPr="001F1380">
        <w:rPr>
          <w:rFonts w:ascii="Calibri Light" w:hAnsi="Calibri Light" w:cs="Calibri Light"/>
          <w:sz w:val="24"/>
          <w:szCs w:val="24"/>
          <w:lang w:val="en-ID" w:eastAsia="en-ID"/>
        </w:rPr>
        <w:lastRenderedPageBreak/>
        <w:t xml:space="preserve">was performed using a carefully selected set of keywords to ensure comprehensive coverage, including "Basel Accords," "Islamic Banking," "Risk Management," "Shariah," and others. </w:t>
      </w:r>
      <w:r w:rsidR="00474713" w:rsidRPr="001F1380">
        <w:rPr>
          <w:rFonts w:ascii="Calibri Light" w:hAnsi="Calibri Light" w:cs="Calibri Light"/>
          <w:sz w:val="24"/>
          <w:szCs w:val="24"/>
          <w:lang w:val="en-ID" w:eastAsia="en-ID"/>
        </w:rPr>
        <w:t xml:space="preserve">The scope of the bibliometric analysis was refined by applying disciplinary filters, ensuring that only studies published in the fields of economics and business were included </w:t>
      </w:r>
      <w:r w:rsidRPr="001F1380">
        <w:rPr>
          <w:rFonts w:ascii="Calibri Light" w:hAnsi="Calibri Light" w:cs="Calibri Light"/>
          <w:sz w:val="24"/>
          <w:szCs w:val="24"/>
          <w:lang w:val="en-ID" w:eastAsia="en-ID"/>
        </w:rPr>
        <w:t>(ECON, BUSI), scientific articles (Article Type), English-language publications</w:t>
      </w:r>
      <w:r w:rsidR="00601F30" w:rsidRPr="001F1380">
        <w:rPr>
          <w:rFonts w:ascii="Calibri Light" w:hAnsi="Calibri Light" w:cs="Calibri Light" w:hint="cs"/>
          <w:sz w:val="24"/>
          <w:szCs w:val="24"/>
          <w:rtl/>
          <w:lang w:val="en-ID" w:eastAsia="en-ID"/>
        </w:rPr>
        <w:t xml:space="preserve"> </w:t>
      </w:r>
      <w:r w:rsidR="00601F30" w:rsidRPr="001F1380">
        <w:rPr>
          <w:rFonts w:ascii="Calibri Light" w:hAnsi="Calibri Light" w:cs="Calibri Light"/>
          <w:sz w:val="24"/>
          <w:szCs w:val="24"/>
          <w:lang w:eastAsia="en-ID"/>
        </w:rPr>
        <w:t>,</w:t>
      </w:r>
      <w:r w:rsidR="00601F30" w:rsidRPr="001F1380">
        <w:rPr>
          <w:rFonts w:ascii="Calibri Light" w:hAnsi="Calibri Light" w:cs="Calibri Light"/>
          <w:sz w:val="24"/>
          <w:szCs w:val="24"/>
          <w:highlight w:val="yellow"/>
          <w:lang w:val="en-ID" w:eastAsia="en-ID"/>
        </w:rPr>
        <w:t>The analysis was limited to English-language publications primarily because the vast majority of peer-reviewed articles indexed in Scopus are published in English. As English serves as the dominant language of academic communication, especially in economics and finance, this criterion was applied to maintain</w:t>
      </w:r>
      <w:r w:rsidR="00601F30" w:rsidRPr="001F1380">
        <w:rPr>
          <w:rFonts w:ascii="Calibri Light" w:hAnsi="Calibri Light" w:cs="Calibri Light"/>
          <w:sz w:val="24"/>
          <w:szCs w:val="24"/>
          <w:lang w:val="en-ID" w:eastAsia="en-ID"/>
        </w:rPr>
        <w:t xml:space="preserve"> consistency and ensure access to the most widely cited and internationally recognized research</w:t>
      </w:r>
      <w:r w:rsidRPr="001F1380">
        <w:rPr>
          <w:rFonts w:ascii="Calibri Light" w:hAnsi="Calibri Light" w:cs="Calibri Light"/>
          <w:sz w:val="24"/>
          <w:szCs w:val="24"/>
          <w:lang w:val="en-ID" w:eastAsia="en-ID"/>
        </w:rPr>
        <w:t>, and peer-reviewed journals</w:t>
      </w:r>
      <w:r w:rsidR="00650CEB" w:rsidRPr="001F1380">
        <w:rPr>
          <w:rFonts w:ascii="Calibri Light" w:hAnsi="Calibri Light" w:cs="Calibri Light"/>
          <w:sz w:val="24"/>
          <w:szCs w:val="24"/>
          <w:lang w:val="en-ID" w:eastAsia="en-ID"/>
        </w:rPr>
        <w:t xml:space="preserve"> </w:t>
      </w:r>
      <w:r w:rsidR="00650CEB" w:rsidRPr="001F1380">
        <w:rPr>
          <w:rFonts w:ascii="Calibri Light" w:hAnsi="Calibri Light" w:cs="Calibri Light"/>
          <w:sz w:val="24"/>
          <w:szCs w:val="24"/>
          <w:lang w:val="en-ID" w:eastAsia="en-ID"/>
        </w:rPr>
        <w:fldChar w:fldCharType="begin" w:fldLock="1"/>
      </w:r>
      <w:r w:rsidR="005B5658">
        <w:rPr>
          <w:rFonts w:ascii="Calibri Light" w:hAnsi="Calibri Light" w:cs="Calibri Light"/>
          <w:sz w:val="24"/>
          <w:szCs w:val="24"/>
          <w:lang w:val="en-ID" w:eastAsia="en-ID"/>
        </w:rPr>
        <w:instrText>ADDIN CSL_CITATION {"citationItems":[{"id":"ITEM-1","itemData":{"DOI":"10.4197/Islec.36-1.5","ISSN":"10187383 (ISSN)","abstract":"The term Islamic in Islamic banking naturally raises the question of what this word adds to the concept and practice of banking? The early literature on Islamic economics raised the bar of expectations and envisioned Islamic banking as distinct from conventional banking by avoiding interest in letters and spirit. Interest-based banking was thought to suffer from exclusion, inequality, injustice, misallocation of capital resources and concentration of capital. It was thought that Islamic banking, while avoiding interest, would be more inclusive, equitable, and fair and would result in a broad allocation of resources without the exclusionary criterion of a fixed cost of capital. It was also thought that this new banking system would reduce income and wealth inequalities and control the concentration of wealth. Today, after two decades of Islamic banking in Pakistan, it is pertinent to assess the progress and performance of these ideals. This study evaluates Islamic banking in terms of inclusiveness, competitiveness, and equity. The economic assessment shows that Islamic banks have secured financial inclusion for those who wish to avoid ribā. However, concerted efforts are needed to improve competitiveness and distinction regarding distributional impact of Islamic financial products © 2023, Journal of King Abdulaziz University, Islamic Economics.All Rights Reserved.","author":[{"dropping-particle":"","family":"Shaikh","given":"S A","non-dropping-particle":"","parse-names":false,"suffix":""}],"container-title":"Journal of King Abdulaziz University, Islamic Economics","id":"ITEM-1","issue":"1","issued":{"date-parts":[["2023"]]},"language":"English","note":"Export Date: 30 November 2024; Cited By: 1; Correspondence Address: S.A. Shaikh; SZABIST University, Karachi, Pakistan; email: salmanahmed_hyd@hotmail.com","page":"91-111","publisher":"King Abdulaziz University Scientific Publishing Center","publisher-place":"SZABIST University, Karachi, Pakistan","title":"Economic Evaluation of Islamic Banking in Pakistan","type":"article-journal","volume":"36"},"uris":["http://www.mendeley.com/documents/?uuid=845d223e-9c75-43b9-a62e-961359636284"]}],"mendeley":{"formattedCitation":"(Shaikh, 2023)","plainTextFormattedCitation":"(Shaikh, 2023)","previouslyFormattedCitation":"[6]"},"properties":{"noteIndex":0},"schema":"https://github.com/citation-style-language/schema/raw/master/csl-citation.json"}</w:instrText>
      </w:r>
      <w:r w:rsidR="00650CEB" w:rsidRPr="001F1380">
        <w:rPr>
          <w:rFonts w:ascii="Calibri Light" w:hAnsi="Calibri Light" w:cs="Calibri Light"/>
          <w:sz w:val="24"/>
          <w:szCs w:val="24"/>
          <w:lang w:val="en-ID" w:eastAsia="en-ID"/>
        </w:rPr>
        <w:fldChar w:fldCharType="separate"/>
      </w:r>
      <w:r w:rsidR="005B5658" w:rsidRPr="005B5658">
        <w:rPr>
          <w:rFonts w:ascii="Calibri Light" w:hAnsi="Calibri Light" w:cs="Calibri Light"/>
          <w:noProof/>
          <w:sz w:val="24"/>
          <w:szCs w:val="24"/>
          <w:lang w:val="en-ID" w:eastAsia="en-ID"/>
        </w:rPr>
        <w:t>(Shaikh, 2023)</w:t>
      </w:r>
      <w:r w:rsidR="00650CEB" w:rsidRPr="001F1380">
        <w:rPr>
          <w:rFonts w:ascii="Calibri Light" w:hAnsi="Calibri Light" w:cs="Calibri Light"/>
          <w:sz w:val="24"/>
          <w:szCs w:val="24"/>
          <w:lang w:val="en-ID" w:eastAsia="en-ID"/>
        </w:rPr>
        <w:fldChar w:fldCharType="end"/>
      </w:r>
      <w:r w:rsidRPr="001F1380">
        <w:rPr>
          <w:rFonts w:ascii="Calibri Light" w:hAnsi="Calibri Light" w:cs="Calibri Light"/>
          <w:sz w:val="24"/>
          <w:szCs w:val="24"/>
          <w:lang w:val="en-ID" w:eastAsia="en-ID"/>
        </w:rPr>
        <w:t>.</w:t>
      </w:r>
    </w:p>
    <w:p w14:paraId="4E7F7670" w14:textId="5933E4F7" w:rsidR="002E1840" w:rsidRPr="002E1840" w:rsidRDefault="00A67D4E" w:rsidP="00A67D4E">
      <w:pPr>
        <w:autoSpaceDE/>
        <w:autoSpaceDN/>
        <w:spacing w:before="100" w:beforeAutospacing="1" w:after="100" w:afterAutospacing="1"/>
        <w:ind w:left="426"/>
        <w:jc w:val="both"/>
        <w:rPr>
          <w:rFonts w:ascii="Calibri Light" w:hAnsi="Calibri Light" w:cs="Calibri Light"/>
          <w:sz w:val="24"/>
          <w:szCs w:val="24"/>
          <w:lang w:val="en-ID" w:eastAsia="en-ID"/>
        </w:rPr>
      </w:pPr>
      <w:r w:rsidRPr="00A67D4E">
        <w:rPr>
          <w:rFonts w:ascii="Calibri Light" w:hAnsi="Calibri Light" w:cs="Calibri Light"/>
          <w:sz w:val="24"/>
          <w:szCs w:val="24"/>
          <w:lang w:val="en-ID" w:eastAsia="en-ID"/>
        </w:rPr>
        <w:t xml:space="preserve">In the initial stage, </w:t>
      </w:r>
      <w:r w:rsidRPr="00B24984">
        <w:rPr>
          <w:rFonts w:ascii="Calibri Light" w:hAnsi="Calibri Light" w:cs="Calibri Light"/>
          <w:sz w:val="24"/>
          <w:szCs w:val="24"/>
          <w:highlight w:val="yellow"/>
          <w:lang w:val="en-ID" w:eastAsia="en-ID"/>
        </w:rPr>
        <w:t>the search in Scopus yielded 3,511 records, highlighting the substantial volume of research in the domain of Basel Accords and Islamic banking</w:t>
      </w:r>
      <w:r w:rsidRPr="00A67D4E">
        <w:rPr>
          <w:rFonts w:ascii="Calibri Light" w:hAnsi="Calibri Light" w:cs="Calibri Light"/>
          <w:sz w:val="24"/>
          <w:szCs w:val="24"/>
          <w:lang w:val="en-ID" w:eastAsia="en-ID"/>
        </w:rPr>
        <w:t xml:space="preserve">. Several filters were applied within Scopus to refine the dataset. Following this, </w:t>
      </w:r>
      <w:r w:rsidRPr="00B24984">
        <w:rPr>
          <w:rFonts w:ascii="Calibri Light" w:hAnsi="Calibri Light" w:cs="Calibri Light"/>
          <w:sz w:val="24"/>
          <w:szCs w:val="24"/>
          <w:highlight w:val="yellow"/>
          <w:lang w:val="en-ID" w:eastAsia="en-ID"/>
        </w:rPr>
        <w:t>a manual screening of titles and abstracts was conducted by three independent researchers to ensure relevance to the intersection of Basel regulations and Islamic finance</w:t>
      </w:r>
      <w:r w:rsidRPr="00A67D4E">
        <w:rPr>
          <w:rFonts w:ascii="Calibri Light" w:hAnsi="Calibri Light" w:cs="Calibri Light"/>
          <w:sz w:val="24"/>
          <w:szCs w:val="24"/>
          <w:lang w:val="en-ID" w:eastAsia="en-ID"/>
        </w:rPr>
        <w:t>. Specific exclusion criteria were applied: studies were excluded if they focused solely on Basel without reference to Islamic banking, or vice versa; duplicates and publications outside the defined subject areas were also removed</w:t>
      </w:r>
      <w:r w:rsidR="005B5658">
        <w:rPr>
          <w:rFonts w:ascii="Calibri Light" w:hAnsi="Calibri Light" w:cs="Calibri Light" w:hint="cs"/>
          <w:sz w:val="24"/>
          <w:szCs w:val="24"/>
          <w:rtl/>
          <w:lang w:val="en-ID" w:eastAsia="en-ID"/>
        </w:rPr>
        <w:t xml:space="preserve"> </w:t>
      </w:r>
      <w:r w:rsidR="006E21E9">
        <w:rPr>
          <w:rFonts w:ascii="Calibri Light" w:hAnsi="Calibri Light" w:cs="Calibri Light"/>
          <w:sz w:val="24"/>
          <w:szCs w:val="24"/>
          <w:lang w:val="en-ID" w:eastAsia="en-ID"/>
        </w:rPr>
        <w:fldChar w:fldCharType="begin" w:fldLock="1"/>
      </w:r>
      <w:r w:rsidR="005B5658">
        <w:rPr>
          <w:rFonts w:ascii="Calibri Light" w:hAnsi="Calibri Light" w:cs="Calibri Light"/>
          <w:sz w:val="24"/>
          <w:szCs w:val="24"/>
          <w:lang w:val="en-ID" w:eastAsia="en-ID"/>
        </w:rPr>
        <w:instrText>ADDIN CSL_CITATION {"citationItems":[{"id":"ITEM-1","itemData":{"DOI":"10.69526/bir.v3i1.163","author":[{"dropping-particle":"","family":"Shakilla","given":"Uwase","non-dropping-particle":"","parse-names":false,"suffix":""},{"dropping-particle":"","family":"Elbanna","given":"Mariam","non-dropping-particle":"","parse-names":false,"suffix":""}],"id":"ITEM-1","issue":"1","issued":{"date-parts":[["2025"]]},"page":"25-42","title":"Managing Consumer Emotions Post-Recall : A Behavioral Analysis of Psychological Reactions and Long-Term Brand Perception","type":"article-journal","volume":"3"},"uris":["http://www.mendeley.com/documents/?uuid=c329b958-311b-460c-927e-b687bdb6ad15"]}],"mendeley":{"formattedCitation":"(Shakilla &amp; Elbanna, 2025)","plainTextFormattedCitation":"(Shakilla &amp; Elbanna, 2025)","previouslyFormattedCitation":"[7]"},"properties":{"noteIndex":0},"schema":"https://github.com/citation-style-language/schema/raw/master/csl-citation.json"}</w:instrText>
      </w:r>
      <w:r w:rsidR="006E21E9">
        <w:rPr>
          <w:rFonts w:ascii="Calibri Light" w:hAnsi="Calibri Light" w:cs="Calibri Light"/>
          <w:sz w:val="24"/>
          <w:szCs w:val="24"/>
          <w:lang w:val="en-ID" w:eastAsia="en-ID"/>
        </w:rPr>
        <w:fldChar w:fldCharType="separate"/>
      </w:r>
      <w:r w:rsidR="005B5658" w:rsidRPr="005B5658">
        <w:rPr>
          <w:rFonts w:ascii="Calibri Light" w:hAnsi="Calibri Light" w:cs="Calibri Light"/>
          <w:noProof/>
          <w:sz w:val="24"/>
          <w:szCs w:val="24"/>
          <w:lang w:val="en-ID" w:eastAsia="en-ID"/>
        </w:rPr>
        <w:t>(Shakilla &amp; Elbanna, 2025)</w:t>
      </w:r>
      <w:r w:rsidR="006E21E9">
        <w:rPr>
          <w:rFonts w:ascii="Calibri Light" w:hAnsi="Calibri Light" w:cs="Calibri Light"/>
          <w:sz w:val="24"/>
          <w:szCs w:val="24"/>
          <w:lang w:val="en-ID" w:eastAsia="en-ID"/>
        </w:rPr>
        <w:fldChar w:fldCharType="end"/>
      </w:r>
      <w:r w:rsidRPr="00A67D4E">
        <w:rPr>
          <w:rFonts w:ascii="Calibri Light" w:hAnsi="Calibri Light" w:cs="Calibri Light"/>
          <w:sz w:val="24"/>
          <w:szCs w:val="24"/>
          <w:lang w:val="en-ID" w:eastAsia="en-ID"/>
        </w:rPr>
        <w:t xml:space="preserve">. In the eligibility phase, full-text articles were reviewed to confirm alignment with the research objectives. After this multi-stage selection process, </w:t>
      </w:r>
      <w:r w:rsidRPr="00B24984">
        <w:rPr>
          <w:rFonts w:ascii="Calibri Light" w:hAnsi="Calibri Light" w:cs="Calibri Light"/>
          <w:sz w:val="24"/>
          <w:szCs w:val="24"/>
          <w:highlight w:val="yellow"/>
          <w:lang w:val="en-ID" w:eastAsia="en-ID"/>
        </w:rPr>
        <w:t>1,149 studies were retained for the final bibliometric analysis, representing the most relevant and high-quality contributions in this field</w:t>
      </w:r>
      <w:r w:rsidR="005B5658">
        <w:rPr>
          <w:rFonts w:ascii="Calibri Light" w:hAnsi="Calibri Light" w:cs="Calibri Light" w:hint="cs"/>
          <w:sz w:val="24"/>
          <w:szCs w:val="24"/>
          <w:rtl/>
          <w:lang w:val="en-ID" w:eastAsia="en-ID"/>
        </w:rPr>
        <w:t xml:space="preserve"> </w:t>
      </w:r>
      <w:r w:rsidR="003B2BD3">
        <w:rPr>
          <w:rFonts w:ascii="Calibri Light" w:hAnsi="Calibri Light" w:cs="Calibri Light"/>
          <w:sz w:val="24"/>
          <w:szCs w:val="24"/>
          <w:lang w:val="en-ID" w:eastAsia="en-ID"/>
        </w:rPr>
        <w:fldChar w:fldCharType="begin" w:fldLock="1"/>
      </w:r>
      <w:r w:rsidR="005B5658">
        <w:rPr>
          <w:rFonts w:ascii="Calibri Light" w:hAnsi="Calibri Light" w:cs="Calibri Light"/>
          <w:sz w:val="24"/>
          <w:szCs w:val="24"/>
          <w:lang w:val="en-ID" w:eastAsia="en-ID"/>
        </w:rPr>
        <w:instrText>ADDIN CSL_CITATION {"citationItems":[{"id":"ITEM-1","itemData":{"DOI":"10.1108/QRFM-10-2022-0173","ISSN":"17554179 (ISSN)","abstract":"Purpose: This study aims to explore the prospects of istijrar financing in the Islamic banking of Bangladesh. Istijrar is a supply sale contract that facilitates recurrent transactions under a master agreement without needing a deal-to-deal agreement. Murabahah financing in Bangladesh is being criticized for Shari’ah violations, which can be minimized if istijrar financing is integrated and applied. Design/methodology/approach: The study uses a qualitative approach, primarily using a semistructured interview method to collect the primary data. The study conducted 13 one-to-one interviews with leading Islamic banking experts in the country, including Shari’ah scholars, Islamic bankers and regulators. Besides, the study consults with classical and contemporary fiqhi sources to realize the status of istijrar sale in Islamic law. Thematic analysis is performed to explore the qualitative data. Findings: The study finds that istijrar financing has great prospects in the Islamic banking of Bangladesh. Istijrar is applicable in consumer financing and can be offered as an alternative or supplement to murabahah. Also, postimport murabahah financing can be structured with istijrar, while it can also be used in export financing. Besides, a few challenges should be dealt with before offering istijrar, such as proper structure, lack of literacy, stakeholders’ awareness, Shari’ah and regulatory approval and alignment with the law of the land. Practical implications: Murabahah financing is dominant on the asset side of Islamic banks’ balance sheets in Bangladesh. Murabahah practice in Bangladesh is frequently criticized for some possible Shari’ah violations. Also, more documents are needed for each murabahah operation, which eventually accelerates the costs. Applying istijrar would minimize these issues as it does not require a new contract for each deal. Multiple supplies can be done under a single agreement. Besides, istijrar reduces documentation hassle and transaction costs. Istijrar would be an easy practice and benefit the bank and its clients. Originality/value: This study contributes to the body of knowledge and the Islamic banking industry. The existing studies have not adequately addressed the potential of istijrar in Islamic banking. In addition, this study will be an eye-opener for Islamic bankers to develop new products with istijrar. © 2023, Emerald Publishing Limited.","author":[{"dropping-particle":"","family":"Rahman","given":"M H","non-dropping-particle":"","parse-names":false,"suffix":""},{"dropping-particle":"","family":"Chowdhury","given":"N.M.S.I.","non-dropping-particle":"","parse-names":false,"suffix":""}],"container-title":"Qualitative Research in Financial Markets","id":"ITEM-1","issue":"1","issued":{"date-parts":[["2024"]]},"language":"English","note":"Export Date: 24 April 2025; Cited By: 4; Correspondence Address: M.H. Rahman; Faculty of Business and Management, Universiti Sultan Zainal Abidin (UniSZA), Kuala Terengganu, Malaysia; email: hrnizamee10@gmail.com","page":"135-158","publisher":"Emerald Publishing","publisher-place":"Faculty of Business and Management, Universiti Sultan Zainal Abidin (UniSZA), Kuala Terengganu, Malaysia","title":"The prospects of istijrar financing in Islamic banking: an exploratory study in Bangladesh","type":"article-journal","volume":"16"},"uris":["http://www.mendeley.com/documents/?uuid=e8b3b3f1-81f3-4ada-a87e-697e777ee9d8"]}],"mendeley":{"formattedCitation":"(Rahman &amp; Chowdhury, 2024)","plainTextFormattedCitation":"(Rahman &amp; Chowdhury, 2024)","previouslyFormattedCitation":"[8]"},"properties":{"noteIndex":0},"schema":"https://github.com/citation-style-language/schema/raw/master/csl-citation.json"}</w:instrText>
      </w:r>
      <w:r w:rsidR="003B2BD3">
        <w:rPr>
          <w:rFonts w:ascii="Calibri Light" w:hAnsi="Calibri Light" w:cs="Calibri Light"/>
          <w:sz w:val="24"/>
          <w:szCs w:val="24"/>
          <w:lang w:val="en-ID" w:eastAsia="en-ID"/>
        </w:rPr>
        <w:fldChar w:fldCharType="separate"/>
      </w:r>
      <w:r w:rsidR="005B5658" w:rsidRPr="005B5658">
        <w:rPr>
          <w:rFonts w:ascii="Calibri Light" w:hAnsi="Calibri Light" w:cs="Calibri Light"/>
          <w:noProof/>
          <w:sz w:val="24"/>
          <w:szCs w:val="24"/>
          <w:lang w:val="en-ID" w:eastAsia="en-ID"/>
        </w:rPr>
        <w:t>(Rahman &amp; Chowdhury, 2024)</w:t>
      </w:r>
      <w:r w:rsidR="003B2BD3">
        <w:rPr>
          <w:rFonts w:ascii="Calibri Light" w:hAnsi="Calibri Light" w:cs="Calibri Light"/>
          <w:sz w:val="24"/>
          <w:szCs w:val="24"/>
          <w:lang w:val="en-ID" w:eastAsia="en-ID"/>
        </w:rPr>
        <w:fldChar w:fldCharType="end"/>
      </w:r>
      <w:r w:rsidR="002E1840" w:rsidRPr="002E1840">
        <w:rPr>
          <w:rFonts w:ascii="Calibri Light" w:hAnsi="Calibri Light" w:cs="Calibri Light"/>
          <w:sz w:val="24"/>
          <w:szCs w:val="24"/>
          <w:lang w:val="en-ID" w:eastAsia="en-ID"/>
        </w:rPr>
        <w:t>.</w:t>
      </w:r>
    </w:p>
    <w:p w14:paraId="3C4CEFDA" w14:textId="77777777" w:rsidR="001F1380" w:rsidRDefault="002E1840" w:rsidP="007168B1">
      <w:pPr>
        <w:autoSpaceDE/>
        <w:autoSpaceDN/>
        <w:spacing w:before="100" w:beforeAutospacing="1" w:after="100" w:afterAutospacing="1"/>
        <w:ind w:left="426"/>
        <w:jc w:val="both"/>
        <w:rPr>
          <w:rFonts w:ascii="Calibri Light" w:hAnsi="Calibri Light" w:cs="Calibri Light"/>
          <w:sz w:val="24"/>
          <w:szCs w:val="24"/>
          <w:rtl/>
          <w:lang w:val="en-ID" w:eastAsia="en-ID"/>
        </w:rPr>
      </w:pPr>
      <w:r w:rsidRPr="002E1840">
        <w:rPr>
          <w:rFonts w:ascii="Calibri Light" w:hAnsi="Calibri Light" w:cs="Calibri Light"/>
          <w:sz w:val="24"/>
          <w:szCs w:val="24"/>
          <w:lang w:val="en-ID" w:eastAsia="en-ID"/>
        </w:rPr>
        <w:t>TITLE-ABS-KEY ( "Basel Accords" OR "Islamic banking" ) AND ( LIMIT-TO ( PUBYEAR , 2015 ) OR LIMIT-TO ( PUBYEAR , 2016 ) OR LIMIT-TO ( PUBYEAR , 2017 ) OR LIMIT-TO ( PUBYEAR , 2018 ) OR LIMIT-TO ( PUBYEAR , 2019 ) OR LIMIT-TO ( PUBYEAR , 2020 ) OR LIMIT-TO ( PUBYEAR , 2021 ) OR LIMIT-TO ( PUBYEAR , 2022 ) OR LIMIT-TO ( PUBYEAR , 2023 ) OR LIMIT-TO ( PUBYEAR , 2024 ) ) 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117B12BE" w14:textId="0948D823" w:rsidR="004308C0" w:rsidRDefault="001F1380" w:rsidP="001F1380">
      <w:pPr>
        <w:autoSpaceDE/>
        <w:autoSpaceDN/>
        <w:spacing w:before="100" w:beforeAutospacing="1" w:after="100" w:afterAutospacing="1"/>
        <w:ind w:left="426"/>
        <w:jc w:val="both"/>
        <w:rPr>
          <w:rFonts w:ascii="Calibri Light" w:hAnsi="Calibri Light" w:cs="Calibri Light"/>
          <w:sz w:val="24"/>
          <w:szCs w:val="24"/>
          <w:rtl/>
          <w:lang w:val="en-ID" w:eastAsia="en-ID"/>
        </w:rPr>
      </w:pPr>
      <w:r w:rsidRPr="001F1380">
        <w:rPr>
          <w:rFonts w:ascii="Calibri Light" w:hAnsi="Calibri Light" w:cs="Calibri Light"/>
          <w:sz w:val="24"/>
          <w:szCs w:val="24"/>
          <w:lang w:val="en-ID" w:eastAsia="en-ID"/>
        </w:rPr>
        <w:lastRenderedPageBreak/>
        <w:t>The analysis was conducted following the PRISMA Framework to ensure transparency and accuracy in study selection. This methodology provides a clear insight into the development of research on the Basel Accords and Islamic banking over the last decade, helping to understand research shifts and the key topics that have been the focus of academic discourse in this field. These criteria were comprehensively detailed in Figure 1 within the PRISMA framework section, where key parameters—including language, subject areas, and publication years—were explicitly specified. The analysis was conducted using VOSviewer version 1.6.19, with a minimum keyword occurrence set at 5, and clusters generated using the LinLog/modularity algorithm. While citation counts and average citations per year were included as impact metrics, the omission of h-index and altmetrics is acknowledged as a limitation of this study</w:t>
      </w:r>
      <w:r w:rsidR="007168B1">
        <w:rPr>
          <w:rFonts w:ascii="Calibri Light" w:hAnsi="Calibri Light" w:cs="Calibri Light" w:hint="cs"/>
          <w:sz w:val="24"/>
          <w:szCs w:val="24"/>
          <w:rtl/>
          <w:lang w:val="en-ID" w:eastAsia="en-ID"/>
        </w:rPr>
        <w:t xml:space="preserve"> </w:t>
      </w:r>
      <w:r w:rsidR="00602879">
        <w:rPr>
          <w:rFonts w:ascii="Calibri Light" w:hAnsi="Calibri Light" w:cs="Calibri Light"/>
          <w:sz w:val="24"/>
          <w:szCs w:val="24"/>
          <w:lang w:val="en-ID" w:eastAsia="en-ID"/>
        </w:rPr>
        <w:fldChar w:fldCharType="begin" w:fldLock="1"/>
      </w:r>
      <w:r w:rsidR="005B5658">
        <w:rPr>
          <w:rFonts w:ascii="Calibri Light" w:hAnsi="Calibri Light" w:cs="Calibri Light"/>
          <w:sz w:val="24"/>
          <w:szCs w:val="24"/>
          <w:lang w:val="en-ID" w:eastAsia="en-ID"/>
        </w:rPr>
        <w:instrText>ADDIN CSL_CITATION {"citationItems":[{"id":"ITEM-1","itemData":{"DOI":"10.59683/ijls.v3i3.90","ISSN":"28279042","abstract":"This study explores the application of Qur'anic human rights principles in Egypt and Indonesia, focusing on how Islamic teachings are integrated into modern legal systems amidst different cultural, political, and historical contexts. The study investigates the balance between universal human rights standards and Islamic jurisprudence, identifying variations in the interpretation and application of these principles in both countries. The PRISMA framework was used as the basis for the method, ensuring a systematic and transparent approach to reviewing legal texts, academic literature, and case studies. The technique began by identifying sources relevant to applying human rights law in the context of Islamic teachings in Egypt and Indonesia. A focused search was conducted using Web of Science and Scopus databases, targeting articles published between 2014 and 2024. Inclusion criteria ensured that the study analyzed recent and high-quality research on the intersection of Qur'anic principles and international human rights standards. The study shows that Egypt faces challenges in implementing Qur'anic teachings due to conservative interpretations that limit gender equality, freedom of expression, and freedom of religion. In contrast, Indonesia is more flexible by balancing Islamic principles with modern democratic values. This allows for a broader interpretation of Qur'anic principles, especially gender equality and religious freedom. The role of ijtihad in Indonesia is crucial in adapting Islamic law to contemporary human rights standards. This study highlights the complexity of aligning Islamic teachings with global human rights norms. It emphasizes the importance of revisiting traditional interpretations of the Qur'an to better align them with contemporary values of justice, equality, and human dignity, as well as ensuring respect for the human rights of all citizens.","author":[{"dropping-particle":"","family":"Andri Nirwana","given":"A. N.","non-dropping-particle":"","parse-names":false,"suffix":""},{"dropping-particle":"","family":"Elbanna","given":"Mariam","non-dropping-particle":"","parse-names":false,"suffix":""},{"dropping-particle":"","family":"Ismail","given":"Faisal Husen","non-dropping-particle":"","parse-names":false,"suffix":""},{"dropping-particle":"","family":"Daud","given":"Zainora","non-dropping-particle":"","parse-names":false,"suffix":""},{"dropping-particle":"","family":"Mohd Salleh","given":"Norsaleha","non-dropping-particle":"","parse-names":false,"suffix":""},{"dropping-particle":"","family":"Kirin","given":"Arwansyah","non-dropping-particle":"Bin","parse-names":false,"suffix":""},{"dropping-particle":"","family":"Marisa","given":"Siti Nurkhafifah","non-dropping-particle":"","parse-names":false,"suffix":""},{"dropping-particle":"","family":"Husein","given":"Muhammad Zakir","non-dropping-particle":"","parse-names":false,"suffix":""}],"container-title":"International Journal of Law and Society","id":"ITEM-1","issue":"3","issued":{"date-parts":[["2024"]]},"page":"173-186","title":"PRISMA-Based Study on Integrating Islamic Principles into Legal Systems: Human Rights in Egypt and Indonesia","type":"article-journal","volume":"3"},"uris":["http://www.mendeley.com/documents/?uuid=b4e6a10c-a2a5-4193-baf9-1cd44d99942b"]}],"mendeley":{"formattedCitation":"(Andri Nirwana et al., 2024)","plainTextFormattedCitation":"(Andri Nirwana et al., 2024)","previouslyFormattedCitation":"[9]"},"properties":{"noteIndex":0},"schema":"https://github.com/citation-style-language/schema/raw/master/csl-citation.json"}</w:instrText>
      </w:r>
      <w:r w:rsidR="00602879">
        <w:rPr>
          <w:rFonts w:ascii="Calibri Light" w:hAnsi="Calibri Light" w:cs="Calibri Light"/>
          <w:sz w:val="24"/>
          <w:szCs w:val="24"/>
          <w:lang w:val="en-ID" w:eastAsia="en-ID"/>
        </w:rPr>
        <w:fldChar w:fldCharType="separate"/>
      </w:r>
      <w:r w:rsidR="005B5658" w:rsidRPr="005B5658">
        <w:rPr>
          <w:rFonts w:ascii="Calibri Light" w:hAnsi="Calibri Light" w:cs="Calibri Light"/>
          <w:noProof/>
          <w:sz w:val="24"/>
          <w:szCs w:val="24"/>
          <w:lang w:val="en-ID" w:eastAsia="en-ID"/>
        </w:rPr>
        <w:t>(Andri Nirwana et al., 2024)</w:t>
      </w:r>
      <w:r w:rsidR="00602879">
        <w:rPr>
          <w:rFonts w:ascii="Calibri Light" w:hAnsi="Calibri Light" w:cs="Calibri Light"/>
          <w:sz w:val="24"/>
          <w:szCs w:val="24"/>
          <w:lang w:val="en-ID" w:eastAsia="en-ID"/>
        </w:rPr>
        <w:fldChar w:fldCharType="end"/>
      </w:r>
      <w:r w:rsidR="002E1840" w:rsidRPr="002E1840">
        <w:rPr>
          <w:rFonts w:ascii="Calibri Light" w:hAnsi="Calibri Light" w:cs="Calibri Light"/>
          <w:sz w:val="24"/>
          <w:szCs w:val="24"/>
          <w:lang w:val="en-ID" w:eastAsia="en-ID"/>
        </w:rPr>
        <w:t>.</w:t>
      </w:r>
      <w:bookmarkStart w:id="2" w:name="_Hlk187681640"/>
    </w:p>
    <w:p w14:paraId="06A2A855" w14:textId="77777777" w:rsidR="001F1380" w:rsidRPr="001F1380" w:rsidRDefault="001F1380" w:rsidP="001F1380">
      <w:pPr>
        <w:autoSpaceDE/>
        <w:autoSpaceDN/>
        <w:spacing w:before="100" w:beforeAutospacing="1" w:after="100" w:afterAutospacing="1"/>
        <w:ind w:left="426"/>
        <w:rPr>
          <w:rFonts w:ascii="Calibri Light" w:hAnsi="Calibri Light" w:cs="Calibri Light"/>
          <w:sz w:val="24"/>
          <w:szCs w:val="24"/>
          <w:lang w:val="en-ID" w:eastAsia="en-ID"/>
        </w:rPr>
      </w:pPr>
    </w:p>
    <w:p w14:paraId="6664ECAD" w14:textId="564DBC24"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2304" behindDoc="0" locked="0" layoutInCell="1" allowOverlap="1" wp14:anchorId="109665C2" wp14:editId="6E508965">
                <wp:simplePos x="0" y="0"/>
                <wp:positionH relativeFrom="column">
                  <wp:posOffset>509270</wp:posOffset>
                </wp:positionH>
                <wp:positionV relativeFrom="paragraph">
                  <wp:posOffset>122555</wp:posOffset>
                </wp:positionV>
                <wp:extent cx="4622800" cy="381000"/>
                <wp:effectExtent l="38100" t="38100" r="63500" b="76200"/>
                <wp:wrapNone/>
                <wp:docPr id="29" name="Flowchart: Alternate Process 29"/>
                <wp:cNvGraphicFramePr/>
                <a:graphic xmlns:a="http://schemas.openxmlformats.org/drawingml/2006/main">
                  <a:graphicData uri="http://schemas.microsoft.com/office/word/2010/wordprocessingShape">
                    <wps:wsp>
                      <wps:cNvSpPr/>
                      <wps:spPr>
                        <a:xfrm>
                          <a:off x="0" y="0"/>
                          <a:ext cx="4622800" cy="381000"/>
                        </a:xfrm>
                        <a:prstGeom prst="flowChartAlternateProcess">
                          <a:avLst/>
                        </a:prstGeom>
                        <a:gradFill rotWithShape="1">
                          <a:gsLst>
                            <a:gs pos="0">
                              <a:srgbClr val="D8B25C"/>
                            </a:gs>
                            <a:gs pos="90000">
                              <a:srgbClr val="D8B25C">
                                <a:shade val="100000"/>
                              </a:srgbClr>
                            </a:gs>
                            <a:gs pos="100000">
                              <a:srgbClr val="D8B25C">
                                <a:shade val="85000"/>
                              </a:srgbClr>
                            </a:gs>
                          </a:gsLst>
                          <a:path path="circle">
                            <a:fillToRect l="100000" t="100000" r="100000" b="100000"/>
                          </a:path>
                        </a:gradFill>
                        <a:ln w="10000" cap="flat" cmpd="sng" algn="ctr">
                          <a:solidFill>
                            <a:srgbClr val="D8B25C"/>
                          </a:solidFill>
                          <a:prstDash val="solid"/>
                        </a:ln>
                        <a:effectLst>
                          <a:outerShdw blurRad="38100" dist="17779" dir="5400000" rotWithShape="0">
                            <a:srgbClr val="000000">
                              <a:alpha val="40000"/>
                            </a:srgbClr>
                          </a:outerShdw>
                        </a:effectLst>
                      </wps:spPr>
                      <wps:txb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665C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29" o:spid="_x0000_s1026" type="#_x0000_t176" style="position:absolute;margin-left:40.1pt;margin-top:9.65pt;width:364pt;height:30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" fillcolor="#d8b25c" strokecolor="#d8b25c" strokeweight=".27778mm">
                <v:fill color2="#c9a555" rotate="t" focusposition="1,1" focussize="-1,-1" colors="0 #d8b25c;58982f #d8b25c;1 #c9a555" focus="100%" type="gradientRadial"/>
                <v:shadow on="t" color="black" opacity="26214f" origin=",.5" offset="0,.49386mm"/>
                <v:textbo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v:textbox>
              </v:shape>
            </w:pict>
          </mc:Fallback>
        </mc:AlternateContent>
      </w:r>
    </w:p>
    <w:p w14:paraId="3A19920F" w14:textId="77777777" w:rsidR="007923B1" w:rsidRPr="007923B1" w:rsidRDefault="007923B1" w:rsidP="007923B1">
      <w:pPr>
        <w:autoSpaceDE/>
        <w:autoSpaceDN/>
        <w:rPr>
          <w:rFonts w:ascii="Calibri" w:eastAsia="Calibri" w:hAnsi="Calibri" w:cs="Arial"/>
          <w:sz w:val="22"/>
          <w:szCs w:val="22"/>
          <w:lang w:val="en-AU" w:eastAsia="en-US"/>
        </w:rPr>
      </w:pPr>
    </w:p>
    <w:p w14:paraId="53AB012E" w14:textId="77777777" w:rsidR="00D813BC" w:rsidRDefault="00D813BC" w:rsidP="007923B1">
      <w:pPr>
        <w:autoSpaceDE/>
        <w:autoSpaceDN/>
        <w:rPr>
          <w:rFonts w:ascii="Calibri" w:eastAsia="Calibri" w:hAnsi="Calibri" w:cs="Arial"/>
          <w:sz w:val="22"/>
          <w:szCs w:val="22"/>
          <w:lang w:val="en-AU" w:eastAsia="en-US"/>
        </w:rPr>
      </w:pPr>
    </w:p>
    <w:p w14:paraId="1D033615" w14:textId="77777777" w:rsidR="004308C0" w:rsidRDefault="004308C0" w:rsidP="007923B1">
      <w:pPr>
        <w:autoSpaceDE/>
        <w:autoSpaceDN/>
        <w:rPr>
          <w:rFonts w:ascii="Calibri" w:eastAsia="Calibri" w:hAnsi="Calibri" w:cs="Arial"/>
          <w:sz w:val="22"/>
          <w:szCs w:val="22"/>
          <w:lang w:val="en-AU" w:eastAsia="en-US"/>
        </w:rPr>
      </w:pPr>
    </w:p>
    <w:p w14:paraId="02052A69" w14:textId="62591DDF"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68992" behindDoc="0" locked="0" layoutInCell="1" allowOverlap="1" wp14:anchorId="18FFA0C2" wp14:editId="6B545877">
                <wp:simplePos x="0" y="0"/>
                <wp:positionH relativeFrom="column">
                  <wp:posOffset>561975</wp:posOffset>
                </wp:positionH>
                <wp:positionV relativeFrom="paragraph">
                  <wp:posOffset>131445</wp:posOffset>
                </wp:positionV>
                <wp:extent cx="1887220" cy="981075"/>
                <wp:effectExtent l="0" t="0" r="0" b="9525"/>
                <wp:wrapNone/>
                <wp:docPr id="1" name="Rectangle 1"/>
                <wp:cNvGraphicFramePr/>
                <a:graphic xmlns:a="http://schemas.openxmlformats.org/drawingml/2006/main">
                  <a:graphicData uri="http://schemas.microsoft.com/office/word/2010/wordprocessingShape">
                    <wps:wsp>
                      <wps:cNvSpPr/>
                      <wps:spPr>
                        <a:xfrm>
                          <a:off x="0" y="0"/>
                          <a:ext cx="1887220" cy="98107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14:paraId="77870ACB"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FFA0C2" id="Rectangle 1" o:spid="_x0000_s1027" style="position:absolute;margin-left:44.25pt;margin-top:10.35pt;width:148.6pt;height:77.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" fillcolor="#737950" stroked="f">
                <v:fill color2="#c9cdb3" rotate="t" angle="180" colors="0 #737950;31457f #a8ae85;1 #c9cdb3" focus="100%" type="gradient"/>
                <v:textbo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14:paraId="77870ACB" w14:textId="77777777" w:rsidR="007923B1" w:rsidRPr="001C3167" w:rsidRDefault="007923B1" w:rsidP="007923B1">
                      <w:pPr>
                        <w:ind w:left="284"/>
                        <w:rPr>
                          <w:rFonts w:ascii="Arial" w:hAnsi="Arial" w:cs="Arial"/>
                          <w:color w:val="000000"/>
                          <w:sz w:val="18"/>
                        </w:rPr>
                      </w:pPr>
                    </w:p>
                  </w:txbxContent>
                </v:textbox>
              </v:rect>
            </w:pict>
          </mc:Fallback>
        </mc:AlternateContent>
      </w:r>
    </w:p>
    <w:p w14:paraId="1B38B34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0016" behindDoc="0" locked="0" layoutInCell="1" allowOverlap="1" wp14:anchorId="6AEE5F94" wp14:editId="55D5B1B7">
                <wp:simplePos x="0" y="0"/>
                <wp:positionH relativeFrom="column">
                  <wp:posOffset>3020695</wp:posOffset>
                </wp:positionH>
                <wp:positionV relativeFrom="paragraph">
                  <wp:posOffset>113030</wp:posOffset>
                </wp:positionV>
                <wp:extent cx="2389505" cy="752475"/>
                <wp:effectExtent l="0" t="0" r="0" b="9525"/>
                <wp:wrapNone/>
                <wp:docPr id="1815045546" name="Rectangle 1815045546"/>
                <wp:cNvGraphicFramePr/>
                <a:graphic xmlns:a="http://schemas.openxmlformats.org/drawingml/2006/main">
                  <a:graphicData uri="http://schemas.microsoft.com/office/word/2010/wordprocessingShape">
                    <wps:wsp>
                      <wps:cNvSpPr/>
                      <wps:spPr>
                        <a:xfrm>
                          <a:off x="0" y="0"/>
                          <a:ext cx="2389505" cy="752475"/>
                        </a:xfrm>
                        <a:prstGeom prst="rect">
                          <a:avLst/>
                        </a:prstGeom>
                        <a:solidFill>
                          <a:srgbClr val="A5AB81">
                            <a:alpha val="50000"/>
                          </a:srgbClr>
                        </a:solidFill>
                        <a:ln>
                          <a:noFill/>
                        </a:ln>
                        <a:effectLst/>
                      </wps:spPr>
                      <wps:txb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E5F94" id="Rectangle 1815045546" o:spid="_x0000_s1028" style="position:absolute;margin-left:237.85pt;margin-top:8.9pt;width:188.15pt;height:59.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" fillcolor="#a5ab81" stroked="f">
                <v:fill opacity="32896f"/>
                <v:textbo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v:textbox>
              </v:rect>
            </w:pict>
          </mc:Fallback>
        </mc:AlternateContent>
      </w:r>
    </w:p>
    <w:p w14:paraId="69422F97"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3328" behindDoc="0" locked="0" layoutInCell="1" allowOverlap="1" wp14:anchorId="020FAA8D" wp14:editId="2E0E9A5F">
                <wp:simplePos x="0" y="0"/>
                <wp:positionH relativeFrom="column">
                  <wp:posOffset>-403543</wp:posOffset>
                </wp:positionH>
                <wp:positionV relativeFrom="paragraph">
                  <wp:posOffset>222567</wp:posOffset>
                </wp:positionV>
                <wp:extent cx="1276985" cy="262890"/>
                <wp:effectExtent l="0" t="7302" r="0" b="0"/>
                <wp:wrapNone/>
                <wp:docPr id="31" name="Flowchart: Alternate Process 31"/>
                <wp:cNvGraphicFramePr/>
                <a:graphic xmlns:a="http://schemas.openxmlformats.org/drawingml/2006/main">
                  <a:graphicData uri="http://schemas.microsoft.com/office/word/2010/wordprocessingShape">
                    <wps:wsp>
                      <wps:cNvSpPr/>
                      <wps:spPr>
                        <a:xfrm rot="16200000">
                          <a:off x="0" y="0"/>
                          <a:ext cx="1276985" cy="262890"/>
                        </a:xfrm>
                        <a:prstGeom prst="flowChartAlternateProcess">
                          <a:avLst/>
                        </a:prstGeom>
                        <a:solidFill>
                          <a:srgbClr val="7BA79D"/>
                        </a:solidFill>
                        <a:ln>
                          <a:noFill/>
                        </a:ln>
                        <a:effectLst/>
                      </wps:spPr>
                      <wps:txb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FAA8D" id="Flowchart: Alternate Process 31" o:spid="_x0000_s1029" type="#_x0000_t176" style="position:absolute;margin-left:-31.8pt;margin-top:17.5pt;width:100.55pt;height:20.7pt;rotation:-90;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" fillcolor="#7ba79d" stroked="f">
                <v:textbo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v:textbox>
              </v:shape>
            </w:pict>
          </mc:Fallback>
        </mc:AlternateContent>
      </w:r>
    </w:p>
    <w:p w14:paraId="2B289650" w14:textId="77777777" w:rsidR="007923B1" w:rsidRPr="007923B1" w:rsidRDefault="007923B1" w:rsidP="007923B1">
      <w:pPr>
        <w:autoSpaceDE/>
        <w:autoSpaceDN/>
        <w:rPr>
          <w:rFonts w:ascii="Calibri" w:eastAsia="Calibri" w:hAnsi="Calibri" w:cs="Arial"/>
          <w:sz w:val="22"/>
          <w:szCs w:val="22"/>
          <w:lang w:val="en-AU" w:eastAsia="en-US"/>
        </w:rPr>
      </w:pPr>
    </w:p>
    <w:p w14:paraId="4F1B4876"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8208" behindDoc="0" locked="0" layoutInCell="1" allowOverlap="1" wp14:anchorId="0144FC5E" wp14:editId="4E926210">
                <wp:simplePos x="0" y="0"/>
                <wp:positionH relativeFrom="column">
                  <wp:posOffset>2454250</wp:posOffset>
                </wp:positionH>
                <wp:positionV relativeFrom="paragraph">
                  <wp:posOffset>9550</wp:posOffset>
                </wp:positionV>
                <wp:extent cx="563270" cy="0"/>
                <wp:effectExtent l="0" t="76200" r="27305" b="95250"/>
                <wp:wrapNone/>
                <wp:docPr id="14" name="Straight Arrow Connector 14"/>
                <wp:cNvGraphicFramePr/>
                <a:graphic xmlns:a="http://schemas.openxmlformats.org/drawingml/2006/main">
                  <a:graphicData uri="http://schemas.microsoft.com/office/word/2010/wordprocessingShape">
                    <wps:wsp>
                      <wps:cNvCnPr/>
                      <wps:spPr>
                        <a:xfrm>
                          <a:off x="0" y="0"/>
                          <a:ext cx="563270"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w:pict>
              <v:shapetype w14:anchorId="07B8C572" id="_x0000_t32" coordsize="21600,21600" o:spt="32" o:oned="t" path="m,l21600,21600e" filled="f">
                <v:path arrowok="t" fillok="f" o:connecttype="none"/>
                <o:lock v:ext="edit" shapetype="t"/>
              </v:shapetype>
              <v:shape id="Straight Arrow Connector 14" o:spid="_x0000_s1026" type="#_x0000_t32" style="position:absolute;margin-left:193.25pt;margin-top:.75pt;width:44.35pt;height:0;z-index:251678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" strokecolor="windowText" strokeweight="4.25pt">
                <v:stroke endarrow="block" linestyle="thinThin"/>
                <v:shadow on="t" color="black" opacity="26214f" origin=",.5" offset="0,.49386mm"/>
              </v:shape>
            </w:pict>
          </mc:Fallback>
        </mc:AlternateContent>
      </w:r>
    </w:p>
    <w:p w14:paraId="64B7C90E" w14:textId="77777777" w:rsidR="007923B1" w:rsidRPr="007923B1" w:rsidRDefault="007923B1" w:rsidP="007923B1">
      <w:pPr>
        <w:autoSpaceDE/>
        <w:autoSpaceDN/>
        <w:rPr>
          <w:rFonts w:ascii="Calibri" w:eastAsia="Calibri" w:hAnsi="Calibri" w:cs="Arial"/>
          <w:sz w:val="22"/>
          <w:szCs w:val="22"/>
          <w:lang w:val="en-AU" w:eastAsia="en-US"/>
        </w:rPr>
      </w:pPr>
    </w:p>
    <w:p w14:paraId="79A91764"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6400" behindDoc="0" locked="0" layoutInCell="1" allowOverlap="1" wp14:anchorId="60C8D754" wp14:editId="13F99CD1">
                <wp:simplePos x="0" y="0"/>
                <wp:positionH relativeFrom="column">
                  <wp:posOffset>1400175</wp:posOffset>
                </wp:positionH>
                <wp:positionV relativeFrom="paragraph">
                  <wp:posOffset>118745</wp:posOffset>
                </wp:positionV>
                <wp:extent cx="0" cy="467995"/>
                <wp:effectExtent l="133350" t="19050" r="152400" b="84455"/>
                <wp:wrapNone/>
                <wp:docPr id="27" name="Straight Arrow Connector 27"/>
                <wp:cNvGraphicFramePr/>
                <a:graphic xmlns:a="http://schemas.openxmlformats.org/drawingml/2006/main">
                  <a:graphicData uri="http://schemas.microsoft.com/office/word/2010/wordprocessingShape">
                    <wps:wsp>
                      <wps:cNvCnPr/>
                      <wps:spPr>
                        <a:xfrm>
                          <a:off x="0" y="0"/>
                          <a:ext cx="0" cy="46799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w:pict>
              <v:shape w14:anchorId="3A10FC3D" id="Straight Arrow Connector 27" o:spid="_x0000_s1026" type="#_x0000_t32" style="position:absolute;margin-left:110.25pt;margin-top:9.35pt;width:0;height:36.85pt;z-index:25168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" strokecolor="windowText" strokeweight="4.25pt">
                <v:stroke endarrow="block" linestyle="thinThin"/>
                <v:shadow on="t" color="black" opacity="26214f" origin=",.5" offset="0,.49386mm"/>
              </v:shape>
            </w:pict>
          </mc:Fallback>
        </mc:AlternateContent>
      </w:r>
    </w:p>
    <w:p w14:paraId="66F35A7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2064" behindDoc="0" locked="0" layoutInCell="1" allowOverlap="1" wp14:anchorId="6A01B598" wp14:editId="5EA086D9">
                <wp:simplePos x="0" y="0"/>
                <wp:positionH relativeFrom="column">
                  <wp:posOffset>3000375</wp:posOffset>
                </wp:positionH>
                <wp:positionV relativeFrom="paragraph">
                  <wp:posOffset>13970</wp:posOffset>
                </wp:positionV>
                <wp:extent cx="3009900" cy="1390650"/>
                <wp:effectExtent l="0" t="0" r="0" b="0"/>
                <wp:wrapNone/>
                <wp:docPr id="888585689" name="Rectangle 888585689"/>
                <wp:cNvGraphicFramePr/>
                <a:graphic xmlns:a="http://schemas.openxmlformats.org/drawingml/2006/main">
                  <a:graphicData uri="http://schemas.microsoft.com/office/word/2010/wordprocessingShape">
                    <wps:wsp>
                      <wps:cNvSpPr/>
                      <wps:spPr>
                        <a:xfrm>
                          <a:off x="0" y="0"/>
                          <a:ext cx="3009900" cy="1390650"/>
                        </a:xfrm>
                        <a:prstGeom prst="rect">
                          <a:avLst/>
                        </a:prstGeom>
                        <a:solidFill>
                          <a:srgbClr val="A5AB81">
                            <a:alpha val="50000"/>
                          </a:srgbClr>
                        </a:solidFill>
                        <a:ln>
                          <a:noFill/>
                        </a:ln>
                        <a:effectLst/>
                      </wps:spPr>
                      <wps:txb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3" w:name="_Hlk191392340"/>
                            <w:r w:rsidRPr="00D86218">
                              <w:rPr>
                                <w:rFonts w:ascii="Arial" w:hAnsi="Arial" w:cs="Arial"/>
                                <w:color w:val="000000"/>
                                <w:sz w:val="18"/>
                              </w:rPr>
                              <w:t>TITLE-ABS-KEY ( "Basel Accords" OR "Islamic banking" )</w:t>
                            </w:r>
                            <w:bookmarkEnd w:id="3"/>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1B598" id="Rectangle 888585689" o:spid="_x0000_s1030" style="position:absolute;margin-left:236.25pt;margin-top:1.1pt;width:237pt;height:10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" fillcolor="#a5ab81" stroked="f">
                <v:fill opacity="32896f"/>
                <v:textbo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4" w:name="_Hlk191392340"/>
                      <w:r w:rsidRPr="00D86218">
                        <w:rPr>
                          <w:rFonts w:ascii="Arial" w:hAnsi="Arial" w:cs="Arial"/>
                          <w:color w:val="000000"/>
                          <w:sz w:val="18"/>
                        </w:rPr>
                        <w:t>TITLE-ABS-KEY ( "Basel Accords" OR "Islamic banking" )</w:t>
                      </w:r>
                      <w:bookmarkEnd w:id="4"/>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v:textbox>
              </v:rect>
            </w:pict>
          </mc:Fallback>
        </mc:AlternateContent>
      </w:r>
    </w:p>
    <w:p w14:paraId="20E1E930" w14:textId="77777777" w:rsidR="007923B1" w:rsidRPr="007923B1" w:rsidRDefault="007923B1" w:rsidP="007923B1">
      <w:pPr>
        <w:autoSpaceDE/>
        <w:autoSpaceDN/>
        <w:rPr>
          <w:rFonts w:ascii="Calibri" w:eastAsia="Calibri" w:hAnsi="Calibri" w:cs="Arial"/>
          <w:sz w:val="22"/>
          <w:szCs w:val="22"/>
          <w:lang w:val="en-AU" w:eastAsia="en-US"/>
        </w:rPr>
      </w:pPr>
    </w:p>
    <w:p w14:paraId="15BB902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9232" behindDoc="0" locked="0" layoutInCell="1" allowOverlap="1" wp14:anchorId="4F620B9F" wp14:editId="7F64B5F7">
                <wp:simplePos x="0" y="0"/>
                <wp:positionH relativeFrom="column">
                  <wp:posOffset>2453640</wp:posOffset>
                </wp:positionH>
                <wp:positionV relativeFrom="paragraph">
                  <wp:posOffset>328295</wp:posOffset>
                </wp:positionV>
                <wp:extent cx="563245" cy="0"/>
                <wp:effectExtent l="0" t="76200" r="27305" b="95250"/>
                <wp:wrapNone/>
                <wp:docPr id="15" name="Straight Arrow Connector 15"/>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w:pict>
              <v:shape w14:anchorId="18D1201C" id="Straight Arrow Connector 15" o:spid="_x0000_s1026" type="#_x0000_t32" style="position:absolute;margin-left:193.2pt;margin-top:25.85pt;width:44.35pt;height:0;z-index:251679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" strokecolor="windowText" strokeweight="4.25pt">
                <v:stroke endarrow="block" linestyle="thinThin"/>
                <v:shadow on="t" color="black" opacity="26214f" origin=",.5" offset="0,.49386m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1040" behindDoc="0" locked="0" layoutInCell="1" allowOverlap="1" wp14:anchorId="55A5B173" wp14:editId="50957832">
                <wp:simplePos x="0" y="0"/>
                <wp:positionH relativeFrom="column">
                  <wp:posOffset>559435</wp:posOffset>
                </wp:positionH>
                <wp:positionV relativeFrom="paragraph">
                  <wp:posOffset>74930</wp:posOffset>
                </wp:positionV>
                <wp:extent cx="1887220" cy="526415"/>
                <wp:effectExtent l="0" t="0" r="0" b="6985"/>
                <wp:wrapNone/>
                <wp:docPr id="3" name="Rectangle 3"/>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A5B173" id="Rectangle 3" o:spid="_x0000_s1031" style="position:absolute;margin-left:44.05pt;margin-top:5.9pt;width:148.6pt;height:41.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j1MpQIAAMM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" fillcolor="#737950" stroked="f">
                <v:fill color2="#c9cdb3" rotate="t" angle="180" colors="0 #737950;31457f #a8ae85;1 #c9cdb3" focus="100%" type="gradient"/>
                <v:textbo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v:textbox>
              </v:rect>
            </w:pict>
          </mc:Fallback>
        </mc:AlternateContent>
      </w:r>
    </w:p>
    <w:p w14:paraId="57953CF2" w14:textId="77777777" w:rsidR="007923B1" w:rsidRPr="007923B1" w:rsidRDefault="007923B1" w:rsidP="007923B1">
      <w:pPr>
        <w:autoSpaceDE/>
        <w:autoSpaceDN/>
        <w:rPr>
          <w:rFonts w:ascii="Calibri" w:eastAsia="Calibri" w:hAnsi="Calibri" w:cs="Arial"/>
          <w:sz w:val="22"/>
          <w:szCs w:val="22"/>
          <w:lang w:val="en-AU" w:eastAsia="en-US"/>
        </w:rPr>
      </w:pPr>
    </w:p>
    <w:p w14:paraId="134FEC87" w14:textId="77777777" w:rsidR="007923B1" w:rsidRPr="007923B1" w:rsidRDefault="007923B1" w:rsidP="007923B1">
      <w:pPr>
        <w:autoSpaceDE/>
        <w:autoSpaceDN/>
        <w:rPr>
          <w:rFonts w:ascii="Calibri" w:eastAsia="Calibri" w:hAnsi="Calibri" w:cs="Arial"/>
          <w:sz w:val="22"/>
          <w:szCs w:val="22"/>
          <w:lang w:val="en-AU" w:eastAsia="en-US"/>
        </w:rPr>
      </w:pPr>
    </w:p>
    <w:p w14:paraId="7C31BDFF"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7424" behindDoc="0" locked="0" layoutInCell="1" allowOverlap="1" wp14:anchorId="1130F3D4" wp14:editId="1E06C171">
                <wp:simplePos x="0" y="0"/>
                <wp:positionH relativeFrom="column">
                  <wp:posOffset>1400175</wp:posOffset>
                </wp:positionH>
                <wp:positionV relativeFrom="paragraph">
                  <wp:posOffset>99695</wp:posOffset>
                </wp:positionV>
                <wp:extent cx="0" cy="396000"/>
                <wp:effectExtent l="76200" t="0" r="57150" b="61595"/>
                <wp:wrapNone/>
                <wp:docPr id="35" name="Straight Arrow Connector 35"/>
                <wp:cNvGraphicFramePr/>
                <a:graphic xmlns:a="http://schemas.openxmlformats.org/drawingml/2006/main">
                  <a:graphicData uri="http://schemas.microsoft.com/office/word/2010/wordprocessingShape">
                    <wps:wsp>
                      <wps:cNvCnPr/>
                      <wps:spPr>
                        <a:xfrm>
                          <a:off x="0" y="0"/>
                          <a:ext cx="0" cy="396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w:pict>
              <v:shape w14:anchorId="7A005E5C" id="Straight Arrow Connector 35" o:spid="_x0000_s1026" type="#_x0000_t32" style="position:absolute;margin-left:110.25pt;margin-top:7.85pt;width:0;height:31.2pt;z-index:251687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" strokecolor="windowText" strokeweight="4.25pt">
                <v:stroke endarrow="block" linestyle="thinThin"/>
                <v:shadow on="t" color="black" opacity="26214f" origin=",.5" offset="0,.49386mm"/>
              </v:shape>
            </w:pict>
          </mc:Fallback>
        </mc:AlternateContent>
      </w:r>
    </w:p>
    <w:p w14:paraId="1B52E05E" w14:textId="77777777" w:rsidR="007923B1" w:rsidRPr="007923B1" w:rsidRDefault="007923B1" w:rsidP="007923B1">
      <w:pPr>
        <w:autoSpaceDE/>
        <w:autoSpaceDN/>
        <w:rPr>
          <w:rFonts w:ascii="Calibri" w:eastAsia="Calibri" w:hAnsi="Calibri" w:cs="Arial"/>
          <w:sz w:val="22"/>
          <w:szCs w:val="22"/>
          <w:lang w:val="en-AU" w:eastAsia="en-US"/>
        </w:rPr>
      </w:pPr>
    </w:p>
    <w:p w14:paraId="55762C0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3088" behindDoc="0" locked="0" layoutInCell="1" allowOverlap="1" wp14:anchorId="0437D316" wp14:editId="6CA9ADF5">
                <wp:simplePos x="0" y="0"/>
                <wp:positionH relativeFrom="column">
                  <wp:posOffset>560705</wp:posOffset>
                </wp:positionH>
                <wp:positionV relativeFrom="paragraph">
                  <wp:posOffset>152400</wp:posOffset>
                </wp:positionV>
                <wp:extent cx="1887220" cy="526415"/>
                <wp:effectExtent l="0" t="0" r="0" b="6985"/>
                <wp:wrapNone/>
                <wp:docPr id="5" name="Rectangle 5"/>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37D316" id="Rectangle 5" o:spid="_x0000_s1032" style="position:absolute;margin-left:44.15pt;margin-top:12pt;width:148.6pt;height:41.4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" fillcolor="#737950" stroked="f">
                <v:fill color2="#c9cdb3" rotate="t" angle="180" colors="0 #737950;31457f #a8ae85;1 #c9cdb3" focus="100%" type="gradient"/>
                <v:textbo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v:textbox>
              </v:rect>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4352" behindDoc="0" locked="0" layoutInCell="1" allowOverlap="1" wp14:anchorId="44838E55" wp14:editId="04424280">
                <wp:simplePos x="0" y="0"/>
                <wp:positionH relativeFrom="column">
                  <wp:posOffset>-903603</wp:posOffset>
                </wp:positionH>
                <wp:positionV relativeFrom="paragraph">
                  <wp:posOffset>137159</wp:posOffset>
                </wp:positionV>
                <wp:extent cx="2258060" cy="286387"/>
                <wp:effectExtent l="0" t="4763" r="4128" b="4127"/>
                <wp:wrapNone/>
                <wp:docPr id="32" name="Flowchart: Alternate Process 32"/>
                <wp:cNvGraphicFramePr/>
                <a:graphic xmlns:a="http://schemas.openxmlformats.org/drawingml/2006/main">
                  <a:graphicData uri="http://schemas.microsoft.com/office/word/2010/wordprocessingShape">
                    <wps:wsp>
                      <wps:cNvSpPr/>
                      <wps:spPr>
                        <a:xfrm rot="16200000">
                          <a:off x="0" y="0"/>
                          <a:ext cx="2258060" cy="286387"/>
                        </a:xfrm>
                        <a:prstGeom prst="flowChartAlternateProcess">
                          <a:avLst/>
                        </a:prstGeom>
                        <a:solidFill>
                          <a:srgbClr val="7BA79D"/>
                        </a:solidFill>
                        <a:ln>
                          <a:noFill/>
                        </a:ln>
                        <a:effectLst/>
                      </wps:spPr>
                      <wps:txb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38E55" id="Flowchart: Alternate Process 32" o:spid="_x0000_s1033" type="#_x0000_t176" style="position:absolute;margin-left:-71.15pt;margin-top:10.8pt;width:177.8pt;height:22.55pt;rotation:-9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" fillcolor="#7ba79d" stroked="f">
                <v:textbo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v:textbox>
              </v:shape>
            </w:pict>
          </mc:Fallback>
        </mc:AlternateContent>
      </w:r>
    </w:p>
    <w:p w14:paraId="3183ACA9" w14:textId="1EB29B84"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4112" behindDoc="0" locked="0" layoutInCell="1" allowOverlap="1" wp14:anchorId="1E484FF7" wp14:editId="68547BE6">
                <wp:simplePos x="0" y="0"/>
                <wp:positionH relativeFrom="column">
                  <wp:posOffset>2971801</wp:posOffset>
                </wp:positionH>
                <wp:positionV relativeFrom="paragraph">
                  <wp:posOffset>116840</wp:posOffset>
                </wp:positionV>
                <wp:extent cx="2437130" cy="393065"/>
                <wp:effectExtent l="0" t="0" r="1270" b="6985"/>
                <wp:wrapNone/>
                <wp:docPr id="374367501" name="Rectangle 374367501"/>
                <wp:cNvGraphicFramePr/>
                <a:graphic xmlns:a="http://schemas.openxmlformats.org/drawingml/2006/main">
                  <a:graphicData uri="http://schemas.microsoft.com/office/word/2010/wordprocessingShape">
                    <wps:wsp>
                      <wps:cNvSpPr/>
                      <wps:spPr>
                        <a:xfrm>
                          <a:off x="0" y="0"/>
                          <a:ext cx="2437130" cy="393065"/>
                        </a:xfrm>
                        <a:prstGeom prst="rect">
                          <a:avLst/>
                        </a:prstGeom>
                        <a:solidFill>
                          <a:srgbClr val="A5AB81">
                            <a:alpha val="50000"/>
                          </a:srgbClr>
                        </a:solidFill>
                        <a:ln>
                          <a:noFill/>
                        </a:ln>
                        <a:effectLst/>
                      </wps:spPr>
                      <wps:txb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484FF7" id="Rectangle 374367501" o:spid="_x0000_s1034" style="position:absolute;margin-left:234pt;margin-top:9.2pt;width:191.9pt;height:30.9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" fillcolor="#a5ab81" stroked="f">
                <v:fill opacity="32896f"/>
                <v:textbo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v:textbox>
              </v:rect>
            </w:pict>
          </mc:Fallback>
        </mc:AlternateContent>
      </w:r>
    </w:p>
    <w:p w14:paraId="23839801"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0256" behindDoc="0" locked="0" layoutInCell="1" allowOverlap="1" wp14:anchorId="78C5F525" wp14:editId="5D5A8826">
                <wp:simplePos x="0" y="0"/>
                <wp:positionH relativeFrom="column">
                  <wp:posOffset>2444115</wp:posOffset>
                </wp:positionH>
                <wp:positionV relativeFrom="paragraph">
                  <wp:posOffset>84455</wp:posOffset>
                </wp:positionV>
                <wp:extent cx="563245" cy="0"/>
                <wp:effectExtent l="0" t="76200" r="27305" b="95250"/>
                <wp:wrapNone/>
                <wp:docPr id="16" name="Straight Arrow Connector 16"/>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w:pict>
              <v:shape w14:anchorId="168B0D01" id="Straight Arrow Connector 16" o:spid="_x0000_s1026" type="#_x0000_t32" style="position:absolute;margin-left:192.45pt;margin-top:6.65pt;width:44.35pt;height:0;z-index:25168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&#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A6B1238"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8448" behindDoc="0" locked="0" layoutInCell="1" allowOverlap="1" wp14:anchorId="7525EF72" wp14:editId="4B5FD9DB">
                <wp:simplePos x="0" y="0"/>
                <wp:positionH relativeFrom="column">
                  <wp:posOffset>1409700</wp:posOffset>
                </wp:positionH>
                <wp:positionV relativeFrom="paragraph">
                  <wp:posOffset>180340</wp:posOffset>
                </wp:positionV>
                <wp:extent cx="0" cy="720000"/>
                <wp:effectExtent l="133350" t="19050" r="152400" b="80645"/>
                <wp:wrapNone/>
                <wp:docPr id="36" name="Straight Arrow Connector 36"/>
                <wp:cNvGraphicFramePr/>
                <a:graphic xmlns:a="http://schemas.openxmlformats.org/drawingml/2006/main">
                  <a:graphicData uri="http://schemas.microsoft.com/office/word/2010/wordprocessingShape">
                    <wps:wsp>
                      <wps:cNvCnPr/>
                      <wps:spPr>
                        <a:xfrm>
                          <a:off x="0" y="0"/>
                          <a:ext cx="0" cy="720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w:pict>
              <v:shape w14:anchorId="0D72761E" id="Straight Arrow Connector 36" o:spid="_x0000_s1026" type="#_x0000_t32" style="position:absolute;margin-left:111pt;margin-top:14.2pt;width:0;height:56.7pt;z-index:251688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" strokecolor="windowText" strokeweight="4.25pt">
                <v:stroke endarrow="block" linestyle="thinThin"/>
                <v:shadow on="t" color="black" opacity="26214f" origin=",.5" offset="0,.49386mm"/>
              </v:shape>
            </w:pict>
          </mc:Fallback>
        </mc:AlternateContent>
      </w:r>
    </w:p>
    <w:p w14:paraId="48A69621" w14:textId="449E6DBA"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6160" behindDoc="0" locked="0" layoutInCell="1" allowOverlap="1" wp14:anchorId="373580B3" wp14:editId="00048E11">
                <wp:simplePos x="0" y="0"/>
                <wp:positionH relativeFrom="column">
                  <wp:posOffset>3061970</wp:posOffset>
                </wp:positionH>
                <wp:positionV relativeFrom="paragraph">
                  <wp:posOffset>173355</wp:posOffset>
                </wp:positionV>
                <wp:extent cx="3028950" cy="3632200"/>
                <wp:effectExtent l="0" t="0" r="0" b="0"/>
                <wp:wrapNone/>
                <wp:docPr id="9" name="Rectangle 9"/>
                <wp:cNvGraphicFramePr/>
                <a:graphic xmlns:a="http://schemas.openxmlformats.org/drawingml/2006/main">
                  <a:graphicData uri="http://schemas.microsoft.com/office/word/2010/wordprocessingShape">
                    <wps:wsp>
                      <wps:cNvSpPr/>
                      <wps:spPr>
                        <a:xfrm>
                          <a:off x="0" y="0"/>
                          <a:ext cx="3028950" cy="3632200"/>
                        </a:xfrm>
                        <a:prstGeom prst="rect">
                          <a:avLst/>
                        </a:prstGeom>
                        <a:solidFill>
                          <a:srgbClr val="A5AB81">
                            <a:alpha val="50000"/>
                          </a:srgbClr>
                        </a:solidFill>
                        <a:ln>
                          <a:noFill/>
                        </a:ln>
                        <a:effectLst/>
                      </wps:spPr>
                      <wps:txb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580B3" id="Rectangle 9" o:spid="_x0000_s1035" style="position:absolute;margin-left:241.1pt;margin-top:13.65pt;width:238.5pt;height:286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" fillcolor="#a5ab81" stroked="f">
                <v:fill opacity="32896f"/>
                <v:textbo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v:textbox>
              </v:rect>
            </w:pict>
          </mc:Fallback>
        </mc:AlternateContent>
      </w:r>
    </w:p>
    <w:p w14:paraId="39DA5B23" w14:textId="2CBF5EA3" w:rsidR="007923B1" w:rsidRPr="007923B1" w:rsidRDefault="007923B1" w:rsidP="007923B1">
      <w:pPr>
        <w:autoSpaceDE/>
        <w:autoSpaceDN/>
        <w:rPr>
          <w:rFonts w:ascii="Calibri" w:eastAsia="Calibri" w:hAnsi="Calibri" w:cs="Arial"/>
          <w:sz w:val="22"/>
          <w:szCs w:val="22"/>
          <w:lang w:val="en-AU" w:eastAsia="en-US"/>
        </w:rPr>
      </w:pPr>
    </w:p>
    <w:p w14:paraId="08E71DD1" w14:textId="0AD5A758" w:rsidR="007923B1" w:rsidRPr="007923B1" w:rsidRDefault="007923B1" w:rsidP="007923B1">
      <w:pPr>
        <w:autoSpaceDE/>
        <w:autoSpaceDN/>
        <w:rPr>
          <w:rFonts w:ascii="Calibri" w:eastAsia="Calibri" w:hAnsi="Calibri" w:cs="Arial"/>
          <w:sz w:val="22"/>
          <w:szCs w:val="22"/>
          <w:lang w:val="en-AU" w:eastAsia="en-US"/>
        </w:rPr>
      </w:pPr>
    </w:p>
    <w:p w14:paraId="256F9512" w14:textId="5795B246" w:rsidR="007923B1" w:rsidRPr="007923B1" w:rsidRDefault="007923B1" w:rsidP="007923B1">
      <w:pPr>
        <w:autoSpaceDE/>
        <w:autoSpaceDN/>
        <w:rPr>
          <w:rFonts w:ascii="Calibri" w:eastAsia="Calibri" w:hAnsi="Calibri" w:cs="Arial"/>
          <w:sz w:val="22"/>
          <w:szCs w:val="22"/>
          <w:lang w:val="en-AU" w:eastAsia="en-US"/>
        </w:rPr>
      </w:pPr>
    </w:p>
    <w:p w14:paraId="44B6AB94" w14:textId="2F194D7B"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5136" behindDoc="0" locked="0" layoutInCell="1" allowOverlap="1" wp14:anchorId="23EE8973" wp14:editId="20EBE24C">
                <wp:simplePos x="0" y="0"/>
                <wp:positionH relativeFrom="column">
                  <wp:posOffset>561975</wp:posOffset>
                </wp:positionH>
                <wp:positionV relativeFrom="paragraph">
                  <wp:posOffset>49174</wp:posOffset>
                </wp:positionV>
                <wp:extent cx="1887220" cy="526415"/>
                <wp:effectExtent l="0" t="0" r="0" b="6985"/>
                <wp:wrapNone/>
                <wp:docPr id="8" name="Rectangle 8"/>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EE8973" id="Rectangle 8" o:spid="_x0000_s1036" style="position:absolute;margin-left:44.25pt;margin-top:3.85pt;width:148.6pt;height:41.4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mJYpgIAAMQ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" fillcolor="#737950" stroked="f">
                <v:fill color2="#c9cdb3" rotate="t" angle="180" colors="0 #737950;31457f #a8ae85;1 #c9cdb3" focus="100%" type="gradient"/>
                <v:textbo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v:textbox>
              </v:rect>
            </w:pict>
          </mc:Fallback>
        </mc:AlternateContent>
      </w:r>
    </w:p>
    <w:p w14:paraId="2EE13704" w14:textId="1AC758E7"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1280" behindDoc="0" locked="0" layoutInCell="1" allowOverlap="1" wp14:anchorId="31D55286" wp14:editId="77634BA3">
                <wp:simplePos x="0" y="0"/>
                <wp:positionH relativeFrom="column">
                  <wp:posOffset>2476500</wp:posOffset>
                </wp:positionH>
                <wp:positionV relativeFrom="paragraph">
                  <wp:posOffset>124816</wp:posOffset>
                </wp:positionV>
                <wp:extent cx="563245" cy="0"/>
                <wp:effectExtent l="0" t="114300" r="0" b="171450"/>
                <wp:wrapNone/>
                <wp:docPr id="17" name="Straight Arrow Connector 17"/>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w:pict>
              <v:shape w14:anchorId="02BFEC96" id="Straight Arrow Connector 17" o:spid="_x0000_s1026" type="#_x0000_t32" style="position:absolute;margin-left:195pt;margin-top:9.85pt;width:44.35pt;height:0;z-index:2516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&#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11085DA9" w14:textId="5B3BA8CB" w:rsidR="007923B1" w:rsidRPr="007923B1" w:rsidRDefault="007923B1" w:rsidP="007923B1">
      <w:pPr>
        <w:autoSpaceDE/>
        <w:autoSpaceDN/>
        <w:rPr>
          <w:rFonts w:ascii="Calibri" w:eastAsia="Calibri" w:hAnsi="Calibri" w:cs="Arial"/>
          <w:sz w:val="22"/>
          <w:szCs w:val="22"/>
          <w:lang w:val="en-AU" w:eastAsia="en-US"/>
        </w:rPr>
      </w:pPr>
    </w:p>
    <w:p w14:paraId="08FDE1A2" w14:textId="4AAA8268"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9472" behindDoc="0" locked="0" layoutInCell="1" allowOverlap="1" wp14:anchorId="71B072D2" wp14:editId="61150EF0">
                <wp:simplePos x="0" y="0"/>
                <wp:positionH relativeFrom="column">
                  <wp:posOffset>1400810</wp:posOffset>
                </wp:positionH>
                <wp:positionV relativeFrom="paragraph">
                  <wp:posOffset>71399</wp:posOffset>
                </wp:positionV>
                <wp:extent cx="0" cy="1223645"/>
                <wp:effectExtent l="133350" t="19050" r="95250" b="90805"/>
                <wp:wrapNone/>
                <wp:docPr id="19" name="Straight Arrow Connector 19"/>
                <wp:cNvGraphicFramePr/>
                <a:graphic xmlns:a="http://schemas.openxmlformats.org/drawingml/2006/main">
                  <a:graphicData uri="http://schemas.microsoft.com/office/word/2010/wordprocessingShape">
                    <wps:wsp>
                      <wps:cNvCnPr/>
                      <wps:spPr>
                        <a:xfrm>
                          <a:off x="0" y="0"/>
                          <a:ext cx="0" cy="122364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w:pict>
              <v:shape w14:anchorId="42F22BC3" id="Straight Arrow Connector 19" o:spid="_x0000_s1026" type="#_x0000_t32" style="position:absolute;margin-left:110.3pt;margin-top:5.6pt;width:0;height:96.35pt;z-index:251689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EC5B109" w14:textId="510F1521" w:rsidR="007923B1" w:rsidRPr="007923B1" w:rsidRDefault="007923B1" w:rsidP="007923B1">
      <w:pPr>
        <w:autoSpaceDE/>
        <w:autoSpaceDN/>
        <w:rPr>
          <w:rFonts w:ascii="Calibri" w:eastAsia="Calibri" w:hAnsi="Calibri" w:cs="Arial"/>
          <w:sz w:val="22"/>
          <w:szCs w:val="22"/>
          <w:lang w:val="en-AU" w:eastAsia="en-US"/>
        </w:rPr>
      </w:pPr>
    </w:p>
    <w:p w14:paraId="51256E0D" w14:textId="08BFF03D" w:rsidR="007923B1" w:rsidRPr="007923B1" w:rsidRDefault="007923B1" w:rsidP="007923B1">
      <w:pPr>
        <w:autoSpaceDE/>
        <w:autoSpaceDN/>
        <w:rPr>
          <w:rFonts w:ascii="Calibri" w:eastAsia="Calibri" w:hAnsi="Calibri" w:cs="Arial"/>
          <w:sz w:val="22"/>
          <w:szCs w:val="22"/>
          <w:lang w:val="en-AU" w:eastAsia="en-US"/>
        </w:rPr>
      </w:pPr>
    </w:p>
    <w:p w14:paraId="23FBC303" w14:textId="30AA46F2" w:rsidR="007923B1" w:rsidRPr="007923B1" w:rsidRDefault="007923B1" w:rsidP="007923B1">
      <w:pPr>
        <w:autoSpaceDE/>
        <w:autoSpaceDN/>
        <w:rPr>
          <w:rFonts w:ascii="Calibri" w:eastAsia="Calibri" w:hAnsi="Calibri" w:cs="Arial"/>
          <w:sz w:val="22"/>
          <w:szCs w:val="22"/>
          <w:lang w:val="en-AU" w:eastAsia="en-US"/>
        </w:rPr>
      </w:pPr>
    </w:p>
    <w:p w14:paraId="0C751F36" w14:textId="6C1E23E8" w:rsidR="007923B1" w:rsidRPr="007923B1" w:rsidRDefault="007923B1" w:rsidP="007923B1">
      <w:pPr>
        <w:autoSpaceDE/>
        <w:autoSpaceDN/>
        <w:rPr>
          <w:rFonts w:ascii="Calibri" w:eastAsia="Calibri" w:hAnsi="Calibri" w:cs="Arial"/>
          <w:sz w:val="22"/>
          <w:szCs w:val="22"/>
          <w:lang w:val="en-AU" w:eastAsia="en-US"/>
        </w:rPr>
      </w:pPr>
    </w:p>
    <w:p w14:paraId="043B1B49" w14:textId="373EFDCC" w:rsidR="007923B1" w:rsidRPr="007923B1" w:rsidRDefault="007923B1" w:rsidP="007923B1">
      <w:pPr>
        <w:autoSpaceDE/>
        <w:autoSpaceDN/>
        <w:rPr>
          <w:rFonts w:ascii="Calibri" w:eastAsia="Calibri" w:hAnsi="Calibri" w:cs="Arial"/>
          <w:sz w:val="22"/>
          <w:szCs w:val="22"/>
          <w:lang w:val="en-AU" w:eastAsia="en-US"/>
        </w:rPr>
      </w:pPr>
    </w:p>
    <w:p w14:paraId="6A9269A1" w14:textId="38CC7B33"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5376" behindDoc="0" locked="0" layoutInCell="1" allowOverlap="1" wp14:anchorId="29F02BC4" wp14:editId="524E3CBA">
                <wp:simplePos x="0" y="0"/>
                <wp:positionH relativeFrom="column">
                  <wp:posOffset>-63500</wp:posOffset>
                </wp:positionH>
                <wp:positionV relativeFrom="paragraph">
                  <wp:posOffset>558800</wp:posOffset>
                </wp:positionV>
                <wp:extent cx="722630" cy="262890"/>
                <wp:effectExtent l="1270" t="0" r="2540" b="2540"/>
                <wp:wrapTopAndBottom/>
                <wp:docPr id="33" name="Flowchart: Alternate Process 33"/>
                <wp:cNvGraphicFramePr/>
                <a:graphic xmlns:a="http://schemas.openxmlformats.org/drawingml/2006/main">
                  <a:graphicData uri="http://schemas.microsoft.com/office/word/2010/wordprocessingShape">
                    <wps:wsp>
                      <wps:cNvSpPr/>
                      <wps:spPr>
                        <a:xfrm rot="16200000">
                          <a:off x="0" y="0"/>
                          <a:ext cx="722630" cy="262890"/>
                        </a:xfrm>
                        <a:prstGeom prst="flowChartAlternateProcess">
                          <a:avLst/>
                        </a:prstGeom>
                        <a:solidFill>
                          <a:srgbClr val="7BA79D"/>
                        </a:solidFill>
                        <a:ln>
                          <a:noFill/>
                        </a:ln>
                        <a:effectLst/>
                      </wps:spPr>
                      <wps:txb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F02BC4" id="Flowchart: Alternate Process 33" o:spid="_x0000_s1037" type="#_x0000_t176" style="position:absolute;margin-left:-5pt;margin-top:44pt;width:56.9pt;height:20.7pt;rotation:-9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" fillcolor="#7ba79d" stroked="f">
                <v:textbo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v:textbox>
                <w10:wrap type="topAndBotto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7184" behindDoc="0" locked="0" layoutInCell="1" allowOverlap="1" wp14:anchorId="0DD32AB3" wp14:editId="0C4F605C">
                <wp:simplePos x="0" y="0"/>
                <wp:positionH relativeFrom="column">
                  <wp:posOffset>594360</wp:posOffset>
                </wp:positionH>
                <wp:positionV relativeFrom="paragraph">
                  <wp:posOffset>280949</wp:posOffset>
                </wp:positionV>
                <wp:extent cx="1752600" cy="857250"/>
                <wp:effectExtent l="0" t="0" r="0" b="0"/>
                <wp:wrapTopAndBottom/>
                <wp:docPr id="13" name="Rectangle 13"/>
                <wp:cNvGraphicFramePr/>
                <a:graphic xmlns:a="http://schemas.openxmlformats.org/drawingml/2006/main">
                  <a:graphicData uri="http://schemas.microsoft.com/office/word/2010/wordprocessingShape">
                    <wps:wsp>
                      <wps:cNvSpPr/>
                      <wps:spPr>
                        <a:xfrm>
                          <a:off x="0" y="0"/>
                          <a:ext cx="1752600" cy="857250"/>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(n = 1,149  )</w:t>
                            </w:r>
                          </w:p>
                          <w:p w14:paraId="2C6629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D32AB3" id="Rectangle 13" o:spid="_x0000_s1038" style="position:absolute;margin-left:46.8pt;margin-top:22.1pt;width:138pt;height:6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" fillcolor="#737950" stroked="f">
                <v:fill color2="#c9cdb3" rotate="t" angle="180" colors="0 #737950;31457f #a8ae85;1 #c9cdb3" focus="100%" type="gradient"/>
                <v:textbo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(n = 1,149  )</w:t>
                      </w:r>
                    </w:p>
                    <w:p w14:paraId="2C6629F8" w14:textId="77777777" w:rsidR="007923B1" w:rsidRPr="001C3167" w:rsidRDefault="007923B1" w:rsidP="007923B1">
                      <w:pPr>
                        <w:rPr>
                          <w:rFonts w:ascii="Arial" w:hAnsi="Arial" w:cs="Arial"/>
                          <w:color w:val="000000"/>
                          <w:sz w:val="18"/>
                        </w:rPr>
                      </w:pPr>
                    </w:p>
                  </w:txbxContent>
                </v:textbox>
                <w10:wrap type="topAndBottom"/>
              </v:rect>
            </w:pict>
          </mc:Fallback>
        </mc:AlternateContent>
      </w:r>
    </w:p>
    <w:bookmarkEnd w:id="2"/>
    <w:p w14:paraId="0DEB227A" w14:textId="3F158CEF" w:rsidR="007923B1" w:rsidRPr="007923B1" w:rsidRDefault="007923B1" w:rsidP="007923B1">
      <w:pPr>
        <w:autoSpaceDE/>
        <w:autoSpaceDN/>
        <w:spacing w:after="160" w:line="259" w:lineRule="auto"/>
        <w:jc w:val="both"/>
        <w:rPr>
          <w:rFonts w:eastAsia="Calibri" w:cs="Traditional Arabic"/>
          <w:b/>
          <w:bCs/>
          <w:sz w:val="24"/>
          <w:szCs w:val="24"/>
          <w:lang w:val="en-ID" w:eastAsia="en-US"/>
        </w:rPr>
      </w:pPr>
    </w:p>
    <w:p w14:paraId="7B3DD303" w14:textId="77777777" w:rsidR="007923B1" w:rsidRPr="00122F5F" w:rsidRDefault="007923B1" w:rsidP="00F369EC">
      <w:pPr>
        <w:spacing w:before="120" w:after="120"/>
        <w:ind w:left="426"/>
        <w:jc w:val="both"/>
        <w:rPr>
          <w:rFonts w:ascii="Calibri Light" w:hAnsi="Calibri Light" w:cs="Calibri Light"/>
          <w:color w:val="FF0000"/>
          <w:sz w:val="24"/>
          <w:szCs w:val="24"/>
          <w:lang w:val="id-ID"/>
        </w:rPr>
      </w:pPr>
    </w:p>
    <w:p w14:paraId="30A73BE2" w14:textId="7EE53AAF" w:rsidR="00D813BC" w:rsidRDefault="00F51BE9" w:rsidP="001F1380">
      <w:pPr>
        <w:spacing w:before="120" w:after="120"/>
        <w:jc w:val="center"/>
        <w:rPr>
          <w:rFonts w:ascii="Calibri Light" w:hAnsi="Calibri Light" w:cs="Calibri Light"/>
          <w:bCs/>
          <w:sz w:val="24"/>
          <w:szCs w:val="24"/>
          <w:lang w:val="id-ID"/>
        </w:rPr>
      </w:pPr>
      <w:r w:rsidRPr="00F00D99">
        <w:rPr>
          <w:rFonts w:ascii="Calibri Light" w:hAnsi="Calibri Light" w:cs="Calibri Light"/>
          <w:b/>
          <w:sz w:val="24"/>
          <w:szCs w:val="24"/>
          <w:lang w:val="id-ID"/>
        </w:rPr>
        <w:t>Figure 1.</w:t>
      </w:r>
      <w:r w:rsidRPr="00F51BE9">
        <w:rPr>
          <w:rFonts w:ascii="Calibri Light" w:hAnsi="Calibri Light" w:cs="Calibri Light"/>
          <w:bCs/>
          <w:sz w:val="24"/>
          <w:szCs w:val="24"/>
          <w:lang w:val="id-ID"/>
        </w:rPr>
        <w:t xml:space="preserve"> The PRISMA-based systematic review process, highlighting the identification, screening, and inclusion phases in analyzing research on Basel Accords and Islamic banking.</w:t>
      </w:r>
    </w:p>
    <w:p w14:paraId="0B523085" w14:textId="5B6759F2" w:rsidR="006D0A4B" w:rsidRDefault="006D0A4B" w:rsidP="006D0A4B">
      <w:pPr>
        <w:spacing w:before="120" w:after="120"/>
        <w:ind w:left="426"/>
        <w:jc w:val="both"/>
        <w:rPr>
          <w:rFonts w:ascii="Calibri Light" w:hAnsi="Calibri Light" w:cs="Calibri Light"/>
          <w:bCs/>
          <w:sz w:val="24"/>
          <w:szCs w:val="24"/>
          <w:lang w:val="id-ID"/>
        </w:rPr>
      </w:pPr>
      <w:r w:rsidRPr="006D0A4B">
        <w:rPr>
          <w:rFonts w:ascii="Calibri Light" w:hAnsi="Calibri Light" w:cs="Calibri Light"/>
          <w:bCs/>
          <w:sz w:val="24"/>
          <w:szCs w:val="24"/>
          <w:lang w:val="id-ID"/>
        </w:rPr>
        <w:t>The inclusion and exclusion criteria for data screening were carefully defined to ensure the relevance and quality of the selected studies. The inclusion criteria focused on English-language articles published between 2015 and 2024 in specific subject areas such as Islamic Banks, Shariah and Islamic Economics. Conversely, studies falling outside these parameters were excluded to maintain the accuracy and focus of the bibliometric analysis</w:t>
      </w:r>
      <w:r w:rsidR="00602879">
        <w:rPr>
          <w:rFonts w:ascii="Calibri Light" w:hAnsi="Calibri Light" w:cs="Calibri Light"/>
          <w:bCs/>
          <w:sz w:val="24"/>
          <w:szCs w:val="24"/>
          <w:lang w:val="id-ID"/>
        </w:rPr>
        <w:t xml:space="preserve"> </w:t>
      </w:r>
      <w:r w:rsidR="00602879">
        <w:rPr>
          <w:rFonts w:ascii="Calibri Light" w:hAnsi="Calibri Light" w:cs="Calibri Light"/>
          <w:bCs/>
          <w:sz w:val="24"/>
          <w:szCs w:val="24"/>
          <w:lang w:val="id-ID"/>
        </w:rPr>
        <w:fldChar w:fldCharType="begin" w:fldLock="1"/>
      </w:r>
      <w:r w:rsidR="005B5658">
        <w:rPr>
          <w:rFonts w:ascii="Calibri Light" w:hAnsi="Calibri Light" w:cs="Calibri Light"/>
          <w:bCs/>
          <w:sz w:val="24"/>
          <w:szCs w:val="24"/>
          <w:lang w:val="id-ID"/>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Marketing","id":"ITEM-1","issued":{"date-parts":[["2024"]]},"language":"English","note":"Export Date: 24 April 2025; Cited By: 2; Correspondence Address: M.A. Fathoni; Department of Islamic Economics, Universitas Pembangunan Nasional Veteran Jakarta, Jakarta, Indonesia; email: mfathoni@upnvj.ac.id","publisher":"Emerald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matter?","type":"article-journal"},"uris":["http://www.mendeley.com/documents/?uuid=205db91e-486d-4044-bc07-058be02c4c82"]}],"mendeley":{"formattedCitation":"(Fathoni et al., 2024)","plainTextFormattedCitation":"(Fathoni et al., 2024)","previouslyFormattedCitation":"[10]"},"properties":{"noteIndex":0},"schema":"https://github.com/citation-style-language/schema/raw/master/csl-citation.json"}</w:instrText>
      </w:r>
      <w:r w:rsidR="00602879">
        <w:rPr>
          <w:rFonts w:ascii="Calibri Light" w:hAnsi="Calibri Light" w:cs="Calibri Light"/>
          <w:bCs/>
          <w:sz w:val="24"/>
          <w:szCs w:val="24"/>
          <w:lang w:val="id-ID"/>
        </w:rPr>
        <w:fldChar w:fldCharType="separate"/>
      </w:r>
      <w:r w:rsidR="005B5658" w:rsidRPr="005B5658">
        <w:rPr>
          <w:rFonts w:ascii="Calibri Light" w:hAnsi="Calibri Light" w:cs="Calibri Light"/>
          <w:bCs/>
          <w:noProof/>
          <w:sz w:val="24"/>
          <w:szCs w:val="24"/>
          <w:lang w:val="id-ID"/>
        </w:rPr>
        <w:t>(Fathoni et al., 2024)</w:t>
      </w:r>
      <w:r w:rsidR="00602879">
        <w:rPr>
          <w:rFonts w:ascii="Calibri Light" w:hAnsi="Calibri Light" w:cs="Calibri Light"/>
          <w:bCs/>
          <w:sz w:val="24"/>
          <w:szCs w:val="24"/>
          <w:lang w:val="id-ID"/>
        </w:rPr>
        <w:fldChar w:fldCharType="end"/>
      </w:r>
      <w:r w:rsidRPr="006D0A4B">
        <w:rPr>
          <w:rFonts w:ascii="Calibri Light" w:hAnsi="Calibri Light" w:cs="Calibri Light"/>
          <w:bCs/>
          <w:sz w:val="24"/>
          <w:szCs w:val="24"/>
          <w:lang w:val="id-ID"/>
        </w:rPr>
        <w:t>. These criteria played a crucial role in refining the dataset and ensuring a systematic and robust review process, as outlined in Table 1, which details the inclusion and exclusion criteria.</w:t>
      </w:r>
    </w:p>
    <w:tbl>
      <w:tblPr>
        <w:tblStyle w:val="PlainTable21"/>
        <w:tblW w:w="9072" w:type="dxa"/>
        <w:tblInd w:w="426" w:type="dxa"/>
        <w:tblLook w:val="04A0" w:firstRow="1" w:lastRow="0" w:firstColumn="1" w:lastColumn="0" w:noHBand="0" w:noVBand="1"/>
      </w:tblPr>
      <w:tblGrid>
        <w:gridCol w:w="1496"/>
        <w:gridCol w:w="1337"/>
        <w:gridCol w:w="1299"/>
        <w:gridCol w:w="1619"/>
        <w:gridCol w:w="1212"/>
        <w:gridCol w:w="972"/>
        <w:gridCol w:w="1137"/>
      </w:tblGrid>
      <w:tr w:rsidR="00CB5866" w:rsidRPr="00CB5866" w14:paraId="79D20230" w14:textId="77777777" w:rsidTr="00835E51">
        <w:trPr>
          <w:cnfStyle w:val="100000000000" w:firstRow="1" w:lastRow="0" w:firstColumn="0" w:lastColumn="0" w:oddVBand="0" w:evenVBand="0" w:oddHBand="0" w:evenHBand="0" w:firstRowFirstColumn="0" w:firstRowLastColumn="0" w:lastRowFirstColumn="0" w:lastRowLastColumn="0"/>
          <w:trHeight w:val="795"/>
        </w:trPr>
        <w:tc>
          <w:tcPr>
            <w:cnfStyle w:val="001000000000" w:firstRow="0" w:lastRow="0" w:firstColumn="1" w:lastColumn="0" w:oddVBand="0" w:evenVBand="0" w:oddHBand="0" w:evenHBand="0" w:firstRowFirstColumn="0" w:firstRowLastColumn="0" w:lastRowFirstColumn="0" w:lastRowLastColumn="0"/>
            <w:tcW w:w="1496" w:type="dxa"/>
            <w:shd w:val="clear" w:color="auto" w:fill="E5B8B7" w:themeFill="accent2" w:themeFillTint="66"/>
          </w:tcPr>
          <w:p w14:paraId="14FE8082" w14:textId="77777777" w:rsidR="00CB5866" w:rsidRPr="00CB5866" w:rsidRDefault="00CB5866" w:rsidP="00CB5866">
            <w:pPr>
              <w:autoSpaceDE/>
              <w:autoSpaceDN/>
              <w:spacing w:after="160" w:line="259" w:lineRule="auto"/>
              <w:rPr>
                <w:lang w:val="en-ID" w:eastAsia="en-US"/>
              </w:rPr>
            </w:pPr>
          </w:p>
        </w:tc>
        <w:tc>
          <w:tcPr>
            <w:tcW w:w="1337" w:type="dxa"/>
            <w:shd w:val="clear" w:color="auto" w:fill="E5B8B7" w:themeFill="accent2" w:themeFillTint="66"/>
          </w:tcPr>
          <w:p w14:paraId="0294A95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 xml:space="preserve">Year </w:t>
            </w:r>
          </w:p>
        </w:tc>
        <w:tc>
          <w:tcPr>
            <w:tcW w:w="1299" w:type="dxa"/>
            <w:shd w:val="clear" w:color="auto" w:fill="E5B8B7" w:themeFill="accent2" w:themeFillTint="66"/>
          </w:tcPr>
          <w:p w14:paraId="1C300A6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Subject area</w:t>
            </w:r>
          </w:p>
        </w:tc>
        <w:tc>
          <w:tcPr>
            <w:tcW w:w="1619" w:type="dxa"/>
            <w:shd w:val="clear" w:color="auto" w:fill="E5B8B7" w:themeFill="accent2" w:themeFillTint="66"/>
          </w:tcPr>
          <w:p w14:paraId="7A0AD413"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Document type</w:t>
            </w:r>
          </w:p>
        </w:tc>
        <w:tc>
          <w:tcPr>
            <w:tcW w:w="1212" w:type="dxa"/>
            <w:shd w:val="clear" w:color="auto" w:fill="E5B8B7" w:themeFill="accent2" w:themeFillTint="66"/>
          </w:tcPr>
          <w:p w14:paraId="0C76CD86"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Keyword</w:t>
            </w:r>
          </w:p>
        </w:tc>
        <w:tc>
          <w:tcPr>
            <w:tcW w:w="972" w:type="dxa"/>
            <w:shd w:val="clear" w:color="auto" w:fill="E5B8B7" w:themeFill="accent2" w:themeFillTint="66"/>
          </w:tcPr>
          <w:p w14:paraId="44B74175"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Source type</w:t>
            </w:r>
          </w:p>
        </w:tc>
        <w:tc>
          <w:tcPr>
            <w:tcW w:w="1137" w:type="dxa"/>
            <w:shd w:val="clear" w:color="auto" w:fill="E5B8B7" w:themeFill="accent2" w:themeFillTint="66"/>
          </w:tcPr>
          <w:p w14:paraId="4556ECB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Language</w:t>
            </w:r>
          </w:p>
          <w:p w14:paraId="32C2E4D8"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p>
        </w:tc>
      </w:tr>
      <w:tr w:rsidR="00CB5866" w:rsidRPr="00CB5866" w14:paraId="43620BC2" w14:textId="77777777" w:rsidTr="008D75B2">
        <w:trPr>
          <w:cnfStyle w:val="000000100000" w:firstRow="0" w:lastRow="0" w:firstColumn="0" w:lastColumn="0" w:oddVBand="0" w:evenVBand="0" w:oddHBand="1" w:evenHBand="0" w:firstRowFirstColumn="0" w:firstRowLastColumn="0" w:lastRowFirstColumn="0" w:lastRowLastColumn="0"/>
          <w:trHeight w:val="757"/>
        </w:trPr>
        <w:tc>
          <w:tcPr>
            <w:cnfStyle w:val="001000000000" w:firstRow="0" w:lastRow="0" w:firstColumn="1" w:lastColumn="0" w:oddVBand="0" w:evenVBand="0" w:oddHBand="0" w:evenHBand="0" w:firstRowFirstColumn="0" w:firstRowLastColumn="0" w:lastRowFirstColumn="0" w:lastRowLastColumn="0"/>
            <w:tcW w:w="1496" w:type="dxa"/>
          </w:tcPr>
          <w:p w14:paraId="08AAF5D5"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INCLUSION CRITERIA</w:t>
            </w:r>
          </w:p>
        </w:tc>
        <w:tc>
          <w:tcPr>
            <w:tcW w:w="1337" w:type="dxa"/>
          </w:tcPr>
          <w:p w14:paraId="21A5B2B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from 2015-2024</w:t>
            </w:r>
          </w:p>
        </w:tc>
        <w:tc>
          <w:tcPr>
            <w:tcW w:w="1299" w:type="dxa"/>
          </w:tcPr>
          <w:p w14:paraId="6CC6C5A3"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economics and business (ECON, BUSI)</w:t>
            </w:r>
          </w:p>
        </w:tc>
        <w:tc>
          <w:tcPr>
            <w:tcW w:w="1619" w:type="dxa"/>
          </w:tcPr>
          <w:p w14:paraId="2098FB46"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Only Articles.</w:t>
            </w:r>
          </w:p>
        </w:tc>
        <w:tc>
          <w:tcPr>
            <w:tcW w:w="1212" w:type="dxa"/>
          </w:tcPr>
          <w:p w14:paraId="27EC660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Basel Accords, Islamic banking</w:t>
            </w:r>
          </w:p>
        </w:tc>
        <w:tc>
          <w:tcPr>
            <w:tcW w:w="972" w:type="dxa"/>
          </w:tcPr>
          <w:p w14:paraId="3313CE59"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Journal</w:t>
            </w:r>
          </w:p>
        </w:tc>
        <w:tc>
          <w:tcPr>
            <w:tcW w:w="1137" w:type="dxa"/>
          </w:tcPr>
          <w:p w14:paraId="19E00D11"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English Language</w:t>
            </w:r>
          </w:p>
        </w:tc>
      </w:tr>
      <w:tr w:rsidR="00CB5866" w:rsidRPr="00CB5866" w14:paraId="53F59399" w14:textId="77777777" w:rsidTr="008D75B2">
        <w:trPr>
          <w:trHeight w:val="1145"/>
        </w:trPr>
        <w:tc>
          <w:tcPr>
            <w:cnfStyle w:val="001000000000" w:firstRow="0" w:lastRow="0" w:firstColumn="1" w:lastColumn="0" w:oddVBand="0" w:evenVBand="0" w:oddHBand="0" w:evenHBand="0" w:firstRowFirstColumn="0" w:firstRowLastColumn="0" w:lastRowFirstColumn="0" w:lastRowLastColumn="0"/>
            <w:tcW w:w="1496" w:type="dxa"/>
          </w:tcPr>
          <w:p w14:paraId="2369EF5D"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EXCLUSION CRITERIA</w:t>
            </w:r>
          </w:p>
        </w:tc>
        <w:tc>
          <w:tcPr>
            <w:tcW w:w="1337" w:type="dxa"/>
          </w:tcPr>
          <w:p w14:paraId="32108D1D"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research before 2014 was excluded</w:t>
            </w:r>
          </w:p>
        </w:tc>
        <w:tc>
          <w:tcPr>
            <w:tcW w:w="1299" w:type="dxa"/>
          </w:tcPr>
          <w:p w14:paraId="4002729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w:t>
            </w:r>
          </w:p>
          <w:p w14:paraId="38F20722"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field</w:t>
            </w:r>
          </w:p>
        </w:tc>
        <w:tc>
          <w:tcPr>
            <w:tcW w:w="1619" w:type="dxa"/>
          </w:tcPr>
          <w:p w14:paraId="380870C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Conference papers,Book, theises,</w:t>
            </w:r>
            <w:r w:rsidRPr="00CB5866">
              <w:rPr>
                <w:rFonts w:ascii="Calibri Light" w:hAnsi="Calibri Light" w:cs="Calibri Light"/>
                <w:color w:val="2E2E2E"/>
                <w:sz w:val="20"/>
                <w:szCs w:val="20"/>
                <w:shd w:val="clear" w:color="auto" w:fill="FFFFFF"/>
                <w:lang w:val="en-ID" w:eastAsia="en-US"/>
              </w:rPr>
              <w:t xml:space="preserve"> </w:t>
            </w:r>
            <w:r w:rsidRPr="00CB5866">
              <w:rPr>
                <w:rFonts w:ascii="Calibri Light" w:hAnsi="Calibri Light" w:cs="Calibri Light"/>
                <w:sz w:val="20"/>
                <w:szCs w:val="20"/>
                <w:lang w:val="en-ID" w:eastAsia="en-US"/>
              </w:rPr>
              <w:t>Review</w:t>
            </w:r>
          </w:p>
        </w:tc>
        <w:tc>
          <w:tcPr>
            <w:tcW w:w="1212" w:type="dxa"/>
          </w:tcPr>
          <w:p w14:paraId="36DA67F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keywords</w:t>
            </w:r>
          </w:p>
        </w:tc>
        <w:tc>
          <w:tcPr>
            <w:tcW w:w="972" w:type="dxa"/>
          </w:tcPr>
          <w:p w14:paraId="73D25B7E"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Book series</w:t>
            </w:r>
          </w:p>
        </w:tc>
        <w:tc>
          <w:tcPr>
            <w:tcW w:w="1137" w:type="dxa"/>
          </w:tcPr>
          <w:p w14:paraId="680CF3E5"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Languages</w:t>
            </w:r>
          </w:p>
        </w:tc>
      </w:tr>
    </w:tbl>
    <w:p w14:paraId="0CD9110B" w14:textId="4B115D80" w:rsidR="00D813BC" w:rsidRPr="00C377E7" w:rsidRDefault="00C377E7" w:rsidP="00C377E7">
      <w:pPr>
        <w:spacing w:before="120" w:after="120"/>
        <w:jc w:val="center"/>
        <w:rPr>
          <w:rFonts w:ascii="Calibri Light" w:hAnsi="Calibri Light" w:cs="Calibri Light"/>
          <w:bCs/>
          <w:sz w:val="24"/>
          <w:szCs w:val="24"/>
          <w:lang w:val="id-ID"/>
        </w:rPr>
      </w:pPr>
      <w:r w:rsidRPr="00F00D99">
        <w:rPr>
          <w:rFonts w:ascii="Calibri Light" w:hAnsi="Calibri Light" w:cs="Calibri Light"/>
          <w:b/>
          <w:sz w:val="24"/>
          <w:szCs w:val="24"/>
          <w:lang w:val="id-ID"/>
        </w:rPr>
        <w:t>Table 1.</w:t>
      </w:r>
      <w:r w:rsidRPr="00C377E7">
        <w:rPr>
          <w:rFonts w:ascii="Calibri Light" w:hAnsi="Calibri Light" w:cs="Calibri Light"/>
          <w:bCs/>
          <w:sz w:val="24"/>
          <w:szCs w:val="24"/>
          <w:lang w:val="id-ID"/>
        </w:rPr>
        <w:t xml:space="preserve"> The inclusion and the exclusion criteria for data screening</w:t>
      </w:r>
    </w:p>
    <w:p w14:paraId="183319DF" w14:textId="77777777" w:rsidR="00D813BC" w:rsidRDefault="00D813BC" w:rsidP="00334792">
      <w:pPr>
        <w:spacing w:before="120" w:after="120"/>
        <w:rPr>
          <w:rFonts w:ascii="Calibri Light" w:hAnsi="Calibri Light" w:cs="Calibri Light"/>
          <w:b/>
          <w:sz w:val="24"/>
          <w:szCs w:val="24"/>
          <w:lang w:val="id-ID"/>
        </w:rPr>
      </w:pPr>
    </w:p>
    <w:p w14:paraId="3110BACC" w14:textId="7E6F8AF7"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 xml:space="preserve">RESULT AND </w:t>
      </w:r>
      <w:bookmarkStart w:id="5" w:name="_Hlk196388253"/>
      <w:r w:rsidR="00334792" w:rsidRPr="00122F5F">
        <w:rPr>
          <w:rFonts w:ascii="Calibri Light" w:hAnsi="Calibri Light" w:cs="Calibri Light"/>
          <w:b/>
          <w:sz w:val="24"/>
          <w:szCs w:val="24"/>
          <w:lang w:val="id-ID"/>
        </w:rPr>
        <w:t>DISCUSSION</w:t>
      </w:r>
      <w:r w:rsidR="00D26ADD" w:rsidRPr="00122F5F">
        <w:rPr>
          <w:rFonts w:ascii="Calibri Light" w:hAnsi="Calibri Light" w:cs="Calibri Light"/>
          <w:b/>
          <w:sz w:val="24"/>
          <w:szCs w:val="24"/>
        </w:rPr>
        <w:t xml:space="preserve"> </w:t>
      </w:r>
    </w:p>
    <w:bookmarkEnd w:id="5"/>
    <w:p w14:paraId="0E0B8A75" w14:textId="3D5B8084" w:rsidR="0007539D" w:rsidRPr="0007539D" w:rsidRDefault="0007539D" w:rsidP="0007539D">
      <w:pPr>
        <w:spacing w:before="120" w:after="120"/>
        <w:ind w:left="440" w:right="-1" w:hanging="14"/>
        <w:jc w:val="both"/>
        <w:rPr>
          <w:rFonts w:ascii="Calibri Light" w:hAnsi="Calibri Light" w:cs="Calibri Light"/>
          <w:b/>
          <w:bCs/>
          <w:sz w:val="24"/>
          <w:szCs w:val="24"/>
          <w:lang w:val="en-ID"/>
        </w:rPr>
      </w:pPr>
      <w:r w:rsidRPr="0007539D">
        <w:rPr>
          <w:rFonts w:ascii="Calibri Light" w:hAnsi="Calibri Light" w:cs="Calibri Light"/>
          <w:b/>
          <w:bCs/>
          <w:sz w:val="24"/>
          <w:szCs w:val="24"/>
          <w:lang w:val="en-ID"/>
        </w:rPr>
        <w:t>Results</w:t>
      </w:r>
      <w:r w:rsidR="004E43C7">
        <w:rPr>
          <w:rFonts w:ascii="Calibri Light" w:hAnsi="Calibri Light" w:cs="Calibri Light"/>
          <w:b/>
          <w:bCs/>
          <w:sz w:val="24"/>
          <w:szCs w:val="24"/>
          <w:lang w:val="en-ID"/>
        </w:rPr>
        <w:t xml:space="preserve"> </w:t>
      </w:r>
      <w:r w:rsidR="004E43C7" w:rsidRPr="004E43C7">
        <w:rPr>
          <w:rFonts w:ascii="Calibri Light" w:eastAsia="MS Mincho" w:hAnsi="Calibri Light" w:cs="Calibri Light"/>
          <w:b/>
          <w:bCs/>
          <w:sz w:val="24"/>
          <w:szCs w:val="24"/>
          <w:lang w:val="en-ID" w:eastAsia="en-US"/>
        </w:rPr>
        <w:t>ANALYSIS</w:t>
      </w:r>
    </w:p>
    <w:p w14:paraId="5F3A51B2" w14:textId="1613C009" w:rsidR="00200009" w:rsidRPr="00046968" w:rsidRDefault="00200009" w:rsidP="00200009">
      <w:pPr>
        <w:autoSpaceDE/>
        <w:autoSpaceDN/>
        <w:spacing w:after="200" w:line="276" w:lineRule="auto"/>
        <w:ind w:left="426"/>
        <w:jc w:val="both"/>
        <w:rPr>
          <w:rFonts w:ascii="Calibri Light" w:eastAsia="MS Mincho" w:hAnsi="Calibri Light" w:cs="Calibri Light"/>
          <w:sz w:val="24"/>
          <w:szCs w:val="24"/>
          <w:lang w:val="en-ID" w:eastAsia="en-US"/>
        </w:rPr>
      </w:pPr>
      <w:r w:rsidRPr="00200009">
        <w:rPr>
          <w:rFonts w:ascii="Calibri Light" w:eastAsia="MS Mincho" w:hAnsi="Calibri Light" w:cs="Calibri Light"/>
          <w:sz w:val="24"/>
          <w:szCs w:val="24"/>
          <w:lang w:val="en-ID" w:eastAsia="en-US"/>
        </w:rPr>
        <w:t>The analysis in this study will be conducted from four main perspectives. First, we will examine the key characteristics of published research to explore the academic field related to Basel Accords and Islamic banking. Second, we will analyze data and present visual representations to identify research trends, leading countries, and academic institutions contributing to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{"citationItems":[{"id":"ITEM-1","itemData":{"DOI":"10.1007/s13132-022-00933-y","ISSN":"18687865 (ISSN)","abstract":"This study aims to investigate the impact of customer knowledge, political support, and innovative advancement on the development of Islamic bank. There is a strong microeconomics ground of Islamic financing for the economy-wide conduct of good monetary issues, and issues including the procedure structure. Islamic bank clients limit the dangers related to premium-based obligation financing, and simple credit, which tormented regular banks amid the sub-prime home loan emergency. In short, when there will be sufficient knowledge and information about the Islamic banking services and products, then it will help to develop the Islamic banking system, and similar is the case for advanced innovations. Meanwhile, strong political support can also play an influential role in the development of the Islamic banking system. This study collects the data through self-administered survey from managers of Islamic banks located in the Lahore region. The results of regression analysis are obtained through SPSS. The findings revealed that customer knowledge, innovations, and political support positively and significantly influence the growth of Islamic banks in Pakistan. In other words, good knowledge, innovations, and political support can result in more Islamic banking system development. Conclusively, general monetary development of Islamic banking in Muslim nations will drive the development of Islamic money-related administrations, prompting further in Sharia-consistent system. © 2022, The Author(s), under exclusive licence to Springer Science+Business Media, LLC, part of Springer Nature.","author":[{"dropping-particle":"","family":"Abrar","given":"M","non-dropping-particle":"","parse-names":false,"suffix":""},{"dropping-particle":"","family":"Abbas","given":"S","non-dropping-particle":"","parse-names":false,"suffix":""},{"dropping-particle":"","family":"Kousar","given":"S","non-dropping-particle":"","parse-names":false,"suffix":""},{"dropping-particle":"","family":"Mushtaq","given":"M","non-dropping-particle":"","parse-names":false,"suffix":""}],"container-title":"Journal of the Knowledge Economy","id":"ITEM-1","issue":"2","issued":{"date-parts":[["2023"]]},"language":"English","note":"Export Date: 24 April 2025; Cited By: 4; Correspondence Address: S. Abbas; Climate Research Institute, Department of Geography, Konkuk University, Seoul, South Korea; email: sohail.konkuk@gmail.com; S. Kousar; Department of Economics, Lahore College of Women University (LCWU), Lahore, Pakistan; email: shaziabilal2002@gmail.com","page":"946-965","publisher":"Springer","publisher-place":"Business School, Department of Finance, Konkuk University, Seoul, South Korea","title":"Investigation on the Effects of Customer Knowledge, Political Support, and Innovation on the Growth of Islamic Banking System: a Case Study of Pakistan","type":"article-journal","volume":"14"},"uris":["http://www.mendeley.com/documents/?uuid=4a1b384b-7a63-450d-888c-572172d12cf5"]}],"mendeley":{"formattedCitation":"(Abrar et al., 2023)","plainTextFormattedCitation":"(Abrar et al., 2023)","previouslyFormattedCitation":"[11]"},"properties":{"noteIndex":0},"schema":"https://github.com/citation-style-language/schema/raw/master/csl-citation.json"}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(Abrar et al.,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 xml:space="preserve">. Third, we will define the conceptual structure of keywords related to Islamic banking and Basel Accords. Finally, we will apply bibliometric </w:t>
      </w:r>
      <w:r w:rsidRPr="00200009">
        <w:rPr>
          <w:rFonts w:ascii="Calibri Light" w:eastAsia="MS Mincho" w:hAnsi="Calibri Light" w:cs="Calibri Light"/>
          <w:sz w:val="24"/>
          <w:szCs w:val="24"/>
          <w:lang w:val="en-ID" w:eastAsia="en-US"/>
        </w:rPr>
        <w:lastRenderedPageBreak/>
        <w:t>analysis, including keyword co-occurrence and citation network analysis, to identify current research trends, future directions, and key topics in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{"citationItems":[{"id":"ITEM-1","itemData":{"ISSN":"26007975 (ISSN)","abstract":"This research provides an in-depth examination of the crucial connection between Sharia Supervisory Boards (SSB) and Sharia Compliance Disclosure (SCD) in the context of Indonesian Islamic banks. Using secondary data from the years 2014 to 2019, sourced from a selection of Islamic Banks, this research employed panel multiple regression analysis conducted using E-Views software. The findings of this investigation yielded remarkable insights. Firstly, it was demonstrated that the expertise of SSB members played a pivotal role in significantly and positively influencing the extent of SCD. Conversely, the size and education of SSB members exerted a significant and negative influence on SCD. Intriguingly, the study revealed that SSB’s meetings and SSB’s cross-directorship did not have any impact on SCD. These findings hold profound implications for the strategic selection and composition of SSB, highlighting the paramount importance of expertise in driving robust SCD practices within Islamic Banks. In this way, this research advances our understanding of SSB dynamics and their impact on financial transparency, contributing valuable insights to the global discourse on Islamic finance. © 2023, Universiti Teknologi Mara. All rights reserved.","author":[{"dropping-particle":"","family":"Hudayati","given":"A","non-dropping-particle":"","parse-names":false,"suffix":""}],"container-title":"Management and Accounting Review","id":"ITEM-1","issue":"3","issued":{"date-parts":[["2023"]]},"language":"English","note":"Export Date: 24 April 2025; Cited By: 0; Correspondence Address: A. Hudayati; Economics Faculty, Universitas Islam Indonesia, Yogyakarta, Indonesia; email: ataina.hudayati@uii.ac.id","page":"407-428","publisher":"Universiti Teknologi Mara","publisher-place":"Department of Sharia Economics, STAI Darul Ulum, South Kalimantan, Indonesia","title":"Exploring the Nexus of Disclosure of Sharia Compliance and Governance in Islamic Banking: A Comprehensive Analysis of the Sharia Supervisory Board","type":"article-journal","volume":"22"},"uris":["http://www.mendeley.com/documents/?uuid=e457ef72-bfe9-4390-b0f4-071fb7803289"]}],"mendeley":{"formattedCitation":"(Hudayati, 2023)","plainTextFormattedCitation":"(Hudayati, 2023)","previouslyFormattedCitation":"[12]"},"properties":{"noteIndex":0},"schema":"https://github.com/citation-style-language/schema/raw/master/csl-citation.json"}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(Hudayati,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w:t>
      </w:r>
    </w:p>
    <w:p w14:paraId="137E9A96" w14:textId="13AA457A" w:rsidR="00046968" w:rsidRPr="00046968" w:rsidRDefault="00E649E6" w:rsidP="003F1684">
      <w:pPr>
        <w:autoSpaceDE/>
        <w:autoSpaceDN/>
        <w:spacing w:after="200" w:line="276" w:lineRule="auto"/>
        <w:ind w:left="426"/>
        <w:rPr>
          <w:rFonts w:ascii="Calibri Light" w:eastAsia="MS Mincho" w:hAnsi="Calibri Light" w:cs="Calibri Light"/>
          <w:sz w:val="24"/>
          <w:szCs w:val="24"/>
          <w:lang w:val="en-ID" w:eastAsia="en-US"/>
        </w:rPr>
      </w:pPr>
      <w:r>
        <w:rPr>
          <w:rFonts w:ascii="Calibri Light" w:eastAsia="MS Mincho" w:hAnsi="Calibri Light" w:cs="Calibri Light"/>
          <w:b/>
          <w:bCs/>
          <w:sz w:val="24"/>
          <w:szCs w:val="24"/>
          <w:lang w:val="en-ID" w:eastAsia="en-US"/>
        </w:rPr>
        <w:t xml:space="preserve">3.1. </w:t>
      </w:r>
      <w:r w:rsidR="00046968" w:rsidRPr="00200009">
        <w:rPr>
          <w:rFonts w:ascii="Calibri Light" w:eastAsia="MS Mincho" w:hAnsi="Calibri Light" w:cs="Calibri Light"/>
          <w:b/>
          <w:bCs/>
          <w:sz w:val="24"/>
          <w:szCs w:val="24"/>
          <w:lang w:val="en-ID" w:eastAsia="en-US"/>
        </w:rPr>
        <w:t>Size and Growth of Publication</w:t>
      </w:r>
    </w:p>
    <w:p w14:paraId="6C2675C7" w14:textId="77777777" w:rsidR="00750DAC" w:rsidRDefault="00046968" w:rsidP="00750DAC">
      <w:pPr>
        <w:autoSpaceDE/>
        <w:autoSpaceDN/>
        <w:spacing w:after="200" w:line="276" w:lineRule="auto"/>
        <w:ind w:left="426"/>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The 1st research question:What is the annual distribution of publications related to Basel Accords and Islamic banking over the past decade?</w:t>
      </w:r>
    </w:p>
    <w:p w14:paraId="5E03B395" w14:textId="56F15A05" w:rsidR="00C377E7" w:rsidRDefault="00046968" w:rsidP="005137FB">
      <w:pPr>
        <w:autoSpaceDE/>
        <w:autoSpaceDN/>
        <w:spacing w:after="200" w:line="276" w:lineRule="auto"/>
        <w:ind w:left="426"/>
        <w:jc w:val="both"/>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The chart illustrates the annual growth of academic publications related to Basel Accords and Islamic Banking from 2015 to 2024.</w:t>
      </w:r>
      <w:r w:rsidR="005137FB" w:rsidRPr="005137FB">
        <w:t xml:space="preserve"> </w:t>
      </w:r>
      <w:r w:rsidR="005137FB" w:rsidRPr="0048773D">
        <w:rPr>
          <w:rFonts w:ascii="Calibri Light" w:eastAsia="MS Mincho" w:hAnsi="Calibri Light" w:cs="Calibri Light"/>
          <w:sz w:val="24"/>
          <w:szCs w:val="24"/>
          <w:highlight w:val="yellow"/>
          <w:lang w:eastAsia="en-US"/>
        </w:rPr>
        <w:t>The blue bars represent the absolute number of publications for each year, showing a consistent upward trend over the decade</w:t>
      </w:r>
      <w:r w:rsidR="005137FB" w:rsidRPr="005137FB">
        <w:rPr>
          <w:rFonts w:ascii="Calibri Light" w:eastAsia="MS Mincho" w:hAnsi="Calibri Light" w:cs="Calibri Light"/>
          <w:sz w:val="24"/>
          <w:szCs w:val="24"/>
          <w:lang w:eastAsia="en-US"/>
        </w:rPr>
        <w:t xml:space="preserve">. Although the chart legend includes categories for “Decrease” and “Total,” </w:t>
      </w:r>
      <w:r w:rsidR="005137FB" w:rsidRPr="0048773D">
        <w:rPr>
          <w:rFonts w:ascii="Calibri Light" w:eastAsia="MS Mincho" w:hAnsi="Calibri Light" w:cs="Calibri Light"/>
          <w:sz w:val="24"/>
          <w:szCs w:val="24"/>
          <w:highlight w:val="yellow"/>
          <w:lang w:eastAsia="en-US"/>
        </w:rPr>
        <w:t>only the “Increase” (blue) bars are represented, as the focus of this visualization is solely on yearly publication output</w:t>
      </w:r>
      <w:r w:rsidR="005137FB" w:rsidRPr="005137FB">
        <w:rPr>
          <w:rFonts w:ascii="Calibri Light" w:eastAsia="MS Mincho" w:hAnsi="Calibri Light" w:cs="Calibri Light"/>
          <w:sz w:val="24"/>
          <w:szCs w:val="24"/>
          <w:lang w:eastAsia="en-US"/>
        </w:rPr>
        <w:t>.</w:t>
      </w:r>
      <w:r w:rsidRPr="00046968">
        <w:rPr>
          <w:rFonts w:ascii="Calibri Light" w:eastAsia="MS Mincho" w:hAnsi="Calibri Light" w:cs="Calibri Light"/>
          <w:sz w:val="24"/>
          <w:szCs w:val="24"/>
          <w:lang w:val="en-ID" w:eastAsia="en-US"/>
        </w:rPr>
        <w:t xml:space="preserve"> </w:t>
      </w:r>
    </w:p>
    <w:p w14:paraId="6A151634" w14:textId="755C41F9" w:rsidR="0068332B" w:rsidRDefault="005137FB" w:rsidP="001C3DA7">
      <w:pPr>
        <w:autoSpaceDE/>
        <w:autoSpaceDN/>
        <w:spacing w:after="200" w:line="276" w:lineRule="auto"/>
        <w:ind w:left="426"/>
        <w:jc w:val="both"/>
        <w:rPr>
          <w:rFonts w:ascii="Calibri Light" w:eastAsia="MS Mincho" w:hAnsi="Calibri Light" w:cs="Calibri Light"/>
          <w:sz w:val="24"/>
          <w:szCs w:val="24"/>
          <w:lang w:val="en-ID" w:eastAsia="en-US"/>
        </w:rPr>
      </w:pPr>
      <w:r w:rsidRPr="00F00D99">
        <w:rPr>
          <w:rFonts w:eastAsia="Calibri" w:cs="Traditional Arabic"/>
          <w:noProof/>
          <w:sz w:val="24"/>
          <w:szCs w:val="24"/>
          <w:lang w:val="en-ID" w:eastAsia="en-US"/>
        </w:rPr>
        <w:drawing>
          <wp:anchor distT="0" distB="0" distL="114300" distR="114300" simplePos="0" relativeHeight="251691520" behindDoc="0" locked="0" layoutInCell="1" allowOverlap="1" wp14:anchorId="2B24792B" wp14:editId="334BB017">
            <wp:simplePos x="0" y="0"/>
            <wp:positionH relativeFrom="column">
              <wp:posOffset>770255</wp:posOffset>
            </wp:positionH>
            <wp:positionV relativeFrom="paragraph">
              <wp:posOffset>198120</wp:posOffset>
            </wp:positionV>
            <wp:extent cx="4572000" cy="2837180"/>
            <wp:effectExtent l="0" t="0" r="0" b="1270"/>
            <wp:wrapTopAndBottom/>
            <wp:docPr id="98538311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BEBA8EAE-BF5A-486C-A8C5-ECC9F3942E4B}">
                          <a14:imgProps xmlns:a14="http://schemas.microsoft.com/office/drawing/2010/main">
                            <a14:imgLayer r:embed="rId15">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4572000" cy="28371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75C87F" w14:textId="7C30C0AA" w:rsidR="00F00D99" w:rsidRDefault="00F00D99" w:rsidP="00F00D99">
      <w:pPr>
        <w:autoSpaceDE/>
        <w:autoSpaceDN/>
        <w:spacing w:after="200" w:line="276" w:lineRule="auto"/>
        <w:ind w:left="426"/>
        <w:jc w:val="center"/>
        <w:rPr>
          <w:rFonts w:ascii="Calibri Light" w:eastAsia="MS Mincho" w:hAnsi="Calibri Light" w:cs="Calibri Light"/>
          <w:sz w:val="24"/>
          <w:szCs w:val="24"/>
          <w:lang w:val="en-ID" w:eastAsia="en-US"/>
        </w:rPr>
      </w:pPr>
      <w:r w:rsidRPr="00F00D99">
        <w:rPr>
          <w:rFonts w:ascii="Calibri Light" w:eastAsia="MS Mincho" w:hAnsi="Calibri Light" w:cs="Calibri Light"/>
          <w:b/>
          <w:bCs/>
          <w:sz w:val="24"/>
          <w:szCs w:val="24"/>
          <w:lang w:val="en-ID" w:eastAsia="en-US"/>
        </w:rPr>
        <w:t>Figure 2.</w:t>
      </w:r>
      <w:r w:rsidRPr="00F00D99">
        <w:rPr>
          <w:rFonts w:ascii="Calibri Light" w:eastAsia="MS Mincho" w:hAnsi="Calibri Light" w:cs="Calibri Light"/>
          <w:sz w:val="24"/>
          <w:szCs w:val="24"/>
          <w:lang w:val="en-ID" w:eastAsia="en-US"/>
        </w:rPr>
        <w:t xml:space="preserve"> Distribution by year</w:t>
      </w:r>
    </w:p>
    <w:p w14:paraId="0596B959" w14:textId="0BD5460B" w:rsidR="0094630C" w:rsidRP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From the data, it is evident that the number of publications has consistently risen, reflecting growing scholarly interest in the field. The highest increase occurred in 2020 (151 publications), followed by 2022 (147) and 2021 (113). This surge could be linked to developments in Basel III regulations, risk management, and the increasing role of Islamic banking in the global financial system</w:t>
      </w:r>
      <w:r w:rsidR="001C3DA7">
        <w:rPr>
          <w:rFonts w:ascii="Calibri Light" w:eastAsia="MS Mincho" w:hAnsi="Calibri Light" w:cs="Calibri Light"/>
          <w:sz w:val="24"/>
          <w:szCs w:val="24"/>
          <w:lang w:val="en-ID" w:eastAsia="en-US"/>
        </w:rPr>
        <w:t xml:space="preserve"> </w:t>
      </w:r>
      <w:r w:rsidR="001C3DA7">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{"citationItems":[{"id":"ITEM-1","itemData":{"DOI":"10.1142/S0217590819500620","ISSN":"02175908 (ISSN)","abstract":"Participatory financing schemes, including Musharakah and Mudarabah, are theoretically claimed to be the ideal modes of Islamic financing, but their practice is restrained by several factors. That is why Islamic banks have a consistent tendency to avoid participatory financing on the assets side throughout the world. However, recently this trend has started changing in Pakistan and Indonesia where the share of participatory finance has raised significantly in the financing portfolio of Islamic banks. The present paper explores this recent spur of participatory finance in Pakistan in terms of its domains of applications and the responsible factors. The findings lead to a novel posteriori framework which shows that the shift toward participatory financing is primarily characterized by increase in working capital financing and commodity operations financing through Musharakah mode Islamic banks. Moreover, five factors contribute to the spur of participatory financing including: (i) introducing varieties in Musharakah, (ii) enhanced applicability, (iii) high volume projects, (iv) government interventions, and (v) regulator's role. The framework can significantly advance understanding with respect to the implementation theory of participation financing within Islamic banking and related Shariah compliance and regulation.  © 2022 World Scientific Publishing Company.","author":[{"dropping-particle":"","family":"Nouman","given":"M","non-dropping-particle":"","parse-names":false,"suffix":""},{"dropping-particle":"","family":"Ullah","given":"K","non-dropping-particle":"","parse-names":false,"suffix":""},{"dropping-particle":"","family":"Jan","given":"S","non-dropping-particle":"","parse-names":false,"suffix":""}],"container-title":"Singapore Economic Review","id":"ITEM-1","issue":"1","issued":{"date-parts":[["2022"]]},"language":"English","note":"Export Date: 24 April 2025; Cited By: 9; Correspondence Address: S. Jan; Institute of Management Sciences Peshawar, Pakistan; email: shafiullah.jan@imsciences.edu.pk","page":"381-409","publisher":"World Scientific","publisher-place":"Institute of Business and Management Sciences (IBMS), The University of Agriculture Peshawar, Pakistan","title":"DOMAINS and MOTIVES of MUSHARAKAH SPUR in the ISLAMIC BANKING INDUSTRY of PAKISTAN","type":"article-journal","volume":"67"},"uris":["http://www.mendeley.com/documents/?uuid=3956b406-ff63-4221-964e-f3746db73da8"]}],"mendeley":{"formattedCitation":"(Nouman et al., 2022)","plainTextFormattedCitation":"(Nouman et al., 2022)","previouslyFormattedCitation":"[13]"},"properties":{"noteIndex":0},"schema":"https://github.com/citation-style-language/schema/raw/master/csl-citation.json"}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(Nouman et al., 2022)</w:t>
      </w:r>
      <w:r w:rsidR="001C3DA7">
        <w:rPr>
          <w:rFonts w:ascii="Calibri Light" w:eastAsia="MS Mincho" w:hAnsi="Calibri Light" w:cs="Calibri Light"/>
          <w:sz w:val="24"/>
          <w:szCs w:val="24"/>
          <w:lang w:val="en-ID" w:eastAsia="en-US"/>
        </w:rPr>
        <w:fldChar w:fldCharType="end"/>
      </w:r>
      <w:r w:rsidRPr="0094630C">
        <w:rPr>
          <w:rFonts w:ascii="Calibri Light" w:eastAsia="MS Mincho" w:hAnsi="Calibri Light" w:cs="Calibri Light"/>
          <w:sz w:val="24"/>
          <w:szCs w:val="24"/>
          <w:lang w:val="en-ID" w:eastAsia="en-US"/>
        </w:rPr>
        <w:t>.</w:t>
      </w:r>
    </w:p>
    <w:p w14:paraId="02514C86" w14:textId="41BB3EA9" w:rsidR="0094630C" w:rsidRPr="0094630C" w:rsidRDefault="00471930" w:rsidP="00471930">
      <w:pPr>
        <w:autoSpaceDE/>
        <w:autoSpaceDN/>
        <w:spacing w:after="200" w:line="276" w:lineRule="auto"/>
        <w:ind w:left="426"/>
        <w:jc w:val="both"/>
        <w:rPr>
          <w:rFonts w:ascii="Calibri Light" w:eastAsia="MS Mincho" w:hAnsi="Calibri Light" w:cs="Calibri Light"/>
          <w:sz w:val="24"/>
          <w:szCs w:val="24"/>
          <w:lang w:val="en-ID" w:eastAsia="en-US"/>
        </w:rPr>
      </w:pPr>
      <w:r w:rsidRPr="00471930">
        <w:rPr>
          <w:rFonts w:ascii="Calibri Light" w:eastAsia="MS Mincho" w:hAnsi="Calibri Light" w:cs="Calibri Light"/>
          <w:sz w:val="24"/>
          <w:szCs w:val="24"/>
          <w:lang w:val="en-ID" w:eastAsia="en-US"/>
        </w:rPr>
        <w:t>In contrast</w:t>
      </w:r>
      <w:r w:rsidRPr="00471930">
        <w:rPr>
          <w:rFonts w:ascii="Calibri Light" w:eastAsia="MS Mincho" w:hAnsi="Calibri Light" w:cs="Calibri Light"/>
          <w:sz w:val="24"/>
          <w:szCs w:val="24"/>
          <w:highlight w:val="yellow"/>
          <w:lang w:val="en-ID" w:eastAsia="en-US"/>
        </w:rPr>
        <w:t>, the lowest recorded growth was in 2015 (65 publications), suggesting that research in this area was still in its early stages. When compared to other multidisciplinary fields—such as fintech or regulatory compliance—this figure appears relatively modest, highlighting a previously limited scholarly focus.</w:t>
      </w:r>
      <w:r w:rsidRPr="00471930">
        <w:rPr>
          <w:rFonts w:ascii="Calibri Light" w:eastAsia="MS Mincho" w:hAnsi="Calibri Light" w:cs="Calibri Light"/>
          <w:sz w:val="24"/>
          <w:szCs w:val="24"/>
          <w:lang w:val="en-ID" w:eastAsia="en-US"/>
        </w:rPr>
        <w:t xml:space="preserve"> Over the years, the consistent rise in publications indicates that Islamic finance and Basel regulations have evolved into </w:t>
      </w:r>
      <w:r w:rsidRPr="00471930">
        <w:rPr>
          <w:rFonts w:ascii="Calibri Light" w:eastAsia="MS Mincho" w:hAnsi="Calibri Light" w:cs="Calibri Light"/>
          <w:sz w:val="24"/>
          <w:szCs w:val="24"/>
          <w:lang w:val="en-ID" w:eastAsia="en-US"/>
        </w:rPr>
        <w:lastRenderedPageBreak/>
        <w:t>prominent topics of academic and industry discourse, with increasing contributions from scholars worldwide</w:t>
      </w:r>
      <w:r w:rsidR="005B5658">
        <w:rPr>
          <w:rFonts w:ascii="Calibri Light" w:eastAsia="MS Mincho" w:hAnsi="Calibri Light" w:cs="Calibri Light" w:hint="cs"/>
          <w:sz w:val="24"/>
          <w:szCs w:val="24"/>
          <w:rtl/>
          <w:lang w:val="en-ID" w:eastAsia="en-US"/>
        </w:rPr>
        <w:t xml:space="preserve"> </w:t>
      </w:r>
      <w:r w:rsidR="001C3DA7">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Finance","id":"ITEM-1","issue":"3","issued":{"date-parts":[["2022"]]},"language":"English","note":"Export Date: 24 April 2025; Cited By: 3; Correspondence Address: F.A. Fitri; Department of Accounting, Faculty of Economics and Business, Universitas Syiah Kuala (USK), Banda Aceh, Jl. Teuku Nyak Arief No. 441, 23111, Indonesia; email: fauziah.afitri@unsyiah.ac.id","page":"293-308","publisher":"Inderscience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Indonesia?","type":"article-journal","volume":"15"},"uris":["http://www.mendeley.com/documents/?uuid=a59b395a-9099-4512-bb6e-472b5ac1e678"]}],"mendeley":{"formattedCitation":"(Fitri et al., 2022)","plainTextFormattedCitation":"(Fitri et al., 2022)","previouslyFormattedCitation":"[14]"},"properties":{"noteIndex":0},"schema":"https://github.com/citation-style-language/schema/raw/master/csl-citation.json"}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(Fitri et al., 2022)</w:t>
      </w:r>
      <w:r w:rsidR="001C3DA7">
        <w:rPr>
          <w:rFonts w:ascii="Calibri Light" w:eastAsia="MS Mincho" w:hAnsi="Calibri Light" w:cs="Calibri Light"/>
          <w:sz w:val="24"/>
          <w:szCs w:val="24"/>
          <w:lang w:val="en-ID" w:eastAsia="en-US"/>
        </w:rPr>
        <w:fldChar w:fldCharType="end"/>
      </w:r>
      <w:r w:rsidR="0094630C" w:rsidRPr="0094630C">
        <w:rPr>
          <w:rFonts w:ascii="Calibri Light" w:eastAsia="MS Mincho" w:hAnsi="Calibri Light" w:cs="Calibri Light"/>
          <w:sz w:val="24"/>
          <w:szCs w:val="24"/>
          <w:lang w:val="en-ID" w:eastAsia="en-US"/>
        </w:rPr>
        <w:t>.</w:t>
      </w:r>
    </w:p>
    <w:p w14:paraId="279C995B" w14:textId="7076B9CE" w:rsidR="0094630C" w:rsidRDefault="0094630C" w:rsidP="0094630C">
      <w:pPr>
        <w:autoSpaceDE/>
        <w:autoSpaceDN/>
        <w:spacing w:after="200" w:line="276" w:lineRule="auto"/>
        <w:ind w:left="426"/>
        <w:jc w:val="both"/>
        <w:rPr>
          <w:rFonts w:ascii="Calibri Light" w:eastAsia="MS Mincho" w:hAnsi="Calibri Light" w:cs="Calibri Light"/>
          <w:sz w:val="24"/>
          <w:szCs w:val="24"/>
          <w:rtl/>
          <w:lang w:val="en-ID" w:eastAsia="en-US"/>
        </w:rPr>
      </w:pPr>
      <w:r w:rsidRPr="0094630C">
        <w:rPr>
          <w:rFonts w:ascii="Calibri Light" w:eastAsia="MS Mincho" w:hAnsi="Calibri Light" w:cs="Calibri Light"/>
          <w:sz w:val="24"/>
          <w:szCs w:val="24"/>
          <w:lang w:val="en-ID" w:eastAsia="en-US"/>
        </w:rPr>
        <w:t>This upward trend highlights the increasing global emphasis on financial stability, risk management, and regulatory frameworks. The data suggests that research in Islamic banking and financial regulations is maturing, with more institutions and scholars recognizing its significance in shaping the financial landscape.</w:t>
      </w:r>
    </w:p>
    <w:p w14:paraId="1B4D0C0D" w14:textId="77777777" w:rsidR="00471930" w:rsidRDefault="00471930" w:rsidP="0094630C">
      <w:pPr>
        <w:autoSpaceDE/>
        <w:autoSpaceDN/>
        <w:spacing w:after="200" w:line="276" w:lineRule="auto"/>
        <w:ind w:left="426"/>
        <w:jc w:val="both"/>
        <w:rPr>
          <w:rFonts w:ascii="Calibri Light" w:eastAsia="MS Mincho" w:hAnsi="Calibri Light" w:cs="Calibri Light"/>
          <w:sz w:val="24"/>
          <w:szCs w:val="24"/>
          <w:rtl/>
          <w:lang w:val="en-ID" w:eastAsia="en-US"/>
        </w:rPr>
      </w:pPr>
    </w:p>
    <w:p w14:paraId="6414314A" w14:textId="77777777" w:rsidR="00471930" w:rsidRDefault="00471930" w:rsidP="0094630C">
      <w:pPr>
        <w:autoSpaceDE/>
        <w:autoSpaceDN/>
        <w:spacing w:after="200" w:line="276" w:lineRule="auto"/>
        <w:ind w:left="426"/>
        <w:jc w:val="both"/>
        <w:rPr>
          <w:rFonts w:ascii="Calibri Light" w:eastAsia="MS Mincho" w:hAnsi="Calibri Light" w:cs="Calibri Light"/>
          <w:sz w:val="24"/>
          <w:szCs w:val="24"/>
          <w:lang w:val="en-ID" w:eastAsia="en-US"/>
        </w:rPr>
      </w:pPr>
    </w:p>
    <w:tbl>
      <w:tblPr>
        <w:tblStyle w:val="PlainTable22"/>
        <w:tblW w:w="8079" w:type="dxa"/>
        <w:tblInd w:w="426" w:type="dxa"/>
        <w:tblLook w:val="04A0" w:firstRow="1" w:lastRow="0" w:firstColumn="1" w:lastColumn="0" w:noHBand="0" w:noVBand="1"/>
      </w:tblPr>
      <w:tblGrid>
        <w:gridCol w:w="977"/>
        <w:gridCol w:w="2307"/>
        <w:gridCol w:w="827"/>
        <w:gridCol w:w="2552"/>
        <w:gridCol w:w="1416"/>
      </w:tblGrid>
      <w:tr w:rsidR="00D26D30" w:rsidRPr="00D26D30" w14:paraId="712293B5" w14:textId="77777777" w:rsidTr="00835E51">
        <w:trPr>
          <w:cnfStyle w:val="100000000000" w:firstRow="1" w:lastRow="0" w:firstColumn="0" w:lastColumn="0" w:oddVBand="0" w:evenVBand="0" w:oddHBand="0"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0" w:type="auto"/>
            <w:shd w:val="clear" w:color="auto" w:fill="E5B8B7" w:themeFill="accent2" w:themeFillTint="66"/>
            <w:hideMark/>
          </w:tcPr>
          <w:p w14:paraId="3D867444" w14:textId="77777777" w:rsidR="00D26D30" w:rsidRPr="00D26D30" w:rsidRDefault="00D26D30" w:rsidP="00D26D30">
            <w:pPr>
              <w:autoSpaceDE/>
              <w:autoSpaceDN/>
              <w:jc w:val="center"/>
              <w:rPr>
                <w:rFonts w:ascii="Calibri Light" w:hAnsi="Calibri Light" w:cs="Calibri Light"/>
                <w:lang w:val="en-ID" w:eastAsia="en-ID"/>
              </w:rPr>
            </w:pPr>
            <w:r w:rsidRPr="00D26D30">
              <w:rPr>
                <w:rFonts w:ascii="Calibri Light" w:hAnsi="Calibri Light" w:cs="Calibri Light"/>
                <w:lang w:val="en-ID" w:eastAsia="en-ID"/>
              </w:rPr>
              <w:t>Year</w:t>
            </w:r>
          </w:p>
        </w:tc>
        <w:tc>
          <w:tcPr>
            <w:tcW w:w="0" w:type="auto"/>
            <w:shd w:val="clear" w:color="auto" w:fill="E5B8B7" w:themeFill="accent2" w:themeFillTint="66"/>
            <w:hideMark/>
          </w:tcPr>
          <w:p w14:paraId="6A2716B6"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MeanTCperArt</w:t>
            </w:r>
          </w:p>
        </w:tc>
        <w:tc>
          <w:tcPr>
            <w:tcW w:w="827" w:type="dxa"/>
            <w:shd w:val="clear" w:color="auto" w:fill="E5B8B7" w:themeFill="accent2" w:themeFillTint="66"/>
            <w:hideMark/>
          </w:tcPr>
          <w:p w14:paraId="789F454A"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 xml:space="preserve">N     </w:t>
            </w:r>
          </w:p>
        </w:tc>
        <w:tc>
          <w:tcPr>
            <w:tcW w:w="2552" w:type="dxa"/>
            <w:shd w:val="clear" w:color="auto" w:fill="E5B8B7" w:themeFill="accent2" w:themeFillTint="66"/>
            <w:hideMark/>
          </w:tcPr>
          <w:p w14:paraId="11322DC8"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MeanTCperYear</w:t>
            </w:r>
          </w:p>
        </w:tc>
        <w:tc>
          <w:tcPr>
            <w:tcW w:w="1416" w:type="dxa"/>
            <w:shd w:val="clear" w:color="auto" w:fill="E5B8B7" w:themeFill="accent2" w:themeFillTint="66"/>
            <w:hideMark/>
          </w:tcPr>
          <w:p w14:paraId="4D131BE9"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CitableYears</w:t>
            </w:r>
          </w:p>
        </w:tc>
      </w:tr>
      <w:tr w:rsidR="00D26D30" w:rsidRPr="00D26D30" w14:paraId="3756270F"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6896D54" w14:textId="77777777" w:rsidR="00D26D30" w:rsidRPr="00D26D30" w:rsidRDefault="00D26D30" w:rsidP="00D26D30">
            <w:pPr>
              <w:autoSpaceDE/>
              <w:autoSpaceDN/>
              <w:rPr>
                <w:lang w:val="en-ID" w:eastAsia="en-ID"/>
              </w:rPr>
            </w:pPr>
            <w:r w:rsidRPr="00D26D30">
              <w:rPr>
                <w:lang w:val="en-ID" w:eastAsia="en-ID"/>
              </w:rPr>
              <w:t>2015</w:t>
            </w:r>
          </w:p>
        </w:tc>
        <w:tc>
          <w:tcPr>
            <w:tcW w:w="0" w:type="auto"/>
            <w:hideMark/>
          </w:tcPr>
          <w:p w14:paraId="713422F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27.55</w:t>
            </w:r>
          </w:p>
        </w:tc>
        <w:tc>
          <w:tcPr>
            <w:tcW w:w="827" w:type="dxa"/>
            <w:hideMark/>
          </w:tcPr>
          <w:p w14:paraId="782ECD7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44</w:t>
            </w:r>
          </w:p>
        </w:tc>
        <w:tc>
          <w:tcPr>
            <w:tcW w:w="2552" w:type="dxa"/>
            <w:hideMark/>
          </w:tcPr>
          <w:p w14:paraId="368E8AEE" w14:textId="77777777" w:rsidR="00D26D30" w:rsidRPr="00D26D30" w:rsidRDefault="00D26D30" w:rsidP="00D26D30">
            <w:pPr>
              <w:autoSpaceDE/>
              <w:autoSpaceDN/>
              <w:ind w:left="-246"/>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 xml:space="preserve">     2.76</w:t>
            </w:r>
          </w:p>
        </w:tc>
        <w:tc>
          <w:tcPr>
            <w:tcW w:w="1416" w:type="dxa"/>
            <w:hideMark/>
          </w:tcPr>
          <w:p w14:paraId="1574A7C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10</w:t>
            </w:r>
          </w:p>
        </w:tc>
      </w:tr>
      <w:tr w:rsidR="00D26D30" w:rsidRPr="00D26D30" w14:paraId="748D172E"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F253E24" w14:textId="77777777" w:rsidR="00D26D30" w:rsidRPr="00D26D30" w:rsidRDefault="00D26D30" w:rsidP="00D26D30">
            <w:pPr>
              <w:autoSpaceDE/>
              <w:autoSpaceDN/>
              <w:rPr>
                <w:lang w:val="en-ID" w:eastAsia="en-ID"/>
              </w:rPr>
            </w:pPr>
            <w:r w:rsidRPr="00D26D30">
              <w:rPr>
                <w:lang w:val="en-ID" w:eastAsia="en-ID"/>
              </w:rPr>
              <w:t>2016</w:t>
            </w:r>
          </w:p>
        </w:tc>
        <w:tc>
          <w:tcPr>
            <w:tcW w:w="0" w:type="auto"/>
            <w:hideMark/>
          </w:tcPr>
          <w:p w14:paraId="52CDE7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20.31</w:t>
            </w:r>
          </w:p>
        </w:tc>
        <w:tc>
          <w:tcPr>
            <w:tcW w:w="827" w:type="dxa"/>
            <w:hideMark/>
          </w:tcPr>
          <w:p w14:paraId="4029E1F1"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45</w:t>
            </w:r>
          </w:p>
        </w:tc>
        <w:tc>
          <w:tcPr>
            <w:tcW w:w="2552" w:type="dxa"/>
            <w:hideMark/>
          </w:tcPr>
          <w:p w14:paraId="21CDB06C"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2.26</w:t>
            </w:r>
          </w:p>
        </w:tc>
        <w:tc>
          <w:tcPr>
            <w:tcW w:w="1416" w:type="dxa"/>
            <w:hideMark/>
          </w:tcPr>
          <w:p w14:paraId="6AF5D8D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w:t>
            </w:r>
          </w:p>
        </w:tc>
      </w:tr>
      <w:tr w:rsidR="00D26D30" w:rsidRPr="00D26D30" w14:paraId="0EC6DB67"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63BF46CE" w14:textId="77777777" w:rsidR="00D26D30" w:rsidRPr="00D26D30" w:rsidRDefault="00D26D30" w:rsidP="00D26D30">
            <w:pPr>
              <w:autoSpaceDE/>
              <w:autoSpaceDN/>
              <w:rPr>
                <w:lang w:val="en-ID" w:eastAsia="en-ID"/>
              </w:rPr>
            </w:pPr>
            <w:r w:rsidRPr="00D26D30">
              <w:rPr>
                <w:lang w:val="en-ID" w:eastAsia="en-ID"/>
              </w:rPr>
              <w:t>2017</w:t>
            </w:r>
          </w:p>
        </w:tc>
        <w:tc>
          <w:tcPr>
            <w:tcW w:w="0" w:type="auto"/>
            <w:hideMark/>
          </w:tcPr>
          <w:p w14:paraId="3C0C39D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37.79</w:t>
            </w:r>
          </w:p>
        </w:tc>
        <w:tc>
          <w:tcPr>
            <w:tcW w:w="827" w:type="dxa"/>
            <w:hideMark/>
          </w:tcPr>
          <w:p w14:paraId="3C146B6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48</w:t>
            </w:r>
          </w:p>
        </w:tc>
        <w:tc>
          <w:tcPr>
            <w:tcW w:w="2552" w:type="dxa"/>
            <w:hideMark/>
          </w:tcPr>
          <w:p w14:paraId="766987B6"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4.72</w:t>
            </w:r>
          </w:p>
        </w:tc>
        <w:tc>
          <w:tcPr>
            <w:tcW w:w="1416" w:type="dxa"/>
            <w:hideMark/>
          </w:tcPr>
          <w:p w14:paraId="498858E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8</w:t>
            </w:r>
          </w:p>
        </w:tc>
      </w:tr>
      <w:tr w:rsidR="00D26D30" w:rsidRPr="00D26D30" w14:paraId="4CF91A7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DDBB736" w14:textId="77777777" w:rsidR="00D26D30" w:rsidRPr="00D26D30" w:rsidRDefault="00D26D30" w:rsidP="00D26D30">
            <w:pPr>
              <w:autoSpaceDE/>
              <w:autoSpaceDN/>
              <w:rPr>
                <w:lang w:val="en-ID" w:eastAsia="en-ID"/>
              </w:rPr>
            </w:pPr>
            <w:r w:rsidRPr="00D26D30">
              <w:rPr>
                <w:lang w:val="en-ID" w:eastAsia="en-ID"/>
              </w:rPr>
              <w:t>2018</w:t>
            </w:r>
          </w:p>
        </w:tc>
        <w:tc>
          <w:tcPr>
            <w:tcW w:w="0" w:type="auto"/>
            <w:hideMark/>
          </w:tcPr>
          <w:p w14:paraId="711086A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35.27</w:t>
            </w:r>
          </w:p>
        </w:tc>
        <w:tc>
          <w:tcPr>
            <w:tcW w:w="827" w:type="dxa"/>
            <w:hideMark/>
          </w:tcPr>
          <w:p w14:paraId="220BA8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70</w:t>
            </w:r>
          </w:p>
        </w:tc>
        <w:tc>
          <w:tcPr>
            <w:tcW w:w="2552" w:type="dxa"/>
            <w:hideMark/>
          </w:tcPr>
          <w:p w14:paraId="345EBB6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5.04</w:t>
            </w:r>
          </w:p>
        </w:tc>
        <w:tc>
          <w:tcPr>
            <w:tcW w:w="1416" w:type="dxa"/>
            <w:hideMark/>
          </w:tcPr>
          <w:p w14:paraId="3148B29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w:t>
            </w:r>
          </w:p>
        </w:tc>
      </w:tr>
      <w:tr w:rsidR="00D26D30" w:rsidRPr="00D26D30" w14:paraId="30373840"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0B78EA27" w14:textId="77777777" w:rsidR="00D26D30" w:rsidRPr="00D26D30" w:rsidRDefault="00D26D30" w:rsidP="00D26D30">
            <w:pPr>
              <w:autoSpaceDE/>
              <w:autoSpaceDN/>
              <w:rPr>
                <w:lang w:val="en-ID" w:eastAsia="en-ID"/>
              </w:rPr>
            </w:pPr>
            <w:r w:rsidRPr="00D26D30">
              <w:rPr>
                <w:lang w:val="en-ID" w:eastAsia="en-ID"/>
              </w:rPr>
              <w:t>2019</w:t>
            </w:r>
          </w:p>
        </w:tc>
        <w:tc>
          <w:tcPr>
            <w:tcW w:w="0" w:type="auto"/>
            <w:hideMark/>
          </w:tcPr>
          <w:p w14:paraId="38BB8002"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20.43</w:t>
            </w:r>
          </w:p>
        </w:tc>
        <w:tc>
          <w:tcPr>
            <w:tcW w:w="827" w:type="dxa"/>
            <w:hideMark/>
          </w:tcPr>
          <w:p w14:paraId="0C2A9C27"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77</w:t>
            </w:r>
          </w:p>
        </w:tc>
        <w:tc>
          <w:tcPr>
            <w:tcW w:w="2552" w:type="dxa"/>
            <w:hideMark/>
          </w:tcPr>
          <w:p w14:paraId="59B54C5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3.40</w:t>
            </w:r>
          </w:p>
        </w:tc>
        <w:tc>
          <w:tcPr>
            <w:tcW w:w="1416" w:type="dxa"/>
            <w:hideMark/>
          </w:tcPr>
          <w:p w14:paraId="1B3DE2E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6</w:t>
            </w:r>
          </w:p>
        </w:tc>
      </w:tr>
      <w:tr w:rsidR="00D26D30" w:rsidRPr="00D26D30" w14:paraId="577ABB6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175B1C9" w14:textId="77777777" w:rsidR="00D26D30" w:rsidRPr="00D26D30" w:rsidRDefault="00D26D30" w:rsidP="00D26D30">
            <w:pPr>
              <w:autoSpaceDE/>
              <w:autoSpaceDN/>
              <w:rPr>
                <w:lang w:val="en-ID" w:eastAsia="en-ID"/>
              </w:rPr>
            </w:pPr>
            <w:r w:rsidRPr="00D26D30">
              <w:rPr>
                <w:lang w:val="en-ID" w:eastAsia="en-ID"/>
              </w:rPr>
              <w:t>2020</w:t>
            </w:r>
          </w:p>
        </w:tc>
        <w:tc>
          <w:tcPr>
            <w:tcW w:w="0" w:type="auto"/>
            <w:hideMark/>
          </w:tcPr>
          <w:p w14:paraId="2B32514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18.31</w:t>
            </w:r>
          </w:p>
        </w:tc>
        <w:tc>
          <w:tcPr>
            <w:tcW w:w="827" w:type="dxa"/>
            <w:hideMark/>
          </w:tcPr>
          <w:p w14:paraId="4463C6F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74</w:t>
            </w:r>
          </w:p>
        </w:tc>
        <w:tc>
          <w:tcPr>
            <w:tcW w:w="2552" w:type="dxa"/>
            <w:hideMark/>
          </w:tcPr>
          <w:p w14:paraId="42D3B1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3.66</w:t>
            </w:r>
          </w:p>
        </w:tc>
        <w:tc>
          <w:tcPr>
            <w:tcW w:w="1416" w:type="dxa"/>
            <w:hideMark/>
          </w:tcPr>
          <w:p w14:paraId="4E6017B8"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w:t>
            </w:r>
          </w:p>
        </w:tc>
      </w:tr>
      <w:tr w:rsidR="00D26D30" w:rsidRPr="00D26D30" w14:paraId="51AE9F01" w14:textId="77777777" w:rsidTr="003F1684">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0" w:type="auto"/>
            <w:hideMark/>
          </w:tcPr>
          <w:p w14:paraId="1A73EB75" w14:textId="77777777" w:rsidR="00D26D30" w:rsidRPr="00D26D30" w:rsidRDefault="00D26D30" w:rsidP="00D26D30">
            <w:pPr>
              <w:autoSpaceDE/>
              <w:autoSpaceDN/>
              <w:rPr>
                <w:lang w:val="en-ID" w:eastAsia="en-ID"/>
              </w:rPr>
            </w:pPr>
            <w:r w:rsidRPr="00D26D30">
              <w:rPr>
                <w:lang w:val="en-ID" w:eastAsia="en-ID"/>
              </w:rPr>
              <w:t>2021</w:t>
            </w:r>
          </w:p>
        </w:tc>
        <w:tc>
          <w:tcPr>
            <w:tcW w:w="0" w:type="auto"/>
            <w:hideMark/>
          </w:tcPr>
          <w:p w14:paraId="6C1CB23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15.18</w:t>
            </w:r>
          </w:p>
        </w:tc>
        <w:tc>
          <w:tcPr>
            <w:tcW w:w="827" w:type="dxa"/>
            <w:hideMark/>
          </w:tcPr>
          <w:p w14:paraId="23ED78C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73</w:t>
            </w:r>
          </w:p>
        </w:tc>
        <w:tc>
          <w:tcPr>
            <w:tcW w:w="2552" w:type="dxa"/>
            <w:hideMark/>
          </w:tcPr>
          <w:p w14:paraId="683EC50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3.45</w:t>
            </w:r>
          </w:p>
        </w:tc>
        <w:tc>
          <w:tcPr>
            <w:tcW w:w="1416" w:type="dxa"/>
            <w:hideMark/>
          </w:tcPr>
          <w:p w14:paraId="4B1A795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w:t>
            </w:r>
          </w:p>
        </w:tc>
      </w:tr>
      <w:tr w:rsidR="00D26D30" w:rsidRPr="00D26D30" w14:paraId="45B0E4B1"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3316C860" w14:textId="77777777" w:rsidR="00D26D30" w:rsidRPr="00D26D30" w:rsidRDefault="00D26D30" w:rsidP="00D26D30">
            <w:pPr>
              <w:autoSpaceDE/>
              <w:autoSpaceDN/>
              <w:rPr>
                <w:lang w:val="en-ID" w:eastAsia="en-ID"/>
              </w:rPr>
            </w:pPr>
            <w:r w:rsidRPr="00D26D30">
              <w:rPr>
                <w:lang w:val="en-ID" w:eastAsia="en-ID"/>
              </w:rPr>
              <w:t>2022</w:t>
            </w:r>
          </w:p>
        </w:tc>
        <w:tc>
          <w:tcPr>
            <w:tcW w:w="0" w:type="auto"/>
            <w:hideMark/>
          </w:tcPr>
          <w:p w14:paraId="0C11CAA4"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9.59</w:t>
            </w:r>
          </w:p>
        </w:tc>
        <w:tc>
          <w:tcPr>
            <w:tcW w:w="827" w:type="dxa"/>
            <w:hideMark/>
          </w:tcPr>
          <w:p w14:paraId="2197BF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80</w:t>
            </w:r>
          </w:p>
        </w:tc>
        <w:tc>
          <w:tcPr>
            <w:tcW w:w="2552" w:type="dxa"/>
            <w:hideMark/>
          </w:tcPr>
          <w:p w14:paraId="558D499B"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3.20</w:t>
            </w:r>
          </w:p>
        </w:tc>
        <w:tc>
          <w:tcPr>
            <w:tcW w:w="1416" w:type="dxa"/>
            <w:hideMark/>
          </w:tcPr>
          <w:p w14:paraId="284DA49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w:t>
            </w:r>
          </w:p>
        </w:tc>
      </w:tr>
      <w:tr w:rsidR="00D26D30" w:rsidRPr="00D26D30" w14:paraId="1FF1B0A1" w14:textId="77777777" w:rsidTr="003F1684">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0" w:type="auto"/>
            <w:hideMark/>
          </w:tcPr>
          <w:p w14:paraId="2E4222FC" w14:textId="77777777" w:rsidR="00D26D30" w:rsidRPr="00D26D30" w:rsidRDefault="00D26D30" w:rsidP="00D26D30">
            <w:pPr>
              <w:autoSpaceDE/>
              <w:autoSpaceDN/>
              <w:rPr>
                <w:lang w:val="en-ID" w:eastAsia="en-ID"/>
              </w:rPr>
            </w:pPr>
            <w:r w:rsidRPr="00D26D30">
              <w:rPr>
                <w:lang w:val="en-ID" w:eastAsia="en-ID"/>
              </w:rPr>
              <w:t>2023</w:t>
            </w:r>
          </w:p>
        </w:tc>
        <w:tc>
          <w:tcPr>
            <w:tcW w:w="0" w:type="auto"/>
            <w:hideMark/>
          </w:tcPr>
          <w:p w14:paraId="3A44D85E"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2.40</w:t>
            </w:r>
          </w:p>
        </w:tc>
        <w:tc>
          <w:tcPr>
            <w:tcW w:w="827" w:type="dxa"/>
            <w:hideMark/>
          </w:tcPr>
          <w:p w14:paraId="7E2D582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97</w:t>
            </w:r>
          </w:p>
        </w:tc>
        <w:tc>
          <w:tcPr>
            <w:tcW w:w="2552" w:type="dxa"/>
            <w:hideMark/>
          </w:tcPr>
          <w:p w14:paraId="2C9CA1D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1.20</w:t>
            </w:r>
          </w:p>
        </w:tc>
        <w:tc>
          <w:tcPr>
            <w:tcW w:w="1416" w:type="dxa"/>
            <w:hideMark/>
          </w:tcPr>
          <w:p w14:paraId="0FFAB4A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w:t>
            </w:r>
          </w:p>
        </w:tc>
      </w:tr>
    </w:tbl>
    <w:p w14:paraId="79B51F19" w14:textId="3476F9BE" w:rsidR="00D26D30" w:rsidRPr="00D26D30" w:rsidRDefault="00D26D30" w:rsidP="0094630C">
      <w:pPr>
        <w:autoSpaceDE/>
        <w:autoSpaceDN/>
        <w:spacing w:after="200" w:line="276" w:lineRule="auto"/>
        <w:ind w:left="426"/>
        <w:jc w:val="both"/>
        <w:rPr>
          <w:rFonts w:ascii="Calibri Light" w:eastAsia="MS Mincho" w:hAnsi="Calibri Light" w:cs="Calibri Light"/>
          <w:sz w:val="32"/>
          <w:szCs w:val="32"/>
          <w:lang w:val="en-ID" w:eastAsia="en-US"/>
        </w:rPr>
      </w:pPr>
      <w:r w:rsidRPr="00D26D30">
        <w:rPr>
          <w:rFonts w:ascii="Calibri Light" w:hAnsi="Calibri Light" w:cs="Calibri Light"/>
          <w:b/>
          <w:bCs/>
          <w:sz w:val="24"/>
          <w:szCs w:val="24"/>
        </w:rPr>
        <w:t xml:space="preserve">Table 2: </w:t>
      </w:r>
      <w:r w:rsidRPr="00D26D30">
        <w:rPr>
          <w:rFonts w:ascii="Calibri Light" w:hAnsi="Calibri Light" w:cs="Calibri Light"/>
          <w:sz w:val="24"/>
          <w:szCs w:val="24"/>
        </w:rPr>
        <w:t>Average Citation Per Year in Selected Publications using R-studio</w:t>
      </w:r>
    </w:p>
    <w:p w14:paraId="0C27587B" w14:textId="4253F297" w:rsidR="00D26D30"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 xml:space="preserve">This table presents the average citation per year in selected research publications. It includes key metrics such as Mean Total Citations per Article (MeanTCperArt), the number of articles published (N), the Mean Total Citations per Year (MeanTCperYear), and the number of citable years for each publication period. The data reflects the citation trends over time, showing variations in research impact and relevance. The citation analysis in Table 2. Average Citation Per Year in Selected Publications provides insights into citation trends across different years. The data indicate that older publications have had more time to accumulate citations, while recent ones, particularly 2022 and 2023, show lower citation counts due to their limited exposure time. The highest Mean Total Citations per Article (Mean TC per Art) is observed in 2017, reaching 37.79 with 48 articles. However, the highest Mean Total Citations per Year (Mean TC per Year) is recorded in 2018, at 5.04, over 7 citable years. In contrast, research published in 2023 has the lowest Mean TC per Art of 2.40 and a Mean TC per Year of 1.20, reflecting its recent publication status and limited citation accumulation. Between 2015 and 2020, the Mean TC per Year fluctuated, peaking in 2018 and declining afterward. The Mean TC per Art also shows variation, with a decline from 2017 (37.79) to 2021 (15.18) and further decreasing in subsequent years. This trend </w:t>
      </w:r>
      <w:r w:rsidRPr="003F1684">
        <w:rPr>
          <w:rFonts w:ascii="Calibri Light" w:eastAsia="MS Mincho" w:hAnsi="Calibri Light" w:cs="Calibri Light"/>
          <w:sz w:val="24"/>
          <w:szCs w:val="24"/>
          <w:lang w:val="en-ID" w:eastAsia="en-US"/>
        </w:rPr>
        <w:lastRenderedPageBreak/>
        <w:t>indicates that earlier studies continue to receive more citations over time, reinforcing their impact, while newer research is still gaining academic recognition</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{"citationItems":[{"id":"ITEM-1","itemData":{"DOI":"10.1108/IJLMA-11-2023-0250","ISSN":"1754243X (ISSN)","abstract":"Purpose: The primary aim of this study is to explore challenges and prospects of Islamic banking system in non-Muslim states to foster regulatory frameworks of the system. Design/methodology/approach: Content analysis as an integral part of qualitative research was used. Secondary data through the exploration of cursory literature was taken into consideration. Findings: The findings identified three prime challenges, namely, regulatory, operational and institutional, which are impeding the smooth activities and performances of Islamic banks in using innovative Islamic products and services that can favourably compete with products and services of conventional banking system in non-Muslim states. In addition, strengthening the adoption and performance of Islamic banking in non-Muslim states can efficiently and effectively address the identified and multifarious regulatory, operational and institutional challenges to achieve financial inclusion and overall economic growth. Research limitations/implications: Challenges encountered and prodigies or potentials of operating Islamic banking system by most of non-Muslim countries remains a pivotal aspect that needs research attention in the recent. Practical implications: Nonetheless, the limitation of this study is that the study relies on the use of secondary data. However, it has provided a substantial direction for future studies in empirically exploring the variables of this study. Social implications: Indeed, 19th century was a remarkable turning point in the development and expansion of Islamic banking system in the Muslim world. Many predominant Muslim countries such as Malaysia, Indonesia, Saudi Arabia, Bangladesh, Pakistan, among others have been efficiently and effectively operating Islamic banking system within the framework of Islamic legal provisions. Many non-Muslim countries such as Australia, the UK, USA, etc., have also adopted Islamic banking system. Originality/value: It is noted that policy directions of the study among others should address the regulatory frameworks that is Shari’ah-compliant in the operation of Islamic banking system in non-Muslim states. It is therefore suggested that the policymakers, Islamic financial experts and regulators should use the innovation that could bring competitiveness into the operation of Islamic banking system in non-Muslim states. © 2024, Emerald Publishing Limited.","author":[{"dropping-particle":"","family":"Amuda","given":"Y J","non-dropping-particle":"","parse-names":false,"suffix":""},{"dropping-particle":"","family":"Al-Nasser","given":"S A","non-dropping-particle":"","parse-names":false,"suffix":""}],"container-title":"International Journal of Law and Management","id":"ITEM-1","issued":{"date-parts":[["2024"]]},"language":"English","note":"Export Date: 24 April 2025; Cited By: 4; Correspondence Address: Y.J. Amuda; College of Law, Prince Sultan University, Riyadh, Saudi Arabia; email: yusuffja@psu.edu.sa","publisher":"Emerald Publishing","publisher-place":"College of Law, Prince Sultan University, Riyadh, Saudi Arabia","title":"Exploring encounters and prodigies of Islamic banks in non-Muslim states: towards enhancing regulatory frameworks of Islamic banking system","type":"article-journal"},"uris":["http://www.mendeley.com/documents/?uuid=2781d09d-f948-4caf-9cce-16aa873d299a"]}],"mendeley":{"formattedCitation":"(Amuda &amp; Al-Nasser, 2024)","plainTextFormattedCitation":"(Amuda &amp; Al-Nasser, 2024)","previouslyFormattedCitation":"[15]"},"properties":{"noteIndex":0},"schema":"https://github.com/citation-style-language/schema/raw/master/csl-citation.json"}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(Amuda &amp; Al-Nasser,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w:t>
      </w:r>
    </w:p>
    <w:p w14:paraId="55E7C2B3" w14:textId="38F5EC14" w:rsidR="003F1684"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Overall, the data suggest that citation patterns align with publication recency, with older studies accumulating more citations due to their longer availability. However, the steady number of publications in recent years highlights continued research interest in the field.</w:t>
      </w:r>
    </w:p>
    <w:p w14:paraId="628C99C0" w14:textId="77777777" w:rsidR="003F1684" w:rsidRPr="003F1684" w:rsidRDefault="003F1684" w:rsidP="003F1684">
      <w:pPr>
        <w:autoSpaceDE/>
        <w:autoSpaceDN/>
        <w:spacing w:after="200" w:line="276" w:lineRule="auto"/>
        <w:ind w:left="426"/>
        <w:rPr>
          <w:rFonts w:ascii="Calibri Light" w:eastAsia="MS Mincho" w:hAnsi="Calibri Light" w:cs="Calibri Light"/>
          <w:b/>
          <w:bCs/>
          <w:sz w:val="24"/>
          <w:szCs w:val="24"/>
          <w:lang w:val="en-ID" w:eastAsia="en-US"/>
        </w:rPr>
      </w:pPr>
      <w:r w:rsidRPr="003F1684">
        <w:rPr>
          <w:rFonts w:ascii="Calibri Light" w:eastAsia="MS Mincho" w:hAnsi="Calibri Light" w:cs="Calibri Light"/>
          <w:b/>
          <w:bCs/>
          <w:sz w:val="24"/>
          <w:szCs w:val="24"/>
          <w:lang w:val="en-ID" w:eastAsia="en-US"/>
        </w:rPr>
        <w:t>3.2. Influential Authors and Journals Analysis</w:t>
      </w:r>
    </w:p>
    <w:p w14:paraId="46F336B0" w14:textId="77777777" w:rsidR="003F1684" w:rsidRPr="003F1684" w:rsidRDefault="003F1684" w:rsidP="003F1684">
      <w:pPr>
        <w:autoSpaceDE/>
        <w:autoSpaceDN/>
        <w:spacing w:after="200" w:line="276" w:lineRule="auto"/>
        <w:ind w:left="426"/>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The 2nd research question,Which journals and authors are the most influential in research on Basel Accords and Islamic banking?</w:t>
      </w:r>
    </w:p>
    <w:p w14:paraId="355F2271" w14:textId="7D512692" w:rsidR="00217165" w:rsidRDefault="003F1684" w:rsidP="00217165">
      <w:pPr>
        <w:autoSpaceDE/>
        <w:autoSpaceDN/>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The Figure 3. presents an analysis of the most influential authors in the research field based on the number of publications or citations. The bar chart indicates that Hassan, M.K. is the most influential author, significantly surpassing others in terms of publication or citation count. Following him, researchers such as Ibrahim, M.H., Safiullah, M., and Kabir Hassan, M. have made notable contributions, albeit to a lesser extent.This distribution highlights that certain scholars have a substantial impact on the field, reflecting their role in shaping research developments</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{"citationItems":[{"id":"ITEM-1","itemData":{"DOI":"10.1108/JIABR-02-2022-0047","ISSN":"17590817 (ISSN)","abstract":"Purpose: Bank lending is the major source of monetary expansion. Bank-led money creation is a key issue in both conventional and Islamic financial systems. The purpose of this paper is to examine the issues related to Islamic banking money creation. In this conceptual paper, the authors investigate the involvement of profit and loss sharing (PLS) in money creation and especially how can PLS limit money creation “out of nothing.” In this regard, the authors examine the potential of the PLS principle in tackling the excessive money creation phenomenon. Design/methodology/approach: This study uses a normative approach regarding Islamic bank money creation that fits Sharia directives. In fact, this study discusses “what ought to be,” that is, the values and norms of PLS money creation that impede excessive money creation. Findings: Overall, Islamic banks create money differently compared to conventional ones. Especially, by avoiding a purely financial intermediary, money creation under the PLS principle sustains a strong relationship with the real economy and leads to a lower money multiplier. Therefore, PLS mechanisms allow financing through real assets and not credit assets “out of nothing.” This could prevent excessive money creation from causing harmful effects on indebtedness and financial instability. Practical implications: PLS offers a valuable resolution for banking system money creation through the optimization of Islamic bank financing by facilitating the separation of the monetary function from the credit one. This reform thought reinforces the stability value of money allowing it to fully perform its functions with reference to the directives of Sharia. This especially allows the integrity and purchasing power of money, the reduction of the gap between the evolution of both real and financial economies and, consequently, the indebtedness and crisis. It is recommended to promote PLS financing by reforming institutional and regulatory constraints. Originality/value: This study addresses the contemporary issue of money creation by Islamic banks through the PLS approach. The conceptual framework of this paper highlights the reformist role of PLS in limiting money creation through Mudarabah approach within fractional reserve banking. © 2023, Emerald Publishing Limited.","author":[{"dropping-particle":"","family":"Jedidia","given":"K","non-dropping-particle":"Ben","parse-names":false,"suffix":""},{"dropping-particle":"","family":"Hamza","given":"H","non-dropping-particle":"","parse-names":false,"suffix":""}],"container-title":"Journal of Islamic Accounting and Business Research","id":"ITEM-1","issue":"3","issued":{"date-parts":[["2024"]]},"language":"English","note":"Export Date: 24 April 2025; Cited By: 2; Correspondence Address: K. Ben Jedidia; Department of Economics and Quantitative Methods, ISCAE, Manouba University, Manouba, Tunisia; email: khoutembj@yahoo.fr","page":"422-442","publisher":"Emerald Publishing","publisher-place":"Department of Economics and Quantitative Methods, ISCAE, Manouba University, Manouba, Tunisia","title":"Does PLS in Islamic banking limit excessive money creation?","type":"article-journal","volume":"15"},"uris":["http://www.mendeley.com/documents/?uuid=2eba3c45-e942-4441-b7ae-6761d914786b"]}],"mendeley":{"formattedCitation":"(Ben Jedidia &amp; Hamza, 2024)","plainTextFormattedCitation":"(Ben Jedidia &amp; Hamza, 2024)","previouslyFormattedCitation":"[16]"},"properties":{"noteIndex":0},"schema":"https://github.com/citation-style-language/schema/raw/master/csl-citation.json"}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(Ben Jedidia &amp; Hamza,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xml:space="preserve">. Such an analysis can be valuable for </w:t>
      </w:r>
    </w:p>
    <w:p w14:paraId="064B362F" w14:textId="21E769EA" w:rsidR="003F1684" w:rsidRDefault="003F1684" w:rsidP="00217165">
      <w:pPr>
        <w:autoSpaceDE/>
        <w:autoSpaceDN/>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identifying key authors whose works serve as foundational references in the literature and for guiding future research directions.</w:t>
      </w:r>
    </w:p>
    <w:p w14:paraId="46005EE1" w14:textId="52FE216D" w:rsidR="00AD05B1" w:rsidRDefault="00217165" w:rsidP="00AD05B1">
      <w:pPr>
        <w:autoSpaceDE/>
        <w:autoSpaceDN/>
        <w:spacing w:after="200" w:line="276" w:lineRule="auto"/>
        <w:ind w:left="426"/>
        <w:jc w:val="center"/>
        <w:rPr>
          <w:rFonts w:ascii="Calibri Light" w:eastAsia="MS Mincho" w:hAnsi="Calibri Light" w:cs="Calibri Light"/>
          <w:sz w:val="24"/>
          <w:szCs w:val="24"/>
          <w:lang w:val="en-ID" w:eastAsia="en-US"/>
        </w:rPr>
      </w:pPr>
      <w:r w:rsidRPr="00AD05B1">
        <w:rPr>
          <w:rFonts w:eastAsia="Calibri" w:cs="Traditional Arabic"/>
          <w:noProof/>
          <w:sz w:val="24"/>
          <w:szCs w:val="24"/>
          <w:lang w:val="en-ID" w:eastAsia="en-US"/>
        </w:rPr>
        <w:drawing>
          <wp:anchor distT="0" distB="0" distL="114300" distR="114300" simplePos="0" relativeHeight="251693568" behindDoc="0" locked="0" layoutInCell="1" allowOverlap="1" wp14:anchorId="61FD4E7D" wp14:editId="5FE9943C">
            <wp:simplePos x="0" y="0"/>
            <wp:positionH relativeFrom="margin">
              <wp:posOffset>475615</wp:posOffset>
            </wp:positionH>
            <wp:positionV relativeFrom="paragraph">
              <wp:posOffset>255270</wp:posOffset>
            </wp:positionV>
            <wp:extent cx="4714240" cy="2182495"/>
            <wp:effectExtent l="0" t="0" r="0" b="8255"/>
            <wp:wrapTopAndBottom/>
            <wp:docPr id="19026907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714240" cy="2182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C156B7" w14:textId="03A0C848" w:rsidR="00AD05B1" w:rsidRDefault="00717040" w:rsidP="00717040">
      <w:pPr>
        <w:autoSpaceDE/>
        <w:autoSpaceDN/>
        <w:spacing w:after="200" w:line="276" w:lineRule="auto"/>
        <w:jc w:val="center"/>
        <w:rPr>
          <w:rFonts w:ascii="Calibri Light" w:eastAsia="MS Mincho" w:hAnsi="Calibri Light" w:cs="Calibri Light"/>
          <w:sz w:val="24"/>
          <w:szCs w:val="24"/>
          <w:lang w:val="en-ID" w:eastAsia="en-US"/>
        </w:rPr>
      </w:pPr>
      <w:r w:rsidRPr="00717040">
        <w:rPr>
          <w:rFonts w:ascii="Calibri Light" w:eastAsia="MS Mincho" w:hAnsi="Calibri Light" w:cs="Calibri Light"/>
          <w:b/>
          <w:bCs/>
          <w:sz w:val="24"/>
          <w:szCs w:val="24"/>
          <w:lang w:eastAsia="en-US"/>
        </w:rPr>
        <w:lastRenderedPageBreak/>
        <w:t xml:space="preserve">Figure 3. </w:t>
      </w:r>
      <w:r w:rsidRPr="00717040">
        <w:rPr>
          <w:rFonts w:ascii="Calibri Light" w:eastAsia="MS Mincho" w:hAnsi="Calibri Light" w:cs="Calibri Light"/>
          <w:sz w:val="24"/>
          <w:szCs w:val="24"/>
          <w:highlight w:val="yellow"/>
          <w:lang w:eastAsia="en-US"/>
        </w:rPr>
        <w:t>Most Productive Authors by Number of Publications</w:t>
      </w:r>
      <w:r w:rsidR="00217165" w:rsidRPr="00AD05B1">
        <w:rPr>
          <w:rFonts w:eastAsia="Calibri" w:cs="Traditional Arabic"/>
          <w:noProof/>
          <w:sz w:val="24"/>
          <w:szCs w:val="24"/>
          <w:lang w:val="en-ID" w:eastAsia="en-US"/>
        </w:rPr>
        <w:drawing>
          <wp:anchor distT="0" distB="0" distL="114300" distR="114300" simplePos="0" relativeHeight="251695616" behindDoc="0" locked="0" layoutInCell="1" allowOverlap="1" wp14:anchorId="5802DCCB" wp14:editId="4C1279E5">
            <wp:simplePos x="0" y="0"/>
            <wp:positionH relativeFrom="margin">
              <wp:posOffset>363220</wp:posOffset>
            </wp:positionH>
            <wp:positionV relativeFrom="paragraph">
              <wp:posOffset>2620645</wp:posOffset>
            </wp:positionV>
            <wp:extent cx="5040630" cy="3044190"/>
            <wp:effectExtent l="57150" t="57150" r="45720" b="60960"/>
            <wp:wrapTopAndBottom/>
            <wp:docPr id="91573471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8" cstate="print">
                      <a:extLst>
                        <a:ext uri="{BEBA8EAE-BF5A-486C-A8C5-ECC9F3942E4B}">
                          <a14:imgProps xmlns:a14="http://schemas.microsoft.com/office/drawing/2010/main">
                            <a14:imgLayer r:embed="rId19">
                              <a14:imgEffect>
                                <a14:saturation sat="400000"/>
                              </a14:imgEffect>
                            </a14:imgLayer>
                          </a14:imgProps>
                        </a:ext>
                        <a:ext uri="{28A0092B-C50C-407E-A947-70E740481C1C}">
                          <a14:useLocalDpi xmlns:a14="http://schemas.microsoft.com/office/drawing/2010/main" val="0"/>
                        </a:ext>
                      </a:extLst>
                    </a:blip>
                    <a:srcRect t="3976" r="596"/>
                    <a:stretch/>
                  </pic:blipFill>
                  <pic:spPr bwMode="auto">
                    <a:xfrm>
                      <a:off x="0" y="0"/>
                      <a:ext cx="5040630" cy="3044190"/>
                    </a:xfrm>
                    <a:prstGeom prst="rect">
                      <a:avLst/>
                    </a:prstGeom>
                    <a:ln>
                      <a:solidFill>
                        <a:sysClr val="windowText" lastClr="000000">
                          <a:lumMod val="95000"/>
                          <a:lumOff val="5000"/>
                        </a:sysClr>
                      </a:solidFill>
                    </a:ln>
                    <a:effectLst>
                      <a:innerShdw blurRad="63500" dist="50800" dir="13500000">
                        <a:prstClr val="black">
                          <a:alpha val="50000"/>
                        </a:prstClr>
                      </a:innerShdw>
                      <a:softEdge rad="112500"/>
                    </a:effectLst>
                    <a:scene3d>
                      <a:camera prst="orthographicFront">
                        <a:rot lat="0" lon="0" rev="0"/>
                      </a:camera>
                      <a:lightRig rig="brightRoom" dir="t">
                        <a:rot lat="0" lon="0" rev="600000"/>
                      </a:lightRig>
                    </a:scene3d>
                    <a:sp3d prstMaterial="metal">
                      <a:bevelT w="38100" h="57150" prst="angle"/>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C7469E" w14:textId="7E1EC398" w:rsidR="00217165" w:rsidRDefault="00217165" w:rsidP="00217165">
      <w:pPr>
        <w:autoSpaceDE/>
        <w:autoSpaceDN/>
        <w:spacing w:after="200" w:line="276" w:lineRule="auto"/>
        <w:ind w:left="426"/>
        <w:jc w:val="center"/>
        <w:rPr>
          <w:rFonts w:ascii="Calibri Light" w:eastAsia="MS Mincho" w:hAnsi="Calibri Light" w:cs="Calibri Light"/>
          <w:sz w:val="24"/>
          <w:szCs w:val="24"/>
          <w:lang w:val="en-ID" w:eastAsia="en-US"/>
        </w:rPr>
      </w:pPr>
      <w:r w:rsidRPr="00217165">
        <w:rPr>
          <w:rFonts w:ascii="Calibri Light" w:eastAsia="MS Mincho" w:hAnsi="Calibri Light" w:cs="Calibri Light"/>
          <w:b/>
          <w:bCs/>
          <w:sz w:val="24"/>
          <w:szCs w:val="24"/>
          <w:lang w:val="en-ID" w:eastAsia="en-US"/>
        </w:rPr>
        <w:t>Figure 4.</w:t>
      </w:r>
      <w:r w:rsidRPr="00217165">
        <w:rPr>
          <w:rFonts w:ascii="Calibri Light" w:eastAsia="MS Mincho" w:hAnsi="Calibri Light" w:cs="Calibri Light"/>
          <w:sz w:val="24"/>
          <w:szCs w:val="24"/>
          <w:lang w:val="en-ID" w:eastAsia="en-US"/>
        </w:rPr>
        <w:t xml:space="preserve"> Bibliographic coupling with Authors</w:t>
      </w:r>
    </w:p>
    <w:p w14:paraId="1B120939" w14:textId="23096AB9" w:rsidR="00674C01" w:rsidRPr="00674C01" w:rsidRDefault="00674C01" w:rsidP="0075090F">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 xml:space="preserve">Figure 4. The co-authorship network visualization provides insights into the collaborative structure of research on Basel Accords and Islamic banking. The analysis highlights Hassan, M. Kabir as a central figure, with extensive academic collaborations spanning multiple researchers. His strong presence in the network suggests a significant influence in shaping the discourse on risk management, Islamic finance, and regulatory frameworks. </w:t>
      </w:r>
      <w:r w:rsidR="0075090F" w:rsidRPr="0075090F">
        <w:rPr>
          <w:rFonts w:ascii="Calibri Light" w:eastAsia="MS Mincho" w:hAnsi="Calibri Light" w:cs="Calibri Light"/>
          <w:sz w:val="24"/>
          <w:szCs w:val="24"/>
          <w:lang w:val="en-ID" w:eastAsia="en-US"/>
        </w:rPr>
        <w:t>The arrangement of nodes and their interconnections reveals the presence of distinct research clusters, indicating that scholars tend to collaborate within specific thematic domains while still maintaining intellectual linkages with the wider academic network</w:t>
      </w:r>
      <w:r w:rsidR="007168B1">
        <w:rPr>
          <w:rFonts w:ascii="Calibri Light" w:eastAsia="MS Mincho" w:hAnsi="Calibri Light" w:cs="Calibri Light" w:hint="cs"/>
          <w:sz w:val="24"/>
          <w:szCs w:val="24"/>
          <w:rtl/>
          <w:lang w:val="en-ID" w:eastAsia="en-US"/>
        </w:rPr>
        <w:t xml:space="preserve"> </w:t>
      </w:r>
      <w:r w:rsidR="007168B1">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{"citationItems":[{"id":"ITEM-1","itemData":{"ISSN":"2988-3512","author":[{"dropping-particle":"","family":"Noviani","given":"Dwi","non-dropping-particle":"","parse-names":false,"suffix":""},{"dropping-particle":"","family":"Ishaq","given":"Dwinda Fatimah","non-dropping-particle":"","parse-names":false,"suffix":""},{"dropping-particle":"","family":"Madami","given":"Usamarn","non-dropping-particle":"","parse-names":false,"suffix":""}],"container-title":"Solo International Collaboration and Publication of Social Sciences and Humanities","id":"ITEM-1","issue":"02","issued":{"date-parts":[["2025"]]},"page":"359-370","title":"Implementation and Challenges of Wadi'ah Contracts in Islamic Banking with a View to Future Prospects","type":"article-journal","volume":"3"},"uris":["http://www.mendeley.com/documents/?uuid=109271bb-b101-4343-8927-361a9b6c9c5d"]}],"mendeley":{"formattedCitation":"(Noviani et al., 2025)","plainTextFormattedCitation":"(Noviani et al., 2025)","previouslyFormattedCitation":"[17]"},"properties":{"noteIndex":0},"schema":"https://github.com/citation-style-language/schema/raw/master/csl-citation.json"}</w:instrText>
      </w:r>
      <w:r w:rsidR="007168B1">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(Noviani et al., 2025)</w:t>
      </w:r>
      <w:r w:rsidR="007168B1">
        <w:rPr>
          <w:rFonts w:ascii="Calibri Light" w:eastAsia="MS Mincho" w:hAnsi="Calibri Light" w:cs="Calibri Light"/>
          <w:sz w:val="24"/>
          <w:szCs w:val="24"/>
          <w:lang w:val="en-ID" w:eastAsia="en-US"/>
        </w:rPr>
        <w:fldChar w:fldCharType="end"/>
      </w:r>
      <w:r w:rsidR="0075090F" w:rsidRPr="0075090F">
        <w:rPr>
          <w:rFonts w:ascii="Calibri Light" w:eastAsia="MS Mincho" w:hAnsi="Calibri Light" w:cs="Calibri Light"/>
          <w:sz w:val="24"/>
          <w:szCs w:val="24"/>
          <w:lang w:val="en-ID" w:eastAsia="en-US"/>
        </w:rPr>
        <w:t>.</w:t>
      </w:r>
    </w:p>
    <w:p w14:paraId="29CC3B4A" w14:textId="0C0BA700" w:rsidR="00674C01" w:rsidRDefault="00674C01" w:rsidP="00674C01">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The color gradient from blue (2018) to yellow (2024) reveals the temporal evolution of research collaborations. Recent contributions appear around Ali, Muhammad and Ismail, Abdul Ghafar, signaling emerging research directions. In contrast, well-established collaborations, particularly those linked to Kabir Hassan, M., reflect sustained contributions over time. The presence of multiple independent clusters suggests diversity in research perspectives, with some groups focusing on regulatory frameworks and others on Islamic financial stability. This network structure underscores the dynamic and evolving nature of academic discourse in this field</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{"citationItems":[{"id":"ITEM-1","itemData":{"DOI":"10.1108/IJPPM-06-2020-0331","ISSN":"17410401 (ISSN)","abstract":"Purpose: The purpose of this paper is to examine whether and how Islamic banks' financing affects corporate investment efficiency. Design/methodology/approach: To achieve the research purpose, an empirical model was constructed to describe the relationship between Islamic banks' financing and corporate investment efficiency. The empirical model was tested through generalized method of moments (GMM) estimation technique using a panel data of 163 Malaysian listed firms for the period 2007–2017. Findings: This study provides evidence that Islamic banks' financing plays an important role in enhancing investment efficiency and that this positive effect comes mainly from non-PLS contracts. Moreover, the results show that the effect of Islamic banks' financing in preventing suboptimal investments is stronger in the financial crisis period. The results also reveal that the contribution of Islamic banks' financing in reducing suboptimal investments is more prominent when firms face over-investment problems. Research limitations/implications: This research contributes to the debate on the financial implications of Islamic banks' financing modes by exploring their effect on corporate investment efficiency. Practical implications: From a managerial perspective, the research findings are beneficial to Islamic bank managers to the extent that they highlight the role of Islamic financial contracts in improving corporate investment efficiency. In addition, the lower effect of PLS contracts on investment efficiency implies that policymakers in Malaysia should multiply their efforts to further expand the PLS financing. Originality/value: This paper offers some insights on the role of Islamic banks' financing in mitigating agency conflicts and reducing asymmetric information problems. It is the first attempt focusing on the role of Islamic financing in fostering corporate investment decisions. © 2020, Emerald Publishing Limited.","author":[{"dropping-particle":"","family":"Guizani","given":"M","non-dropping-particle":"","parse-names":false,"suffix":""},{"dropping-particle":"","family":"Ajmi","given":"A N","non-dropping-particle":"","parse-names":false,"suffix":""}],"container-title":"International Journal of Productivity and Performance Management","id":"ITEM-1","issue":"5","issued":{"date-parts":[["2022"]]},"language":"English","note":"Export Date: 24 April 2025; Cited By: 6; Correspondence Address: M. Guizani; Department of Accounting and Finance, High Institute of Computer Science and Management in Kairouan, University of Kairouan, Kairouan, Tunisia; email: guizani_m@yahoo.fr","page":"1854-1871","publisher":"Emerald Group Holdings Ltd.","publisher-place":"Department of Accounting and Finance, High Institute of Computer Science and Management in Kairouan, University of Kairouan, Kairouan, Tunisia","title":"Islamic banking and corporate investment efficiency: empirical evidence from Malaysia","type":"article-journal","volume":"71"},"uris":["http://www.mendeley.com/documents/?uuid=5bbba9b5-583b-403e-a9c1-cef14e165028"]}],"mendeley":{"formattedCitation":"(Guizani &amp; Ajmi, 2022)","plainTextFormattedCitation":"(Guizani &amp; Ajmi, 2022)","previouslyFormattedCitation":"[18]"},"properties":{"noteIndex":0},"schema":"https://github.com/citation-style-language/schema/raw/master/csl-citation.json"}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(Guizani &amp; Ajmi, 2022)</w:t>
      </w:r>
      <w:r w:rsidR="00C0389E">
        <w:rPr>
          <w:rFonts w:ascii="Calibri Light" w:eastAsia="MS Mincho" w:hAnsi="Calibri Light" w:cs="Calibri Light"/>
          <w:sz w:val="24"/>
          <w:szCs w:val="24"/>
          <w:lang w:val="en-ID" w:eastAsia="en-US"/>
        </w:rPr>
        <w:fldChar w:fldCharType="end"/>
      </w:r>
      <w:r w:rsidRPr="00674C01">
        <w:rPr>
          <w:rFonts w:ascii="Calibri Light" w:eastAsia="MS Mincho" w:hAnsi="Calibri Light" w:cs="Calibri Light"/>
          <w:sz w:val="24"/>
          <w:szCs w:val="24"/>
          <w:lang w:val="en-ID" w:eastAsia="en-US"/>
        </w:rPr>
        <w:t>.</w:t>
      </w:r>
    </w:p>
    <w:p w14:paraId="4548813A" w14:textId="77777777" w:rsidR="008C62AD" w:rsidRDefault="008C62AD" w:rsidP="008C62AD">
      <w:pPr>
        <w:autoSpaceDE/>
        <w:autoSpaceDN/>
        <w:spacing w:after="200" w:line="276" w:lineRule="auto"/>
        <w:ind w:left="426"/>
        <w:rPr>
          <w:rFonts w:ascii="Calibri Light" w:eastAsia="MS Mincho" w:hAnsi="Calibri Light" w:cs="Calibri Light"/>
          <w:b/>
          <w:bCs/>
          <w:sz w:val="24"/>
          <w:szCs w:val="24"/>
          <w:rtl/>
          <w:lang w:val="en-ID" w:eastAsia="en-US"/>
        </w:rPr>
      </w:pPr>
      <w:r w:rsidRPr="008C62AD">
        <w:rPr>
          <w:rFonts w:ascii="Calibri Light" w:eastAsia="MS Mincho" w:hAnsi="Calibri Light" w:cs="Calibri Light"/>
          <w:b/>
          <w:bCs/>
          <w:sz w:val="24"/>
          <w:szCs w:val="24"/>
          <w:lang w:val="en-ID" w:eastAsia="en-US"/>
        </w:rPr>
        <w:t>3.3.Country Wise Publication and Citation</w:t>
      </w:r>
    </w:p>
    <w:p w14:paraId="0916EC3E" w14:textId="5EA4E372" w:rsidR="008F1989" w:rsidRPr="008F1989" w:rsidRDefault="008F1989" w:rsidP="008F1989">
      <w:pPr>
        <w:autoSpaceDE/>
        <w:autoSpaceDN/>
        <w:spacing w:after="200" w:line="276" w:lineRule="auto"/>
        <w:ind w:left="426"/>
        <w:rPr>
          <w:rFonts w:ascii="Calibri Light" w:eastAsia="MS Mincho" w:hAnsi="Calibri Light" w:cs="Calibri Light"/>
          <w:sz w:val="24"/>
          <w:szCs w:val="24"/>
          <w:lang w:val="en-ID" w:eastAsia="en-US"/>
        </w:rPr>
      </w:pPr>
      <w:r w:rsidRPr="008F1989">
        <w:rPr>
          <w:rFonts w:ascii="Calibri Light" w:eastAsia="MS Mincho" w:hAnsi="Calibri Light" w:cs="Calibri Light"/>
          <w:sz w:val="24"/>
          <w:szCs w:val="24"/>
          <w:lang w:val="en-ID" w:eastAsia="en-US"/>
        </w:rPr>
        <w:lastRenderedPageBreak/>
        <w:t>The 3rd research question is: What countries have contributed most significantly to the research on Basel Accords and Islamic banking, and how has their scholarly output evolved over time?</w:t>
      </w:r>
    </w:p>
    <w:p w14:paraId="099278C6" w14:textId="07C38A27"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Figure 5 presents a global map illustrating the geographical distribution of academic publications related to the topic "The Legal Evolution of Basel Accords and Their Impact on Islamic Banking Regulations" during the period from 2015 to 2024. The color gradient ranges from light blue to dark blue, with darker shades indicating higher research output</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{"citationItems":[{"id":"ITEM-1","itemData":{"ISSN":"15441458 (ISSN)","abstract":"The purpose of this research is to measure the impact of consumer attitude, social norms and perceived behavior on the intention to adopt Islamic banking by freelancers in Pakistan. The sample of the study is taken from the young freelance professionals that are currently working it the city of Mirpur Azad Kashmir. The number of respondents is limited to 150. Correlation, reliability, regression and ANOVA tests are performed to check the accuracy and association of the data variables. The results showed that the variables of religiosity and subjective norms has a positive impact on the behavioral intention to adopt Islamic banking. There for the research team can conclude that religiosity has an impact on the intention of the free lancers of the city of Mirpur to adopt to Islamic banking and subjective norms also has an impact on the intention of the free lancers of the city of Mirpur to adopt to Islamic banking. The study also notes that subjective norms also have an effect the intention to adopt there for allowing customers to know of the ethical and socially responsible practices can also help them to adopt. For any future researchers the study recommends that they can apply the same model in another area to see the results of add or remove variables to see the difference it can make. © 2021, Academy of Strategic Management Journal. All Rights Reserved.","author":[{"dropping-particle":"","family":"Hermawati","given":"A","non-dropping-particle":"","parse-names":false,"suffix":""},{"dropping-particle":"","family":"Ali","given":"S","non-dropping-particle":"","parse-names":false,"suffix":""},{"dropping-particle":"","family":"Fettry","given":"S","non-dropping-particle":"","parse-names":false,"suffix":""},{"dropping-particle":"","family":"Hendarto","given":"T","non-dropping-particle":"","parse-names":false,"suffix":""},{"dropping-particle":"","family":"Husin","given":"H","non-dropping-particle":"","parse-names":false,"suffix":""}],"container-title":"Academy of Strategic Management Journal","id":"ITEM-1","issue":"2","issued":{"date-parts":[["2021"]]},"language":"English","note":"Export Date: 24 April 2025; Cited By: 0","page":"1-16","publisher":"Allied Business Academies","publisher-place":"Universitas Widyagama Malang, Indonesia","title":"Freelancers Intentions Towards Adoption Of Islamic Banking","type":"article-journal","volume":"20"},"uris":["http://www.mendeley.com/documents/?uuid=c800acff-5255-4a33-9978-b98e97ff7f06"]}],"mendeley":{"formattedCitation":"(Hermawati et al., 2021)","plainTextFormattedCitation":"(Hermawati et al., 2021)","previouslyFormattedCitation":"[19]"},"properties":{"noteIndex":0},"schema":"https://github.com/citation-style-language/schema/raw/master/csl-citation.json"}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(Hermawati et al.,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53300138" w14:textId="60918A15"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Malaysia and Indonesia emerge as the most prolific contributors, marked by darker hues, reflecting their strong institutional and scholarly engagement in aligning Islamic banking regulations with the Basel regulatory framework. Saudi Arabia, the United Arab Emirates, and Bahrain also demonstrate significant involvement, suggesting growing academic interest in legal harmonization between international financial standards and Shariah-compliant banking</w:t>
      </w:r>
      <w:r w:rsidR="00B601BF">
        <w:rPr>
          <w:rFonts w:ascii="Calibri Light" w:eastAsia="MS Mincho" w:hAnsi="Calibri Light" w:cs="Calibri Light" w:hint="cs"/>
          <w:sz w:val="24"/>
          <w:szCs w:val="24"/>
          <w:rtl/>
          <w:lang w:val="en-ID" w:eastAsia="en-US"/>
        </w:rPr>
        <w:t xml:space="preserve"> </w:t>
      </w:r>
      <w:r w:rsidR="00B601BF">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{"citationItems":[{"id":"ITEM-1","itemData":{"abstract":"… financial sector and the comparison between Bank Syariah Indonesia Tbk (BRIS) and Bank Mandiri Persero Tbk (BMRI) on the investment climate in Indonesia. This research method …","author":[{"dropping-particle":"","family":"Amri","given":"Ary Dean","non-dropping-particle":"","parse-names":false,"suffix":""},{"dropping-particle":"","family":"Anjelinah","given":"Dea","non-dropping-particle":"","parse-names":false,"suffix":""},{"dropping-particle":"","family":"Safitri","given":"Fidyah","non-dropping-particle":"","parse-names":false,"suffix":""},{"dropping-particle":"","family":"Puspita","given":"Duwi","non-dropping-particle":"","parse-names":false,"suffix":""},{"dropping-particle":"","family":"Yuana","given":"Neni","non-dropping-particle":"","parse-names":false,"suffix":""},{"dropping-particle":"","family":"Aulia","given":"Andini Destri","non-dropping-particle":"","parse-names":false,"suffix":""},{"dropping-particle":"","family":"Mustafa","given":"Asraf","non-dropping-particle":"","parse-names":false,"suffix":""}],"container-title":"Solo International Collaboration and Publication of Social Sciences and Humanities","id":"ITEM-1","issue":"1","issued":{"date-parts":[["2024"]]},"page":"11-24","title":"Development and Growth of Financial Sector Stock Market on Investment Climate : Study on Bank Syariah Indonesia and Bank Mandiri","type":"article-journal","volume":"2"},"uris":["http://www.mendeley.com/documents/?uuid=8a492f5e-d2c4-4e12-b4f7-a04e560904b7"]}],"mendeley":{"formattedCitation":"(Amri et al., 2024)","plainTextFormattedCitation":"(Amri et al., 2024)","previouslyFormattedCitation":"[20]"},"properties":{"noteIndex":0},"schema":"https://github.com/citation-style-language/schema/raw/master/csl-citation.json"}</w:instrText>
      </w:r>
      <w:r w:rsidR="00B601BF">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(Amri et al., 2024)</w:t>
      </w:r>
      <w:r w:rsidR="00B601BF">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r w:rsidR="00C0389E">
        <w:rPr>
          <w:rFonts w:ascii="Calibri Light" w:eastAsia="MS Mincho" w:hAnsi="Calibri Light" w:cs="Calibri Light"/>
          <w:sz w:val="24"/>
          <w:szCs w:val="24"/>
          <w:lang w:val="en-ID" w:eastAsia="en-US"/>
        </w:rPr>
        <w:t xml:space="preserve"> </w:t>
      </w:r>
    </w:p>
    <w:p w14:paraId="73ABB182" w14:textId="62403A2D"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In contrast, countries such as the United States, the United Kingdom, and Australia show moderate research activity. Although Islamic banking is not the dominant financial system in these regions, the academic focus indicates a cross-cultural and comparative interest in the legal dimensions of Islamic finance within global regulatory paradigms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{"citationItems":[{"id":"ITEM-1","itemData":{"DOI":"10.21098/jimf.v7i3.1376","ISSN":"24606146 (ISSN)","abstract":"This paper examines the market discipline of Islamic banks, as manifested by the responses of depositors with regard to their deposits and profit-sharing ratio to the fundamentals of the banks in the case of Indonesia. We analyse the supply and demand function of deposits using panel data from 10 Islamic banks from 2010 Q1 to 2019 Q4. We empirically find that market discipline in Indonesian Islamic banks is relatively weak, and conjecture that this is for two reasons. First, religious depositors have driven the unusual behaviour of Islamic banks, as we find that they stay with the same bank, even if it has poor fundamental conditions. Second, the profit and loss sharing mechanism means that Islamic bank depositors do not have great flexibility in demanding a higher rate relevant to the risk they must bear. This is because depositors’ actual return is set to be consistent with the actual profit obtained from the banks’ lending activities. Our results lead to the call for policymakers to effectively monitor the fundamental conditions of Islamic banks and to collaborate with agencies and organisations that promote Islamic bank development in Indonesia. © 2019 Bank Indonesia Institute. All rights reserved.","author":[{"dropping-particle":"","family":"Suliyono","given":"J","non-dropping-particle":"","parse-names":false,"suffix":""},{"dropping-particle":"","family":"Risfandy","given":"T","non-dropping-particle":"","parse-names":false,"suffix":""}],"container-title":"Journal of Islamic Monetary Economics and Finance","id":"ITEM-1","issue":"3","issued":{"date-parts":[["2021"]]},"language":"English","note":"Export Date: 24 April 2025; Cited By: 5","page":"457-472","publisher":"Bank Indonesia Institute","publisher-place":"Faculty of Economics and Business, Universitas Sebelas Maret, Indonesia","title":"ISLAMIC BANKING MARKET DISCIPLINE IN INDONESIA","type":"article-journal","volume":"7"},"uris":["http://www.mendeley.com/documents/?uuid=432a601e-b154-446e-8e91-fbf4096c359e"]}],"mendeley":{"formattedCitation":"(Suliyono &amp; Risfandy, 2021)","plainTextFormattedCitation":"(Suliyono &amp; Risfandy, 2021)","previouslyFormattedCitation":"[21]"},"properties":{"noteIndex":0},"schema":"https://github.com/citation-style-language/schema/raw/master/csl-citation.json"}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(Suliyono &amp; Risfandy,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2F417EB3" w14:textId="25B7629C" w:rsid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This distribution highlights the increasing global recognition of the importance of regulatory convergence between Islamic banking systems and Basel Accords, especially in countries with dual banking systems or in the process of financial regulatory reform. Future research contributions are expected to expand, particularly in emerging economies seeking to balance international compliance with faith-based financial practices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{"citationItems":[{"id":"ITEM-1","itemData":{"DOI":"10.5267/j.uscm.2023.9.022","ISSN":"22916822 (ISSN)","abstract":"This research delves into the intricate nexus between integrated reporting, corporate governance, and financial sustainability in Islamic banking. The study scrutinized a collection of research spanning diverse geographies and periods, emphasizing factors like board dynamics, audit committee proficiency, sustainability disclosures, and the implementation of value-centric strategies. The distillation of insights from an initial pool of 173 studies, which was meticulously narrowed down to 30 through rigorous criteria, indicates a prevalent positive association between these determinants and the financial robustness of Islamic banks. Such findings accentuate the pivotal role of syncing banking operations with the intrinsically sustainable tenets of Islamic finance. This harmony can notably spur sustainable development, potentially drawing more investors and boosting the stature of the Islamic banking domain. Furthermore, this study sheds light on potential avenues for upcoming research, including the analysis of managerial competencies' influence on varying Corporate Social Responsibility (CSR) classifications and the examination of the ramifications of sustainability benchmarks, cultural variances, legal structures, and Islamic statutes in diverse nations. This investigation provides critical insights for professionals and decision-makers in Islamic banking, facilitating a deeper understanding of practices that strengthen financial sustainability. © 2024 by the authors; licensee Growing Science, Canada.","author":[{"dropping-particle":"","family":"Yusuf","given":"M","non-dropping-particle":"","parse-names":false,"suffix":""},{"dropping-particle":"","family":"Dasawaty","given":"E S","non-dropping-particle":"","parse-names":false,"suffix":""},{"dropping-particle":"","family":"Esra","given":"M A","non-dropping-particle":"","parse-names":false,"suffix":""},{"dropping-particle":"","family":"Apriwenni","given":"P","non-dropping-particle":"","parse-names":false,"suffix":""},{"dropping-particle":"","family":"Meiden","given":"C","non-dropping-particle":"","parse-names":false,"suffix":""},{"dropping-particle":"","family":"Fahlevi","given":"M","non-dropping-particle":"","parse-names":false,"suffix":""}],"container-title":"Uncertain Supply Chain Management","id":"ITEM-1","issue":"1","issued":{"date-parts":[["2024"]]},"language":"English","note":"Export Date: 24 April 2025; Cited By: 13; Correspondence Address: M. Yusuf; Institut Teknologi dan Bisnis Bank Rakyat Indonesia, Jakarta, Indonesia; email: myusuf@privietlab.org","page":"273-290","publisher":"Growing Science","publisher-place":"Institut Teknologi dan Bisnis Bank Rakyat Indonesia, Jakarta, Indonesia","title":"Integrated reporting, corporate governance, and financial sustainability in Islamic banking","type":"article-journal","volume":"12"},"uris":["http://www.mendeley.com/documents/?uuid=271f3b1b-9640-43ed-84a5-139a1d5d60e2"]}],"mendeley":{"formattedCitation":"(Yusuf et al., 2024)","plainTextFormattedCitation":"(Yusuf et al., 2024)","previouslyFormattedCitation":"[22]"},"properties":{"noteIndex":0},"schema":"https://github.com/citation-style-language/schema/raw/master/csl-citation.json"}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(Yusuf et al., 2024)</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79BBE9BC" w14:textId="4725590A" w:rsidR="00D46384" w:rsidRDefault="00D46384"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D46384">
        <w:rPr>
          <w:rFonts w:eastAsia="Calibri" w:cs="Traditional Arabic"/>
          <w:noProof/>
          <w:sz w:val="24"/>
          <w:szCs w:val="24"/>
          <w:lang w:val="en-ID" w:eastAsia="en-US"/>
        </w:rPr>
        <w:lastRenderedPageBreak/>
        <w:drawing>
          <wp:inline distT="0" distB="0" distL="0" distR="0" wp14:anchorId="7ED5B284" wp14:editId="791D0310">
            <wp:extent cx="5022167" cy="2551926"/>
            <wp:effectExtent l="0" t="0" r="7620" b="1270"/>
            <wp:docPr id="9392561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17393" cy="2600313"/>
                    </a:xfrm>
                    <a:prstGeom prst="rect">
                      <a:avLst/>
                    </a:prstGeom>
                    <a:noFill/>
                    <a:ln>
                      <a:noFill/>
                    </a:ln>
                  </pic:spPr>
                </pic:pic>
              </a:graphicData>
            </a:graphic>
          </wp:inline>
        </w:drawing>
      </w:r>
    </w:p>
    <w:p w14:paraId="75A8B826" w14:textId="77349EB7" w:rsidR="00D46384" w:rsidRDefault="00D46384" w:rsidP="00D46384">
      <w:pPr>
        <w:autoSpaceDE/>
        <w:autoSpaceDN/>
        <w:spacing w:after="200" w:line="276" w:lineRule="auto"/>
        <w:ind w:left="426"/>
        <w:jc w:val="center"/>
        <w:rPr>
          <w:rFonts w:ascii="Calibri Light" w:eastAsia="MS Mincho" w:hAnsi="Calibri Light" w:cs="Calibri Light"/>
          <w:sz w:val="24"/>
          <w:szCs w:val="24"/>
          <w:lang w:val="en-ID" w:eastAsia="en-US"/>
        </w:rPr>
      </w:pPr>
      <w:r w:rsidRPr="00D46384">
        <w:rPr>
          <w:rFonts w:ascii="Calibri Light" w:eastAsia="MS Mincho" w:hAnsi="Calibri Light" w:cs="Calibri Light"/>
          <w:b/>
          <w:bCs/>
          <w:sz w:val="24"/>
          <w:szCs w:val="24"/>
          <w:lang w:val="en-ID" w:eastAsia="en-US"/>
        </w:rPr>
        <w:t>Figure 5:</w:t>
      </w:r>
      <w:r w:rsidRPr="00D46384">
        <w:rPr>
          <w:rFonts w:ascii="Calibri Light" w:eastAsia="MS Mincho" w:hAnsi="Calibri Light" w:cs="Calibri Light"/>
          <w:sz w:val="24"/>
          <w:szCs w:val="24"/>
          <w:lang w:val="en-ID" w:eastAsia="en-US"/>
        </w:rPr>
        <w:t xml:space="preserve"> Global Distribution of Research on Basel Accords and Islamic Banking Regulations (2015–2024)</w:t>
      </w:r>
    </w:p>
    <w:p w14:paraId="4CC71139" w14:textId="5C1BDE29"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Figure 6 presents a bibliometric overview of selected countries that have contributed significantly to the scholarly discourse during the period 2015–2024. The table captures three core indicators: number of documents, total citations, and total link strength (which reflects the extent of international collaboration)</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{"citationItems":[{"id":"ITEM-1","itemData":{"DOI":"10.1080/23322039.2024.2378961","ISSN":"23322039 (ISSN)","abstract":"Sharia product development in Indonesia faces unique challenges in terms of strategy and innovation compared with conventional products. Islamic banking managers must adhere to Sharia principles to maintain customer trust and comply with Islamic law. Compliance with Sharia principles is not only a religious obligation but also the foundation of the business model. This study used qualitative methods, specifically semi-structured interviews, to validate the Sharia product development practices in Indonesia. Seven experts from diverse backgrounds were interviewed, and their responses were thematically analysed using NVivo version 12. The findings confirm that the Sharia supervisory board and Islamic banking management play crucial roles in developing Sharia products. They collaborate to ensure that Sharia products adhere to the principles, meet customer needs, and comply with relevant regulations and standards. This collaboration enables efficient development of Sharia products that align with values and meet market demands. Moreover, their involvement goes beyond their compliance. They also contribute to the ethical and responsible growth of Islamic banking by fostering customer trust and confidence. Their commitment to upholding the core principles of Islamic banking establishes a solid foundation for the sustainable development of Sharia-compliant products in the global market. © 2024 The Author(s). Published by Informa UK Limited, trading as Taylor &amp; Francis Group.","author":[{"dropping-particle":"","family":"Faizi","given":"F","non-dropping-particle":"","parse-names":false,"suffix":""}],"container-title":"Cogent Economics and Finance","id":"ITEM-1","issue":"1","issued":{"date-parts":[["2024"]]},"language":"English","note":"Export Date: 24 April 2025; Cited By: 1; Correspondence Address: F. Faizi; Department of Islamic Economics, Faculty of Economics and Business, Universitas Pembangunan Nasional Veteran Jakarta, Depok, Indonesia; email: faizi.feb@upnvj.ac.id","publisher":"Cogent OA","publisher-place":"Department of Islamic Economics, Faculty of Economics and Business, Universitas Pembangunan Nasional Veteran Jakarta, Depok, Indonesia","title":"How are Islamic banking products developed? Evidence from emerging country","type":"article-journal","volume":"12"},"uris":["http://www.mendeley.com/documents/?uuid=16baa1b9-e6a1-4667-bda6-5a93583dc9e4"]}],"mendeley":{"formattedCitation":"(Faizi, 2024)","plainTextFormattedCitation":"(Faizi, 2024)","previouslyFormattedCitation":"[23]"},"properties":{"noteIndex":0},"schema":"https://github.com/citation-style-language/schema/raw/master/csl-citation.json"}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(Faizi, 2024)</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0BECA70E" w14:textId="109F16D5"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Malaysia leads with 347 publications and a striking 5,411 citations, as well as the highest total link strength (1,206), underlining its central role as a global hub in the research domain. This evidences Malaysia’s leadership in both output and influence within Islamic banking and Basel-related regulatory studies, likely supported by its strong institutional commitment to Islamic finance. Pakistan follows with 114 documents and 1,936 citations, showing robust academic engagement. The United States, despite having only 70 documents, shows high efficiency with 1,776 citations and notable international collaboration (704 link strength), highlighting its scholarly influence despite fewer contributions</w:t>
      </w:r>
      <w:r w:rsidR="00B8352F">
        <w:rPr>
          <w:rFonts w:ascii="Calibri Light" w:eastAsia="MS Mincho" w:hAnsi="Calibri Light" w:cs="Calibri Light" w:hint="cs"/>
          <w:sz w:val="24"/>
          <w:szCs w:val="24"/>
          <w:rtl/>
          <w:lang w:val="en-ID" w:eastAsia="en-US"/>
        </w:rPr>
        <w:t xml:space="preserve"> </w:t>
      </w:r>
      <w:r w:rsidR="00B8352F">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{"citationItems":[{"id":"ITEM-1","itemData":{"author":[{"dropping-particle":"","family":"Nasrullah","given":"Muthoifin","non-dropping-particle":"","parse-names":false,"suffix":""}],"container-title":"Demak Universal Journal of Islam and Sharia","id":"ITEM-1","issue":"3","issued":{"date-parts":[["2024"]]},"page":"347-360","title":"Implementation of Fiqh Rules in Economic Transactions in Islamic Financial Institutions : A Literature Review Study","type":"article-journal","volume":"2"},"uris":["http://www.mendeley.com/documents/?uuid=7f382b5c-5d09-4c81-84e8-680a88557566"]}],"mendeley":{"formattedCitation":"(Nasrullah, 2024)","plainTextFormattedCitation":"(Nasrullah, 2024)","previouslyFormattedCitation":"[24]"},"properties":{"noteIndex":0},"schema":"https://github.com/citation-style-language/schema/raw/master/csl-citation.json"}</w:instrText>
      </w:r>
      <w:r w:rsidR="00B8352F">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(Nasrullah, 2024)</w:t>
      </w:r>
      <w:r w:rsidR="00B8352F">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10D1746B" w14:textId="0FA21FB9"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Other notable contributors include Indonesia (201 documents, 1,876 citations), the United Kingdom (100 documents, 1,966 citations), and Saudi Arabia (85 documents, 1,330 citations), each demonstrating meaningful contributions in terms of quantity and impact. Meanwhile, France, Australia, Tunisia, and Bangladesh show varying levels of engagement. Although their total outputs and link strengths are comparatively lower, countries like Australia (1,520 citations from 53 documents) demonstrate relatively high citation-to-document ratios, indicating influential publications</w:t>
      </w:r>
      <w:r w:rsidR="00F56645">
        <w:rPr>
          <w:rFonts w:ascii="Calibri Light" w:eastAsia="MS Mincho" w:hAnsi="Calibri Light" w:cs="Calibri Light" w:hint="cs"/>
          <w:sz w:val="24"/>
          <w:szCs w:val="24"/>
          <w:rtl/>
          <w:lang w:val="en-ID" w:eastAsia="en-US"/>
        </w:rPr>
        <w:t xml:space="preserve"> </w:t>
      </w:r>
      <w:r w:rsidR="00E016D0">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{"citationItems":[{"id":"ITEM-1","itemData":{"author":[{"dropping-particle":"","family":"Jabbar","given":"Aisyah Abdul","non-dropping-particle":"","parse-names":false,"suffix":""},{"dropping-particle":"","family":"Achour","given":"Meguellati","non-dropping-particle":"","parse-names":false,"suffix":""},{"dropping-particle":"","family":"Geraldine","given":"Edwards","non-dropping-particle":"","parse-names":false,"suffix":""},{"dropping-particle":"","family":"Afiyah","given":"Ishmah","non-dropping-particle":"","parse-names":false,"suffix":""}],"container-title":"Solo International Colaboration and Publication of Social Sciences and Humanitieslaboration and Publication of Social Sciences and Humanities","id":"ITEM-1","issue":"1","issued":{"date-parts":[["2024"]]},"page":"47-60","title":"The Relevance and Dynamics of Muamalat Transactions in the Context of Modern Economics : A Holistic Review","type":"article-journal","volume":"2"},"uris":["http://www.mendeley.com/documents/?uuid=4f8537f6-e053-4ca9-a43e-6612a71bb50f"]}],"mendeley":{"formattedCitation":"(Jabbar et al., 2024)","plainTextFormattedCitation":"(Jabbar et al., 2024)","previouslyFormattedCitation":"[25]"},"properties":{"noteIndex":0},"schema":"https://github.com/citation-style-language/schema/raw/master/csl-citation.json"}</w:instrText>
      </w:r>
      <w:r w:rsidR="00E016D0">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(Jabbar et al., 2024)</w:t>
      </w:r>
      <w:r w:rsidR="00E016D0">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338E9F0B" w14:textId="1BC1E5E5"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 xml:space="preserve">The total link strength metric further enriches this analysis by highlighting the depth of collaboration. Countries with higher link strength are more embedded in international </w:t>
      </w:r>
      <w:r w:rsidRPr="00B06D1D">
        <w:rPr>
          <w:rFonts w:ascii="Calibri Light" w:eastAsia="MS Mincho" w:hAnsi="Calibri Light" w:cs="Calibri Light"/>
          <w:sz w:val="24"/>
          <w:szCs w:val="24"/>
          <w:lang w:val="en-ID" w:eastAsia="en-US"/>
        </w:rPr>
        <w:lastRenderedPageBreak/>
        <w:t>research networks, which is crucial for knowledge exchange and mutual development of regulatory frameworks in Islamic finance. Overall, this bibliometric mapping underscores the pivotal role of Southeast Asian and selected Western nations in shaping the academic trajectory of Basel compliance in the Islamic banking sector</w:t>
      </w:r>
      <w:r w:rsidR="00991D92">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{"citationItems":[{"id":"ITEM-1","itemData":{"DOI":"10.1504/IJBAAF.2020.104479","ISSN":"17553830 (ISSN)","abstract":"Following the implementation of Basel III, the Basel committee has embarked on a thorough review of its market risk directives and enacted new proposals generically called Basel 3.5. They involve a radical transformation of the standardised approach (SA) into a risk-sensitive method and a complete overhaul of the internal models approach (IMA) through the replacement of VaR for ES, amid stringent validation standards. The study analyses Basel's recent regulations for commodities exposures, finding a substantial rise in capital levels for SA and IMA and the relatively disadvantageous position in which IMA is placed, arising from the higher SA's capital requirements and the tougher evaluation criteria only attained by schemes featuring extremes theory. This, in turn, provokes accuracy disincentives and unnecessary immobilisation of funds. Consequently, the paper introduces a straightforward solution designed to level SA and IMA and provide substantial protection against huge market slumps with more reasonable capital levels and reduced implied costs. © 2020 Inderscience Enterprises Ltd.","author":[{"dropping-particle":"","family":"Rossignolo","given":"A F","non-dropping-particle":"","parse-names":false,"suffix":""}],"container-title":"International Journal of Banking, Accounting and Finance","id":"ITEM-1","issue":"1","issued":{"date-parts":[["2020"]]},"language":"English","note":"Export Date: 23 June 2025; Cited By: 2; Correspondence Address: A.F. Rossignolo; School of Business, University of Leicester, Buenos Aires, Santo Tome 2870, C1417GFL, Argentina; email: afr6@leicester.ac.uk","page":"1-34","publisher":"Inderscience Enterprises Ltd.","publisher-place":"School of Business, University of Leicester, Santo Tome 2870, Buenos Aires, C1417GFL, Argentina","title":"Basel 3.5 vs. Basel III: A radical overhaul of the capital requirements pillar. The case of commodity exposures","type":"article-journal","volume":"11"},"uris":["http://www.mendeley.com/documents/?uuid=44f3403f-8673-4e40-899b-327c2c9b5510"]}],"mendeley":{"formattedCitation":"(Rossignolo, 2020)","plainTextFormattedCitation":"(Rossignolo, 2020)","previouslyFormattedCitation":"[26]"},"properties":{"noteIndex":0},"schema":"https://github.com/citation-style-language/schema/raw/master/csl-citation.json"}</w:instrText>
      </w:r>
      <w:r w:rsidR="00991D92">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(Rossignolo, 2020)</w:t>
      </w:r>
      <w:r w:rsidR="00991D92">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 The observed trends suggest a growing convergence of international scholarly efforts to address the regulatory challenges and opportunities inherent in aligning Islamic financial principles with global banking standards.</w:t>
      </w:r>
    </w:p>
    <w:p w14:paraId="10D7E8E6" w14:textId="26DA74E7"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eastAsia="Calibri" w:cs="Traditional Arabic"/>
          <w:b/>
          <w:bCs/>
          <w:noProof/>
          <w:sz w:val="24"/>
          <w:szCs w:val="24"/>
          <w:lang w:val="en-ID" w:eastAsia="en-US"/>
        </w:rPr>
        <w:drawing>
          <wp:inline distT="0" distB="0" distL="0" distR="0" wp14:anchorId="25C37A6A" wp14:editId="573C0CB3">
            <wp:extent cx="5730875" cy="2438400"/>
            <wp:effectExtent l="0" t="0" r="3175" b="0"/>
            <wp:docPr id="110940375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0875" cy="2438400"/>
                    </a:xfrm>
                    <a:prstGeom prst="rect">
                      <a:avLst/>
                    </a:prstGeom>
                    <a:noFill/>
                  </pic:spPr>
                </pic:pic>
              </a:graphicData>
            </a:graphic>
          </wp:inline>
        </w:drawing>
      </w:r>
    </w:p>
    <w:p w14:paraId="15374C36" w14:textId="77777777" w:rsidR="00B06D1D" w:rsidRDefault="00B06D1D" w:rsidP="00B06D1D">
      <w:pPr>
        <w:pStyle w:val="NormalWeb"/>
        <w:jc w:val="center"/>
        <w:rPr>
          <w:rFonts w:ascii="Calibri Light" w:hAnsi="Calibri Light" w:cs="Calibri Light"/>
        </w:rPr>
      </w:pPr>
      <w:r w:rsidRPr="00B06D1D">
        <w:rPr>
          <w:rFonts w:ascii="Calibri Light" w:hAnsi="Calibri Light" w:cs="Calibri Light"/>
          <w:b/>
          <w:bCs/>
        </w:rPr>
        <w:t>Figure 6</w:t>
      </w:r>
      <w:r w:rsidRPr="00B06D1D">
        <w:rPr>
          <w:rFonts w:ascii="Calibri Light" w:hAnsi="Calibri Light" w:cs="Calibri Light"/>
          <w:b/>
          <w:bCs/>
          <w:rtl/>
        </w:rPr>
        <w:t>.</w:t>
      </w:r>
      <w:r w:rsidRPr="00B06D1D">
        <w:rPr>
          <w:rFonts w:ascii="Calibri Light" w:hAnsi="Calibri Light" w:cs="Calibri Light"/>
        </w:rPr>
        <w:t xml:space="preserve"> Bibliometric Comparison of Leading Countries in Basel and Islamic Banking Research</w:t>
      </w:r>
    </w:p>
    <w:p w14:paraId="4D3F7AC5" w14:textId="77777777" w:rsidR="00B06D1D" w:rsidRPr="00B06D1D" w:rsidRDefault="00B06D1D" w:rsidP="00B06D1D">
      <w:pPr>
        <w:pStyle w:val="NormalWeb"/>
        <w:jc w:val="center"/>
        <w:rPr>
          <w:rFonts w:ascii="Calibri Light" w:hAnsi="Calibri Light" w:cs="Calibri Light"/>
        </w:rPr>
      </w:pPr>
    </w:p>
    <w:p w14:paraId="3C4098EB" w14:textId="7E1896AA" w:rsidR="00B06D1D" w:rsidRDefault="00B06D1D" w:rsidP="00B06D1D">
      <w:pPr>
        <w:autoSpaceDE/>
        <w:autoSpaceDN/>
        <w:spacing w:after="200" w:line="276" w:lineRule="auto"/>
        <w:ind w:left="426"/>
        <w:jc w:val="both"/>
        <w:rPr>
          <w:rFonts w:ascii="Calibri Light" w:eastAsia="MS Mincho" w:hAnsi="Calibri Light" w:cs="Calibri Light"/>
          <w:sz w:val="24"/>
          <w:szCs w:val="24"/>
          <w:rtl/>
          <w:lang w:eastAsia="en-US"/>
        </w:rPr>
      </w:pPr>
      <w:r w:rsidRPr="00B06D1D">
        <w:rPr>
          <w:rFonts w:ascii="Calibri Light" w:eastAsia="MS Mincho" w:hAnsi="Calibri Light" w:cs="Calibri Light"/>
          <w:sz w:val="24"/>
          <w:szCs w:val="24"/>
          <w:lang w:eastAsia="en-US"/>
        </w:rPr>
        <w:t xml:space="preserve">VOSviewer was utilized to visualize the bibliographic relationships and linkages among countries contributing to the literature on the Basel Accords and their impact on Islamic banking regulations, as illustrated in the figure above. The minimum threshold for inclusion in the analysis was set at five publications per country, resulting in 45 countries being classified into nine color-coded clusters based on the strength of their bibliographic connections. Malaysia appears as the central node in the red cluster, representing the most influential and highly cited country in this field </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{"citationItems":[{"id":"ITEM-1","itemData":{"DOI":"10.1057/s41283-023-00135-z","ISSN":"14603799 (ISSN)","abstract":"This study employs a systematic review approach to examine the existing body of literature on risk management in Islamic banking. The focus of this work is to analyze published manuscripts to provide a comprehensive overview of the current state of research in this field. After conducting an extensive examination of eighty articles classified as Q1 and Q2, we have identified six prominent risk themes. These themes include stability and resilience, risk-taking behavior, credit risk, Shariah non-compliance risk, liquidity risk, and other pertinent concerns that span various disciplines. The assessment yielded four key themes pertaining to the risk management of the Islamic banking system, namely prudential regulation, environment and sustainability, cybersecurity, and risk-taking behavior. Two risk frameworks were provided based on the identified themes. The microframework encompasses internal and external risk elements that influence the bank's basic activities and risk feedback system. The macro-framework encompasses several elements that influence the risk management environment for Islamic banks (IB), including exogenous institutional factors, domestic endogenous factors, and global endogenous factors. Thematic discoveries are incorporated to identify potential avenues for future research and policy consequences. © 2023, The Author(s), under exclusive licence to Springer Nature Limited.","author":[{"dropping-particle":"","family":"Hassan","given":"M K","non-dropping-particle":"","parse-names":false,"suffix":""},{"dropping-particle":"","family":"Sohel","given":"M N I","non-dropping-particle":"","parse-names":false,"suffix":""},{"dropping-particle":"","family":"Choudhury","given":"T","non-dropping-particle":"","parse-names":false,"suffix":""},{"dropping-particle":"","family":"Rashid","given":"M","non-dropping-particle":"","parse-names":false,"suffix":""}],"container-title":"Risk Management","id":"ITEM-1","issue":"1","issued":{"date-parts":[["2024"]]},"language":"English","note":"Export Date: 24 April 2025; Cited By: 1; Correspondence Address: M. Rashid; Christ Church Business School, Canterbury Christ Church University, Canterbury, United Kingdom; email: mamunur.rashid@canterbury.ac.uk","publisher":"Palgrave Macmillan","publisher-place":"University of New Orleans, New Orleans, United States","title":"A systematic literature review of risks in Islamic banking system: research agenda and future research directions","type":"article-journal","volume":"26"},"uris":["http://www.mendeley.com/documents/?uuid=29be0313-4205-4f75-bd8e-843b0f350c6d"]}],"mendeley":{"formattedCitation":"(Hassan et al., 2024)","plainTextFormattedCitation":"(Hassan et al., 2024)","previouslyFormattedCitation":"[27]"},"properties":{"noteIndex":0},"schema":"https://github.com/citation-style-language/schema/raw/master/csl-citation.json"}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(Hassan et al.,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 Indonesia serves as the core of the pink cluster, indicating a relatively independent yet connected research pathway, particularly with countries like Iraq and Switzerland. Saudi Arabia and Pakistan are also key nodes within their respective clusters, with strong linkages to countries such as the United Kingdom, Jordan, and China, reflecting a diverse and collaborative research landscape. The thickness of the lines connecting countries represents the strength of their bibliographic coupling—thicker lines indicate stronger co-citation ties—while the size of each node corresponds to the number of citations received, making this map a powerful tool to highlight active research hubs and regional collaborations in the evolving academic discourse on Basel regulations and Islamic banking</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{"citationItems":[{"id":"ITEM-1","itemData":{"DOI":"10.48161/qaj.v4n1a198","ISSN":"27098206 (ISSN)","abstract":"Sharia Banking is a business entity that carries out the function of collecting funds from parties with a surplus of funds and then channeling them to parties with a deficit of funds and providing other financial services based on Islamic sharia principles. This article analyzes. This type of research uses normative legal research, using a conceptual approach and a statutory approach as well as the Koran and hadith, primary and secondary. Legal materials obtained and analyzed qualitatively and then presented descriptively. The article aims to explain in general, the principles of sharia financing business activities include justice ('adl), balance (tawazun), kemashlahatan (maslahah), universalism (alamiyah), and do not contain gharar, maisir, usury, zhulm, risywah, and other haram objects. Financing or financing is funding provided by one party to another to support planned investments, both carried out by themselves and institutions. In other words, financing is funding issued to support planned investments. Law Number 10 of 1998 states that financing based on sharia principles is the provision of money or bills that are equated with it based on an agreement or agreement between a bank and another party that requires the financed party to return the money or bill after a certain period of time in return or profit sharing. © 2024, Qubahan. All rights reserved.","author":[{"dropping-particle":"","family":"Syah","given":"D","non-dropping-particle":"","parse-names":false,"suffix":""},{"dropping-particle":"","family":"Rahmadani","given":"G","non-dropping-particle":"","parse-names":false,"suffix":""}],"container-title":"Qubahan Academic Journal ","id":"ITEM-1","issue":"1","issued":{"date-parts":[["2024"]]},"language":"English","note":"Export Date: 24 April 2025; Cited By: 0; Correspondence Address: D. Syah; Department of Law, Faculty of Law, Universitas Islam Sumatera Utara, Indonesia; email: danialsyah@fh.uisu.ac.id","page":"300-309","publisher":"Qubahan","publisher-place":"Department of Law, Faculty of Law, Universitas Islam Sumatera Utara, Indonesia","title":"The Profit-Sharing System in Financing Islamic Banking","type":"article-journal","volume":"4"},"uris":["http://www.mendeley.com/documents/?uuid=0aa12dbd-6a6e-457e-89f5-c01d54a34ffd"]}],"mendeley":{"formattedCitation":"(Syah &amp; Rahmadani, 2024)","plainTextFormattedCitation":"(Syah &amp; Rahmadani, 2024)","previouslyFormattedCitation":"[28]"},"properties":{"noteIndex":0},"schema":"https://github.com/citation-style-language/schema/raw/master/csl-citation.json"}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(Syah &amp; Rahmadani,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w:t>
      </w:r>
    </w:p>
    <w:p w14:paraId="6F1472B7" w14:textId="5FA85F18" w:rsidR="008F1989" w:rsidRDefault="007774E4" w:rsidP="007774E4">
      <w:pPr>
        <w:autoSpaceDE/>
        <w:autoSpaceDN/>
        <w:spacing w:after="200" w:line="276" w:lineRule="auto"/>
        <w:ind w:left="426"/>
        <w:jc w:val="both"/>
        <w:rPr>
          <w:rFonts w:ascii="Calibri Light" w:eastAsia="MS Mincho" w:hAnsi="Calibri Light" w:cs="Calibri Light"/>
          <w:sz w:val="24"/>
          <w:szCs w:val="24"/>
          <w:lang w:eastAsia="en-US"/>
        </w:rPr>
      </w:pPr>
      <w:r w:rsidRPr="008F1989">
        <w:rPr>
          <w:rFonts w:eastAsia="Calibri" w:cs="Traditional Arabic"/>
          <w:noProof/>
          <w:sz w:val="24"/>
          <w:szCs w:val="24"/>
          <w:lang w:val="en-ID" w:eastAsia="en-US"/>
        </w:rPr>
        <w:lastRenderedPageBreak/>
        <w:drawing>
          <wp:anchor distT="0" distB="0" distL="114300" distR="114300" simplePos="0" relativeHeight="251697664" behindDoc="0" locked="0" layoutInCell="1" allowOverlap="1" wp14:anchorId="4052B1DA" wp14:editId="41855D4B">
            <wp:simplePos x="0" y="0"/>
            <wp:positionH relativeFrom="margin">
              <wp:posOffset>334010</wp:posOffset>
            </wp:positionH>
            <wp:positionV relativeFrom="paragraph">
              <wp:posOffset>501015</wp:posOffset>
            </wp:positionV>
            <wp:extent cx="5316220" cy="2370455"/>
            <wp:effectExtent l="0" t="0" r="0" b="0"/>
            <wp:wrapTopAndBottom/>
            <wp:docPr id="5415610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16220" cy="2370455"/>
                    </a:xfrm>
                    <a:prstGeom prst="rect">
                      <a:avLst/>
                    </a:prstGeom>
                    <a:noFill/>
                  </pic:spPr>
                </pic:pic>
              </a:graphicData>
            </a:graphic>
            <wp14:sizeRelH relativeFrom="margin">
              <wp14:pctWidth>0</wp14:pctWidth>
            </wp14:sizeRelH>
            <wp14:sizeRelV relativeFrom="margin">
              <wp14:pctHeight>0</wp14:pctHeight>
            </wp14:sizeRelV>
          </wp:anchor>
        </w:drawing>
      </w:r>
    </w:p>
    <w:p w14:paraId="112FEA88" w14:textId="357651E4" w:rsidR="008F1989" w:rsidRDefault="008F1989" w:rsidP="008F1989">
      <w:pPr>
        <w:autoSpaceDE/>
        <w:autoSpaceDN/>
        <w:spacing w:after="200" w:line="276" w:lineRule="auto"/>
        <w:ind w:left="426"/>
        <w:jc w:val="center"/>
        <w:rPr>
          <w:rFonts w:ascii="Calibri Light" w:eastAsia="MS Mincho" w:hAnsi="Calibri Light" w:cs="Calibri Light"/>
          <w:sz w:val="24"/>
          <w:szCs w:val="24"/>
          <w:rtl/>
          <w:lang w:eastAsia="en-US"/>
        </w:rPr>
      </w:pPr>
      <w:bookmarkStart w:id="6" w:name="_Hlk196319795"/>
      <w:r w:rsidRPr="008F1989">
        <w:rPr>
          <w:rFonts w:ascii="Calibri Light" w:eastAsia="MS Mincho" w:hAnsi="Calibri Light" w:cs="Calibri Light"/>
          <w:b/>
          <w:bCs/>
          <w:sz w:val="24"/>
          <w:szCs w:val="24"/>
          <w:lang w:eastAsia="en-US"/>
        </w:rPr>
        <w:t>Figure 7.</w:t>
      </w:r>
      <w:r w:rsidRPr="008F1989">
        <w:rPr>
          <w:rFonts w:ascii="Calibri Light" w:eastAsia="MS Mincho" w:hAnsi="Calibri Light" w:cs="Calibri Light"/>
          <w:sz w:val="24"/>
          <w:szCs w:val="24"/>
          <w:lang w:eastAsia="en-US"/>
        </w:rPr>
        <w:t xml:space="preserve"> </w:t>
      </w:r>
      <w:bookmarkEnd w:id="6"/>
      <w:r w:rsidRPr="008F1989">
        <w:rPr>
          <w:rFonts w:ascii="Calibri Light" w:eastAsia="MS Mincho" w:hAnsi="Calibri Light" w:cs="Calibri Light"/>
          <w:sz w:val="24"/>
          <w:szCs w:val="24"/>
          <w:lang w:eastAsia="en-US"/>
        </w:rPr>
        <w:t>Bibliographic Coupling Network of Countries</w:t>
      </w:r>
    </w:p>
    <w:p w14:paraId="1E821FDF" w14:textId="037FE01B" w:rsidR="00923573" w:rsidRPr="00923573" w:rsidRDefault="005A6A0E" w:rsidP="00E363A9">
      <w:pPr>
        <w:autoSpaceDE/>
        <w:autoSpaceDN/>
        <w:spacing w:after="200" w:line="276" w:lineRule="auto"/>
        <w:ind w:left="426"/>
        <w:jc w:val="both"/>
        <w:rPr>
          <w:rFonts w:ascii="Calibri Light" w:eastAsia="MS Mincho" w:hAnsi="Calibri Light" w:cs="Calibri Light"/>
          <w:b/>
          <w:bCs/>
          <w:sz w:val="24"/>
          <w:szCs w:val="24"/>
          <w:lang w:eastAsia="en-US"/>
        </w:rPr>
      </w:pPr>
      <w:r w:rsidRPr="005A6A0E">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4</w:t>
      </w:r>
      <w:r w:rsidRPr="005A6A0E">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00E363A9" w:rsidRPr="00E363A9">
        <w:rPr>
          <w:rFonts w:ascii="Calibri Light" w:eastAsia="MS Mincho" w:hAnsi="Calibri Light" w:cs="Calibri Light"/>
          <w:b/>
          <w:bCs/>
          <w:sz w:val="24"/>
          <w:szCs w:val="24"/>
          <w:lang w:eastAsia="en-US"/>
        </w:rPr>
        <w:t>Top Sources and Institutions in Islamic Banking Research</w:t>
      </w:r>
    </w:p>
    <w:p w14:paraId="52FA7FC8" w14:textId="2E973812" w:rsidR="008D5536" w:rsidRDefault="00923573" w:rsidP="008D5536">
      <w:pPr>
        <w:autoSpaceDE/>
        <w:autoSpaceDN/>
        <w:spacing w:after="200" w:line="276" w:lineRule="auto"/>
        <w:ind w:left="426"/>
        <w:jc w:val="both"/>
        <w:rPr>
          <w:rFonts w:ascii="Calibri Light" w:eastAsia="MS Mincho" w:hAnsi="Calibri Light" w:cs="Calibri Light"/>
          <w:sz w:val="24"/>
          <w:szCs w:val="24"/>
          <w:rtl/>
          <w:lang w:eastAsia="en-US"/>
        </w:rPr>
      </w:pPr>
      <w:r w:rsidRPr="00923573">
        <w:rPr>
          <w:rFonts w:ascii="Calibri Light" w:eastAsia="MS Mincho" w:hAnsi="Calibri Light" w:cs="Calibri Light"/>
          <w:sz w:val="24"/>
          <w:szCs w:val="24"/>
          <w:lang w:eastAsia="en-US"/>
        </w:rPr>
        <w:t xml:space="preserve">The 4th research question is: </w:t>
      </w:r>
      <w:r w:rsidR="008D5536" w:rsidRPr="008D5536">
        <w:rPr>
          <w:rFonts w:ascii="Calibri Light" w:eastAsia="MS Mincho" w:hAnsi="Calibri Light" w:cs="Calibri Light"/>
          <w:sz w:val="24"/>
          <w:szCs w:val="24"/>
          <w:lang w:eastAsia="en-US"/>
        </w:rPr>
        <w:t>Which sources and institutions have most influenced Islamic banking research and its development</w:t>
      </w:r>
      <w:r w:rsidR="008D5536">
        <w:rPr>
          <w:rFonts w:ascii="Calibri Light" w:eastAsia="MS Mincho" w:hAnsi="Calibri Light" w:cs="Calibri Light"/>
          <w:sz w:val="24"/>
          <w:szCs w:val="24"/>
          <w:lang w:eastAsia="en-US"/>
        </w:rPr>
        <w:t>?</w:t>
      </w:r>
    </w:p>
    <w:p w14:paraId="7B32F76F" w14:textId="26F2564B" w:rsidR="00706053" w:rsidRPr="00923573" w:rsidRDefault="008D5536" w:rsidP="008C1784">
      <w:pPr>
        <w:autoSpaceDE/>
        <w:autoSpaceDN/>
        <w:spacing w:after="200" w:line="276" w:lineRule="auto"/>
        <w:ind w:left="426"/>
        <w:jc w:val="both"/>
        <w:rPr>
          <w:rFonts w:ascii="Calibri Light" w:eastAsia="MS Mincho" w:hAnsi="Calibri Light" w:cs="Calibri Light"/>
          <w:sz w:val="24"/>
          <w:szCs w:val="24"/>
          <w:lang w:eastAsia="en-US"/>
        </w:rPr>
      </w:pPr>
      <w:r w:rsidRPr="008D5536">
        <w:rPr>
          <w:rFonts w:ascii="Calibri Light" w:eastAsia="MS Mincho" w:hAnsi="Calibri Light" w:cs="Calibri Light"/>
          <w:b/>
          <w:bCs/>
          <w:sz w:val="24"/>
          <w:szCs w:val="24"/>
          <w:lang w:eastAsia="en-US"/>
        </w:rPr>
        <w:t xml:space="preserve"> </w:t>
      </w:r>
      <w:r w:rsidRPr="008D5536">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8</w:t>
      </w:r>
      <w:r w:rsidR="00706053" w:rsidRPr="00706053">
        <w:rPr>
          <w:rFonts w:ascii="Calibri Light" w:eastAsia="MS Mincho" w:hAnsi="Calibri Light" w:cs="Calibri Light"/>
          <w:sz w:val="24"/>
          <w:szCs w:val="24"/>
          <w:lang w:eastAsia="en-US"/>
        </w:rPr>
        <w:t xml:space="preserve"> presents an analysis of the most influential academic institutions in the field of Islamic banking research, based on the number of publications indexed in the Scopus database. The International Islamic University Malaysia (IIUM) ranks first with 78 publications, followed by Universiti Malaya (44 publications) and INCEIF University (42 publications), reflecting the leading role of Malaysian institutions in this area</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{"citationItems":[{"id":"ITEM-1","itemData":{"DOI":"10.1108/IJOES-03-2021-0053","ISSN":"25149369 (ISSN)","abstract":"Purpose: Islamic banking industry with all of its exponential growth and global recognition has been under criticism for the past two decades. However, the problem signifies further when such criticism is made from within the organization and is well supported by outside (the customers). The purpose of this study is to provide a coherent exploration to investigate the factors that polarize its employees and customers across many parts of the world. Design/methodology/approach: To investigate the phenomenon, a total of 30 responses were taken through interviews 15 each from customers and employees. Afterwards, the data was analysed and summarized into two categories. In doing so, the top five Malaysia’s Islamic banks were shortlisted to collect data from employees and customers. Findings: A detailed thematic analysis resulted in six themes (Contradiction between theory and practice, Islamic banking knowledge and awareness, inadequate Shariah training, employees’ background, Shariah compliance, Islamic banking benefits) for employees and five (Islamic banking benefits, applying Shariah in Islamic banking, knowledge of Islamic banking, Islamic banking promotion, Islamic banking employees’ behaviour) for customers, respectively. Research limitations/implications: The results have stronger implications for both practice and theory as organizations can assess stakeholders and their perceptions about Islamic banking. Another implication is the comparative examination of employees and customers which can potentially affect decision and policy making in Islamic banks. Islamic banks can also address employment-related issues related to employees’ behaviour vis-à-vis marketing-related problems faced by its customers that will ultimately improve its global market share and strategic positioning. Originality/value: The study is based on the importance of Islamic banking in Malaysia and explores the factors that potentially create a positive or negative insight into Islamic banking – both in employees and customers. © 2021, Emerald Publishing Limited.","author":[{"dropping-particle":"","family":"Ali","given":"S A","non-dropping-particle":"","parse-names":false,"suffix":""},{"dropping-particle":"","family":"Loussaief","given":"A","non-dropping-particle":"","parse-names":false,"suffix":""},{"dropping-particle":"","family":"Ahmed","given":"M","non-dropping-particle":"","parse-names":false,"suffix":""}],"container-title":"International Journal of Ethics and Systems","id":"ITEM-1","issue":"2","issued":{"date-parts":[["2022"]]},"language":"English","note":"Export Date: 24 April 2025; Cited By: 5; Correspondence Address: S.A. Ali; University of Management and Technology, Lahore, Main Campus, Pakistan; email: sahmedzaidi@gmail.com","page":"209-234","publisher":"Emerald Group Holdings Ltd.","publisher-place":"University of Management and Technology, Main Campus, Lahore, Pakistan","title":"A comparative analysis of employees’ and customers’ attitude towards Islamic banking","type":"article-journal","volume":"38"},"uris":["http://www.mendeley.com/documents/?uuid=79aadb05-bdf0-4026-9d34-1841afbc081c"]}],"mendeley":{"formattedCitation":"(Ali et al., 2022)","plainTextFormattedCitation":"(Ali et al., 2022)","previouslyFormattedCitation":"[29]"},"properties":{"noteIndex":0},"schema":"https://github.com/citation-style-language/schema/raw/master/csl-citation.json"}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(Ali et al., 2022)</w:t>
      </w:r>
      <w:r w:rsidR="007774E4">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 The accompanying Pareto curve indicates that a substantial portion of research output is concentrated within a limited number of institutions, with the top three alone accounting for nearly half of the total publications. This concentration highlights Malaysia’s position as an academic and intellectual hub in the development of Islamic banking studies, particularly in the context of aligning Sharia principles with the regulatory requirements of the Basel Accords. This analysis underscores the importance of institutional contributions in shaping academic discourse on the legal and regulatory challenges facing Islamic banks within the framework of international financial regulation</w:t>
      </w:r>
      <w:r w:rsidR="008C1784">
        <w:rPr>
          <w:rFonts w:ascii="Calibri Light" w:eastAsia="MS Mincho" w:hAnsi="Calibri Light" w:cs="Calibri Light" w:hint="cs"/>
          <w:sz w:val="24"/>
          <w:szCs w:val="24"/>
          <w:rtl/>
          <w:lang w:eastAsia="en-US"/>
        </w:rPr>
        <w:t xml:space="preserve"> </w:t>
      </w:r>
      <w:r w:rsidR="00991D92">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{"citationItems":[{"id":"ITEM-1","itemData":{"DOI":"10.1108/JPIF-07-2024-229","ISSN":"1463578X (ISSN)","author":[{"dropping-particle":"","family":"Crosby","given":"N","non-dropping-particle":"","parse-names":false,"suffix":""}],"container-title":"Journal of Property Investment and Finance","id":"ITEM-1","issue":"4","issued":{"date-parts":[["2024"]]},"language":"English","note":"Export Date: 23 June 2025; Cited By: 0; Correspondence Address: N. Crosby; University of Reading, Reading, United Kingdom; email: f.n.crosby@reading.ac.uk","page":"321-322","publisher":"Emerald Publishing","publisher-place":"University of Reading, Reading, United Kingdom","title":"Editorial: Basel 3 prudently conservative value for loan origination and monitoring","type":"article-journal","volume":"42"},"uris":["http://www.mendeley.com/documents/?uuid=6dca8ab7-3b7b-440a-aba0-921e074e8509"]}],"mendeley":{"formattedCitation":"(Crosby, 2024)","plainTextFormattedCitation":"(Crosby, 2024)","previouslyFormattedCitation":"[30]"},"properties":{"noteIndex":0},"schema":"https://github.com/citation-style-language/schema/raw/master/csl-citation.json"}</w:instrText>
      </w:r>
      <w:r w:rsidR="00991D92">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(Crosby, 2024)</w:t>
      </w:r>
      <w:r w:rsidR="00991D92">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w:t>
      </w:r>
    </w:p>
    <w:p w14:paraId="70BCC519" w14:textId="0666BACE" w:rsidR="008F1989" w:rsidRPr="00CB660C" w:rsidRDefault="00CB660C" w:rsidP="00CB660C">
      <w:pPr>
        <w:autoSpaceDE/>
        <w:autoSpaceDN/>
        <w:spacing w:after="200" w:line="276" w:lineRule="auto"/>
        <w:jc w:val="center"/>
        <w:rPr>
          <w:rFonts w:ascii="Calibri Light" w:eastAsia="MS Mincho" w:hAnsi="Calibri Light" w:cs="Calibri Light"/>
          <w:sz w:val="24"/>
          <w:szCs w:val="24"/>
          <w:lang w:val="en-GB" w:eastAsia="en-US"/>
        </w:rPr>
      </w:pPr>
      <w:r w:rsidRPr="00706053">
        <w:rPr>
          <w:rFonts w:eastAsia="Calibri" w:cs="Traditional Arabic"/>
          <w:noProof/>
          <w:sz w:val="24"/>
          <w:szCs w:val="24"/>
          <w:lang w:val="en-ID" w:eastAsia="en-US"/>
        </w:rPr>
        <w:lastRenderedPageBreak/>
        <w:drawing>
          <wp:anchor distT="0" distB="0" distL="114300" distR="114300" simplePos="0" relativeHeight="251699712" behindDoc="0" locked="0" layoutInCell="1" allowOverlap="1" wp14:anchorId="7EF6B9B8" wp14:editId="7FD6CA5A">
            <wp:simplePos x="0" y="0"/>
            <wp:positionH relativeFrom="margin">
              <wp:align>center</wp:align>
            </wp:positionH>
            <wp:positionV relativeFrom="paragraph">
              <wp:posOffset>34946</wp:posOffset>
            </wp:positionV>
            <wp:extent cx="5162550" cy="2585085"/>
            <wp:effectExtent l="0" t="0" r="0" b="5715"/>
            <wp:wrapTopAndBottom/>
            <wp:docPr id="124755429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68943" cy="25887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5A4B" w:rsidRPr="00706053">
        <w:rPr>
          <w:rFonts w:ascii="Calibri Light" w:eastAsia="MS Mincho" w:hAnsi="Calibri Light" w:cs="Calibri Light"/>
          <w:b/>
          <w:bCs/>
          <w:sz w:val="24"/>
          <w:szCs w:val="24"/>
          <w:lang w:eastAsia="en-US"/>
        </w:rPr>
        <w:t xml:space="preserve">Figure </w:t>
      </w:r>
      <w:r w:rsidR="008D75B2">
        <w:rPr>
          <w:rFonts w:ascii="Calibri Light" w:eastAsia="MS Mincho" w:hAnsi="Calibri Light" w:cs="Calibri Light"/>
          <w:b/>
          <w:bCs/>
          <w:sz w:val="24"/>
          <w:szCs w:val="24"/>
          <w:lang w:eastAsia="en-US"/>
        </w:rPr>
        <w:t>8</w:t>
      </w:r>
      <w:r w:rsidR="00B75A4B" w:rsidRPr="00706053">
        <w:rPr>
          <w:rFonts w:ascii="Calibri Light" w:eastAsia="MS Mincho" w:hAnsi="Calibri Light" w:cs="Calibri Light"/>
          <w:b/>
          <w:bCs/>
          <w:sz w:val="24"/>
          <w:szCs w:val="24"/>
          <w:lang w:eastAsia="en-US"/>
        </w:rPr>
        <w:t>.</w:t>
      </w:r>
      <w:r w:rsidR="00B75A4B" w:rsidRPr="00706053">
        <w:rPr>
          <w:rFonts w:ascii="Calibri Light" w:eastAsia="MS Mincho" w:hAnsi="Calibri Light" w:cs="Calibri Light"/>
          <w:sz w:val="24"/>
          <w:szCs w:val="24"/>
          <w:lang w:eastAsia="en-US"/>
        </w:rPr>
        <w:t xml:space="preserve"> Top Contributing Institutions in Islamic Banking Research</w:t>
      </w:r>
      <w:r w:rsidR="00B75A4B" w:rsidRPr="00706053">
        <w:rPr>
          <w:rFonts w:eastAsia="Calibri" w:cs="Traditional Arabic"/>
          <w:noProof/>
          <w:sz w:val="24"/>
          <w:szCs w:val="24"/>
          <w:lang w:val="en-ID" w:eastAsia="en-US"/>
        </w:rPr>
        <w:t xml:space="preserve"> </w:t>
      </w:r>
    </w:p>
    <w:tbl>
      <w:tblPr>
        <w:tblStyle w:val="PlainTable21"/>
        <w:tblW w:w="0" w:type="auto"/>
        <w:tblLook w:val="04A0" w:firstRow="1" w:lastRow="0" w:firstColumn="1" w:lastColumn="0" w:noHBand="0" w:noVBand="1"/>
      </w:tblPr>
      <w:tblGrid>
        <w:gridCol w:w="2232"/>
        <w:gridCol w:w="1008"/>
        <w:gridCol w:w="762"/>
        <w:gridCol w:w="848"/>
        <w:gridCol w:w="2344"/>
        <w:gridCol w:w="1441"/>
      </w:tblGrid>
      <w:tr w:rsidR="00B75A4B" w14:paraId="08CCC053" w14:textId="77777777" w:rsidTr="00835E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shd w:val="clear" w:color="auto" w:fill="E5B8B7" w:themeFill="accent2" w:themeFillTint="66"/>
          </w:tcPr>
          <w:p w14:paraId="50120BFC" w14:textId="6BADE5CB" w:rsidR="009C7D8B" w:rsidRPr="005A1BE1" w:rsidRDefault="009C7D8B" w:rsidP="001834D8">
            <w:pPr>
              <w:autoSpaceDE/>
              <w:autoSpaceDN/>
              <w:spacing w:after="200" w:line="276" w:lineRule="auto"/>
              <w:jc w:val="center"/>
              <w:rPr>
                <w:rFonts w:ascii="Calibri Light" w:eastAsia="MS Mincho" w:hAnsi="Calibri Light" w:cs="Calibri Light"/>
                <w:b w:val="0"/>
                <w:bCs w:val="0"/>
                <w:lang w:eastAsia="en-US"/>
              </w:rPr>
            </w:pPr>
            <w:r w:rsidRPr="005A1BE1">
              <w:rPr>
                <w:rFonts w:ascii="Calibri Light" w:eastAsia="MS Mincho" w:hAnsi="Calibri Light" w:cs="Calibri Light"/>
                <w:lang w:eastAsia="en-US"/>
              </w:rPr>
              <w:t>Source/Journal</w:t>
            </w:r>
          </w:p>
        </w:tc>
        <w:tc>
          <w:tcPr>
            <w:tcW w:w="1008" w:type="dxa"/>
            <w:shd w:val="clear" w:color="auto" w:fill="E5B8B7" w:themeFill="accent2" w:themeFillTint="66"/>
          </w:tcPr>
          <w:p w14:paraId="5F629D5C" w14:textId="7D59067E" w:rsidR="009C7D8B" w:rsidRPr="005A1BE1" w:rsidRDefault="009C7D8B" w:rsidP="001834D8">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TP</w:t>
            </w:r>
          </w:p>
        </w:tc>
        <w:tc>
          <w:tcPr>
            <w:tcW w:w="762" w:type="dxa"/>
            <w:shd w:val="clear" w:color="auto" w:fill="E5B8B7" w:themeFill="accent2" w:themeFillTint="66"/>
          </w:tcPr>
          <w:p w14:paraId="653BB1F4" w14:textId="555B9799" w:rsidR="009C7D8B" w:rsidRPr="005A1BE1" w:rsidRDefault="009C7D8B" w:rsidP="00706053">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TC</w:t>
            </w:r>
          </w:p>
        </w:tc>
        <w:tc>
          <w:tcPr>
            <w:tcW w:w="848" w:type="dxa"/>
            <w:shd w:val="clear" w:color="auto" w:fill="E5B8B7" w:themeFill="accent2" w:themeFillTint="66"/>
          </w:tcPr>
          <w:p w14:paraId="772A6E7C" w14:textId="7E7944A4" w:rsidR="009C7D8B" w:rsidRPr="005A1BE1" w:rsidRDefault="009C7D8B" w:rsidP="009C7D8B">
            <w:pPr>
              <w:autoSpaceDE/>
              <w:autoSpaceDN/>
              <w:spacing w:after="200" w:line="276" w:lineRule="auto"/>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9C7D8B">
              <w:rPr>
                <w:rFonts w:ascii="Calibri Light" w:eastAsia="MS Mincho" w:hAnsi="Calibri Light" w:cs="Calibri Light"/>
                <w:lang w:eastAsia="en-US"/>
              </w:rPr>
              <w:t>Cite score</w:t>
            </w:r>
          </w:p>
        </w:tc>
        <w:tc>
          <w:tcPr>
            <w:tcW w:w="2344" w:type="dxa"/>
            <w:shd w:val="clear" w:color="auto" w:fill="E5B8B7" w:themeFill="accent2" w:themeFillTint="66"/>
          </w:tcPr>
          <w:p w14:paraId="2098033E" w14:textId="1EF4F32D"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The most</w:t>
            </w:r>
            <w:r w:rsidR="00DD6F37">
              <w:rPr>
                <w:rFonts w:ascii="Calibri Light" w:eastAsia="MS Mincho" w:hAnsi="Calibri Light" w:cs="Calibri Light"/>
                <w:lang w:eastAsia="en-US"/>
              </w:rPr>
              <w:t xml:space="preserve"> </w:t>
            </w:r>
            <w:r w:rsidRPr="005A1BE1">
              <w:rPr>
                <w:rFonts w:ascii="Calibri Light" w:eastAsia="MS Mincho" w:hAnsi="Calibri Light" w:cs="Calibri Light"/>
                <w:lang w:eastAsia="en-US"/>
              </w:rPr>
              <w:t>cited</w:t>
            </w:r>
          </w:p>
          <w:p w14:paraId="3E26CE2F" w14:textId="02C11CDF"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article</w:t>
            </w:r>
          </w:p>
        </w:tc>
        <w:tc>
          <w:tcPr>
            <w:tcW w:w="1441" w:type="dxa"/>
            <w:shd w:val="clear" w:color="auto" w:fill="E5B8B7" w:themeFill="accent2" w:themeFillTint="66"/>
          </w:tcPr>
          <w:p w14:paraId="71C0B42B" w14:textId="66A0036D" w:rsidR="009C7D8B" w:rsidRPr="005A1BE1" w:rsidRDefault="008003D6" w:rsidP="008003D6">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8003D6">
              <w:rPr>
                <w:rFonts w:ascii="Calibri Light" w:eastAsia="MS Mincho" w:hAnsi="Calibri Light" w:cs="Calibri Light"/>
                <w:lang w:eastAsia="en-US"/>
              </w:rPr>
              <w:t>Publisher</w:t>
            </w:r>
          </w:p>
        </w:tc>
      </w:tr>
      <w:tr w:rsidR="00B75A4B" w14:paraId="22343749" w14:textId="77777777" w:rsidTr="00835E51">
        <w:trPr>
          <w:cnfStyle w:val="000000100000" w:firstRow="0" w:lastRow="0" w:firstColumn="0" w:lastColumn="0" w:oddVBand="0" w:evenVBand="0" w:oddHBand="1" w:evenHBand="0" w:firstRowFirstColumn="0" w:firstRowLastColumn="0" w:lastRowFirstColumn="0" w:lastRowLastColumn="0"/>
          <w:trHeight w:val="1178"/>
        </w:trPr>
        <w:tc>
          <w:tcPr>
            <w:cnfStyle w:val="001000000000" w:firstRow="0" w:lastRow="0" w:firstColumn="1" w:lastColumn="0" w:oddVBand="0" w:evenVBand="0" w:oddHBand="0" w:evenHBand="0" w:firstRowFirstColumn="0" w:firstRowLastColumn="0" w:lastRowFirstColumn="0" w:lastRowLastColumn="0"/>
            <w:tcW w:w="2232" w:type="dxa"/>
          </w:tcPr>
          <w:p w14:paraId="31FAD671" w14:textId="2190B9EF" w:rsidR="009C7D8B" w:rsidRPr="003E017E" w:rsidRDefault="009C7D8B" w:rsidP="00B75A4B">
            <w:pPr>
              <w:autoSpaceDE/>
              <w:autoSpaceDN/>
              <w:spacing w:after="200" w:line="276" w:lineRule="auto"/>
              <w:rPr>
                <w:rFonts w:ascii="Calibri Light" w:eastAsia="MS Mincho" w:hAnsi="Calibri Light" w:cs="Calibri Light"/>
                <w:lang w:val="en-ID" w:eastAsia="en-US"/>
              </w:rPr>
            </w:pPr>
            <w:r w:rsidRPr="003E017E">
              <w:rPr>
                <w:rFonts w:ascii="Calibri Light" w:eastAsia="MS Mincho" w:hAnsi="Calibri Light" w:cs="Calibri Light"/>
                <w:lang w:val="en-ID" w:eastAsia="en-US"/>
              </w:rPr>
              <w:t>Journal of</w:t>
            </w:r>
            <w:r w:rsidR="00B75A4B">
              <w:rPr>
                <w:rFonts w:ascii="Calibri Light" w:eastAsia="MS Mincho" w:hAnsi="Calibri Light" w:cs="Calibri Light"/>
                <w:lang w:val="en-ID" w:eastAsia="en-US"/>
              </w:rPr>
              <w:t xml:space="preserve"> </w:t>
            </w:r>
            <w:r w:rsidRPr="003E017E">
              <w:rPr>
                <w:rFonts w:ascii="Calibri Light" w:eastAsia="MS Mincho" w:hAnsi="Calibri Light" w:cs="Calibri Light"/>
                <w:lang w:val="en-ID" w:eastAsia="en-US"/>
              </w:rPr>
              <w:t>Islamic Accounting and Business Research</w:t>
            </w:r>
          </w:p>
        </w:tc>
        <w:tc>
          <w:tcPr>
            <w:tcW w:w="1008" w:type="dxa"/>
          </w:tcPr>
          <w:p w14:paraId="623ACC8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F017FEB" w14:textId="1676AF96"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312</w:t>
            </w:r>
          </w:p>
        </w:tc>
        <w:tc>
          <w:tcPr>
            <w:tcW w:w="762" w:type="dxa"/>
          </w:tcPr>
          <w:p w14:paraId="7DD0DAC0"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7955686" w14:textId="04C467DA"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1.493</w:t>
            </w:r>
          </w:p>
        </w:tc>
        <w:tc>
          <w:tcPr>
            <w:tcW w:w="848" w:type="dxa"/>
          </w:tcPr>
          <w:p w14:paraId="4DB13024" w14:textId="77777777" w:rsidR="001C1AEE" w:rsidRDefault="001C1AEE"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AC0ED2C" w14:textId="5064FFAB" w:rsidR="009C7D8B" w:rsidRDefault="009C7D8B"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9C7D8B">
              <w:rPr>
                <w:rFonts w:ascii="Calibri Light" w:eastAsia="MS Mincho" w:hAnsi="Calibri Light" w:cs="Calibri Light"/>
                <w:lang w:eastAsia="en-US"/>
              </w:rPr>
              <w:t>4.8</w:t>
            </w:r>
          </w:p>
        </w:tc>
        <w:tc>
          <w:tcPr>
            <w:tcW w:w="2344" w:type="dxa"/>
          </w:tcPr>
          <w:p w14:paraId="6D23B34B" w14:textId="77777777" w:rsidR="009C7D8B" w:rsidRDefault="002E4286"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r w:rsidRPr="002E4286">
              <w:rPr>
                <w:rFonts w:ascii="Calibri Light" w:eastAsia="MS Mincho" w:hAnsi="Calibri Light" w:cs="Calibri Light"/>
                <w:lang w:val="en-ID" w:eastAsia="en-US"/>
              </w:rPr>
              <w:t>Corporate Social Performance And Financial Stability: Evidence From Islamic, Social And Conventional Banking Models</w:t>
            </w:r>
          </w:p>
          <w:p w14:paraId="37255222" w14:textId="0A2D43D3" w:rsidR="00771574" w:rsidRPr="002E4286" w:rsidRDefault="00771574"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p>
        </w:tc>
        <w:tc>
          <w:tcPr>
            <w:tcW w:w="1441" w:type="dxa"/>
          </w:tcPr>
          <w:p w14:paraId="2DCCBB25" w14:textId="0715CC78" w:rsidR="009C7D8B" w:rsidRDefault="008003D6" w:rsidP="008003D6">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003D6">
              <w:rPr>
                <w:rFonts w:ascii="Calibri Light" w:eastAsia="MS Mincho" w:hAnsi="Calibri Light" w:cs="Calibri Light"/>
                <w:lang w:eastAsia="en-US"/>
              </w:rPr>
              <w:t>Bank Indonesia Institute</w:t>
            </w:r>
          </w:p>
        </w:tc>
      </w:tr>
      <w:tr w:rsidR="00B75A4B" w14:paraId="20734782" w14:textId="77777777" w:rsidTr="00835E51">
        <w:trPr>
          <w:trHeight w:val="1655"/>
        </w:trPr>
        <w:tc>
          <w:tcPr>
            <w:cnfStyle w:val="001000000000" w:firstRow="0" w:lastRow="0" w:firstColumn="1" w:lastColumn="0" w:oddVBand="0" w:evenVBand="0" w:oddHBand="0" w:evenHBand="0" w:firstRowFirstColumn="0" w:firstRowLastColumn="0" w:lastRowFirstColumn="0" w:lastRowLastColumn="0"/>
            <w:tcW w:w="2232" w:type="dxa"/>
          </w:tcPr>
          <w:p w14:paraId="6CB9296A" w14:textId="77777777" w:rsidR="001C1AEE" w:rsidRDefault="001C1AEE" w:rsidP="00B75A4B">
            <w:pPr>
              <w:autoSpaceDE/>
              <w:autoSpaceDN/>
              <w:spacing w:after="200" w:line="276" w:lineRule="auto"/>
              <w:jc w:val="center"/>
              <w:rPr>
                <w:rFonts w:ascii="Calibri Light" w:eastAsia="MS Mincho" w:hAnsi="Calibri Light" w:cs="Calibri Light"/>
                <w:b w:val="0"/>
                <w:bCs w:val="0"/>
                <w:lang w:eastAsia="en-US"/>
              </w:rPr>
            </w:pPr>
          </w:p>
          <w:p w14:paraId="4839B1E1" w14:textId="15C975CE" w:rsidR="009C7D8B" w:rsidRDefault="00BF672B" w:rsidP="00B75A4B">
            <w:pPr>
              <w:autoSpaceDE/>
              <w:autoSpaceDN/>
              <w:spacing w:after="200" w:line="276" w:lineRule="auto"/>
              <w:jc w:val="center"/>
              <w:rPr>
                <w:rFonts w:ascii="Calibri Light" w:eastAsia="MS Mincho" w:hAnsi="Calibri Light" w:cs="Calibri Light"/>
                <w:lang w:eastAsia="en-US"/>
              </w:rPr>
            </w:pPr>
            <w:r w:rsidRPr="00BF672B">
              <w:rPr>
                <w:rFonts w:ascii="Calibri Light" w:eastAsia="MS Mincho" w:hAnsi="Calibri Light" w:cs="Calibri Light"/>
                <w:lang w:eastAsia="en-US"/>
              </w:rPr>
              <w:t>Journal Of Islamic Marketing</w:t>
            </w:r>
          </w:p>
        </w:tc>
        <w:tc>
          <w:tcPr>
            <w:tcW w:w="1008" w:type="dxa"/>
          </w:tcPr>
          <w:p w14:paraId="192A9205"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6869CDB7" w14:textId="2D75BEEF"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469</w:t>
            </w:r>
          </w:p>
        </w:tc>
        <w:tc>
          <w:tcPr>
            <w:tcW w:w="762" w:type="dxa"/>
          </w:tcPr>
          <w:p w14:paraId="0F1D9713"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E05E289" w14:textId="11309054"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3.960</w:t>
            </w:r>
          </w:p>
        </w:tc>
        <w:tc>
          <w:tcPr>
            <w:tcW w:w="848" w:type="dxa"/>
          </w:tcPr>
          <w:p w14:paraId="1C8AD992"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1464D5A2" w14:textId="7D395BFC" w:rsidR="009C7D8B" w:rsidRDefault="0081566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8.4</w:t>
            </w:r>
          </w:p>
        </w:tc>
        <w:tc>
          <w:tcPr>
            <w:tcW w:w="2344" w:type="dxa"/>
          </w:tcPr>
          <w:p w14:paraId="207FD71F" w14:textId="77777777" w:rsidR="009C7D8B" w:rsidRDefault="0043726F"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Readiness to change in Islamic banking: the significance of adaptability and Islamic work ethics</w:t>
            </w:r>
          </w:p>
          <w:p w14:paraId="02D081AF" w14:textId="166A0744" w:rsidR="00771574" w:rsidRDefault="00771574"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40BB6DF" w14:textId="7EF3140B" w:rsidR="009C7D8B" w:rsidRDefault="0043726F" w:rsidP="0043726F">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68CC5CB4"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018AFD14" w14:textId="59D41E0F" w:rsidR="009C7D8B" w:rsidRDefault="00AD5DCB" w:rsidP="00B75A4B">
            <w:pPr>
              <w:autoSpaceDE/>
              <w:autoSpaceDN/>
              <w:spacing w:after="200" w:line="276" w:lineRule="auto"/>
              <w:rPr>
                <w:rFonts w:ascii="Calibri Light" w:eastAsia="MS Mincho" w:hAnsi="Calibri Light" w:cs="Calibri Light"/>
                <w:lang w:eastAsia="en-US"/>
              </w:rPr>
            </w:pPr>
            <w:r w:rsidRPr="00AD5DCB">
              <w:rPr>
                <w:rFonts w:ascii="Calibri Light" w:eastAsia="MS Mincho" w:hAnsi="Calibri Light" w:cs="Calibri Light"/>
                <w:lang w:eastAsia="en-US"/>
              </w:rPr>
              <w:t>International Journal Of Islamic And Middle Eastern Finance And Management</w:t>
            </w:r>
          </w:p>
        </w:tc>
        <w:tc>
          <w:tcPr>
            <w:tcW w:w="1008" w:type="dxa"/>
          </w:tcPr>
          <w:p w14:paraId="139E1F86"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4C1B9A3E" w14:textId="76EA3FCA"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224</w:t>
            </w:r>
          </w:p>
        </w:tc>
        <w:tc>
          <w:tcPr>
            <w:tcW w:w="762" w:type="dxa"/>
          </w:tcPr>
          <w:p w14:paraId="17A0DB9F"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9F91C48" w14:textId="342C03F7"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1.208</w:t>
            </w:r>
          </w:p>
        </w:tc>
        <w:tc>
          <w:tcPr>
            <w:tcW w:w="848" w:type="dxa"/>
          </w:tcPr>
          <w:p w14:paraId="191A9FEB" w14:textId="77777777" w:rsidR="001C1AEE" w:rsidRDefault="001C1AEE"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5E2223C" w14:textId="111621C8" w:rsidR="009C7D8B" w:rsidRDefault="00815661"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15661">
              <w:rPr>
                <w:rFonts w:ascii="Calibri Light" w:eastAsia="MS Mincho" w:hAnsi="Calibri Light" w:cs="Calibri Light"/>
                <w:lang w:eastAsia="en-US"/>
              </w:rPr>
              <w:t>5.4</w:t>
            </w:r>
          </w:p>
        </w:tc>
        <w:tc>
          <w:tcPr>
            <w:tcW w:w="2344" w:type="dxa"/>
          </w:tcPr>
          <w:p w14:paraId="44BEE0B4" w14:textId="1B901309" w:rsidR="009C7D8B" w:rsidRDefault="0043726F" w:rsidP="0043726F">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Factors affecting SMEs’ choice of banks in Oman: an emphasis on Islamic banks</w:t>
            </w:r>
          </w:p>
        </w:tc>
        <w:tc>
          <w:tcPr>
            <w:tcW w:w="1441" w:type="dxa"/>
          </w:tcPr>
          <w:p w14:paraId="69BF3E77" w14:textId="1B537AE2" w:rsidR="009C7D8B" w:rsidRDefault="0043726F" w:rsidP="0043726F">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518EE525" w14:textId="77777777" w:rsidTr="00835E51">
        <w:tc>
          <w:tcPr>
            <w:cnfStyle w:val="001000000000" w:firstRow="0" w:lastRow="0" w:firstColumn="1" w:lastColumn="0" w:oddVBand="0" w:evenVBand="0" w:oddHBand="0" w:evenHBand="0" w:firstRowFirstColumn="0" w:firstRowLastColumn="0" w:lastRowFirstColumn="0" w:lastRowLastColumn="0"/>
            <w:tcW w:w="2232" w:type="dxa"/>
          </w:tcPr>
          <w:p w14:paraId="030D60CD" w14:textId="3A48FEC7" w:rsidR="009C7D8B" w:rsidRDefault="00AD5DCB" w:rsidP="001C1AEE">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lastRenderedPageBreak/>
              <w:t>Journal Of Islamic Monetary Economics And Finance</w:t>
            </w:r>
          </w:p>
        </w:tc>
        <w:tc>
          <w:tcPr>
            <w:tcW w:w="1008" w:type="dxa"/>
          </w:tcPr>
          <w:p w14:paraId="3CFCDB45"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347522B" w14:textId="17B2AF54"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143</w:t>
            </w:r>
          </w:p>
        </w:tc>
        <w:tc>
          <w:tcPr>
            <w:tcW w:w="762" w:type="dxa"/>
          </w:tcPr>
          <w:p w14:paraId="56B412D1"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52281037" w14:textId="4B74B0EB"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275</w:t>
            </w:r>
          </w:p>
        </w:tc>
        <w:tc>
          <w:tcPr>
            <w:tcW w:w="848" w:type="dxa"/>
          </w:tcPr>
          <w:p w14:paraId="7DFB9293"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73036516" w14:textId="5542C7E5"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1.9</w:t>
            </w:r>
          </w:p>
        </w:tc>
        <w:tc>
          <w:tcPr>
            <w:tcW w:w="2344" w:type="dxa"/>
          </w:tcPr>
          <w:p w14:paraId="7D72B598" w14:textId="77777777" w:rsidR="009C7D8B" w:rsidRDefault="00771574"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CORPORATE SOCIAL PERFORMANCE AND FINANCIAL STABILITY: EVIDENCE FROM ISLAMIC, SOCIAL AND CONVENTIONAL BANKING MODELS</w:t>
            </w:r>
          </w:p>
          <w:p w14:paraId="66030198" w14:textId="6E871C07" w:rsidR="00055DD9" w:rsidRDefault="00055DD9"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C61087A" w14:textId="78DD7829" w:rsidR="009C7D8B" w:rsidRDefault="00771574"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Bank Indonesia Institute</w:t>
            </w:r>
          </w:p>
        </w:tc>
      </w:tr>
      <w:tr w:rsidR="00B75A4B" w14:paraId="4F9ADA26"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10557A7E" w14:textId="77777777" w:rsidR="001C1AEE" w:rsidRDefault="001C1AEE" w:rsidP="00706053">
            <w:pPr>
              <w:autoSpaceDE/>
              <w:autoSpaceDN/>
              <w:spacing w:after="200" w:line="276" w:lineRule="auto"/>
              <w:jc w:val="center"/>
              <w:rPr>
                <w:rFonts w:ascii="Calibri Light" w:eastAsia="MS Mincho" w:hAnsi="Calibri Light" w:cs="Calibri Light"/>
                <w:b w:val="0"/>
                <w:bCs w:val="0"/>
                <w:lang w:eastAsia="en-US"/>
              </w:rPr>
            </w:pPr>
          </w:p>
          <w:p w14:paraId="71F99873" w14:textId="0F6427BF" w:rsidR="009C7D8B" w:rsidRDefault="00AD5DCB" w:rsidP="00706053">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t>Banks And Bank Systems</w:t>
            </w:r>
          </w:p>
        </w:tc>
        <w:tc>
          <w:tcPr>
            <w:tcW w:w="1008" w:type="dxa"/>
          </w:tcPr>
          <w:p w14:paraId="3D2BB993"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F5A7615" w14:textId="3733114E"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293</w:t>
            </w:r>
          </w:p>
        </w:tc>
        <w:tc>
          <w:tcPr>
            <w:tcW w:w="762" w:type="dxa"/>
          </w:tcPr>
          <w:p w14:paraId="77C3D4B4"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C70B250" w14:textId="517B06E1"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776</w:t>
            </w:r>
          </w:p>
        </w:tc>
        <w:tc>
          <w:tcPr>
            <w:tcW w:w="848" w:type="dxa"/>
          </w:tcPr>
          <w:p w14:paraId="5D5134D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42488B1" w14:textId="5EF7A3BB"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2.6</w:t>
            </w:r>
          </w:p>
        </w:tc>
        <w:tc>
          <w:tcPr>
            <w:tcW w:w="2344" w:type="dxa"/>
          </w:tcPr>
          <w:p w14:paraId="670F54DE" w14:textId="77777777" w:rsidR="00055DD9" w:rsidRDefault="007E4168"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How does global economic policy uncertainty affect Islamic bank performance? An exploration from heterogeneous sample</w:t>
            </w:r>
          </w:p>
          <w:p w14:paraId="2A7560C2" w14:textId="6C553050" w:rsidR="001C1AEE" w:rsidRDefault="001C1AEE"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tc>
        <w:tc>
          <w:tcPr>
            <w:tcW w:w="1441" w:type="dxa"/>
          </w:tcPr>
          <w:p w14:paraId="740DC711" w14:textId="318900A4" w:rsidR="009C7D8B" w:rsidRDefault="007E4168"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Business Perspectives</w:t>
            </w:r>
          </w:p>
        </w:tc>
      </w:tr>
    </w:tbl>
    <w:p w14:paraId="474CB66A" w14:textId="77777777" w:rsidR="003E017E" w:rsidRDefault="003E017E" w:rsidP="003E017E">
      <w:pPr>
        <w:autoSpaceDE/>
        <w:autoSpaceDN/>
        <w:spacing w:after="200" w:line="276" w:lineRule="auto"/>
        <w:ind w:left="426"/>
        <w:rPr>
          <w:rFonts w:ascii="Calibri Light" w:eastAsia="MS Mincho" w:hAnsi="Calibri Light" w:cs="Calibri Light"/>
          <w:sz w:val="24"/>
          <w:szCs w:val="24"/>
          <w:lang w:eastAsia="en-US"/>
        </w:rPr>
      </w:pPr>
      <w:r w:rsidRPr="003E017E">
        <w:rPr>
          <w:rFonts w:ascii="Calibri Light" w:eastAsia="MS Mincho" w:hAnsi="Calibri Light" w:cs="Calibri Light"/>
          <w:sz w:val="24"/>
          <w:szCs w:val="24"/>
          <w:lang w:eastAsia="en-US"/>
        </w:rPr>
        <w:t xml:space="preserve">TP= Total publications, TC= total citations </w:t>
      </w:r>
    </w:p>
    <w:p w14:paraId="1EBA4C29" w14:textId="7E797C41" w:rsidR="001834D8" w:rsidRDefault="003E017E" w:rsidP="003E017E">
      <w:pPr>
        <w:autoSpaceDE/>
        <w:autoSpaceDN/>
        <w:spacing w:after="200" w:line="276" w:lineRule="auto"/>
        <w:ind w:left="426"/>
        <w:jc w:val="center"/>
        <w:rPr>
          <w:rFonts w:ascii="Calibri Light" w:eastAsia="MS Mincho" w:hAnsi="Calibri Light" w:cs="Calibri Light"/>
          <w:sz w:val="24"/>
          <w:szCs w:val="24"/>
          <w:rtl/>
          <w:lang w:eastAsia="en-US"/>
        </w:rPr>
      </w:pPr>
      <w:r w:rsidRPr="00A03679">
        <w:rPr>
          <w:rFonts w:ascii="Calibri Light" w:eastAsia="MS Mincho" w:hAnsi="Calibri Light" w:cs="Calibri Light"/>
          <w:b/>
          <w:bCs/>
          <w:sz w:val="24"/>
          <w:szCs w:val="24"/>
          <w:lang w:eastAsia="en-US"/>
        </w:rPr>
        <w:t xml:space="preserve">Table </w:t>
      </w:r>
      <w:r w:rsidR="00A03679" w:rsidRPr="00A03679">
        <w:rPr>
          <w:rFonts w:ascii="Calibri Light" w:eastAsia="MS Mincho" w:hAnsi="Calibri Light" w:cs="Calibri Light"/>
          <w:b/>
          <w:bCs/>
          <w:sz w:val="24"/>
          <w:szCs w:val="24"/>
          <w:lang w:eastAsia="en-US"/>
        </w:rPr>
        <w:t>3</w:t>
      </w:r>
      <w:r w:rsidRPr="00A03679">
        <w:rPr>
          <w:rFonts w:ascii="Calibri Light" w:eastAsia="MS Mincho" w:hAnsi="Calibri Light" w:cs="Calibri Light"/>
          <w:b/>
          <w:bCs/>
          <w:sz w:val="24"/>
          <w:szCs w:val="24"/>
          <w:lang w:eastAsia="en-US"/>
        </w:rPr>
        <w:t>.</w:t>
      </w:r>
      <w:r w:rsidRPr="003E017E">
        <w:rPr>
          <w:rFonts w:ascii="Calibri Light" w:eastAsia="MS Mincho" w:hAnsi="Calibri Light" w:cs="Calibri Light"/>
          <w:sz w:val="24"/>
          <w:szCs w:val="24"/>
          <w:lang w:eastAsia="en-US"/>
        </w:rPr>
        <w:t xml:space="preserve"> Summary of the most relevant journals</w:t>
      </w:r>
    </w:p>
    <w:p w14:paraId="2851AA7E" w14:textId="3EE3EAF1" w:rsidR="009E336E" w:rsidRDefault="009E336E" w:rsidP="009E336E">
      <w:pPr>
        <w:autoSpaceDE/>
        <w:autoSpaceDN/>
        <w:spacing w:after="200" w:line="276" w:lineRule="auto"/>
        <w:ind w:left="426"/>
        <w:jc w:val="both"/>
        <w:rPr>
          <w:rFonts w:ascii="Calibri Light" w:eastAsia="MS Mincho" w:hAnsi="Calibri Light" w:cs="Calibri Light"/>
          <w:sz w:val="24"/>
          <w:szCs w:val="24"/>
          <w:rtl/>
          <w:lang w:eastAsia="en-US"/>
        </w:rPr>
      </w:pPr>
      <w:r w:rsidRPr="009E336E">
        <w:rPr>
          <w:rFonts w:ascii="Calibri Light" w:eastAsia="MS Mincho" w:hAnsi="Calibri Light" w:cs="Calibri Light"/>
          <w:sz w:val="24"/>
          <w:szCs w:val="24"/>
          <w:lang w:eastAsia="en-US"/>
        </w:rPr>
        <w:t>Table</w:t>
      </w:r>
      <w:r w:rsidR="00BB50DF">
        <w:rPr>
          <w:rFonts w:ascii="Calibri Light" w:eastAsia="MS Mincho" w:hAnsi="Calibri Light" w:cs="Calibri Light"/>
          <w:sz w:val="24"/>
          <w:szCs w:val="24"/>
          <w:lang w:eastAsia="en-US"/>
        </w:rPr>
        <w:t xml:space="preserve"> 3 </w:t>
      </w:r>
      <w:r w:rsidRPr="009E336E">
        <w:rPr>
          <w:rFonts w:ascii="Calibri Light" w:eastAsia="MS Mincho" w:hAnsi="Calibri Light" w:cs="Calibri Light"/>
          <w:sz w:val="24"/>
          <w:szCs w:val="24"/>
          <w:lang w:eastAsia="en-US"/>
        </w:rPr>
        <w:t xml:space="preserve">presents a comparative analysis of the most prominent academic journals specializing in Islamic accounting, </w:t>
      </w:r>
      <w:r w:rsidR="00BB50DF">
        <w:rPr>
          <w:rFonts w:ascii="Calibri Light" w:eastAsia="MS Mincho" w:hAnsi="Calibri Light" w:cs="Calibri Light"/>
          <w:sz w:val="24"/>
          <w:szCs w:val="24"/>
          <w:lang w:eastAsia="en-US"/>
        </w:rPr>
        <w:t>banking</w:t>
      </w:r>
      <w:r w:rsidRPr="009E336E">
        <w:rPr>
          <w:rFonts w:ascii="Calibri Light" w:eastAsia="MS Mincho" w:hAnsi="Calibri Light" w:cs="Calibri Light"/>
          <w:sz w:val="24"/>
          <w:szCs w:val="24"/>
          <w:lang w:eastAsia="en-US"/>
        </w:rPr>
        <w:t xml:space="preserve"> and finance, based on scientific productivity (total publications), academic impact (total citations), and research quality (CiteScore). The Journal of Islamic Marketing stands out as the most influential, with the highest number of citations and the highest CiteScore, reflecting its distinguished academic status in the field. The significance of this analysis lies in its ability to guide</w:t>
      </w:r>
      <w:r w:rsidR="00BB50DF">
        <w:rPr>
          <w:rFonts w:ascii="Calibri Light" w:eastAsia="MS Mincho" w:hAnsi="Calibri Light" w:cs="Calibri Light"/>
          <w:sz w:val="24"/>
          <w:szCs w:val="24"/>
          <w:lang w:eastAsia="en-US"/>
        </w:rPr>
        <w:t xml:space="preserve"> </w:t>
      </w:r>
      <w:r w:rsidRPr="009E336E">
        <w:rPr>
          <w:rFonts w:ascii="Calibri Light" w:eastAsia="MS Mincho" w:hAnsi="Calibri Light" w:cs="Calibri Light"/>
          <w:sz w:val="24"/>
          <w:szCs w:val="24"/>
          <w:lang w:eastAsia="en-US"/>
        </w:rPr>
        <w:t>toward the most credible and impactful sources in the discipline, particularly when constructing the theoretical framework or selecting relevant literature. In the context of my research in Islamic economic law, referring to these journals is essential to enhance the credibility of the study and to rely on well-established and up-to-date scholarly literature in the field</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{"citationItems":[{"id":"ITEM-1","itemData":{"DOI":"10.1177/1350508420939245","ISSN":"13505084 (ISSN)","abstract":"In this article, we use the critical theory literature to describe the processes of co-optation by which capitalism engages with its radical alternatives in order to subvert their emancipatory potential. We chose the global Islamic banking industry as our empirical context, which represents bold efforts to build a radical alternative embedded in Islamic moral precepts. However, we observed that the performative intent of capitalist discourse, reflected in a strong preoccupation with effectiveness and efficiency, has come to dominate all economic claims in the Islamic banking industry. The oppositional ideas that were intended to disturb the economic status quo now reproduce it along with its privileges, despite the vaulted rhetoric about establishing a genuine alternative. The article ends by mapping out some implications of re-introducing co-optation in the critical theory literature. © The Author(s) 2020.","author":[{"dropping-particle":"","family":"Ul-Haq","given":"S","non-dropping-particle":"","parse-names":false,"suffix":""},{"dropping-particle":"","family":"Lone","given":"R A","non-dropping-particle":"","parse-names":false,"suffix":""},{"dropping-particle":"","family":"Ashraf","given":"N","non-dropping-particle":"","parse-names":false,"suffix":""}],"container-title":"Organization","id":"ITEM-1","issue":"1","issued":{"date-parts":[["2022"]]},"language":"English","note":"Export Date: 24 April 2025; Cited By: 13; Correspondence Address: N. Ashraf; Montpellier Business School, France; email: naeem.ashrf@gmail.com","page":"129-154","publisher":"SAGE Publications Ltd","publisher-place":"Karachi School of Business and Leadership, Pakistan","title":"A theory of capitalist co-optation of radical alternatives: The case of Islamic banking industry","type":"article-journal","volume":"29"},"uris":["http://www.mendeley.com/documents/?uuid=0eb88330-f38b-47a2-aa86-53b52d19b927"]}],"mendeley":{"formattedCitation":"(Ul-Haq et al., 2022)","plainTextFormattedCitation":"(Ul-Haq et al., 2022)","previouslyFormattedCitation":"[31]"},"properties":{"noteIndex":0},"schema":"https://github.com/citation-style-language/schema/raw/master/csl-citation.json"}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(Ul-Haq et al., 2022)</w:t>
      </w:r>
      <w:r w:rsidR="00BF5A85">
        <w:rPr>
          <w:rFonts w:ascii="Calibri Light" w:eastAsia="MS Mincho" w:hAnsi="Calibri Light" w:cs="Calibri Light"/>
          <w:sz w:val="24"/>
          <w:szCs w:val="24"/>
          <w:lang w:eastAsia="en-US"/>
        </w:rPr>
        <w:fldChar w:fldCharType="end"/>
      </w:r>
      <w:r w:rsidRPr="009E336E">
        <w:rPr>
          <w:rFonts w:ascii="Calibri Light" w:eastAsia="MS Mincho" w:hAnsi="Calibri Light" w:cs="Calibri Light"/>
          <w:sz w:val="24"/>
          <w:szCs w:val="24"/>
          <w:lang w:eastAsia="en-US"/>
        </w:rPr>
        <w:t>.</w:t>
      </w:r>
    </w:p>
    <w:p w14:paraId="5AC30BE7" w14:textId="0D6C7110" w:rsidR="001A4C9F" w:rsidRDefault="001A4C9F" w:rsidP="003E017E">
      <w:pPr>
        <w:autoSpaceDE/>
        <w:autoSpaceDN/>
        <w:spacing w:after="200" w:line="276" w:lineRule="auto"/>
        <w:ind w:left="426"/>
        <w:jc w:val="center"/>
        <w:rPr>
          <w:rFonts w:ascii="Calibri Light" w:eastAsia="MS Mincho" w:hAnsi="Calibri Light" w:cs="Calibri Light"/>
          <w:sz w:val="24"/>
          <w:szCs w:val="24"/>
          <w:rtl/>
          <w:lang w:eastAsia="en-US"/>
        </w:rPr>
      </w:pPr>
      <w:r>
        <w:rPr>
          <w:noProof/>
        </w:rPr>
        <w:lastRenderedPageBreak/>
        <w:drawing>
          <wp:inline distT="0" distB="0" distL="0" distR="0" wp14:anchorId="6D6810D8" wp14:editId="54601888">
            <wp:extent cx="4582140" cy="2638096"/>
            <wp:effectExtent l="0" t="0" r="9525" b="0"/>
            <wp:docPr id="90692071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03097" cy="2650162"/>
                    </a:xfrm>
                    <a:prstGeom prst="rect">
                      <a:avLst/>
                    </a:prstGeom>
                    <a:noFill/>
                    <a:ln>
                      <a:noFill/>
                    </a:ln>
                  </pic:spPr>
                </pic:pic>
              </a:graphicData>
            </a:graphic>
          </wp:inline>
        </w:drawing>
      </w:r>
    </w:p>
    <w:p w14:paraId="1612541A" w14:textId="40C3F1A3" w:rsidR="001A4C9F" w:rsidRDefault="001A4C9F" w:rsidP="001A4C9F">
      <w:pPr>
        <w:autoSpaceDE/>
        <w:autoSpaceDN/>
        <w:spacing w:after="200" w:line="276" w:lineRule="auto"/>
        <w:ind w:left="426"/>
        <w:jc w:val="center"/>
        <w:rPr>
          <w:rFonts w:ascii="Calibri Light" w:eastAsia="MS Mincho" w:hAnsi="Calibri Light" w:cs="Calibri Light"/>
          <w:sz w:val="24"/>
          <w:szCs w:val="24"/>
          <w:rtl/>
          <w:lang w:eastAsia="en-US"/>
        </w:rPr>
      </w:pPr>
      <w:r w:rsidRPr="001A4C9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9</w:t>
      </w:r>
      <w:r w:rsidRPr="001A4C9F">
        <w:rPr>
          <w:rFonts w:ascii="Calibri Light" w:eastAsia="MS Mincho" w:hAnsi="Calibri Light" w:cs="Calibri Light"/>
          <w:b/>
          <w:bCs/>
          <w:sz w:val="24"/>
          <w:szCs w:val="24"/>
          <w:lang w:eastAsia="en-US"/>
        </w:rPr>
        <w:t>.</w:t>
      </w:r>
      <w:r w:rsidRPr="001A4C9F">
        <w:rPr>
          <w:rFonts w:ascii="Calibri Light" w:eastAsia="MS Mincho" w:hAnsi="Calibri Light" w:cs="Calibri Light"/>
          <w:sz w:val="24"/>
          <w:szCs w:val="24"/>
          <w:lang w:eastAsia="en-US"/>
        </w:rPr>
        <w:t xml:space="preserve"> The Top 10 Journals according to Scopus ranking</w:t>
      </w:r>
    </w:p>
    <w:p w14:paraId="474BE7FE" w14:textId="00F79E72" w:rsidR="008F1989" w:rsidRPr="00E758FF" w:rsidRDefault="00E758FF" w:rsidP="00B06D1D">
      <w:pPr>
        <w:autoSpaceDE/>
        <w:autoSpaceDN/>
        <w:spacing w:after="200" w:line="276" w:lineRule="auto"/>
        <w:ind w:left="426"/>
        <w:jc w:val="both"/>
        <w:rPr>
          <w:rFonts w:ascii="Calibri Light" w:eastAsia="MS Mincho" w:hAnsi="Calibri Light" w:cs="Calibri Light"/>
          <w:b/>
          <w:bCs/>
          <w:sz w:val="24"/>
          <w:szCs w:val="24"/>
          <w:rtl/>
          <w:lang w:eastAsia="en-US"/>
        </w:rPr>
      </w:pPr>
      <w:r w:rsidRPr="00E758FF">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5</w:t>
      </w:r>
      <w:r w:rsidRPr="00E758FF">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Pr="00E758FF">
        <w:rPr>
          <w:rFonts w:ascii="Calibri Light" w:eastAsia="MS Mincho" w:hAnsi="Calibri Light" w:cs="Calibri Light"/>
          <w:b/>
          <w:bCs/>
          <w:sz w:val="24"/>
          <w:szCs w:val="24"/>
          <w:lang w:eastAsia="en-US"/>
        </w:rPr>
        <w:t>Word Analysis using Most Frequent Words</w:t>
      </w:r>
    </w:p>
    <w:p w14:paraId="21A4B217" w14:textId="65B0D232" w:rsidR="00E758FF" w:rsidRPr="00E758FF" w:rsidRDefault="00E758FF" w:rsidP="00BF5A85">
      <w:pPr>
        <w:autoSpaceDE/>
        <w:autoSpaceDN/>
        <w:spacing w:after="200" w:line="276" w:lineRule="auto"/>
        <w:ind w:left="426"/>
        <w:jc w:val="both"/>
        <w:rPr>
          <w:rFonts w:ascii="Calibri Light" w:eastAsia="MS Mincho" w:hAnsi="Calibri Light" w:cs="Calibri Light"/>
          <w:sz w:val="24"/>
          <w:szCs w:val="24"/>
          <w:lang w:eastAsia="en-US"/>
        </w:rPr>
      </w:pPr>
      <w:r w:rsidRPr="00E758FF">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10</w:t>
      </w:r>
      <w:r>
        <w:rPr>
          <w:rFonts w:ascii="Calibri Light" w:eastAsia="MS Mincho" w:hAnsi="Calibri Light" w:cs="Calibri Light"/>
          <w:sz w:val="24"/>
          <w:szCs w:val="24"/>
          <w:lang w:eastAsia="en-US"/>
        </w:rPr>
        <w:t xml:space="preserve"> </w:t>
      </w:r>
      <w:r w:rsidRPr="00E758FF">
        <w:rPr>
          <w:rFonts w:ascii="Calibri Light" w:eastAsia="MS Mincho" w:hAnsi="Calibri Light" w:cs="Calibri Light"/>
          <w:sz w:val="24"/>
          <w:szCs w:val="24"/>
          <w:lang w:eastAsia="en-US"/>
        </w:rPr>
        <w:t>show a keyword co-occurrence network generated using VOSviewer based on bibliometric data derived from 1,149   publications collected from the Scopus database</w:t>
      </w:r>
      <w:r w:rsidR="00C6181C">
        <w:rPr>
          <w:rFonts w:ascii="Calibri Light" w:eastAsia="MS Mincho" w:hAnsi="Calibri Light" w:cs="Calibri Light"/>
          <w:sz w:val="24"/>
          <w:szCs w:val="24"/>
          <w:lang w:eastAsia="en-US"/>
        </w:rPr>
        <w:t xml:space="preserve"> </w:t>
      </w:r>
      <w:r w:rsidR="00C6181C">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{"citationItems":[{"id":"ITEM-1","itemData":{"DOI":"https://doi.org/10.23917/qist.v4i1.7360","ISSN":"2828-2779","abstract":"This study aims to conduct a bibliometric analysis of research intersecting the Sustainable Development Goals (SDGs) and Maqasid Shariah Tafsir, with a focus on using VOSviewer software to visualize research patterns and trends. The analysis spans the last decade, exploring publication trends over time, influential journals, prolific authors, and the most productive countries and institutions in this field. The results show a significant growth in research integrating Maqasid Shariah principles, focusing on the preservation of religion, life, intellect, lineage, and wealth, with the 17 SDGs, such as poverty eradication, quality education, and environmental sustainability. The analysis also highlights key research keywords and emerging themes, such as ethical governance, social justice, and economic sustainability. Using VOSviewer helps create visual maps of research networks, providing insights into relationships between authors, institutions, and keywords. The analysis reveals the prominent role of specific countries and institutions that support research in this area, emphasizing the importance of interdisciplinary collaboration in advancing this discourse. The study provides a foundation for understanding the relationship between Shariah principles and the SDGs, opening avenues for future research aimed at enhancing the use of Islamic values to address global sustainability challenges. The findings assist policymakers and researchers in identifying research gaps and collaboration opportunities for greater impact.","author":[{"dropping-particle":"","family":"Elbanna","given":"Mariam","non-dropping-particle":"","parse-names":false,"suffix":""},{"dropping-particle":"","family":"Wadi","given":"Munshid Falih","non-dropping-particle":"","parse-names":false,"suffix":""},{"dropping-particle":"","family":"Radiamoda","given":"Anwar M.","non-dropping-particle":"","parse-names":false,"suffix":""},{"dropping-particle":"","family":"Matsuyama","given":"Yohei","non-dropping-particle":"","parse-names":false,"suffix":""},{"dropping-particle":"Bin","family":"Ishak","given":"Mohamad Haeqal","non-dropping-particle":"","parse-names":false,"suffix":""}],"container-title":"QiST: Journal of Quran and Tafseer Studies","id":"ITEM-1","issue":"1","issued":{"date-parts":[["2025","1","3"]]},"page":"1-22","title":"A Bibliometric Analysis of Sustainable Development Goals (SDGs) Through the Lens of Maqasid Shariah Tafsir","type":"article-journal","volume":"4"},"uris":["http://www.mendeley.com/documents/?uuid=d931fe88-e306-4ffa-8e96-190819c6bf2a"]}],"mendeley":{"formattedCitation":"(Elbanna et al., 2025)","plainTextFormattedCitation":"(Elbanna et al., 2025)","previouslyFormattedCitation":"[32]"},"properties":{"noteIndex":0},"schema":"https://github.com/citation-style-language/schema/raw/master/csl-citation.json"}</w:instrText>
      </w:r>
      <w:r w:rsidR="00C6181C">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(Elbanna et al., 2025)</w:t>
      </w:r>
      <w:r w:rsidR="00C6181C">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From this dataset, a total of 2,655 keywords were initially extracted. For the purpose of clarity and analytical significance, a minimum co-occurrence threshold of five was applied—meaning only keywords that appeared at least five times across the dataset were included in the final analysis. As a result, 167 keywords met this criterion and were used to construct the visual network displayed.</w:t>
      </w:r>
    </w:p>
    <w:p w14:paraId="69AE9CD9" w14:textId="389E5E02" w:rsidR="008F1989" w:rsidRDefault="00E758FF" w:rsidP="00E758FF">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The network is visually organized into distinct clusters, each represented by a different color, to signify closely related keywords that frequently appear together within the literature. The size of each keyword label reflects its frequency of occurrence, while the proximity and thickness of the lines (edges) between keywords indicate the strength of their co-occurrence relationships</w:t>
      </w:r>
      <w:r w:rsidR="00264BA0">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{"citationItems":[{"id":"ITEM-1","itemData":{"author":[{"dropping-particle":"","family":"Law","given":"Sharia Economic","non-dropping-particle":"","parse-names":false,"suffix":""},{"dropping-particle":"","family":"Said","given":"Raden Mas","non-dropping-particle":"","parse-names":false,"suffix":""},{"dropping-particle":"","family":"August","given":"Received","non-dropping-particle":"","parse-names":false,"suffix":""},{"dropping-particle":"","family":"October","given":"Revised","non-dropping-particle":"","parse-names":false,"suffix":""},{"dropping-particle":"","family":"August","given":"Accepted","non-dropping-particle":"","parse-names":false,"suffix":""}],"id":"ITEM-1","issue":"1","issued":{"date-parts":[["2024"]]},"page":"195-210","title":"FINANCIAL PERFORMANCE ANALYSIS USING CAMELS AT PT . BANK SYARIAH INDONESIA BEFORE AND AFTER MERGER","type":"article-journal","volume":"25"},"uris":["http://www.mendeley.com/documents/?uuid=b34ae61e-d024-48ba-9d91-5018dee41a29"]}],"mendeley":{"formattedCitation":"(Law et al., 2024)","plainTextFormattedCitation":"(Law et al., 2024)","previouslyFormattedCitation":"[33]"},"properties":{"noteIndex":0},"schema":"https://github.com/citation-style-language/schema/raw/master/csl-citation.json"}</w:instrText>
      </w:r>
      <w:r w:rsidR="00264BA0">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(Law et al., 2024)</w:t>
      </w:r>
      <w:r w:rsidR="00264BA0">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At the center of the map, the term “Islamic banking” serves as the core node, surrounded by several overlapping thematic clusters, each distinguished by a unique color. The dark blue cluster represents core themes such as “corporate governance,” “financial development,” and “Shariah”, highlighting the structural and regulatory foundations of Islamic banking. In contrast, the red cluster focuses on terms such as “conventional banks,” “credit risk,” and “Basel accord,” reflecting comparative analyses between Islamic and conventional banking systems, particularly in the context of risk and regulation</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{"citationItems":[{"id":"ITEM-1","itemData":{"DOI":"10.22495/jgrv13i2siart3","ISSN":"22209352 (ISSN)","abstract":"This study investigates the pivotal role of robust legal instruments in driving the outstanding performance of Malaysia’s Islamic banking industry. Our primary objective is to discern the correlation between the regulatory framework’s legal strength and the industry’s achievements. To achieve this, we embark on a comprehensive exploration of the historical progression of Islamic banking in Malaysia. We scrutinize the dynamics and milestones that have shaped the industry, with particular emphasis on its impressive growth. We then delve into the development of the regulatory frameworks, analyzing how the availability of strong legal instruments has contributed to the sector’s triumph. This study finding the presence of robust legal instruments has been a catalyst for the ascension of Malaysia’s Islamic banking industry. Coupled with accommodating regulations and responsive regulatory institutions, these legal foundations have underpinned the sector’s remarkable success. This study underscores the critical importance of having sufficient legal instruments to nurture the Islamic banking industry. We recommend that governments aspiring to bolster Islamic banking’s performance consider the provision of such legal frameworks. Consequently, this research carries significant implications for policymakers and industry stakeholders alike, offering insights into the essential ingredients for fostering a thriving Islamic banking sector. © 2024 The Authors.","author":[{"dropping-particle":"","family":"Triyanta","given":"A","non-dropping-particle":"","parse-names":false,"suffix":""},{"dropping-particle":"","family":"Hassan","given":"R","non-dropping-particle":"","parse-names":false,"suffix":""}],"container-title":"Journal of Governance and Regulation","id":"ITEM-1","issue":"2 (special issue)","issued":{"date-parts":[["2024"]]},"language":"English","note":"Export Date: 24 April 2025; Cited By: 0","page":"267-274","publisher":"Virtus Interpress","publisher-place":"Universitas Islam Indonesia, Yogyakarta, Indonesia","title":"THE CONNECTION BETWEEN ROBUST LEGAL INSTRUMENTS AND THE EXCEPTIONAL PERFORMANCE OF THE ISLAMIC BANKING INDUSTRY","type":"article-journal","volume":"13"},"uris":["http://www.mendeley.com/documents/?uuid=f59f57ed-4881-4100-9572-814b8f418cd0"]}],"mendeley":{"formattedCitation":"(Triyanta &amp; Hassan, 2024)","plainTextFormattedCitation":"(Triyanta &amp; Hassan, 2024)","previouslyFormattedCitation":"[34]"},"properties":{"noteIndex":0},"schema":"https://github.com/citation-style-language/schema/raw/master/csl-citation.json"}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(Triyanta &amp; Hassan, 2024)</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03F8D3AD" w14:textId="77777777" w:rsidR="008F1989" w:rsidRDefault="008F1989" w:rsidP="00B06D1D">
      <w:pPr>
        <w:autoSpaceDE/>
        <w:autoSpaceDN/>
        <w:spacing w:after="200" w:line="276" w:lineRule="auto"/>
        <w:ind w:left="426"/>
        <w:jc w:val="both"/>
        <w:rPr>
          <w:rFonts w:ascii="Calibri Light" w:eastAsia="MS Mincho" w:hAnsi="Calibri Light" w:cs="Calibri Light"/>
          <w:sz w:val="24"/>
          <w:szCs w:val="24"/>
          <w:rtl/>
          <w:lang w:eastAsia="en-US"/>
        </w:rPr>
      </w:pPr>
    </w:p>
    <w:p w14:paraId="75956F56" w14:textId="508E5CD4" w:rsidR="008F1989" w:rsidRDefault="00E758FF" w:rsidP="00B06D1D">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eastAsia="Calibri" w:cs="Traditional Arabic"/>
          <w:noProof/>
          <w:sz w:val="24"/>
          <w:szCs w:val="24"/>
          <w:lang w:val="en-ID" w:eastAsia="en-US"/>
        </w:rPr>
        <w:lastRenderedPageBreak/>
        <w:drawing>
          <wp:anchor distT="0" distB="0" distL="114300" distR="114300" simplePos="0" relativeHeight="251701760" behindDoc="0" locked="0" layoutInCell="1" allowOverlap="1" wp14:anchorId="008C175F" wp14:editId="57E96958">
            <wp:simplePos x="0" y="0"/>
            <wp:positionH relativeFrom="margin">
              <wp:align>center</wp:align>
            </wp:positionH>
            <wp:positionV relativeFrom="paragraph">
              <wp:posOffset>210575</wp:posOffset>
            </wp:positionV>
            <wp:extent cx="4826000" cy="3018155"/>
            <wp:effectExtent l="0" t="0" r="0" b="0"/>
            <wp:wrapTopAndBottom/>
            <wp:docPr id="213476263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826000" cy="30181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9EA645" w14:textId="2A0507B0" w:rsidR="008F1989" w:rsidRDefault="00E758FF" w:rsidP="00E758FF">
      <w:pPr>
        <w:autoSpaceDE/>
        <w:autoSpaceDN/>
        <w:spacing w:after="200" w:line="276" w:lineRule="auto"/>
        <w:ind w:left="426"/>
        <w:jc w:val="center"/>
        <w:rPr>
          <w:rFonts w:ascii="Calibri Light" w:eastAsia="MS Mincho" w:hAnsi="Calibri Light" w:cs="Calibri Light"/>
          <w:sz w:val="24"/>
          <w:szCs w:val="24"/>
          <w:rtl/>
          <w:lang w:eastAsia="en-US"/>
        </w:rPr>
      </w:pPr>
      <w:r w:rsidRPr="00E758F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10</w:t>
      </w:r>
      <w:r w:rsidRPr="00E758FF">
        <w:rPr>
          <w:rFonts w:ascii="Calibri Light" w:eastAsia="MS Mincho" w:hAnsi="Calibri Light" w:cs="Calibri Light"/>
          <w:b/>
          <w:bCs/>
          <w:sz w:val="24"/>
          <w:szCs w:val="24"/>
          <w:lang w:eastAsia="en-US"/>
        </w:rPr>
        <w:t xml:space="preserve">. </w:t>
      </w:r>
      <w:r w:rsidRPr="00E758FF">
        <w:rPr>
          <w:rFonts w:ascii="Calibri Light" w:eastAsia="MS Mincho" w:hAnsi="Calibri Light" w:cs="Calibri Light"/>
          <w:sz w:val="24"/>
          <w:szCs w:val="24"/>
          <w:lang w:eastAsia="en-US"/>
        </w:rPr>
        <w:t>Keyword co-occurrence network</w:t>
      </w:r>
    </w:p>
    <w:p w14:paraId="413C8AB9" w14:textId="39E538B0" w:rsidR="008F1989" w:rsidRDefault="00E758FF" w:rsidP="00991D92">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The green cluster encompasses behavioral and social concepts like “trust,” “service quality,” and “religiosity,” indicating a growing research interest in customer perception and satisfaction within Islamic finance. The orange cluster explores themes related to “corporate social responsibility” and “sustainable development,” emphasizing the ethical and socially responsible dimensions of Islamic banking. On the other hand, the purple cluster reflects the geographical scope of the literature, with countries such as “Indonesia,” “Pakistan,” and “Malaysia” featuring prominently, as they represent key markets for Islamic financial services</w:t>
      </w:r>
      <w:r w:rsidR="008C1784">
        <w:rPr>
          <w:rFonts w:ascii="Calibri Light" w:eastAsia="MS Mincho" w:hAnsi="Calibri Light" w:cs="Calibri Light" w:hint="cs"/>
          <w:sz w:val="24"/>
          <w:szCs w:val="24"/>
          <w:rtl/>
          <w:lang w:eastAsia="en-US"/>
        </w:rPr>
        <w:t xml:space="preserve"> </w:t>
      </w:r>
      <w:r w:rsidR="00991D92">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{"citationItems":[{"id":"ITEM-1","itemData":{"DOI":"10.34291/BV2022/03/Strukelj","ISSN":"00065722 (ISSN)","abstract":"In the lecture for Hans Urs von Balthasar's memorial-day in Basel (July 3rd 2021) is presented the sorrowful lifepath of Henri de Lubac. Under the chief idea “Mediation as a common task” is described as the lasting friendship and cooperation of the two eminent theologians. In the genuine Ignatian “sentire cum Ecclesia” they were architects of bridges. They understood and performed their role of mediation as interpreters of precious treasures. “Two really great Jesuits of the 20th century” (Joseph Cardinal Ratzinger) constructed the Catholic symphony for a more radiant glorification of God. © 2022 Štrukelj, CC BY 4.0.","author":[{"dropping-particle":"","family":"Štrukelj","given":"A","non-dropping-particle":"","parse-names":false,"suffix":""}],"container-title":"Bogoslovni Vestnik","id":"ITEM-1","issue":"3","issued":{"date-parts":[["2022"]]},"language":"German","note":"Export Date: 23 June 2025; Cited By: 0","page":"737-759","publisher":"Univerza v Ljubljani","title":"Grateful Remembrance of Henri Cardinal de Lubac on the Occasion 30th Anniversary of His Death (Sept. 4, 1991): Lecture at the Hans Urs von Balthasar Memorial Day, in Basel, 3 July 2021","type":"article-journal","volume":"82"},"uris":["http://www.mendeley.com/documents/?uuid=b83e76b5-0d58-4a43-8a7f-22a3a9ab3f0c"]}],"mendeley":{"formattedCitation":"(Štrukelj, 2022)","plainTextFormattedCitation":"(Štrukelj, 2022)","previouslyFormattedCitation":"[35]"},"properties":{"noteIndex":0},"schema":"https://github.com/citation-style-language/schema/raw/master/csl-citation.json"}</w:instrText>
      </w:r>
      <w:r w:rsidR="00991D92">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(Štrukelj, 2022)</w:t>
      </w:r>
      <w:r w:rsidR="00991D92">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The light blue cluster addresses technical and financial aspects, including “financial performance” and “regression analysis.” Meanwhile, the yellow cluster highlights key Islamic finance instruments such as “Murabaha” and “Musharakah,” shedding light on the operational mechanisms within Islamic banks</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{"citationItems":[{"id":"ITEM-1","itemData":{"DOI":"10.1016/j.cpa.2022.102449","ISSN":"10452354 (ISSN)","abstract":"This paper explores the manner in which a range of issues relating to emotional propensities – including ethics, trust, fear and institutional exploitation of these – shape perceptions about the Islamic banking industry in the UK. Much of the ethos and practice of Shariah that originally defined such activities have been lost amidst the hegemony of global capital(ism) and a lack of innovation, transparency and social concern have been cited as potential sources of alienation for consumers otherwise likely to be interested in Islamic financial services. However, understanding regarding the impact of emotion in this context is very limited, despite potentially representing motivations for a broad range of financial decision-making. A critical accounting framework is used here to interpret evidence from a series of 32 interviews conducted with UK-based Muslims. The analysis unmasks the hidden interests of Islamic banks and suggests that enhanced stakeholder participation might be transformational in terms of meeting societal needs provided that the complex, but powerful, impact of emotional propensities is recognised. © 2022 The Authors","author":[{"dropping-particle":"","family":"Riaz","given":"U","non-dropping-particle":"","parse-names":false,"suffix":""},{"dropping-particle":"","family":"Burton","given":"B","non-dropping-particle":"","parse-names":false,"suffix":""},{"dropping-particle":"","family":"Fearfull","given":"A","non-dropping-particle":"","parse-names":false,"suffix":""}],"container-title":"Critical Perspectives on Accounting","id":"ITEM-1","issued":{"date-parts":[["2023"]]},"language":"English","note":"Export Date: 24 April 2025; Cited By: 11; Correspondence Address: U. Riaz; Aston Business School, Aston University, Birmingham, Aston Street, B4 7ET, United Kingdom; email: u.riaz@aston.ac.uk","publisher":"Academic Press","publisher-place":"Aston Business School, Aston University, Aston Street, Birmingham, B4 7ET, United Kingdom","title":"Emotional propensities and the contemporary Islamic banking industry","type":"article-journal","volume":"94"},"uris":["http://www.mendeley.com/documents/?uuid=6d571bc6-e28a-4bb0-b3b5-d4c9e9ba748c"]}],"mendeley":{"formattedCitation":"(Riaz et al., 2023)","plainTextFormattedCitation":"(Riaz et al., 2023)","previouslyFormattedCitation":"[36]"},"properties":{"noteIndex":0},"schema":"https://github.com/citation-style-language/schema/raw/master/csl-citation.json"}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(Riaz et al., 2023)</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r w:rsidR="00991D92">
        <w:rPr>
          <w:rFonts w:ascii="Calibri Light" w:eastAsia="MS Mincho" w:hAnsi="Calibri Light" w:cs="Calibri Light"/>
          <w:sz w:val="24"/>
          <w:szCs w:val="24"/>
          <w:lang w:eastAsia="en-US"/>
        </w:rPr>
        <w:t xml:space="preserve"> </w:t>
      </w:r>
      <w:r w:rsidRPr="00E758FF">
        <w:rPr>
          <w:rFonts w:ascii="Calibri Light" w:eastAsia="MS Mincho" w:hAnsi="Calibri Light" w:cs="Calibri Light"/>
          <w:sz w:val="24"/>
          <w:szCs w:val="24"/>
          <w:lang w:eastAsia="en-US"/>
        </w:rPr>
        <w:t>This visualization provides a structured overview of the main research themes, subtopics, and interconnections within the field of Islamic banking.</w:t>
      </w:r>
    </w:p>
    <w:tbl>
      <w:tblPr>
        <w:tblStyle w:val="PlainTable23"/>
        <w:tblW w:w="8505" w:type="dxa"/>
        <w:tblInd w:w="284" w:type="dxa"/>
        <w:tblLook w:val="04A0" w:firstRow="1" w:lastRow="0" w:firstColumn="1" w:lastColumn="0" w:noHBand="0" w:noVBand="1"/>
      </w:tblPr>
      <w:tblGrid>
        <w:gridCol w:w="2254"/>
        <w:gridCol w:w="2254"/>
        <w:gridCol w:w="2254"/>
        <w:gridCol w:w="1743"/>
      </w:tblGrid>
      <w:tr w:rsidR="00415A81" w:rsidRPr="00415A81" w14:paraId="127492BE" w14:textId="77777777" w:rsidTr="001C1A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shd w:val="clear" w:color="auto" w:fill="E5B8B7" w:themeFill="accent2" w:themeFillTint="66"/>
          </w:tcPr>
          <w:p w14:paraId="6A88AB7A" w14:textId="77777777" w:rsidR="00415A81" w:rsidRPr="00415A81" w:rsidRDefault="00415A81" w:rsidP="00415A81">
            <w:pPr>
              <w:autoSpaceDE/>
              <w:autoSpaceDN/>
              <w:rPr>
                <w:rFonts w:ascii="Calibri Light" w:hAnsi="Calibri Light" w:cs="Calibri Light"/>
                <w:lang w:val="en-ID" w:eastAsia="en-US"/>
              </w:rPr>
            </w:pPr>
            <w:r w:rsidRPr="00415A81">
              <w:rPr>
                <w:rFonts w:ascii="Calibri Light" w:hAnsi="Calibri Light" w:cs="Calibri Light"/>
                <w:lang w:val="en-ID" w:eastAsia="en-US"/>
              </w:rPr>
              <w:t>keywords</w:t>
            </w:r>
          </w:p>
        </w:tc>
        <w:tc>
          <w:tcPr>
            <w:tcW w:w="2254" w:type="dxa"/>
            <w:shd w:val="clear" w:color="auto" w:fill="E5B8B7" w:themeFill="accent2" w:themeFillTint="66"/>
          </w:tcPr>
          <w:p w14:paraId="1827468F"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Cluster</w:t>
            </w:r>
          </w:p>
        </w:tc>
        <w:tc>
          <w:tcPr>
            <w:tcW w:w="2254" w:type="dxa"/>
            <w:shd w:val="clear" w:color="auto" w:fill="E5B8B7" w:themeFill="accent2" w:themeFillTint="66"/>
          </w:tcPr>
          <w:p w14:paraId="35CA8A4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Occurrences</w:t>
            </w:r>
          </w:p>
        </w:tc>
        <w:tc>
          <w:tcPr>
            <w:tcW w:w="1743" w:type="dxa"/>
            <w:shd w:val="clear" w:color="auto" w:fill="E5B8B7" w:themeFill="accent2" w:themeFillTint="66"/>
          </w:tcPr>
          <w:p w14:paraId="3626C332"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Total link</w:t>
            </w:r>
          </w:p>
          <w:p w14:paraId="081B180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Strength</w:t>
            </w:r>
          </w:p>
        </w:tc>
      </w:tr>
      <w:tr w:rsidR="00415A81" w:rsidRPr="00415A81" w14:paraId="2A4DFFED"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D2E353A" w14:textId="77777777" w:rsidR="00415A81" w:rsidRPr="00415A81" w:rsidRDefault="00415A81" w:rsidP="00415A81">
            <w:pPr>
              <w:autoSpaceDE/>
              <w:autoSpaceDN/>
              <w:rPr>
                <w:lang w:val="en-ID" w:eastAsia="en-US"/>
              </w:rPr>
            </w:pPr>
            <w:r w:rsidRPr="00415A81">
              <w:rPr>
                <w:lang w:val="en-ID" w:eastAsia="en-US"/>
              </w:rPr>
              <w:t>Islamic banking</w:t>
            </w:r>
          </w:p>
        </w:tc>
        <w:tc>
          <w:tcPr>
            <w:tcW w:w="2254" w:type="dxa"/>
          </w:tcPr>
          <w:p w14:paraId="10BCC060"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42CCF3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559</w:t>
            </w:r>
          </w:p>
        </w:tc>
        <w:tc>
          <w:tcPr>
            <w:tcW w:w="1743" w:type="dxa"/>
          </w:tcPr>
          <w:p w14:paraId="3616F8A7"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818</w:t>
            </w:r>
          </w:p>
        </w:tc>
      </w:tr>
      <w:tr w:rsidR="00415A81" w:rsidRPr="00415A81" w14:paraId="33F25D18"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D5FF819" w14:textId="77777777" w:rsidR="00415A81" w:rsidRPr="00415A81" w:rsidRDefault="00415A81" w:rsidP="00415A81">
            <w:pPr>
              <w:autoSpaceDE/>
              <w:autoSpaceDN/>
              <w:rPr>
                <w:lang w:val="en-ID" w:eastAsia="en-US"/>
              </w:rPr>
            </w:pPr>
            <w:r w:rsidRPr="00415A81">
              <w:rPr>
                <w:lang w:val="en-ID" w:eastAsia="en-US"/>
              </w:rPr>
              <w:t xml:space="preserve">Basel accord </w:t>
            </w:r>
          </w:p>
        </w:tc>
        <w:tc>
          <w:tcPr>
            <w:tcW w:w="2254" w:type="dxa"/>
          </w:tcPr>
          <w:p w14:paraId="35BD981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w:t>
            </w:r>
          </w:p>
        </w:tc>
        <w:tc>
          <w:tcPr>
            <w:tcW w:w="2254" w:type="dxa"/>
          </w:tcPr>
          <w:p w14:paraId="4581AA3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30</w:t>
            </w:r>
          </w:p>
        </w:tc>
        <w:tc>
          <w:tcPr>
            <w:tcW w:w="1743" w:type="dxa"/>
          </w:tcPr>
          <w:p w14:paraId="1A6BC85D"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41</w:t>
            </w:r>
          </w:p>
        </w:tc>
      </w:tr>
      <w:tr w:rsidR="00415A81" w:rsidRPr="00415A81" w14:paraId="4BD65387"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73EA3C3B" w14:textId="77777777" w:rsidR="00415A81" w:rsidRPr="00415A81" w:rsidRDefault="00415A81" w:rsidP="00415A81">
            <w:pPr>
              <w:autoSpaceDE/>
              <w:autoSpaceDN/>
              <w:rPr>
                <w:lang w:val="en-ID" w:eastAsia="en-US"/>
              </w:rPr>
            </w:pPr>
            <w:r w:rsidRPr="00415A81">
              <w:rPr>
                <w:lang w:val="en-ID" w:eastAsia="en-US"/>
              </w:rPr>
              <w:t xml:space="preserve">Islamic finance </w:t>
            </w:r>
          </w:p>
        </w:tc>
        <w:tc>
          <w:tcPr>
            <w:tcW w:w="2254" w:type="dxa"/>
          </w:tcPr>
          <w:p w14:paraId="7C158D7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61E09C3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104</w:t>
            </w:r>
          </w:p>
        </w:tc>
        <w:tc>
          <w:tcPr>
            <w:tcW w:w="1743" w:type="dxa"/>
          </w:tcPr>
          <w:p w14:paraId="00D6CF2B"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166</w:t>
            </w:r>
          </w:p>
        </w:tc>
      </w:tr>
      <w:tr w:rsidR="00415A81" w:rsidRPr="00415A81" w14:paraId="5C0047C5"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784F30A4" w14:textId="77777777" w:rsidR="00415A81" w:rsidRPr="00415A81" w:rsidRDefault="00415A81" w:rsidP="00415A81">
            <w:pPr>
              <w:autoSpaceDE/>
              <w:autoSpaceDN/>
              <w:rPr>
                <w:lang w:val="en-ID" w:eastAsia="en-US"/>
              </w:rPr>
            </w:pPr>
            <w:r w:rsidRPr="00415A81">
              <w:rPr>
                <w:lang w:val="en-ID" w:eastAsia="en-US"/>
              </w:rPr>
              <w:t xml:space="preserve">Banking </w:t>
            </w:r>
          </w:p>
        </w:tc>
        <w:tc>
          <w:tcPr>
            <w:tcW w:w="2254" w:type="dxa"/>
          </w:tcPr>
          <w:p w14:paraId="1109FDA4"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5</w:t>
            </w:r>
          </w:p>
        </w:tc>
        <w:tc>
          <w:tcPr>
            <w:tcW w:w="2254" w:type="dxa"/>
          </w:tcPr>
          <w:p w14:paraId="47542C02"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90</w:t>
            </w:r>
          </w:p>
        </w:tc>
        <w:tc>
          <w:tcPr>
            <w:tcW w:w="1743" w:type="dxa"/>
          </w:tcPr>
          <w:p w14:paraId="032921B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342</w:t>
            </w:r>
          </w:p>
        </w:tc>
      </w:tr>
      <w:tr w:rsidR="00415A81" w:rsidRPr="00415A81" w14:paraId="12E224F6"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1CE30EE" w14:textId="77777777" w:rsidR="00415A81" w:rsidRPr="00415A81" w:rsidRDefault="00415A81" w:rsidP="00415A81">
            <w:pPr>
              <w:autoSpaceDE/>
              <w:autoSpaceDN/>
              <w:rPr>
                <w:lang w:val="en-ID" w:eastAsia="en-US"/>
              </w:rPr>
            </w:pPr>
            <w:r w:rsidRPr="00415A81">
              <w:rPr>
                <w:lang w:val="en-ID" w:eastAsia="en-US"/>
              </w:rPr>
              <w:t xml:space="preserve">Islamic Marketing </w:t>
            </w:r>
          </w:p>
        </w:tc>
        <w:tc>
          <w:tcPr>
            <w:tcW w:w="2254" w:type="dxa"/>
          </w:tcPr>
          <w:p w14:paraId="2E37D535"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7</w:t>
            </w:r>
          </w:p>
        </w:tc>
        <w:tc>
          <w:tcPr>
            <w:tcW w:w="2254" w:type="dxa"/>
          </w:tcPr>
          <w:p w14:paraId="2EFB1551"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14</w:t>
            </w:r>
          </w:p>
        </w:tc>
        <w:tc>
          <w:tcPr>
            <w:tcW w:w="1743" w:type="dxa"/>
          </w:tcPr>
          <w:p w14:paraId="716D8DB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21</w:t>
            </w:r>
          </w:p>
        </w:tc>
      </w:tr>
      <w:tr w:rsidR="00415A81" w:rsidRPr="00415A81" w14:paraId="7F2C91FD"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8B09A82" w14:textId="77777777" w:rsidR="00415A81" w:rsidRPr="00415A81" w:rsidRDefault="00415A81" w:rsidP="00415A81">
            <w:pPr>
              <w:autoSpaceDE/>
              <w:autoSpaceDN/>
              <w:rPr>
                <w:lang w:val="en-ID" w:eastAsia="en-US"/>
              </w:rPr>
            </w:pPr>
            <w:r w:rsidRPr="00415A81">
              <w:rPr>
                <w:lang w:val="en-ID" w:eastAsia="en-US"/>
              </w:rPr>
              <w:t>Islamic Economics</w:t>
            </w:r>
          </w:p>
        </w:tc>
        <w:tc>
          <w:tcPr>
            <w:tcW w:w="2254" w:type="dxa"/>
          </w:tcPr>
          <w:p w14:paraId="7A2415FC"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556C5D8E"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11</w:t>
            </w:r>
          </w:p>
        </w:tc>
        <w:tc>
          <w:tcPr>
            <w:tcW w:w="1743" w:type="dxa"/>
          </w:tcPr>
          <w:p w14:paraId="394DF7EA"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10</w:t>
            </w:r>
          </w:p>
        </w:tc>
      </w:tr>
      <w:tr w:rsidR="00415A81" w:rsidRPr="00415A81" w14:paraId="35B532A8"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6BE989C6" w14:textId="77777777" w:rsidR="00415A81" w:rsidRPr="00415A81" w:rsidRDefault="00415A81" w:rsidP="00415A81">
            <w:pPr>
              <w:autoSpaceDE/>
              <w:autoSpaceDN/>
              <w:rPr>
                <w:lang w:val="en-ID" w:eastAsia="en-US"/>
              </w:rPr>
            </w:pPr>
            <w:r w:rsidRPr="00415A81">
              <w:rPr>
                <w:lang w:val="en-ID" w:eastAsia="en-US"/>
              </w:rPr>
              <w:t>Financial crisis</w:t>
            </w:r>
          </w:p>
        </w:tc>
        <w:tc>
          <w:tcPr>
            <w:tcW w:w="2254" w:type="dxa"/>
          </w:tcPr>
          <w:p w14:paraId="79575C4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w:t>
            </w:r>
          </w:p>
        </w:tc>
        <w:tc>
          <w:tcPr>
            <w:tcW w:w="2254" w:type="dxa"/>
          </w:tcPr>
          <w:p w14:paraId="277CDB0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29</w:t>
            </w:r>
          </w:p>
        </w:tc>
        <w:tc>
          <w:tcPr>
            <w:tcW w:w="1743" w:type="dxa"/>
          </w:tcPr>
          <w:p w14:paraId="7BEC5CE8"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83</w:t>
            </w:r>
          </w:p>
        </w:tc>
      </w:tr>
      <w:tr w:rsidR="00415A81" w:rsidRPr="00415A81" w14:paraId="49927C17"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36532F9" w14:textId="77777777" w:rsidR="00415A81" w:rsidRPr="00415A81" w:rsidRDefault="00415A81" w:rsidP="00415A81">
            <w:pPr>
              <w:autoSpaceDE/>
              <w:autoSpaceDN/>
              <w:rPr>
                <w:lang w:val="en-ID" w:eastAsia="en-US"/>
              </w:rPr>
            </w:pPr>
            <w:r w:rsidRPr="00415A81">
              <w:rPr>
                <w:lang w:val="en-ID" w:eastAsia="en-US"/>
              </w:rPr>
              <w:t>Basal iii</w:t>
            </w:r>
          </w:p>
        </w:tc>
        <w:tc>
          <w:tcPr>
            <w:tcW w:w="2254" w:type="dxa"/>
          </w:tcPr>
          <w:p w14:paraId="5C61291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167123E8"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16</w:t>
            </w:r>
          </w:p>
        </w:tc>
        <w:tc>
          <w:tcPr>
            <w:tcW w:w="1743" w:type="dxa"/>
          </w:tcPr>
          <w:p w14:paraId="0D7B2DA3"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31</w:t>
            </w:r>
          </w:p>
        </w:tc>
      </w:tr>
      <w:tr w:rsidR="00415A81" w:rsidRPr="00415A81" w14:paraId="3F6AF6E0"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3AF48D6" w14:textId="77777777" w:rsidR="00415A81" w:rsidRPr="00415A81" w:rsidRDefault="00415A81" w:rsidP="00415A81">
            <w:pPr>
              <w:autoSpaceDE/>
              <w:autoSpaceDN/>
              <w:rPr>
                <w:lang w:val="en-ID" w:eastAsia="en-US"/>
              </w:rPr>
            </w:pPr>
            <w:r w:rsidRPr="00415A81">
              <w:rPr>
                <w:lang w:val="en-ID" w:eastAsia="en-US"/>
              </w:rPr>
              <w:lastRenderedPageBreak/>
              <w:t>fintech</w:t>
            </w:r>
          </w:p>
        </w:tc>
        <w:tc>
          <w:tcPr>
            <w:tcW w:w="2254" w:type="dxa"/>
          </w:tcPr>
          <w:p w14:paraId="468A0259"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788EA8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w:t>
            </w:r>
          </w:p>
        </w:tc>
        <w:tc>
          <w:tcPr>
            <w:tcW w:w="1743" w:type="dxa"/>
          </w:tcPr>
          <w:p w14:paraId="1A9ACB03"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24</w:t>
            </w:r>
          </w:p>
        </w:tc>
      </w:tr>
      <w:tr w:rsidR="00415A81" w:rsidRPr="00415A81" w14:paraId="41BD57A2"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58DBF7A" w14:textId="77777777" w:rsidR="00415A81" w:rsidRPr="00415A81" w:rsidRDefault="00415A81" w:rsidP="00415A81">
            <w:pPr>
              <w:autoSpaceDE/>
              <w:autoSpaceDN/>
              <w:rPr>
                <w:lang w:val="en-ID" w:eastAsia="en-US"/>
              </w:rPr>
            </w:pPr>
            <w:r w:rsidRPr="00415A81">
              <w:rPr>
                <w:lang w:val="en-ID" w:eastAsia="en-US"/>
              </w:rPr>
              <w:t>sharia</w:t>
            </w:r>
          </w:p>
        </w:tc>
        <w:tc>
          <w:tcPr>
            <w:tcW w:w="2254" w:type="dxa"/>
          </w:tcPr>
          <w:p w14:paraId="29F7657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w:t>
            </w:r>
          </w:p>
        </w:tc>
        <w:tc>
          <w:tcPr>
            <w:tcW w:w="2254" w:type="dxa"/>
          </w:tcPr>
          <w:p w14:paraId="12FC5E46"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12</w:t>
            </w:r>
          </w:p>
        </w:tc>
        <w:tc>
          <w:tcPr>
            <w:tcW w:w="1743" w:type="dxa"/>
          </w:tcPr>
          <w:p w14:paraId="76B9675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25</w:t>
            </w:r>
          </w:p>
        </w:tc>
      </w:tr>
    </w:tbl>
    <w:p w14:paraId="5F6A1AA2" w14:textId="3983B35A" w:rsidR="008F1989" w:rsidRDefault="00415A81" w:rsidP="00415A81">
      <w:pPr>
        <w:autoSpaceDE/>
        <w:autoSpaceDN/>
        <w:spacing w:after="200" w:line="276" w:lineRule="auto"/>
        <w:ind w:left="426"/>
        <w:jc w:val="center"/>
        <w:rPr>
          <w:rFonts w:ascii="Calibri Light" w:eastAsia="MS Mincho" w:hAnsi="Calibri Light" w:cs="Calibri Light"/>
          <w:sz w:val="24"/>
          <w:szCs w:val="24"/>
          <w:rtl/>
          <w:lang w:eastAsia="en-US"/>
        </w:rPr>
      </w:pPr>
      <w:r w:rsidRPr="00415A81">
        <w:rPr>
          <w:rFonts w:ascii="Calibri Light" w:eastAsia="MS Mincho" w:hAnsi="Calibri Light" w:cs="Calibri Light"/>
          <w:b/>
          <w:bCs/>
          <w:sz w:val="24"/>
          <w:szCs w:val="24"/>
          <w:lang w:eastAsia="en-US"/>
        </w:rPr>
        <w:t xml:space="preserve">Table </w:t>
      </w:r>
      <w:r w:rsidR="001A4C9F">
        <w:rPr>
          <w:rFonts w:ascii="Calibri Light" w:eastAsia="MS Mincho" w:hAnsi="Calibri Light" w:cs="Calibri Light" w:hint="cs"/>
          <w:b/>
          <w:bCs/>
          <w:sz w:val="24"/>
          <w:szCs w:val="24"/>
          <w:rtl/>
          <w:lang w:eastAsia="en-US"/>
        </w:rPr>
        <w:t>4</w:t>
      </w:r>
      <w:r w:rsidRPr="00415A81">
        <w:rPr>
          <w:rFonts w:ascii="Calibri Light" w:eastAsia="MS Mincho" w:hAnsi="Calibri Light" w:cs="Calibri Light"/>
          <w:b/>
          <w:bCs/>
          <w:sz w:val="24"/>
          <w:szCs w:val="24"/>
          <w:lang w:eastAsia="en-US"/>
        </w:rPr>
        <w:t>.</w:t>
      </w:r>
      <w:r w:rsidRPr="00415A81">
        <w:rPr>
          <w:rFonts w:ascii="Calibri Light" w:eastAsia="MS Mincho" w:hAnsi="Calibri Light" w:cs="Calibri Light"/>
          <w:sz w:val="24"/>
          <w:szCs w:val="24"/>
          <w:lang w:eastAsia="en-US"/>
        </w:rPr>
        <w:t>The top 10 keywords on occurrence</w:t>
      </w:r>
    </w:p>
    <w:p w14:paraId="21D2CBBB" w14:textId="59BDCD25" w:rsidR="008F1989" w:rsidRDefault="00546E89" w:rsidP="00B06D1D">
      <w:pPr>
        <w:autoSpaceDE/>
        <w:autoSpaceDN/>
        <w:spacing w:after="200" w:line="276" w:lineRule="auto"/>
        <w:ind w:left="426"/>
        <w:jc w:val="both"/>
        <w:rPr>
          <w:rFonts w:ascii="Calibri Light" w:eastAsia="MS Mincho" w:hAnsi="Calibri Light" w:cs="Calibri Light"/>
          <w:sz w:val="24"/>
          <w:szCs w:val="24"/>
          <w:lang w:eastAsia="en-US"/>
        </w:rPr>
      </w:pPr>
      <w:r w:rsidRPr="00415A81">
        <w:rPr>
          <w:rFonts w:eastAsia="Calibri" w:cs="Traditional Arabic"/>
          <w:noProof/>
          <w:sz w:val="24"/>
          <w:szCs w:val="24"/>
          <w:lang w:val="en-ID" w:eastAsia="en-US"/>
        </w:rPr>
        <w:drawing>
          <wp:anchor distT="0" distB="0" distL="114300" distR="114300" simplePos="0" relativeHeight="251703808" behindDoc="0" locked="0" layoutInCell="1" allowOverlap="1" wp14:anchorId="755B90D5" wp14:editId="54A0AEE5">
            <wp:simplePos x="0" y="0"/>
            <wp:positionH relativeFrom="margin">
              <wp:align>right</wp:align>
            </wp:positionH>
            <wp:positionV relativeFrom="paragraph">
              <wp:posOffset>2173947</wp:posOffset>
            </wp:positionV>
            <wp:extent cx="5377180" cy="2246630"/>
            <wp:effectExtent l="0" t="0" r="0" b="1270"/>
            <wp:wrapTopAndBottom/>
            <wp:docPr id="46765379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77180" cy="22466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15A81" w:rsidRPr="00415A81">
        <w:rPr>
          <w:rFonts w:ascii="Calibri Light" w:eastAsia="MS Mincho" w:hAnsi="Calibri Light" w:cs="Calibri Light"/>
          <w:sz w:val="24"/>
          <w:szCs w:val="24"/>
          <w:lang w:eastAsia="en-US"/>
        </w:rPr>
        <w:t xml:space="preserve">Table </w:t>
      </w:r>
      <w:r w:rsidR="001A4C9F">
        <w:rPr>
          <w:rFonts w:ascii="Calibri Light" w:eastAsia="MS Mincho" w:hAnsi="Calibri Light" w:cs="Calibri Light" w:hint="cs"/>
          <w:sz w:val="24"/>
          <w:szCs w:val="24"/>
          <w:rtl/>
          <w:lang w:eastAsia="en-US"/>
        </w:rPr>
        <w:t>4</w:t>
      </w:r>
      <w:r w:rsidR="00415A81" w:rsidRPr="00415A81">
        <w:rPr>
          <w:rFonts w:ascii="Calibri Light" w:eastAsia="MS Mincho" w:hAnsi="Calibri Light" w:cs="Calibri Light"/>
          <w:sz w:val="24"/>
          <w:szCs w:val="24"/>
          <w:lang w:eastAsia="en-US"/>
        </w:rPr>
        <w:t xml:space="preserve"> presents key terms frequently appearing in the literature on Islamic banking, distributed across different conceptual clusters. "Islamic banking" ranks highest in both frequency (559) and total link strength (818), followed by "Islamic finance" and "Banking", highlighting their central role in the field. Terms such as "Basel accord" and "Basel III" appear in separate clusters, indicating a research focus on risk and financial regulation. Meanwhile, "Fintech" and "Islamic Marketing" reflect a shift toward technology and Islamic consumer behavior. Concepts like "Sharia" and "Islamic economics" emphasize the field's ethical and jurisprudential dimensions, showcasing the thematic diversity and interdisciplinary nature of Islamic banking research</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{"citationItems":[{"id":"ITEM-1","itemData":{"DOI":"10.1108/JM2-10-2020-0256","ISSN":"17465664 (ISSN)","abstract":"Purpose: This paper aims to compare perceptions of Islamic bank customers concerning FinTech services in Malaysia and Saudi Arabia. It also investigates the level to which customers are willing to adapt FinTech services. Design/methodology/approach: Primary data was collected from May to September 2019 using a questionnaire to survey 102 Islamic bank customers in Malaysia and 147 in Saudi Arabia. The data are analyzed based on Structural Equation Modelling using the partial least squares approach. Findings: The findings show that knowledge, attitude and subjective norms are the highly significant determining factors that influence customers’ opinions on adapting to new technology, but awareness demonstrates only a moderately positive effect. Moreover, the impact of these factors on the intention to adopt FinTech services significantly differs between Malaysian and Saudi Arabian customers. Originality/value: This is an original study based on primary data on customers of Islamic banking in Malaysia and Saudi Arabia. It provides some novel insights into how the banking industry can boost customers’ confidence and enhance their patronage by adopting FinTech in their business operation model. These findings should be of value to senior management, policymakers and regulators in the banking industry in both Muslim and non-Muslim countries. © 2021, Emerald Publishing Limited.","author":[{"dropping-particle":"","family":"Oladapo","given":"I A","non-dropping-particle":"","parse-names":false,"suffix":""},{"dropping-particle":"","family":"Hamoudah","given":"M M","non-dropping-particle":"","parse-names":false,"suffix":""},{"dropping-particle":"","family":"Alam","given":"M M","non-dropping-particle":"","parse-names":false,"suffix":""},{"dropping-particle":"","family":"Olaopa","given":"O R","non-dropping-particle":"","parse-names":false,"suffix":""},{"dropping-particle":"","family":"Muda","given":"R","non-dropping-particle":"","parse-names":false,"suffix":""}],"container-title":"Journal of Modelling in Management","id":"ITEM-1","issue":"4","issued":{"date-parts":[["2022"]]},"language":"English","note":"Export Date: 24 April 2025; Cited By: 39; Correspondence Address: I.A. Oladapo; Department of Economics, College of Business Administration, Imam Abdulrahman Bin Faisal University, Dammam, Saudi Arabia; email: iaoladapo@iau.edu.sa","page":"1241-1261","publisher":"Emerald Publishing","publisher-place":"Department of Economics, College of Business Administration, Imam Abdulrahman Bin Faisal University, Dammam, Saudi Arabia","title":"Customers’ perceptions of FinTech adaptability in the Islamic banking sector: comparative study on Malaysia and Saudi Arabia","type":"article-journal","volume":"17"},"uris":["http://www.mendeley.com/documents/?uuid=89d15f42-af9a-4532-8235-bc86bae60458"]}],"mendeley":{"formattedCitation":"(Oladapo et al., 2022)","plainTextFormattedCitation":"(Oladapo et al., 2022)","previouslyFormattedCitation":"[37]"},"properties":{"noteIndex":0},"schema":"https://github.com/citation-style-language/schema/raw/master/csl-citation.json"}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(Oladapo et al., 2022)</w:t>
      </w:r>
      <w:r w:rsidR="00BF5A85">
        <w:rPr>
          <w:rFonts w:ascii="Calibri Light" w:eastAsia="MS Mincho" w:hAnsi="Calibri Light" w:cs="Calibri Light"/>
          <w:sz w:val="24"/>
          <w:szCs w:val="24"/>
          <w:lang w:eastAsia="en-US"/>
        </w:rPr>
        <w:fldChar w:fldCharType="end"/>
      </w:r>
      <w:r w:rsidR="00415A81" w:rsidRPr="00415A81">
        <w:rPr>
          <w:rFonts w:ascii="Calibri Light" w:eastAsia="MS Mincho" w:hAnsi="Calibri Light" w:cs="Calibri Light"/>
          <w:sz w:val="24"/>
          <w:szCs w:val="24"/>
          <w:lang w:eastAsia="en-US"/>
        </w:rPr>
        <w:t>.</w:t>
      </w:r>
    </w:p>
    <w:p w14:paraId="7C91667F" w14:textId="36266D2D" w:rsidR="00415A81" w:rsidRDefault="00546E89" w:rsidP="00546E89">
      <w:pPr>
        <w:autoSpaceDE/>
        <w:autoSpaceDN/>
        <w:spacing w:after="200" w:line="276" w:lineRule="auto"/>
        <w:ind w:left="426"/>
        <w:jc w:val="center"/>
        <w:rPr>
          <w:rFonts w:ascii="Calibri Light" w:eastAsia="MS Mincho" w:hAnsi="Calibri Light" w:cs="Calibri Light"/>
          <w:sz w:val="24"/>
          <w:szCs w:val="24"/>
          <w:rtl/>
          <w:lang w:eastAsia="en-US"/>
        </w:rPr>
      </w:pPr>
      <w:r w:rsidRPr="00546E89">
        <w:rPr>
          <w:rFonts w:ascii="Calibri Light" w:eastAsia="MS Mincho" w:hAnsi="Calibri Light" w:cs="Calibri Light"/>
          <w:b/>
          <w:bCs/>
          <w:sz w:val="24"/>
          <w:szCs w:val="24"/>
          <w:lang w:eastAsia="en-US"/>
        </w:rPr>
        <w:t xml:space="preserve">Figure </w:t>
      </w:r>
      <w:r w:rsidR="001A4C9F">
        <w:rPr>
          <w:rFonts w:ascii="Calibri Light" w:eastAsia="MS Mincho" w:hAnsi="Calibri Light" w:cs="Calibri Light" w:hint="cs"/>
          <w:b/>
          <w:bCs/>
          <w:sz w:val="24"/>
          <w:szCs w:val="24"/>
          <w:rtl/>
          <w:lang w:eastAsia="en-US"/>
        </w:rPr>
        <w:t>1</w:t>
      </w:r>
      <w:r w:rsidR="001F582A">
        <w:rPr>
          <w:rFonts w:ascii="Calibri Light" w:eastAsia="MS Mincho" w:hAnsi="Calibri Light" w:cs="Calibri Light"/>
          <w:b/>
          <w:bCs/>
          <w:sz w:val="24"/>
          <w:szCs w:val="24"/>
          <w:lang w:eastAsia="en-US"/>
        </w:rPr>
        <w:t>1</w:t>
      </w:r>
      <w:r w:rsidRPr="00546E89">
        <w:rPr>
          <w:rFonts w:ascii="Calibri Light" w:eastAsia="MS Mincho" w:hAnsi="Calibri Light" w:cs="Calibri Light"/>
          <w:b/>
          <w:bCs/>
          <w:sz w:val="24"/>
          <w:szCs w:val="24"/>
          <w:lang w:eastAsia="en-US"/>
        </w:rPr>
        <w:t>.</w:t>
      </w:r>
      <w:r>
        <w:rPr>
          <w:rFonts w:ascii="Calibri Light" w:eastAsia="MS Mincho" w:hAnsi="Calibri Light" w:cs="Calibri Light"/>
          <w:b/>
          <w:bCs/>
          <w:sz w:val="24"/>
          <w:szCs w:val="24"/>
          <w:lang w:eastAsia="en-US"/>
        </w:rPr>
        <w:t xml:space="preserve"> </w:t>
      </w:r>
      <w:r w:rsidRPr="00546E89">
        <w:rPr>
          <w:rFonts w:ascii="Calibri Light" w:eastAsia="MS Mincho" w:hAnsi="Calibri Light" w:cs="Calibri Light"/>
          <w:sz w:val="24"/>
          <w:szCs w:val="24"/>
          <w:lang w:eastAsia="en-US"/>
        </w:rPr>
        <w:t>The word cloud of strategic Basel and Islamic Banking research</w:t>
      </w:r>
    </w:p>
    <w:p w14:paraId="2AAF43EF" w14:textId="41E0D496" w:rsidR="008F1989" w:rsidRDefault="00546E89" w:rsidP="00B06D1D">
      <w:pPr>
        <w:autoSpaceDE/>
        <w:autoSpaceDN/>
        <w:spacing w:after="200" w:line="276" w:lineRule="auto"/>
        <w:ind w:left="426"/>
        <w:jc w:val="both"/>
        <w:rPr>
          <w:rFonts w:ascii="Calibri Light" w:eastAsia="MS Mincho" w:hAnsi="Calibri Light" w:cs="Calibri Light"/>
          <w:sz w:val="24"/>
          <w:szCs w:val="24"/>
          <w:rtl/>
          <w:lang w:eastAsia="en-US"/>
        </w:rPr>
      </w:pPr>
      <w:r w:rsidRPr="00546E89">
        <w:rPr>
          <w:rFonts w:ascii="Calibri Light" w:eastAsia="MS Mincho" w:hAnsi="Calibri Light" w:cs="Calibri Light"/>
          <w:sz w:val="24"/>
          <w:szCs w:val="24"/>
          <w:lang w:eastAsia="en-US"/>
        </w:rPr>
        <w:t xml:space="preserve">Figure </w:t>
      </w:r>
      <w:r w:rsidR="001A4C9F">
        <w:rPr>
          <w:rFonts w:ascii="Calibri Light" w:eastAsia="MS Mincho" w:hAnsi="Calibri Light" w:cs="Calibri Light" w:hint="cs"/>
          <w:sz w:val="24"/>
          <w:szCs w:val="24"/>
          <w:rtl/>
          <w:lang w:eastAsia="en-US"/>
        </w:rPr>
        <w:t>1</w:t>
      </w:r>
      <w:r w:rsidR="001F582A">
        <w:rPr>
          <w:rFonts w:ascii="Calibri Light" w:eastAsia="MS Mincho" w:hAnsi="Calibri Light" w:cs="Calibri Light"/>
          <w:sz w:val="24"/>
          <w:szCs w:val="24"/>
          <w:lang w:eastAsia="en-US"/>
        </w:rPr>
        <w:t>1</w:t>
      </w:r>
      <w:r w:rsidRPr="00546E89">
        <w:rPr>
          <w:rFonts w:ascii="Calibri Light" w:eastAsia="MS Mincho" w:hAnsi="Calibri Light" w:cs="Calibri Light"/>
          <w:sz w:val="24"/>
          <w:szCs w:val="24"/>
          <w:lang w:eastAsia="en-US"/>
        </w:rPr>
        <w:t xml:space="preserve"> presents a word cloud in the image above highlights the central focus on topics related to Basel Accords and Islamic Banking, with frequent associations to key economic and financial concepts. The prominence of terms such as Basel Accords, Islamic Banking, economy, Islam, and bank reflects the dominant themes within this research field. It is evident that regulatory frameworks and Sharia-compliant financial practices form the core of scholarly interest</w:t>
      </w:r>
      <w:r w:rsidR="008C1784">
        <w:rPr>
          <w:rFonts w:ascii="Calibri Light" w:eastAsia="MS Mincho" w:hAnsi="Calibri Light" w:cs="Calibri Light" w:hint="cs"/>
          <w:sz w:val="24"/>
          <w:szCs w:val="24"/>
          <w:rtl/>
          <w:lang w:eastAsia="en-US"/>
        </w:rPr>
        <w:t xml:space="preserve"> </w:t>
      </w:r>
      <w:r w:rsidR="00991D92">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{"citationItems":[{"id":"ITEM-1","itemData":{"DOI":"10.1504/IJBIR.2024.141616","ISSN":"17510252 (ISSN)","abstract":"Through banking supervision, the Basel 3 reports strengthen the solidity of financial stability and compatibility among national supervisory systems and practices. This study examines the role of Basel 3 under core requirement using regulatory capital, capital adequacy ratio, and financial gearing ratio to improve internal audit quality. The methodology used involved a quantitative method using questionnaires distributed among internal audit, risk management and credit staff in 20 banks, after which 79 from the distributed 90 questionnaires were deemed valid for analysis. The software used for processing and analysing data was smart PLS. After data analysis, the study results showed that there is a statistically significant positive moderating role of Basel 3 Committee in improving internal audit quality under corporate governance in Jordanian commercial banks. © 2024 Inderscience Enterprises Ltd.","author":[{"dropping-particle":"","family":"Al-Olaimat","given":"N H","non-dropping-particle":"","parse-names":false,"suffix":""},{"dropping-particle":"","family":"Hamdan","given":"M N","non-dropping-particle":"","parse-names":false,"suffix":""},{"dropping-particle":"","family":"Al-Deen Al-Sraheen","given":"D","non-dropping-particle":"","parse-names":false,"suffix":""},{"dropping-particle":"","family":"Alali","given":"H A","non-dropping-particle":"","parse-names":false,"suffix":""}],"container-title":"International Journal of Business Innovation and Research","id":"ITEM-1","issue":"2","issued":{"date-parts":[["2024"]]},"language":"English","note":"Export Date: 23 June 2025; Cited By: 1; Correspondence Address: N.H. Al-Olaimat; Accounting Department, Al-Bayt University, Jordan; email: nofanjo@aabu.edu.jo","page":"157-172","publisher":"Inderscience Publishers","publisher-place":"Accounting Department, Al-Bayt University, Jordan","title":"The role of the core requirements of Basel 3 Committee’s decisions in improving internal audit quality under corporate governance in Jordanian commercial banks","type":"article-journal","volume":"35"},"uris":["http://www.mendeley.com/documents/?uuid=113d9b88-e98a-45a4-8e53-16e706186b88"]}],"mendeley":{"formattedCitation":"(Al-Olaimat et al., 2024)","plainTextFormattedCitation":"(Al-Olaimat et al., 2024)","previouslyFormattedCitation":"[38]"},"properties":{"noteIndex":0},"schema":"https://github.com/citation-style-language/schema/raw/master/csl-citation.json"}</w:instrText>
      </w:r>
      <w:r w:rsidR="00991D92">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(Al-Olaimat et al., 2024)</w:t>
      </w:r>
      <w:r w:rsidR="00991D92">
        <w:rPr>
          <w:rFonts w:ascii="Calibri Light" w:eastAsia="MS Mincho" w:hAnsi="Calibri Light" w:cs="Calibri Light"/>
          <w:sz w:val="24"/>
          <w:szCs w:val="24"/>
          <w:lang w:eastAsia="en-US"/>
        </w:rPr>
        <w:fldChar w:fldCharType="end"/>
      </w:r>
      <w:r w:rsidRPr="00546E89">
        <w:rPr>
          <w:rFonts w:ascii="Calibri Light" w:eastAsia="MS Mincho" w:hAnsi="Calibri Light" w:cs="Calibri Light"/>
          <w:sz w:val="24"/>
          <w:szCs w:val="24"/>
          <w:lang w:eastAsia="en-US"/>
        </w:rPr>
        <w:t>. The inclusion of words like finance, regulation, risk, and compliance indicates a strong emphasis on the legal and economic dimensions of banking operations. Furthermore, the presence of terms such as development, stability, and growth suggests a broader concern with the macroeconomic implications and the evolving role of Islamic finance within global financial systems</w:t>
      </w:r>
      <w:r w:rsidR="008C1784">
        <w:rPr>
          <w:rFonts w:ascii="Calibri Light" w:eastAsia="MS Mincho" w:hAnsi="Calibri Light" w:cs="Calibri Light" w:hint="cs"/>
          <w:sz w:val="24"/>
          <w:szCs w:val="24"/>
          <w:rtl/>
          <w:lang w:eastAsia="en-US"/>
        </w:rPr>
        <w:t xml:space="preserve"> </w:t>
      </w:r>
      <w:r w:rsidR="00991D92">
        <w:rPr>
          <w:rFonts w:ascii="Calibri Light" w:eastAsia="MS Mincho" w:hAnsi="Calibri Light" w:cs="Calibri Light"/>
          <w:sz w:val="24"/>
          <w:szCs w:val="24"/>
          <w:lang w:eastAsia="en-US"/>
        </w:rPr>
        <w:fldChar w:fldCharType="begin" w:fldLock="1"/>
      </w:r>
      <w:r w:rsidR="005B5658">
        <w:rPr>
          <w:rFonts w:ascii="Calibri Light" w:eastAsia="MS Mincho" w:hAnsi="Calibri Light" w:cs="Calibri Light"/>
          <w:sz w:val="24"/>
          <w:szCs w:val="24"/>
          <w:lang w:eastAsia="en-US"/>
        </w:rPr>
        <w:instrText>ADDIN CSL_CITATION {"citationItems":[{"id":"ITEM-1","itemData":{"DOI":"10.1080/13501763.2020.1725096","ISSN":"13501763 (ISSN)","abstract":"This article examines to what extent regulatory import (RI), a common, but understudied mode of governance in regime complexes, was a separate factor of the global financial crisis in 2008. RI describes a specific mode of governance that occurs when regulators explicitly incorporate functionally important governance from an external forum to their own regulations, thus making their own performance dependent on external agency. While RI is associated with benefits, such as specialisation, it could cause unintended consequences. The one-sided dependence on external authority could result in the import of non-complementary governance or regulatory failures and undermine the regulator’s performance. We illustrate our argument with the Basel Committee on Banking Supervision that imported governance authority from the International Accounting Standards Board and credit rating agencies. The paper finds two negative consequences of RI for the Basel Committee’s regulatory performance in the 2008 financial crisis. First, uncoordinated changes of accounting rules increased pro-cyclical effects that exacerbated the banking crisis. Second, import of credit risk measurement from credit rating agencies led to misjudgement of risk exposure. © 2020 Informa UK Limited, trading as Taylor &amp; Francis Group.","author":[{"dropping-particle":"","family":"Becker","given":"M","non-dropping-particle":"","parse-names":false,"suffix":""},{"dropping-particle":"","family":"Linder","given":"S","non-dropping-particle":"","parse-names":false,"suffix":""}],"container-title":"Journal of European Public Policy","id":"ITEM-1","issue":"2","issued":{"date-parts":[["2021"]]},"language":"English","note":"Export Date: 23 June 2025; Cited By: 5; Correspondence Address: M. Becker; Institute for Political Science, Otto-Friedrich-University of Bamberg, Bamberg, Germany; email: manuel.becker@uni-bamberg.de","page":"248-267","publisher":"Routledge","publisher-place":"Institute for Political Science, Otto-Friedrich-University of Bamberg, Bamberg, Germany","title":"The unintended consequences of regulatory import: the Basel Accord’s failure during the financial crisis","type":"article-journal","volume":"28"},"uris":["http://www.mendeley.com/documents/?uuid=fda29cd5-6d05-4b91-9343-6ed131b4ff9e"]}],"mendeley":{"formattedCitation":"(Becker &amp; Linder, 2021)","plainTextFormattedCitation":"(Becker &amp; Linder, 2021)","previouslyFormattedCitation":"[39]"},"properties":{"noteIndex":0},"schema":"https://github.com/citation-style-language/schema/raw/master/csl-citation.json"}</w:instrText>
      </w:r>
      <w:r w:rsidR="00991D92">
        <w:rPr>
          <w:rFonts w:ascii="Calibri Light" w:eastAsia="MS Mincho" w:hAnsi="Calibri Light" w:cs="Calibri Light"/>
          <w:sz w:val="24"/>
          <w:szCs w:val="24"/>
          <w:lang w:eastAsia="en-US"/>
        </w:rPr>
        <w:fldChar w:fldCharType="separate"/>
      </w:r>
      <w:r w:rsidR="005B5658" w:rsidRPr="005B5658">
        <w:rPr>
          <w:rFonts w:ascii="Calibri Light" w:eastAsia="MS Mincho" w:hAnsi="Calibri Light" w:cs="Calibri Light"/>
          <w:noProof/>
          <w:sz w:val="24"/>
          <w:szCs w:val="24"/>
          <w:lang w:eastAsia="en-US"/>
        </w:rPr>
        <w:t>(Becker &amp; Linder, 2021)</w:t>
      </w:r>
      <w:r w:rsidR="00991D92">
        <w:rPr>
          <w:rFonts w:ascii="Calibri Light" w:eastAsia="MS Mincho" w:hAnsi="Calibri Light" w:cs="Calibri Light"/>
          <w:sz w:val="24"/>
          <w:szCs w:val="24"/>
          <w:lang w:eastAsia="en-US"/>
        </w:rPr>
        <w:fldChar w:fldCharType="end"/>
      </w:r>
      <w:r w:rsidRPr="00546E89">
        <w:rPr>
          <w:rFonts w:ascii="Calibri Light" w:eastAsia="MS Mincho" w:hAnsi="Calibri Light" w:cs="Calibri Light"/>
          <w:sz w:val="24"/>
          <w:szCs w:val="24"/>
          <w:lang w:eastAsia="en-US"/>
        </w:rPr>
        <w:t>.</w:t>
      </w:r>
    </w:p>
    <w:p w14:paraId="176BC6D0" w14:textId="77777777" w:rsidR="008C1784" w:rsidRDefault="008C1784" w:rsidP="00B06D1D">
      <w:pPr>
        <w:autoSpaceDE/>
        <w:autoSpaceDN/>
        <w:spacing w:after="200" w:line="276" w:lineRule="auto"/>
        <w:ind w:left="426"/>
        <w:jc w:val="both"/>
        <w:rPr>
          <w:rFonts w:ascii="Calibri Light" w:eastAsia="MS Mincho" w:hAnsi="Calibri Light" w:cs="Calibri Light"/>
          <w:sz w:val="24"/>
          <w:szCs w:val="24"/>
          <w:rtl/>
          <w:lang w:eastAsia="en-US"/>
        </w:rPr>
      </w:pPr>
    </w:p>
    <w:p w14:paraId="09411317" w14:textId="77777777" w:rsidR="00E434D8" w:rsidRDefault="00E434D8" w:rsidP="00E434D8">
      <w:pPr>
        <w:autoSpaceDE/>
        <w:autoSpaceDN/>
        <w:spacing w:after="200" w:line="276" w:lineRule="auto"/>
        <w:ind w:left="426"/>
        <w:jc w:val="both"/>
        <w:rPr>
          <w:rFonts w:ascii="Calibri Light" w:eastAsia="MS Mincho" w:hAnsi="Calibri Light" w:cs="Calibri Light"/>
          <w:b/>
          <w:sz w:val="24"/>
          <w:szCs w:val="24"/>
          <w:rtl/>
          <w:lang w:eastAsia="en-US"/>
        </w:rPr>
      </w:pPr>
      <w:r w:rsidRPr="00E434D8">
        <w:rPr>
          <w:rFonts w:ascii="Calibri Light" w:eastAsia="MS Mincho" w:hAnsi="Calibri Light" w:cs="Calibri Light"/>
          <w:b/>
          <w:sz w:val="24"/>
          <w:szCs w:val="24"/>
          <w:lang w:val="id-ID" w:eastAsia="en-US"/>
        </w:rPr>
        <w:lastRenderedPageBreak/>
        <w:t>DISCUSSION</w:t>
      </w:r>
      <w:r w:rsidRPr="00E434D8">
        <w:rPr>
          <w:rFonts w:ascii="Calibri Light" w:eastAsia="MS Mincho" w:hAnsi="Calibri Light" w:cs="Calibri Light"/>
          <w:b/>
          <w:sz w:val="24"/>
          <w:szCs w:val="24"/>
          <w:lang w:eastAsia="en-US"/>
        </w:rPr>
        <w:t xml:space="preserve"> </w:t>
      </w:r>
    </w:p>
    <w:p w14:paraId="118E711B" w14:textId="4FCCF05B" w:rsidR="00E434D8" w:rsidRPr="00902E8B" w:rsidRDefault="00E434D8" w:rsidP="00902E8B">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 xml:space="preserve">The bibliometric analysis in this study shows a significant growth in research related to the Basel Accords and Islamic banking, reflecting the increasing interest in this dynamic academic field. </w:t>
      </w:r>
      <w:r w:rsidR="00902E8B" w:rsidRPr="00902E8B">
        <w:rPr>
          <w:rFonts w:ascii="Calibri Light" w:eastAsia="MS Mincho" w:hAnsi="Calibri Light" w:cs="Calibri Light"/>
          <w:sz w:val="24"/>
          <w:szCs w:val="24"/>
          <w:lang w:val="en-ID" w:eastAsia="en-US"/>
        </w:rPr>
        <w:t>Since 2015, there has been a steady rise in publications addressing the impact of Basel regulations on Islamic banking systems, with notable peaks in 2020 and 2022. This upward trend appears to be influenced not only by the implementation timeline of Basel III, but also by external factors such as the COVID-19 pandemic, which amplified concerns about financial stability and liquidity management in both conventional and Islamic financial institutions</w:t>
      </w:r>
      <w:r w:rsidR="008C1784">
        <w:rPr>
          <w:rFonts w:ascii="Calibri Light" w:eastAsia="MS Mincho" w:hAnsi="Calibri Light" w:cs="Calibri Light" w:hint="cs"/>
          <w:sz w:val="24"/>
          <w:szCs w:val="24"/>
          <w:rtl/>
          <w:lang w:val="en-ID" w:eastAsia="en-US"/>
        </w:rPr>
        <w:t xml:space="preserve"> </w:t>
      </w:r>
      <w:r w:rsidR="00512648">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{"citationItems":[{"id":"ITEM-1","itemData":{"DOI":"10.1108/JIABR-09-2020-0298","ISSN":"17590817 (ISSN)","abstract":"Purpose: The purpose of this paper is to investigate the impact of basel accord on the Bangladeshi bank performance including Islamic banks and the role of subordinated debt (sub-debt) as basel regulatory capital (BRC). Design/methodology/approach: The authors conducted the empirical investigation by adopting a quantitative approach and using the secondary data available in the annual reports of the sample banks between 2009 and 2018. This paper develops an econometric model to compare and analyze the regression result under two states of capital-to-risk adjusted assets ratio (CRAR) with sub-debt and CRAR without sub-debt. This paper analyzes the impact of sub-debt in the largest Islamic bank for the year 2007 as a case study for endorsing the findings. Findings: This paper finds that CRAR has positive alignments with return on equity (ROE) and cash dividend when sub-debt is considered as Tier 2 capital. This paper observes that the huge bad loan write-off supports to downsize the asset size thus temporarily enhance the return on assets (ROA). In a nutshell, sub-debt gives banks an ill incentive to disburse steady cash dividends instead of injecting genuine equity capital, encouraging them to take more credit risk. In fact, more private commercial banks (PCBs) issued huge sub-debts between 2009 and 2018 under a unique arrangement, which the authors termed as the “sub-debt trap.” Research limitations/implications: This paper draws policy implications for the banking regulator to identify and rectify a systemic problem of the “sub-debt trap” which hinders the regulatory purpose from the implementation of basel accord II and III. A limitation of this study is the authors shed analytical light on Bangladeshi banks, i.e. it a single country analysis which may not be generalized to other developing countries except matching with a similar context. Originality/value: The paper contributes to accumulating empirical studies on the effectiveness of basel accord implementation in developing countries. In most of the developing countries, where institutional loopholes are a major concern, the research provides evidence that how weak institutional settings are largely responsible for harvesting the potential benefit from micro-prudential regulation such as the basel accord. To shed analytical light on developing country context, the study document that sub-debt has been instrumentalized to maintain minimum capital ratio and banks managers tends more focus on improvi…","author":[{"dropping-particle":"","family":"Hasan","given":"A.K.M.K.","non-dropping-particle":"","parse-names":false,"suffix":""},{"dropping-particle":"","family":"Suzuki","given":"Y","non-dropping-particle":"","parse-names":false,"suffix":""}],"container-title":"Journal of Islamic Accounting and Business Research","id":"ITEM-1","issue":"8","issued":{"date-parts":[["2021"]]},"language":"English","note":"Export Date: 23 June 2025; Cited By: 1; Correspondence Address: A.K.M.K. Hasan; University of Science and Technology Chittagong, Chittagong, Bangladesh; email: hasan.hasanakmkamrul@gmail.com","page":"1124-1145","publisher":"Emerald Group Holdings Ltd.","publisher-place":"University of Science and Technology Chittagong, Chittagong, Bangladesh","title":"“Sub-debt trap”: a real effect of an ill-design adoption of basel accord in the Bangladeshi banking industry","type":"article-journal","volume":"12"},"uris":["http://www.mendeley.com/documents/?uuid=c985e329-497a-4838-ae72-e88c48fd16df"]}],"mendeley":{"formattedCitation":"(Hasan &amp; Suzuki, 2021)","plainTextFormattedCitation":"(Hasan &amp; Suzuki, 2021)","previouslyFormattedCitation":"[40]"},"properties":{"noteIndex":0},"schema":"https://github.com/citation-style-language/schema/raw/master/csl-citation.json"}</w:instrText>
      </w:r>
      <w:r w:rsidR="00512648">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(Hasan &amp; Suzuki, 2021)</w:t>
      </w:r>
      <w:r w:rsidR="00512648">
        <w:rPr>
          <w:rFonts w:ascii="Calibri Light" w:eastAsia="MS Mincho" w:hAnsi="Calibri Light" w:cs="Calibri Light"/>
          <w:sz w:val="24"/>
          <w:szCs w:val="24"/>
          <w:lang w:val="en-ID" w:eastAsia="en-US"/>
        </w:rPr>
        <w:fldChar w:fldCharType="end"/>
      </w:r>
      <w:r w:rsidR="00902E8B" w:rsidRPr="00902E8B">
        <w:rPr>
          <w:rFonts w:ascii="Calibri Light" w:eastAsia="MS Mincho" w:hAnsi="Calibri Light" w:cs="Calibri Light"/>
          <w:sz w:val="24"/>
          <w:szCs w:val="24"/>
          <w:lang w:val="en-ID" w:eastAsia="en-US"/>
        </w:rPr>
        <w:t>. Among Basel III components, the Liquidity Coverage Ratio (LCR) and the Net Stable Funding Ratio (NSFR) have received the most academic attention, as they directly affect Islamic banks' ability to maintain Sharia-compliant short-term and long-term funding structures. These requirements have posed challenges for Islamic financial institutions, which rely on asset-backed instruments and avoid interest-based liquidity tools. Consequently, the intersection of Basel III and Islamic finance has become a focal point for academic discourse during this period</w:t>
      </w:r>
      <w:r w:rsidR="008C1784">
        <w:rPr>
          <w:rFonts w:ascii="Calibri Light" w:eastAsia="MS Mincho" w:hAnsi="Calibri Light" w:cs="Calibri Light" w:hint="cs"/>
          <w:sz w:val="24"/>
          <w:szCs w:val="24"/>
          <w:rtl/>
          <w:lang w:val="en-ID" w:eastAsia="en-US"/>
        </w:rPr>
        <w:t xml:space="preserve"> </w:t>
      </w:r>
      <w:r w:rsidR="00465FB0">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{"citationItems":[{"id":"ITEM-1","itemData":{"DOI":"10.1016/j.jretconser.2021.102558","ISSN":"09696989 (ISSN)","abstract":"Increased support from customers for Islamic financial services is very important to create resilience and competitiveness in the Islamic banking industry. By highlighting certain social activities, this paper estimates the role of Islamic banks’ CSR in influencing customer loyalty, both individually and through the integrated roles of image, trust, satisfaction, and reputation. These paths explore how CSR makes customers impressed, convinced, satisfied, amazed, and ultimately loyal to Islamic banks. The empirical analysis of partial least square structural equation modeling (n = 283) has shown that CSR directly and positively impacts loyalty. Indirectly, these two aspects have an insignificant relationship through the serial roles of image-reputation and satisfaction-reputation, but significant through the single role of reputation and the serial role of trust-reputation. This study has resulted in an updated prediction model of Islamic banking customer loyalty. The practical implication lies in the importance of developing CSR to generate trust and reputation which ultimately increase customer loyalty toward Islamic banks. © 2021 Elsevier Ltd","author":[{"dropping-particle":"","family":"Muflih","given":"M","non-dropping-particle":"","parse-names":false,"suffix":""}],"container-title":"Journal of Retailing and Consumer Services","id":"ITEM-1","issued":{"date-parts":[["2021"]]},"language":"English","note":"Export Date: 24 April 2025; Cited By: 59","publisher":"Elsevier Ltd","publisher-place":"Accounting Department, Politeknik Negeri Bandung, Indonesia","title":"The link between corporate social responsibility and customer loyalty: Empirical evidence from the Islamic banking industry","type":"article-journal","volume":"61"},"uris":["http://www.mendeley.com/documents/?uuid=73eadbe0-359c-4a33-97cb-b9346f6612e4"]}],"mendeley":{"formattedCitation":"(Muflih, 2021)","plainTextFormattedCitation":"(Muflih, 2021)","previouslyFormattedCitation":"[41]"},"properties":{"noteIndex":0},"schema":"https://github.com/citation-style-language/schema/raw/master/csl-citation.json"}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(Muflih, 2021)</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2095E5D6" w14:textId="58CD84F1"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The analysis of influential authors highlights Dr. M.K. Hassan as a key figure, whose contributions have significantly shaped research in this area. These contributions serve as foundational references in understanding the research trends, reflecting the importance of in-depth studies to develop regulatory frameworks for Islamic banking and guide academic discourse on the alignment of global financial standards with Sharia-compliant practices. This role is crucial in ensuring that Islamic banking systems adhere to international standards while addressing the unique challenges they face in global financial markets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{"citationItems":[{"id":"ITEM-1","itemData":{"DOI":"10.1016/j.iref.2022.02.014","ISSN":"10590560 (ISSN)","abstract":"In this paper, we examine the use of book-to-market equity (BE/ME) as a determinant of asset correlations in the Basel Accord on regulatory capital requirements. Utilizing an international sample from 38 countries during 1989–2017, we discover that asset correlations, controlling for firm size and default probability, are negatively associated with BE/ME. We further decompose BE/ME according to Daniel and Titman (2006) and Penman et al. (2007) to explore why BE/ME can capture variations in asset correlations. The former method demonstrates that obligors with higher assets-in-place (higher BE/ME) exhibit lower asset correlations, and the latter approach reveals that obligors with higher operating risk have lower asset correlations. These findings suggest that BE/ME is potentially a crucial factor in improving estimates of asset correlations and reducing bank regulatory capital arbitrage. © 2022 Elsevier Inc.","author":[{"dropping-particle":"","family":"Ho","given":"K.-C.","non-dropping-particle":"","parse-names":false,"suffix":""},{"dropping-particle":"","family":"Lee","given":"S.-C.","non-dropping-particle":"","parse-names":false,"suffix":""},{"dropping-particle":"","family":"Chen","given":"J.-L.","non-dropping-particle":"","parse-names":false,"suffix":""}],"container-title":"International Review of Economics and Finance","id":"ITEM-1","issued":{"date-parts":[["2022"]]},"language":"English","note":"Export Date: 24 April 2025; Cited By: 2; Correspondence Address: J.-L. Chen; College of Business, Valparaiso University, Valparaiso, 1909 Chapel Dr, 46383, United States; email: jiunlin.chen@valpo.edu","page":"258-274","publisher":"Elsevier Inc.","publisher-place":"School of Finance, Fuzhou University of International Studies and Trade, China","title":"Book-to-market equity and asset correlations—An international study","type":"article-journal","volume":"79"},"uris":["http://www.mendeley.com/documents/?uuid=3e5e2f66-8098-44d5-85d2-584ee8c4b992"]}],"mendeley":{"formattedCitation":"(Ho et al., 2022)","plainTextFormattedCitation":"(Ho et al., 2022)","previouslyFormattedCitation":"[42]"},"properties":{"noteIndex":0},"schema":"https://github.com/citation-style-language/schema/raw/master/csl-citation.json"}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(Ho et al.,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19F1218" w14:textId="042DA1E3"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Geographical analysis reveals that Islamic countries, especially Malaysia and Indonesia, have been central in academic research on the Basel Accords and Islamic banking. This can be attributed to their advanced institutional frameworks for Islamic finance, positioning them as leading research hubs in this field</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{"citationItems":[{"id":"ITEM-1","itemData":{"DOI":"10.1017/bap.2021.16","ISSN":"13695258 (ISSN)","abstract":"Recent developments in the international banking system, especially the 2007-9 crisis and subsequent wave of postcrisis regulation, have drawn increasing attention to the structural power of banks and banking systems. States need a functioning financial system to ensure the overall health of their economies, so states must shape policy to protect their financial firms. National financial systems may be dominated either by banks or by capital markets. In states where banks dominate provision of capital, states must shape policy to protect their banks because of their structural importance, independent of any lobbying or other direct action on the part of banks to exercise instrumental power. The entangling of structural and instrumental power means studying differences in structural power requires either careful case-study work or cross-national comparison of responses to a common shock. The implementation of the 2011 Basel III Accords provides just such an opportunity. This article offers a quantitative analysis of a new dataset of implementation of Basel III components in the Basel Committee on Banking Stability member states from 2011 to 2019 and demonstrates the structural power of banks in bank-based systems to accelerate implementation of favorable policies and slow implementation of unfavorable ones.  © The Author(s), 2021.","author":[{"dropping-particle":"","family":"Mitchell","given":"C","non-dropping-particle":"","parse-names":false,"suffix":""}],"container-title":"Business and Politics","id":"ITEM-1","issue":"1","issued":{"date-parts":[["2022"]]},"language":"English","note":"Export Date: 24 April 2025; Cited By: 5; Correspondence Address: C. Mitchell; Mount Holyoke College, South Hadley, 01075, United States; email: mitchell@mtholyoke.edu","page":"1-17","publisher":"Cambridge University Press","publisher-place":"Mount Holyoke College, South Hadley, 01075, MA, United States","title":"The Power of Delay: Banking System Structure and Implementation of the Basel Accords","type":"article-journal","volume":"24"},"uris":["http://www.mendeley.com/documents/?uuid=0c034651-1adc-475c-9c22-3baf0c4efbe8"]}],"mendeley":{"formattedCitation":"(Mitchell, 2022)","plainTextFormattedCitation":"(Mitchell, 2022)","previouslyFormattedCitation":"[43]"},"properties":{"noteIndex":0},"schema":"https://github.com/citation-style-language/schema/raw/master/csl-citation.json"}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(Mitchell,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 On the other hand, countries like the United Kingdom and the United States, while not dominant in Islamic banking, still contribute to comparative studies between conventional and Islamic banking systems, reflecting a cross-cultural interest in regulatory alignment. This dynamic points to an increasing need for international collaboration between Western and Islamic countries in developing regulatory frameworks that integrate global financial practices with Islamic financial principles</w:t>
      </w:r>
      <w:r w:rsidR="008C1784">
        <w:rPr>
          <w:rFonts w:ascii="Calibri Light" w:eastAsia="MS Mincho" w:hAnsi="Calibri Light" w:cs="Calibri Light" w:hint="cs"/>
          <w:sz w:val="24"/>
          <w:szCs w:val="24"/>
          <w:rtl/>
          <w:lang w:val="en-ID" w:eastAsia="en-US"/>
        </w:rPr>
        <w:t xml:space="preserve"> </w:t>
      </w:r>
      <w:r w:rsidR="006B2D04">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{"citationItems":[{"id":"ITEM-1","itemData":{"ISSN":"09703772 (ISSN)","abstract":"Scheduled commercial banks do plays a great roles in the country's overall economic growth. But increased declining performance of banks has remained a cause of concern all the time. The level of capital of individual banks is an important indicator that impacts the banks' performance. The extent and nature of liabilities an individual bank holds in its balance sheet, quality of assets, level of profits, net interest margin, nature of operational risks, marketing risks and unexpected financial crisis all are integrated components and have impact on performance of a bank. The study has covered the factors responsible for the assessment of banks performance, their relationship and impact on measurement of banks' performance. The study has also focused on the factors which are more related to the level of capital level. The Basel 3 accord has certain provisions for additional capital to cover financial crisis and unexpected financial market movements. © Indian Institute of Finance","author":[{"dropping-particle":"","family":"Bawa","given":"R","non-dropping-particle":"","parse-names":false,"suffix":""},{"dropping-particle":"","family":"Singh","given":"K","non-dropping-particle":"","parse-names":false,"suffix":""}],"container-title":"Finance India","id":"ITEM-1","issue":"3","issued":{"date-parts":[["2023"]]},"language":"English","note":"Export Date: 24 April 2025; Cited By: 0","page":"849-880","publisher":"Indian Institute of Finance","publisher-place":"GLA University, Uttar Pradesh, Mathura, 281406, India","title":"Implementation of Basel Accords and its impact on Asset-Liability Management Banks : A Literature Review1","type":"article-journal","volume":"37"},"uris":["http://www.mendeley.com/documents/?uuid=567730ad-805a-41bb-bbe7-5ee3f6b0f846"]}],"mendeley":{"formattedCitation":"(Bawa &amp; Singh, 2023)","plainTextFormattedCitation":"(Bawa &amp; Singh, 2023)","previouslyFormattedCitation":"[44]"},"properties":{"noteIndex":0},"schema":"https://github.com/citation-style-language/schema/raw/master/csl-citation.json"}</w:instrText>
      </w:r>
      <w:r w:rsidR="006B2D04">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(Bawa &amp; Singh, 2023)</w:t>
      </w:r>
      <w:r w:rsidR="006B2D04">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E85E3E8" w14:textId="65A8383C"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 xml:space="preserve">Furthermore, the bibliometric networks provide a comprehensive view of the research evolution in this field, with increasing focus on topics such as corporate governance, risk management, and sustainability within Islamic banking. These themes are reflected in the various semantic clusters that dominate the literature, illustrating the close connections </w:t>
      </w:r>
      <w:r w:rsidRPr="00E434D8">
        <w:rPr>
          <w:rFonts w:ascii="Calibri Light" w:eastAsia="MS Mincho" w:hAnsi="Calibri Light" w:cs="Calibri Light"/>
          <w:sz w:val="24"/>
          <w:szCs w:val="24"/>
          <w:lang w:val="en-ID" w:eastAsia="en-US"/>
        </w:rPr>
        <w:lastRenderedPageBreak/>
        <w:t>between global financial risks and Sharia-compliant practices. Islamic finance is gaining more attention as social and economic transformations occur, with a growing interest in topics like corporate social responsibility and sustainable development in Islamic banking</w:t>
      </w:r>
      <w:r w:rsidR="008C1784">
        <w:rPr>
          <w:rFonts w:ascii="Calibri Light" w:eastAsia="MS Mincho" w:hAnsi="Calibri Light" w:cs="Calibri Light" w:hint="cs"/>
          <w:sz w:val="24"/>
          <w:szCs w:val="24"/>
          <w:rtl/>
          <w:lang w:val="en-ID" w:eastAsia="en-US"/>
        </w:rPr>
        <w:t xml:space="preserve"> </w:t>
      </w:r>
      <w:r w:rsidR="00C6181C">
        <w:rPr>
          <w:rFonts w:ascii="Calibri Light" w:eastAsia="MS Mincho" w:hAnsi="Calibri Light" w:cs="Calibri Light"/>
          <w:sz w:val="24"/>
          <w:szCs w:val="24"/>
          <w:lang w:val="en-ID" w:eastAsia="en-US"/>
        </w:rPr>
        <w:fldChar w:fldCharType="begin" w:fldLock="1"/>
      </w:r>
      <w:r w:rsidR="005B5658">
        <w:rPr>
          <w:rFonts w:ascii="Calibri Light" w:eastAsia="MS Mincho" w:hAnsi="Calibri Light" w:cs="Calibri Light"/>
          <w:sz w:val="24"/>
          <w:szCs w:val="24"/>
          <w:lang w:val="en-ID" w:eastAsia="en-US"/>
        </w:rPr>
        <w:instrText>ADDIN CSL_CITATION {"citationItems":[{"id":"ITEM-1","itemData":{"DOI":"10.31893/multirev.2024132","ISSN":"25953982","abstract":"This study aims to reveal the ethics of sharia accounting: the ethics and contextualization of documenting the economics of sharia, muamalah, and accounts payable, as well as their execution in an Islamic environment, and the ramifications of al-Baqarah: 282 if applied. This research method employs qualitative and descriptive research methods, the data source is literature study, specifically the collection of documents containing primary data from al-Baqarah: 282 and secondary sources, and the approach is content analysis, normative-theological, and phenomenological. The results of the study indicate that in the contextualization of sharia accounting, muamalah, accounts payable, and so on, must be based on the general principles of sharia, namely, responsibility, fairness, honesty, legitimacy, good personality, continuity (continuity), and muqabalah (matching). This is per the spirit of sharia accounting as stated in al-Baqarah: 282. If this implementation is violated, it can harm all actors of economic transactions, both major and minor, personal and social, in this world and the hereafter.","author":[{"dropping-particle":"","family":"Muthoifin","given":"Muthoifin","non-dropping-particle":"","parse-names":false,"suffix":""},{"dropping-particle":"","family":"Amelia","given":"Ishma","non-dropping-particle":"","parse-names":false,"suffix":""},{"dropping-particle":"","family":"Eprahim Ali","given":"Aisha Bahaaeldin","non-dropping-particle":"","parse-names":false,"suffix":""}],"container-title":"Multidisciplinary Reviews","id":"ITEM-1","issue":"8","issued":{"date-parts":[["2024"]]},"title":"Islamic accounting: Ethics and contextualization of recording in Muamalah transactions","type":"article-journal","volume":"7"},"uris":["http://www.mendeley.com/documents/?uuid=70ee3ab1-de26-4a29-9949-d4bc0429ddd4"]}],"mendeley":{"formattedCitation":"(Muthoifin et al., 2024)","plainTextFormattedCitation":"(Muthoifin et al., 2024)","previouslyFormattedCitation":"[45]"},"properties":{"noteIndex":0},"schema":"https://github.com/citation-style-language/schema/raw/master/csl-citation.json"}</w:instrText>
      </w:r>
      <w:r w:rsidR="00C6181C">
        <w:rPr>
          <w:rFonts w:ascii="Calibri Light" w:eastAsia="MS Mincho" w:hAnsi="Calibri Light" w:cs="Calibri Light"/>
          <w:sz w:val="24"/>
          <w:szCs w:val="24"/>
          <w:lang w:val="en-ID" w:eastAsia="en-US"/>
        </w:rPr>
        <w:fldChar w:fldCharType="separate"/>
      </w:r>
      <w:r w:rsidR="005B5658" w:rsidRPr="005B5658">
        <w:rPr>
          <w:rFonts w:ascii="Calibri Light" w:eastAsia="MS Mincho" w:hAnsi="Calibri Light" w:cs="Calibri Light"/>
          <w:noProof/>
          <w:sz w:val="24"/>
          <w:szCs w:val="24"/>
          <w:lang w:val="en-ID" w:eastAsia="en-US"/>
        </w:rPr>
        <w:t>(Muthoifin et al., 2024)</w:t>
      </w:r>
      <w:r w:rsidR="00C6181C">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6D8BF202" w14:textId="01824D89" w:rsidR="00E434D8" w:rsidRPr="00E434D8" w:rsidRDefault="00E434D8" w:rsidP="00232961">
      <w:pPr>
        <w:autoSpaceDE/>
        <w:autoSpaceDN/>
        <w:spacing w:after="200" w:line="276" w:lineRule="auto"/>
        <w:ind w:left="426"/>
        <w:jc w:val="both"/>
        <w:rPr>
          <w:rFonts w:ascii="Calibri Light" w:eastAsia="MS Mincho" w:hAnsi="Calibri Light" w:cs="Calibri Light"/>
          <w:sz w:val="24"/>
          <w:szCs w:val="24"/>
          <w:rtl/>
          <w:lang w:val="en-ID" w:eastAsia="en-US"/>
        </w:rPr>
      </w:pPr>
      <w:r w:rsidRPr="00E434D8">
        <w:rPr>
          <w:rFonts w:ascii="Calibri Light" w:eastAsia="MS Mincho" w:hAnsi="Calibri Light" w:cs="Calibri Light"/>
          <w:sz w:val="24"/>
          <w:szCs w:val="24"/>
          <w:lang w:val="en-ID" w:eastAsia="en-US"/>
        </w:rPr>
        <w:t>Through these trends, this study emphasizes the importance of continued research in the field of Islamic banking and its development within the global regulatory framework. The alignment of conventional banking systems with Sharia principles is essential for addressing contemporary financial challenges, opening doors for researchers and policymakers to develop innovative solutions that contribute to global financial stability.</w:t>
      </w:r>
    </w:p>
    <w:p w14:paraId="5D5458E0" w14:textId="105E4D97" w:rsidR="00741058" w:rsidRPr="002003B1" w:rsidRDefault="00275DDD" w:rsidP="00275DDD">
      <w:pPr>
        <w:numPr>
          <w:ilvl w:val="0"/>
          <w:numId w:val="28"/>
        </w:numPr>
        <w:autoSpaceDE/>
        <w:autoSpaceDN/>
        <w:spacing w:line="240" w:lineRule="atLeast"/>
        <w:ind w:left="426" w:hanging="426"/>
        <w:rPr>
          <w:rFonts w:ascii="Calibri Light" w:hAnsi="Calibri Light" w:cs="Calibri Light"/>
          <w:b/>
          <w:color w:val="A6A6A6"/>
          <w:sz w:val="24"/>
          <w:szCs w:val="24"/>
        </w:rPr>
      </w:pPr>
      <w:r w:rsidRPr="00275DDD">
        <w:rPr>
          <w:rFonts w:ascii="Calibri Light" w:hAnsi="Calibri Light" w:cs="Calibri Light"/>
          <w:b/>
          <w:sz w:val="24"/>
          <w:szCs w:val="24"/>
        </w:rPr>
        <w:t>CONCLUSION</w:t>
      </w:r>
      <w:r>
        <w:rPr>
          <w:rFonts w:ascii="Calibri Light" w:hAnsi="Calibri Light" w:cs="Calibri Light" w:hint="cs"/>
          <w:b/>
          <w:sz w:val="24"/>
          <w:szCs w:val="24"/>
          <w:rtl/>
        </w:rPr>
        <w:t xml:space="preserve"> </w:t>
      </w:r>
    </w:p>
    <w:p w14:paraId="2B98BE3C" w14:textId="318E191B" w:rsidR="00741058" w:rsidRPr="00122F5F" w:rsidRDefault="00712658" w:rsidP="00712658">
      <w:pPr>
        <w:pStyle w:val="ListParagraph"/>
        <w:tabs>
          <w:tab w:val="left" w:pos="3900"/>
        </w:tabs>
        <w:spacing w:before="120" w:after="120" w:line="240" w:lineRule="auto"/>
        <w:ind w:left="0" w:right="-1"/>
        <w:contextualSpacing w:val="0"/>
        <w:jc w:val="both"/>
        <w:rPr>
          <w:rFonts w:ascii="Calibri Light" w:hAnsi="Calibri Light" w:cs="Calibri Light"/>
          <w:noProof w:val="0"/>
          <w:color w:val="FF0000"/>
          <w:sz w:val="23"/>
          <w:rtl/>
        </w:rPr>
      </w:pPr>
      <w:r w:rsidRPr="00712658">
        <w:rPr>
          <w:rFonts w:ascii="Calibri Light" w:hAnsi="Calibri Light" w:cs="Calibri Light"/>
          <w:noProof w:val="0"/>
          <w:sz w:val="24"/>
          <w:szCs w:val="24"/>
          <w:lang w:val="en-US" w:eastAsia="en-GB"/>
        </w:rPr>
        <w:t>This study provides a comprehensive bibliometric analysis of the intersection between the Basel Accords and Islamic banking</w:t>
      </w:r>
      <w:r w:rsidRPr="00275DDD">
        <w:rPr>
          <w:rFonts w:ascii="Calibri Light" w:hAnsi="Calibri Light" w:cs="Calibri Light"/>
          <w:noProof w:val="0"/>
          <w:sz w:val="24"/>
          <w:szCs w:val="24"/>
          <w:highlight w:val="yellow"/>
          <w:lang w:val="en-US" w:eastAsia="en-GB"/>
        </w:rPr>
        <w:t>, revealing key trends and the continued growth of academic publications in this field since 2015, with an increase of over 100% in the number of studies published annually—rising from 65 in 2015 to 136 in 2024</w:t>
      </w:r>
      <w:r w:rsidRPr="00712658">
        <w:rPr>
          <w:rFonts w:ascii="Calibri Light" w:hAnsi="Calibri Light" w:cs="Calibri Light"/>
          <w:noProof w:val="0"/>
          <w:sz w:val="24"/>
          <w:szCs w:val="24"/>
          <w:lang w:val="en-US" w:eastAsia="en-GB"/>
        </w:rPr>
        <w:t>, with notable increases in recent years. The findings suggest that research in this area is steadily expanding, reflecting the growing interest in discussions surrounding risk management frameworks and Sharia-compliant banking practices in light of global financial regulations. Geographical data analysis highlights the significant contributions of Asian and Middle Eastern countries, with particular focus on nations striving to align global financial systems with Islamic banking practices. Additionally, keyword network analysis shows that research in Islamic banking has become more diversified, with increasing interest in themes such as corporate governance, financial stability, social responsibility, and emerging technological innovations like fintech. These findings hold practical implications for various stakeholders. For central banks and regulators, the study provides insights into how global Basel standards are being interpreted and adapted within Islamic banking contexts, helping inform the development of regulatory frameworks that uphold financial stability without compromising Sharia compliance. For academics, the mapping of key research themes and publication trends offers a foundation for identifying gaps in the literature and designing future interdisciplinary studies. Meanwhile, for Sharia practitioners, the findings underscore emerging areas—such as fintech, governance, and risk management—that require updated jurisprudential guidance to ensure that innovative financial solutions remain within the bounds of Islamic principles. Overall, the study contributes to aligning global regulatory discourse with the evolving needs of Islamic finance. In conclusion, this study highlights the continued need for research and development in this field to ensure the integration of Islamic banking into the future global financial landscape.</w:t>
      </w:r>
      <w:r w:rsidR="006E466B">
        <w:rPr>
          <w:rFonts w:ascii="Calibri Light" w:hAnsi="Calibri Light" w:cs="Calibri Light"/>
          <w:color w:val="FF0000"/>
          <w:sz w:val="23"/>
        </w:rPr>
        <w:tab/>
      </w:r>
    </w:p>
    <w:p w14:paraId="1DC6C091" w14:textId="77777777" w:rsidR="00741058" w:rsidRPr="00122F5F" w:rsidRDefault="00F369EC" w:rsidP="00F369EC">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r w:rsidR="00741058" w:rsidRPr="00122F5F">
        <w:rPr>
          <w:rFonts w:ascii="Calibri Light" w:hAnsi="Calibri Light" w:cs="Calibri Light"/>
          <w:b/>
          <w:color w:val="7030A0"/>
          <w:sz w:val="24"/>
          <w:szCs w:val="24"/>
        </w:rPr>
        <w:t xml:space="preserve"> </w:t>
      </w:r>
    </w:p>
    <w:p w14:paraId="6CD63A10" w14:textId="77777777" w:rsidR="00E810D4" w:rsidRPr="00ED1805" w:rsidRDefault="00E810D4" w:rsidP="00ED1805">
      <w:pPr>
        <w:pStyle w:val="ListParagraph"/>
        <w:spacing w:before="120" w:after="120"/>
        <w:ind w:left="440" w:right="-1" w:hanging="14"/>
        <w:jc w:val="both"/>
        <w:rPr>
          <w:rFonts w:ascii="Calibri Light" w:hAnsi="Calibri Light" w:cs="Calibri Light"/>
          <w:sz w:val="24"/>
          <w:szCs w:val="22"/>
          <w:lang w:val="en-ID"/>
        </w:rPr>
      </w:pPr>
      <w:r w:rsidRPr="00E810D4">
        <w:rPr>
          <w:sz w:val="24"/>
          <w:szCs w:val="24"/>
          <w:lang w:val="en-ID" w:eastAsia="en-ID"/>
        </w:rPr>
        <w:t xml:space="preserve"> </w:t>
      </w:r>
      <w:r w:rsidRPr="00ED1805">
        <w:rPr>
          <w:rFonts w:ascii="Calibri Light" w:hAnsi="Calibri Light" w:cs="Calibri Light"/>
          <w:sz w:val="24"/>
          <w:szCs w:val="22"/>
          <w:lang w:val="en-ID"/>
        </w:rPr>
        <w:t>The author would like to thank the editors and anonymous reviewers for their assistance</w:t>
      </w:r>
      <w:r w:rsidR="00A526EF">
        <w:rPr>
          <w:rFonts w:ascii="Calibri Light" w:hAnsi="Calibri Light" w:cs="Calibri Light"/>
          <w:sz w:val="24"/>
          <w:szCs w:val="22"/>
          <w:lang w:val="en-ID"/>
        </w:rPr>
        <w:t xml:space="preserve"> </w:t>
      </w:r>
      <w:r w:rsidRPr="00ED1805">
        <w:rPr>
          <w:rFonts w:ascii="Calibri Light" w:hAnsi="Calibri Light" w:cs="Calibri Light"/>
          <w:sz w:val="24"/>
          <w:szCs w:val="22"/>
          <w:lang w:val="en-ID"/>
        </w:rPr>
        <w:t>in</w:t>
      </w:r>
      <w:r w:rsidR="00ED1805">
        <w:rPr>
          <w:rFonts w:ascii="Calibri Light" w:hAnsi="Calibri Light" w:cs="Calibri Light"/>
          <w:sz w:val="24"/>
          <w:szCs w:val="22"/>
          <w:lang w:val="en-ID"/>
        </w:rPr>
        <w:t xml:space="preserve"> </w:t>
      </w:r>
      <w:r w:rsidRPr="00ED1805">
        <w:rPr>
          <w:rFonts w:ascii="Calibri Light" w:hAnsi="Calibri Light" w:cs="Calibri Light"/>
          <w:sz w:val="24"/>
          <w:szCs w:val="22"/>
          <w:lang w:val="en-ID"/>
        </w:rPr>
        <w:t>improving the quality of the research documents.</w:t>
      </w:r>
    </w:p>
    <w:p w14:paraId="717E6B46" w14:textId="17969CE6" w:rsidR="00741058" w:rsidRPr="009F7666" w:rsidRDefault="009F7666" w:rsidP="009F7666">
      <w:pPr>
        <w:spacing w:line="240" w:lineRule="atLeast"/>
        <w:rPr>
          <w:rFonts w:ascii="Calibri Light" w:hAnsi="Calibri Light" w:cs="Calibri Light"/>
          <w:b/>
          <w:sz w:val="24"/>
          <w:szCs w:val="24"/>
        </w:rPr>
      </w:pPr>
      <w:r>
        <w:rPr>
          <w:rFonts w:ascii="Calibri Light" w:hAnsi="Calibri Light" w:cs="Calibri Light"/>
          <w:b/>
          <w:sz w:val="24"/>
          <w:szCs w:val="24"/>
        </w:rPr>
        <w:t xml:space="preserve">VI. </w:t>
      </w:r>
      <w:r w:rsidR="00741058" w:rsidRPr="00122F5F">
        <w:rPr>
          <w:rFonts w:ascii="Calibri Light" w:hAnsi="Calibri Light" w:cs="Calibri Light"/>
          <w:b/>
          <w:sz w:val="24"/>
          <w:szCs w:val="24"/>
        </w:rPr>
        <w:t>REFERENCES</w:t>
      </w:r>
      <w:r w:rsidR="00741058" w:rsidRPr="009F7666">
        <w:rPr>
          <w:rFonts w:ascii="Calibri Light" w:hAnsi="Calibri Light" w:cs="Calibri Light"/>
          <w:b/>
          <w:sz w:val="24"/>
          <w:szCs w:val="24"/>
        </w:rPr>
        <w:t xml:space="preserve"> </w:t>
      </w:r>
    </w:p>
    <w:p w14:paraId="63A2B997" w14:textId="77777777" w:rsidR="004F645F" w:rsidRPr="004F645F" w:rsidRDefault="004F645F" w:rsidP="004F645F">
      <w:pPr>
        <w:widowControl w:val="0"/>
        <w:adjustRightInd w:val="0"/>
        <w:spacing w:line="240" w:lineRule="atLeast"/>
        <w:rPr>
          <w:rFonts w:ascii="Calibri Light" w:hAnsi="Calibri Light" w:cs="Calibri Light"/>
          <w:sz w:val="24"/>
        </w:rPr>
      </w:pPr>
    </w:p>
    <w:p w14:paraId="16CCF7C4" w14:textId="6DF18B09" w:rsidR="005B5658" w:rsidRPr="008C1784" w:rsidRDefault="003E2706"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b/>
          <w:color w:val="7030A0"/>
          <w:sz w:val="24"/>
          <w:szCs w:val="24"/>
        </w:rPr>
        <w:fldChar w:fldCharType="begin" w:fldLock="1"/>
      </w:r>
      <w:r w:rsidRPr="008C1784">
        <w:rPr>
          <w:rFonts w:ascii="Calibri Light" w:hAnsi="Calibri Light" w:cs="Calibri Light"/>
          <w:b/>
          <w:color w:val="7030A0"/>
          <w:sz w:val="24"/>
          <w:szCs w:val="24"/>
        </w:rPr>
        <w:instrText xml:space="preserve">ADDIN Mendeley Bibliography CSL_BIBLIOGRAPHY </w:instrText>
      </w:r>
      <w:r w:rsidRPr="008C1784">
        <w:rPr>
          <w:rFonts w:ascii="Calibri Light" w:hAnsi="Calibri Light" w:cs="Calibri Light"/>
          <w:b/>
          <w:color w:val="7030A0"/>
          <w:sz w:val="24"/>
          <w:szCs w:val="24"/>
        </w:rPr>
        <w:fldChar w:fldCharType="separate"/>
      </w:r>
      <w:r w:rsidR="005B5658" w:rsidRPr="008C1784">
        <w:rPr>
          <w:rFonts w:ascii="Calibri Light" w:hAnsi="Calibri Light" w:cs="Calibri Light"/>
          <w:sz w:val="24"/>
        </w:rPr>
        <w:t xml:space="preserve">Abrar, M., Abbas, S., Kousar, S., &amp; Mushtaq, M. (2023). Investigation on the Effects of </w:t>
      </w:r>
      <w:r w:rsidR="005B5658" w:rsidRPr="008C1784">
        <w:rPr>
          <w:rFonts w:ascii="Calibri Light" w:hAnsi="Calibri Light" w:cs="Calibri Light"/>
          <w:sz w:val="24"/>
        </w:rPr>
        <w:lastRenderedPageBreak/>
        <w:t xml:space="preserve">Customer Knowledge, Political Support, and Innovation on the Growth of Islamic Banking System: a Case Study of Pakistan. </w:t>
      </w:r>
      <w:r w:rsidR="005B5658" w:rsidRPr="008C1784">
        <w:rPr>
          <w:rFonts w:ascii="Calibri Light" w:hAnsi="Calibri Light" w:cs="Calibri Light"/>
          <w:i/>
          <w:iCs/>
          <w:sz w:val="24"/>
        </w:rPr>
        <w:t>Journal of the Knowledge Economy</w:t>
      </w:r>
      <w:r w:rsidR="005B5658" w:rsidRPr="008C1784">
        <w:rPr>
          <w:rFonts w:ascii="Calibri Light" w:hAnsi="Calibri Light" w:cs="Calibri Light"/>
          <w:sz w:val="24"/>
        </w:rPr>
        <w:t xml:space="preserve">, </w:t>
      </w:r>
      <w:r w:rsidR="005B5658" w:rsidRPr="008C1784">
        <w:rPr>
          <w:rFonts w:ascii="Calibri Light" w:hAnsi="Calibri Light" w:cs="Calibri Light"/>
          <w:i/>
          <w:iCs/>
          <w:sz w:val="24"/>
        </w:rPr>
        <w:t>14</w:t>
      </w:r>
      <w:r w:rsidR="005B5658" w:rsidRPr="008C1784">
        <w:rPr>
          <w:rFonts w:ascii="Calibri Light" w:hAnsi="Calibri Light" w:cs="Calibri Light"/>
          <w:sz w:val="24"/>
        </w:rPr>
        <w:t>(2), 946–965. https://doi.org/10.1007/s13132-022-00933-y</w:t>
      </w:r>
    </w:p>
    <w:p w14:paraId="5049CCC7"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8C1784">
        <w:rPr>
          <w:rFonts w:ascii="Calibri Light" w:hAnsi="Calibri Light" w:cs="Calibri Light"/>
          <w:i/>
          <w:iCs/>
          <w:sz w:val="24"/>
        </w:rPr>
        <w:t>Banks and Bank Systems</w:t>
      </w:r>
      <w:r w:rsidRPr="008C1784">
        <w:rPr>
          <w:rFonts w:ascii="Calibri Light" w:hAnsi="Calibri Light" w:cs="Calibri Light"/>
          <w:sz w:val="24"/>
        </w:rPr>
        <w:t xml:space="preserve">, </w:t>
      </w:r>
      <w:r w:rsidRPr="008C1784">
        <w:rPr>
          <w:rFonts w:ascii="Calibri Light" w:hAnsi="Calibri Light" w:cs="Calibri Light"/>
          <w:i/>
          <w:iCs/>
          <w:sz w:val="24"/>
        </w:rPr>
        <w:t>16</w:t>
      </w:r>
      <w:r w:rsidRPr="008C1784">
        <w:rPr>
          <w:rFonts w:ascii="Calibri Light" w:hAnsi="Calibri Light" w:cs="Calibri Light"/>
          <w:sz w:val="24"/>
        </w:rPr>
        <w:t>(1), 52–61. https://doi.org/10.21511/bbs.16(1).2021.05</w:t>
      </w:r>
    </w:p>
    <w:p w14:paraId="3A41DF6F"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Al-Olaimat, N. H., Hamdan, M. N., Al-Deen Al-Sraheen, D., &amp; Alali, H. A. (2024). The role of the core requirements of Basel 3 Committee’s decisions in improving internal audit quality under corporate governance in Jordanian commercial banks. </w:t>
      </w:r>
      <w:r w:rsidRPr="008C1784">
        <w:rPr>
          <w:rFonts w:ascii="Calibri Light" w:hAnsi="Calibri Light" w:cs="Calibri Light"/>
          <w:i/>
          <w:iCs/>
          <w:sz w:val="24"/>
        </w:rPr>
        <w:t>International Journal of Business Innovation and Research</w:t>
      </w:r>
      <w:r w:rsidRPr="008C1784">
        <w:rPr>
          <w:rFonts w:ascii="Calibri Light" w:hAnsi="Calibri Light" w:cs="Calibri Light"/>
          <w:sz w:val="24"/>
        </w:rPr>
        <w:t xml:space="preserve">, </w:t>
      </w:r>
      <w:r w:rsidRPr="008C1784">
        <w:rPr>
          <w:rFonts w:ascii="Calibri Light" w:hAnsi="Calibri Light" w:cs="Calibri Light"/>
          <w:i/>
          <w:iCs/>
          <w:sz w:val="24"/>
        </w:rPr>
        <w:t>35</w:t>
      </w:r>
      <w:r w:rsidRPr="008C1784">
        <w:rPr>
          <w:rFonts w:ascii="Calibri Light" w:hAnsi="Calibri Light" w:cs="Calibri Light"/>
          <w:sz w:val="24"/>
        </w:rPr>
        <w:t>(2), 157–172. https://doi.org/10.1504/IJBIR.2024.141616</w:t>
      </w:r>
    </w:p>
    <w:p w14:paraId="0C2589CE"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Ali, S. A., Loussaief, A., &amp; Ahmed, M. (2022). A comparative analysis of employees’ and customers’ attitude towards Islamic banking. </w:t>
      </w:r>
      <w:r w:rsidRPr="008C1784">
        <w:rPr>
          <w:rFonts w:ascii="Calibri Light" w:hAnsi="Calibri Light" w:cs="Calibri Light"/>
          <w:i/>
          <w:iCs/>
          <w:sz w:val="24"/>
        </w:rPr>
        <w:t>International Journal of Ethics and Systems</w:t>
      </w:r>
      <w:r w:rsidRPr="008C1784">
        <w:rPr>
          <w:rFonts w:ascii="Calibri Light" w:hAnsi="Calibri Light" w:cs="Calibri Light"/>
          <w:sz w:val="24"/>
        </w:rPr>
        <w:t xml:space="preserve">, </w:t>
      </w:r>
      <w:r w:rsidRPr="008C1784">
        <w:rPr>
          <w:rFonts w:ascii="Calibri Light" w:hAnsi="Calibri Light" w:cs="Calibri Light"/>
          <w:i/>
          <w:iCs/>
          <w:sz w:val="24"/>
        </w:rPr>
        <w:t>38</w:t>
      </w:r>
      <w:r w:rsidRPr="008C1784">
        <w:rPr>
          <w:rFonts w:ascii="Calibri Light" w:hAnsi="Calibri Light" w:cs="Calibri Light"/>
          <w:sz w:val="24"/>
        </w:rPr>
        <w:t>(2), 209–234. https://doi.org/10.1108/IJOES-03-2021-0053</w:t>
      </w:r>
    </w:p>
    <w:p w14:paraId="17246D91"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Amri, A. D., Anjelinah, D., Safitri, F., Puspita, D., Yuana, N., Aulia, A. D., &amp; Mustafa, A. (2024). Development and Growth of Financial Sector Stock Market on Investment Climate : Study on Bank Syariah Indonesia and Bank Mandiri. </w:t>
      </w:r>
      <w:r w:rsidRPr="008C1784">
        <w:rPr>
          <w:rFonts w:ascii="Calibri Light" w:hAnsi="Calibri Light" w:cs="Calibri Light"/>
          <w:i/>
          <w:iCs/>
          <w:sz w:val="24"/>
        </w:rPr>
        <w:t>Solo International Collaboration and Publication of Social Sciences and Humanities</w:t>
      </w:r>
      <w:r w:rsidRPr="008C1784">
        <w:rPr>
          <w:rFonts w:ascii="Calibri Light" w:hAnsi="Calibri Light" w:cs="Calibri Light"/>
          <w:sz w:val="24"/>
        </w:rPr>
        <w:t xml:space="preserve">, </w:t>
      </w:r>
      <w:r w:rsidRPr="008C1784">
        <w:rPr>
          <w:rFonts w:ascii="Calibri Light" w:hAnsi="Calibri Light" w:cs="Calibri Light"/>
          <w:i/>
          <w:iCs/>
          <w:sz w:val="24"/>
        </w:rPr>
        <w:t>2</w:t>
      </w:r>
      <w:r w:rsidRPr="008C1784">
        <w:rPr>
          <w:rFonts w:ascii="Calibri Light" w:hAnsi="Calibri Light" w:cs="Calibri Light"/>
          <w:sz w:val="24"/>
        </w:rPr>
        <w:t>(1), 11–24. http://journal.walideminstitute.com/index.php/sicopus/article/view/98%0Ahttp://journal.walideminstitute.com/index.php/sicopus/article/download/98/332</w:t>
      </w:r>
    </w:p>
    <w:p w14:paraId="6B8C2352"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8C1784">
        <w:rPr>
          <w:rFonts w:ascii="Calibri Light" w:hAnsi="Calibri Light" w:cs="Calibri Light"/>
          <w:i/>
          <w:iCs/>
          <w:sz w:val="24"/>
        </w:rPr>
        <w:t>International Journal of Law and Management</w:t>
      </w:r>
      <w:r w:rsidRPr="008C1784">
        <w:rPr>
          <w:rFonts w:ascii="Calibri Light" w:hAnsi="Calibri Light" w:cs="Calibri Light"/>
          <w:sz w:val="24"/>
        </w:rPr>
        <w:t>. https://doi.org/10.1108/IJLMA-11-2023-0250</w:t>
      </w:r>
    </w:p>
    <w:p w14:paraId="7A340436"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8C1784">
        <w:rPr>
          <w:rFonts w:ascii="Calibri Light" w:hAnsi="Calibri Light" w:cs="Calibri Light"/>
          <w:i/>
          <w:iCs/>
          <w:sz w:val="24"/>
        </w:rPr>
        <w:t>International Journal of Law and Society</w:t>
      </w:r>
      <w:r w:rsidRPr="008C1784">
        <w:rPr>
          <w:rFonts w:ascii="Calibri Light" w:hAnsi="Calibri Light" w:cs="Calibri Light"/>
          <w:sz w:val="24"/>
        </w:rPr>
        <w:t xml:space="preserve">, </w:t>
      </w:r>
      <w:r w:rsidRPr="008C1784">
        <w:rPr>
          <w:rFonts w:ascii="Calibri Light" w:hAnsi="Calibri Light" w:cs="Calibri Light"/>
          <w:i/>
          <w:iCs/>
          <w:sz w:val="24"/>
        </w:rPr>
        <w:t>3</w:t>
      </w:r>
      <w:r w:rsidRPr="008C1784">
        <w:rPr>
          <w:rFonts w:ascii="Calibri Light" w:hAnsi="Calibri Light" w:cs="Calibri Light"/>
          <w:sz w:val="24"/>
        </w:rPr>
        <w:t>(3), 173–186. https://doi.org/10.59683/ijls.v3i3.90</w:t>
      </w:r>
    </w:p>
    <w:p w14:paraId="38927C89"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Barra, C., Papaccio, A., &amp; Ruggiero, N. (2023). Basel accords and banking inefficiency: Evidence from the Italian local market. </w:t>
      </w:r>
      <w:r w:rsidRPr="008C1784">
        <w:rPr>
          <w:rFonts w:ascii="Calibri Light" w:hAnsi="Calibri Light" w:cs="Calibri Light"/>
          <w:i/>
          <w:iCs/>
          <w:sz w:val="24"/>
        </w:rPr>
        <w:t>International Journal of Finance and Economics</w:t>
      </w:r>
      <w:r w:rsidRPr="008C1784">
        <w:rPr>
          <w:rFonts w:ascii="Calibri Light" w:hAnsi="Calibri Light" w:cs="Calibri Light"/>
          <w:sz w:val="24"/>
        </w:rPr>
        <w:t xml:space="preserve">, </w:t>
      </w:r>
      <w:r w:rsidRPr="008C1784">
        <w:rPr>
          <w:rFonts w:ascii="Calibri Light" w:hAnsi="Calibri Light" w:cs="Calibri Light"/>
          <w:i/>
          <w:iCs/>
          <w:sz w:val="24"/>
        </w:rPr>
        <w:t>28</w:t>
      </w:r>
      <w:r w:rsidRPr="008C1784">
        <w:rPr>
          <w:rFonts w:ascii="Calibri Light" w:hAnsi="Calibri Light" w:cs="Calibri Light"/>
          <w:sz w:val="24"/>
        </w:rPr>
        <w:t>(4), 4079–4119. https://doi.org/10.1002/ijfe.2637</w:t>
      </w:r>
    </w:p>
    <w:p w14:paraId="66C0636B"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Bawa, R., &amp; Singh, K. (2023). Implementation of Basel Accords and its impact on Asset-Liability Management Banks : A Literature Review1. </w:t>
      </w:r>
      <w:r w:rsidRPr="008C1784">
        <w:rPr>
          <w:rFonts w:ascii="Calibri Light" w:hAnsi="Calibri Light" w:cs="Calibri Light"/>
          <w:i/>
          <w:iCs/>
          <w:sz w:val="24"/>
        </w:rPr>
        <w:t>Finance India</w:t>
      </w:r>
      <w:r w:rsidRPr="008C1784">
        <w:rPr>
          <w:rFonts w:ascii="Calibri Light" w:hAnsi="Calibri Light" w:cs="Calibri Light"/>
          <w:sz w:val="24"/>
        </w:rPr>
        <w:t xml:space="preserve">, </w:t>
      </w:r>
      <w:r w:rsidRPr="008C1784">
        <w:rPr>
          <w:rFonts w:ascii="Calibri Light" w:hAnsi="Calibri Light" w:cs="Calibri Light"/>
          <w:i/>
          <w:iCs/>
          <w:sz w:val="24"/>
        </w:rPr>
        <w:t>37</w:t>
      </w:r>
      <w:r w:rsidRPr="008C1784">
        <w:rPr>
          <w:rFonts w:ascii="Calibri Light" w:hAnsi="Calibri Light" w:cs="Calibri Light"/>
          <w:sz w:val="24"/>
        </w:rPr>
        <w:t>(3), 849–880. https://www.scopus.com/inward/record.uri?eid=2-s2.0-85174745237&amp;partnerID=40&amp;md5=7865ee385ac7055b39f8fadd785c70d5</w:t>
      </w:r>
    </w:p>
    <w:p w14:paraId="7DB2DCEE"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Becker, M., &amp; Linder, S. (2021). The unintended consequences of regulatory import: the Basel Accord’s failure during the financial crisis. </w:t>
      </w:r>
      <w:r w:rsidRPr="008C1784">
        <w:rPr>
          <w:rFonts w:ascii="Calibri Light" w:hAnsi="Calibri Light" w:cs="Calibri Light"/>
          <w:i/>
          <w:iCs/>
          <w:sz w:val="24"/>
        </w:rPr>
        <w:t>Journal of European Public Policy</w:t>
      </w:r>
      <w:r w:rsidRPr="008C1784">
        <w:rPr>
          <w:rFonts w:ascii="Calibri Light" w:hAnsi="Calibri Light" w:cs="Calibri Light"/>
          <w:sz w:val="24"/>
        </w:rPr>
        <w:t xml:space="preserve">, </w:t>
      </w:r>
      <w:r w:rsidRPr="008C1784">
        <w:rPr>
          <w:rFonts w:ascii="Calibri Light" w:hAnsi="Calibri Light" w:cs="Calibri Light"/>
          <w:i/>
          <w:iCs/>
          <w:sz w:val="24"/>
        </w:rPr>
        <w:t>28</w:t>
      </w:r>
      <w:r w:rsidRPr="008C1784">
        <w:rPr>
          <w:rFonts w:ascii="Calibri Light" w:hAnsi="Calibri Light" w:cs="Calibri Light"/>
          <w:sz w:val="24"/>
        </w:rPr>
        <w:t>(2), 248–267. https://doi.org/10.1080/13501763.2020.1725096</w:t>
      </w:r>
    </w:p>
    <w:p w14:paraId="51D2873A"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Ben Jedidia, K., &amp; Hamza, H. (2024). Does PLS in Islamic banking limit excessive money creation? </w:t>
      </w:r>
      <w:r w:rsidRPr="008C1784">
        <w:rPr>
          <w:rFonts w:ascii="Calibri Light" w:hAnsi="Calibri Light" w:cs="Calibri Light"/>
          <w:i/>
          <w:iCs/>
          <w:sz w:val="24"/>
        </w:rPr>
        <w:t>Journal of Islamic Accounting and Business Research</w:t>
      </w:r>
      <w:r w:rsidRPr="008C1784">
        <w:rPr>
          <w:rFonts w:ascii="Calibri Light" w:hAnsi="Calibri Light" w:cs="Calibri Light"/>
          <w:sz w:val="24"/>
        </w:rPr>
        <w:t xml:space="preserve">, </w:t>
      </w:r>
      <w:r w:rsidRPr="008C1784">
        <w:rPr>
          <w:rFonts w:ascii="Calibri Light" w:hAnsi="Calibri Light" w:cs="Calibri Light"/>
          <w:i/>
          <w:iCs/>
          <w:sz w:val="24"/>
        </w:rPr>
        <w:t>15</w:t>
      </w:r>
      <w:r w:rsidRPr="008C1784">
        <w:rPr>
          <w:rFonts w:ascii="Calibri Light" w:hAnsi="Calibri Light" w:cs="Calibri Light"/>
          <w:sz w:val="24"/>
        </w:rPr>
        <w:t>(3), 422–442. https://doi.org/10.1108/JIABR-02-2022-0047</w:t>
      </w:r>
    </w:p>
    <w:p w14:paraId="149AA426"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Crosby, N. (2024). Editorial: Basel 3 prudently conservative value for loan origination and monitoring. </w:t>
      </w:r>
      <w:r w:rsidRPr="008C1784">
        <w:rPr>
          <w:rFonts w:ascii="Calibri Light" w:hAnsi="Calibri Light" w:cs="Calibri Light"/>
          <w:i/>
          <w:iCs/>
          <w:sz w:val="24"/>
        </w:rPr>
        <w:t>Journal of Property Investment and Finance</w:t>
      </w:r>
      <w:r w:rsidRPr="008C1784">
        <w:rPr>
          <w:rFonts w:ascii="Calibri Light" w:hAnsi="Calibri Light" w:cs="Calibri Light"/>
          <w:sz w:val="24"/>
        </w:rPr>
        <w:t xml:space="preserve">, </w:t>
      </w:r>
      <w:r w:rsidRPr="008C1784">
        <w:rPr>
          <w:rFonts w:ascii="Calibri Light" w:hAnsi="Calibri Light" w:cs="Calibri Light"/>
          <w:i/>
          <w:iCs/>
          <w:sz w:val="24"/>
        </w:rPr>
        <w:t>42</w:t>
      </w:r>
      <w:r w:rsidRPr="008C1784">
        <w:rPr>
          <w:rFonts w:ascii="Calibri Light" w:hAnsi="Calibri Light" w:cs="Calibri Light"/>
          <w:sz w:val="24"/>
        </w:rPr>
        <w:t>(4), 321–322. https://doi.org/10.1108/JPIF-07-2024-229</w:t>
      </w:r>
    </w:p>
    <w:p w14:paraId="0B9804BF"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lastRenderedPageBreak/>
        <w:t xml:space="preserve">Elbanna, M., Wadi, M. F., Radiamoda, A. M., Matsuyama, Y., &amp; Ishak, M. H. Bin. (2025). A Bibliometric Analysis of Sustainable Development Goals (SDGs) Through the Lens of Maqasid Shariah Tafsir. </w:t>
      </w:r>
      <w:r w:rsidRPr="008C1784">
        <w:rPr>
          <w:rFonts w:ascii="Calibri Light" w:hAnsi="Calibri Light" w:cs="Calibri Light"/>
          <w:i/>
          <w:iCs/>
          <w:sz w:val="24"/>
        </w:rPr>
        <w:t>QiST: Journal of Quran and Tafseer Studies</w:t>
      </w:r>
      <w:r w:rsidRPr="008C1784">
        <w:rPr>
          <w:rFonts w:ascii="Calibri Light" w:hAnsi="Calibri Light" w:cs="Calibri Light"/>
          <w:sz w:val="24"/>
        </w:rPr>
        <w:t xml:space="preserve">, </w:t>
      </w:r>
      <w:r w:rsidRPr="008C1784">
        <w:rPr>
          <w:rFonts w:ascii="Calibri Light" w:hAnsi="Calibri Light" w:cs="Calibri Light"/>
          <w:i/>
          <w:iCs/>
          <w:sz w:val="24"/>
        </w:rPr>
        <w:t>4</w:t>
      </w:r>
      <w:r w:rsidRPr="008C1784">
        <w:rPr>
          <w:rFonts w:ascii="Calibri Light" w:hAnsi="Calibri Light" w:cs="Calibri Light"/>
          <w:sz w:val="24"/>
        </w:rPr>
        <w:t>(1), 1–22. https://doi.org/https://doi.org/10.23917/qist.v4i1.7360</w:t>
      </w:r>
    </w:p>
    <w:p w14:paraId="61FADD0A"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Faizi, F. (2024). How are Islamic banking products developed? Evidence from emerging country. </w:t>
      </w:r>
      <w:r w:rsidRPr="008C1784">
        <w:rPr>
          <w:rFonts w:ascii="Calibri Light" w:hAnsi="Calibri Light" w:cs="Calibri Light"/>
          <w:i/>
          <w:iCs/>
          <w:sz w:val="24"/>
        </w:rPr>
        <w:t>Cogent Economics and Finance</w:t>
      </w:r>
      <w:r w:rsidRPr="008C1784">
        <w:rPr>
          <w:rFonts w:ascii="Calibri Light" w:hAnsi="Calibri Light" w:cs="Calibri Light"/>
          <w:sz w:val="24"/>
        </w:rPr>
        <w:t xml:space="preserve">, </w:t>
      </w:r>
      <w:r w:rsidRPr="008C1784">
        <w:rPr>
          <w:rFonts w:ascii="Calibri Light" w:hAnsi="Calibri Light" w:cs="Calibri Light"/>
          <w:i/>
          <w:iCs/>
          <w:sz w:val="24"/>
        </w:rPr>
        <w:t>12</w:t>
      </w:r>
      <w:r w:rsidRPr="008C1784">
        <w:rPr>
          <w:rFonts w:ascii="Calibri Light" w:hAnsi="Calibri Light" w:cs="Calibri Light"/>
          <w:sz w:val="24"/>
        </w:rPr>
        <w:t>(1). https://doi.org/10.1080/23322039.2024.2378961</w:t>
      </w:r>
    </w:p>
    <w:p w14:paraId="6FFEB7AD"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Fathoni, M. A., Rodoni, A., Al Arif, M. N. R., &amp; Hidayah, N. (2024). Intention to participate in Islamic banking in Indonesia: Does socio-political identity matter? </w:t>
      </w:r>
      <w:r w:rsidRPr="008C1784">
        <w:rPr>
          <w:rFonts w:ascii="Calibri Light" w:hAnsi="Calibri Light" w:cs="Calibri Light"/>
          <w:i/>
          <w:iCs/>
          <w:sz w:val="24"/>
        </w:rPr>
        <w:t>Journal of Islamic Marketing</w:t>
      </w:r>
      <w:r w:rsidRPr="008C1784">
        <w:rPr>
          <w:rFonts w:ascii="Calibri Light" w:hAnsi="Calibri Light" w:cs="Calibri Light"/>
          <w:sz w:val="24"/>
        </w:rPr>
        <w:t>. https://doi.org/10.1108/JIMA-12-2023-0397</w:t>
      </w:r>
    </w:p>
    <w:p w14:paraId="19D94908"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Fitri, F. A., Syukur, M., Majid, M. S. A., Farhana, I., &amp; Hatta, F. (2022). Do intellectual capital and financing matter for the profitability of the Islamic banking industry in Indonesia? </w:t>
      </w:r>
      <w:r w:rsidRPr="008C1784">
        <w:rPr>
          <w:rFonts w:ascii="Calibri Light" w:hAnsi="Calibri Light" w:cs="Calibri Light"/>
          <w:i/>
          <w:iCs/>
          <w:sz w:val="24"/>
        </w:rPr>
        <w:t>International Journal of Monetary Economics and Finance</w:t>
      </w:r>
      <w:r w:rsidRPr="008C1784">
        <w:rPr>
          <w:rFonts w:ascii="Calibri Light" w:hAnsi="Calibri Light" w:cs="Calibri Light"/>
          <w:sz w:val="24"/>
        </w:rPr>
        <w:t xml:space="preserve">, </w:t>
      </w:r>
      <w:r w:rsidRPr="008C1784">
        <w:rPr>
          <w:rFonts w:ascii="Calibri Light" w:hAnsi="Calibri Light" w:cs="Calibri Light"/>
          <w:i/>
          <w:iCs/>
          <w:sz w:val="24"/>
        </w:rPr>
        <w:t>15</w:t>
      </w:r>
      <w:r w:rsidRPr="008C1784">
        <w:rPr>
          <w:rFonts w:ascii="Calibri Light" w:hAnsi="Calibri Light" w:cs="Calibri Light"/>
          <w:sz w:val="24"/>
        </w:rPr>
        <w:t>(3), 293–308. https://doi.org/10.1504/ijmef.2022.126888</w:t>
      </w:r>
    </w:p>
    <w:p w14:paraId="3FD38203"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Guizani, M., &amp; Ajmi, A. N. (2022). Islamic banking and corporate investment efficiency: empirical evidence from Malaysia. </w:t>
      </w:r>
      <w:r w:rsidRPr="008C1784">
        <w:rPr>
          <w:rFonts w:ascii="Calibri Light" w:hAnsi="Calibri Light" w:cs="Calibri Light"/>
          <w:i/>
          <w:iCs/>
          <w:sz w:val="24"/>
        </w:rPr>
        <w:t>International Journal of Productivity and Performance Management</w:t>
      </w:r>
      <w:r w:rsidRPr="008C1784">
        <w:rPr>
          <w:rFonts w:ascii="Calibri Light" w:hAnsi="Calibri Light" w:cs="Calibri Light"/>
          <w:sz w:val="24"/>
        </w:rPr>
        <w:t xml:space="preserve">, </w:t>
      </w:r>
      <w:r w:rsidRPr="008C1784">
        <w:rPr>
          <w:rFonts w:ascii="Calibri Light" w:hAnsi="Calibri Light" w:cs="Calibri Light"/>
          <w:i/>
          <w:iCs/>
          <w:sz w:val="24"/>
        </w:rPr>
        <w:t>71</w:t>
      </w:r>
      <w:r w:rsidRPr="008C1784">
        <w:rPr>
          <w:rFonts w:ascii="Calibri Light" w:hAnsi="Calibri Light" w:cs="Calibri Light"/>
          <w:sz w:val="24"/>
        </w:rPr>
        <w:t>(5), 1854–1871. https://doi.org/10.1108/IJPPM-06-2020-0331</w:t>
      </w:r>
    </w:p>
    <w:p w14:paraId="302F7938"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Hasan, A. K. M. K., &amp; Suzuki, Y. (2021). “Sub-debt trap”: a real effect of an ill-design adoption of basel accord in the Bangladeshi banking industry. </w:t>
      </w:r>
      <w:r w:rsidRPr="008C1784">
        <w:rPr>
          <w:rFonts w:ascii="Calibri Light" w:hAnsi="Calibri Light" w:cs="Calibri Light"/>
          <w:i/>
          <w:iCs/>
          <w:sz w:val="24"/>
        </w:rPr>
        <w:t>Journal of Islamic Accounting and Business Research</w:t>
      </w:r>
      <w:r w:rsidRPr="008C1784">
        <w:rPr>
          <w:rFonts w:ascii="Calibri Light" w:hAnsi="Calibri Light" w:cs="Calibri Light"/>
          <w:sz w:val="24"/>
        </w:rPr>
        <w:t xml:space="preserve">, </w:t>
      </w:r>
      <w:r w:rsidRPr="008C1784">
        <w:rPr>
          <w:rFonts w:ascii="Calibri Light" w:hAnsi="Calibri Light" w:cs="Calibri Light"/>
          <w:i/>
          <w:iCs/>
          <w:sz w:val="24"/>
        </w:rPr>
        <w:t>12</w:t>
      </w:r>
      <w:r w:rsidRPr="008C1784">
        <w:rPr>
          <w:rFonts w:ascii="Calibri Light" w:hAnsi="Calibri Light" w:cs="Calibri Light"/>
          <w:sz w:val="24"/>
        </w:rPr>
        <w:t>(8), 1124–1145. https://doi.org/10.1108/JIABR-09-2020-0298</w:t>
      </w:r>
    </w:p>
    <w:p w14:paraId="284A21CD"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8C1784">
        <w:rPr>
          <w:rFonts w:ascii="Calibri Light" w:hAnsi="Calibri Light" w:cs="Calibri Light"/>
          <w:i/>
          <w:iCs/>
          <w:sz w:val="24"/>
        </w:rPr>
        <w:t>Risk Management</w:t>
      </w:r>
      <w:r w:rsidRPr="008C1784">
        <w:rPr>
          <w:rFonts w:ascii="Calibri Light" w:hAnsi="Calibri Light" w:cs="Calibri Light"/>
          <w:sz w:val="24"/>
        </w:rPr>
        <w:t xml:space="preserve">, </w:t>
      </w:r>
      <w:r w:rsidRPr="008C1784">
        <w:rPr>
          <w:rFonts w:ascii="Calibri Light" w:hAnsi="Calibri Light" w:cs="Calibri Light"/>
          <w:i/>
          <w:iCs/>
          <w:sz w:val="24"/>
        </w:rPr>
        <w:t>26</w:t>
      </w:r>
      <w:r w:rsidRPr="008C1784">
        <w:rPr>
          <w:rFonts w:ascii="Calibri Light" w:hAnsi="Calibri Light" w:cs="Calibri Light"/>
          <w:sz w:val="24"/>
        </w:rPr>
        <w:t>(1). https://doi.org/10.1057/s41283-023-00135-z</w:t>
      </w:r>
    </w:p>
    <w:p w14:paraId="3EFF81C0"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Hermawati, A., Ali, S., Fettry, S., Hendarto, T., &amp; Husin, H. (2021). Freelancers Intentions Towards Adoption Of Islamic Banking. </w:t>
      </w:r>
      <w:r w:rsidRPr="008C1784">
        <w:rPr>
          <w:rFonts w:ascii="Calibri Light" w:hAnsi="Calibri Light" w:cs="Calibri Light"/>
          <w:i/>
          <w:iCs/>
          <w:sz w:val="24"/>
        </w:rPr>
        <w:t>Academy of Strategic Management Journal</w:t>
      </w:r>
      <w:r w:rsidRPr="008C1784">
        <w:rPr>
          <w:rFonts w:ascii="Calibri Light" w:hAnsi="Calibri Light" w:cs="Calibri Light"/>
          <w:sz w:val="24"/>
        </w:rPr>
        <w:t xml:space="preserve">, </w:t>
      </w:r>
      <w:r w:rsidRPr="008C1784">
        <w:rPr>
          <w:rFonts w:ascii="Calibri Light" w:hAnsi="Calibri Light" w:cs="Calibri Light"/>
          <w:i/>
          <w:iCs/>
          <w:sz w:val="24"/>
        </w:rPr>
        <w:t>20</w:t>
      </w:r>
      <w:r w:rsidRPr="008C1784">
        <w:rPr>
          <w:rFonts w:ascii="Calibri Light" w:hAnsi="Calibri Light" w:cs="Calibri Light"/>
          <w:sz w:val="24"/>
        </w:rPr>
        <w:t>(2), 1–16. https://www.scopus.com/inward/record.uri?eid=2-s2.0-85104261973&amp;partnerID=40&amp;md5=3e018c371c1eaf93307b64b4d38b50a5</w:t>
      </w:r>
    </w:p>
    <w:p w14:paraId="6B217924"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Ho, K.-C., Lee, S.-C., &amp; Chen, J.-L. (2022). Book-to-market equity and asset correlations—An international study. </w:t>
      </w:r>
      <w:r w:rsidRPr="008C1784">
        <w:rPr>
          <w:rFonts w:ascii="Calibri Light" w:hAnsi="Calibri Light" w:cs="Calibri Light"/>
          <w:i/>
          <w:iCs/>
          <w:sz w:val="24"/>
        </w:rPr>
        <w:t>International Review of Economics and Finance</w:t>
      </w:r>
      <w:r w:rsidRPr="008C1784">
        <w:rPr>
          <w:rFonts w:ascii="Calibri Light" w:hAnsi="Calibri Light" w:cs="Calibri Light"/>
          <w:sz w:val="24"/>
        </w:rPr>
        <w:t xml:space="preserve">, </w:t>
      </w:r>
      <w:r w:rsidRPr="008C1784">
        <w:rPr>
          <w:rFonts w:ascii="Calibri Light" w:hAnsi="Calibri Light" w:cs="Calibri Light"/>
          <w:i/>
          <w:iCs/>
          <w:sz w:val="24"/>
        </w:rPr>
        <w:t>79</w:t>
      </w:r>
      <w:r w:rsidRPr="008C1784">
        <w:rPr>
          <w:rFonts w:ascii="Calibri Light" w:hAnsi="Calibri Light" w:cs="Calibri Light"/>
          <w:sz w:val="24"/>
        </w:rPr>
        <w:t>, 258–274. https://doi.org/10.1016/j.iref.2022.02.014</w:t>
      </w:r>
    </w:p>
    <w:p w14:paraId="7E314479"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Huang, C., Moreira, F., &amp; Archibald, T. W. (2024). Should Basel-style liquidity requirements be set countercyclically? Evidence from a numerical analysis. </w:t>
      </w:r>
      <w:r w:rsidRPr="008C1784">
        <w:rPr>
          <w:rFonts w:ascii="Calibri Light" w:hAnsi="Calibri Light" w:cs="Calibri Light"/>
          <w:i/>
          <w:iCs/>
          <w:sz w:val="24"/>
        </w:rPr>
        <w:t>International Review of Financial Analysis</w:t>
      </w:r>
      <w:r w:rsidRPr="008C1784">
        <w:rPr>
          <w:rFonts w:ascii="Calibri Light" w:hAnsi="Calibri Light" w:cs="Calibri Light"/>
          <w:sz w:val="24"/>
        </w:rPr>
        <w:t xml:space="preserve">, </w:t>
      </w:r>
      <w:r w:rsidRPr="008C1784">
        <w:rPr>
          <w:rFonts w:ascii="Calibri Light" w:hAnsi="Calibri Light" w:cs="Calibri Light"/>
          <w:i/>
          <w:iCs/>
          <w:sz w:val="24"/>
        </w:rPr>
        <w:t>95</w:t>
      </w:r>
      <w:r w:rsidRPr="008C1784">
        <w:rPr>
          <w:rFonts w:ascii="Calibri Light" w:hAnsi="Calibri Light" w:cs="Calibri Light"/>
          <w:sz w:val="24"/>
        </w:rPr>
        <w:t>. https://doi.org/10.1016/j.irfa.2024.103502</w:t>
      </w:r>
    </w:p>
    <w:p w14:paraId="431CD376"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8C1784">
        <w:rPr>
          <w:rFonts w:ascii="Calibri Light" w:hAnsi="Calibri Light" w:cs="Calibri Light"/>
          <w:i/>
          <w:iCs/>
          <w:sz w:val="24"/>
        </w:rPr>
        <w:t>Management and Accounting Review</w:t>
      </w:r>
      <w:r w:rsidRPr="008C1784">
        <w:rPr>
          <w:rFonts w:ascii="Calibri Light" w:hAnsi="Calibri Light" w:cs="Calibri Light"/>
          <w:sz w:val="24"/>
        </w:rPr>
        <w:t xml:space="preserve">, </w:t>
      </w:r>
      <w:r w:rsidRPr="008C1784">
        <w:rPr>
          <w:rFonts w:ascii="Calibri Light" w:hAnsi="Calibri Light" w:cs="Calibri Light"/>
          <w:i/>
          <w:iCs/>
          <w:sz w:val="24"/>
        </w:rPr>
        <w:t>22</w:t>
      </w:r>
      <w:r w:rsidRPr="008C1784">
        <w:rPr>
          <w:rFonts w:ascii="Calibri Light" w:hAnsi="Calibri Light" w:cs="Calibri Light"/>
          <w:sz w:val="24"/>
        </w:rPr>
        <w:t>(3), 407–428. https://www.scopus.com/inward/record.uri?eid=2-s2.0-85179718521&amp;partnerID=40&amp;md5=c1d4efeffba5a3e6e85b32d01d1e3a12</w:t>
      </w:r>
    </w:p>
    <w:p w14:paraId="43E9394C"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Isman, A. (2024). Islamic Capital Market Accessibility and Fintech Innovation: Transformation of POJK 77/2016. </w:t>
      </w:r>
      <w:r w:rsidRPr="008C1784">
        <w:rPr>
          <w:rFonts w:ascii="Calibri Light" w:hAnsi="Calibri Light" w:cs="Calibri Light"/>
          <w:i/>
          <w:iCs/>
          <w:sz w:val="24"/>
        </w:rPr>
        <w:t>International Conference on Actual Islamic Studies</w:t>
      </w:r>
      <w:r w:rsidRPr="008C1784">
        <w:rPr>
          <w:rFonts w:ascii="Calibri Light" w:hAnsi="Calibri Light" w:cs="Calibri Light"/>
          <w:sz w:val="24"/>
        </w:rPr>
        <w:t xml:space="preserve">, </w:t>
      </w:r>
      <w:r w:rsidRPr="008C1784">
        <w:rPr>
          <w:rFonts w:ascii="Calibri Light" w:hAnsi="Calibri Light" w:cs="Calibri Light"/>
          <w:i/>
          <w:iCs/>
          <w:sz w:val="24"/>
        </w:rPr>
        <w:t>3</w:t>
      </w:r>
      <w:r w:rsidRPr="008C1784">
        <w:rPr>
          <w:rFonts w:ascii="Calibri Light" w:hAnsi="Calibri Light" w:cs="Calibri Light"/>
          <w:sz w:val="24"/>
        </w:rPr>
        <w:t>(1). https://prosiding.icaisunismuh.org/index.php/3rd/article/view/232</w:t>
      </w:r>
    </w:p>
    <w:p w14:paraId="6547F3DF"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lastRenderedPageBreak/>
        <w:t xml:space="preserve">Jabbar, A. A., Achour, M., Geraldine, E., &amp; Afiyah, I. (2024). The Relevance and Dynamics of Muamalat Transactions in the Context of Modern Economics : A Holistic Review. </w:t>
      </w:r>
      <w:r w:rsidRPr="008C1784">
        <w:rPr>
          <w:rFonts w:ascii="Calibri Light" w:hAnsi="Calibri Light" w:cs="Calibri Light"/>
          <w:i/>
          <w:iCs/>
          <w:sz w:val="24"/>
        </w:rPr>
        <w:t>Solo International Colaboration and Publication of Social Sciences and Humanitieslaboration and Publication of Social Sciences and Humanities</w:t>
      </w:r>
      <w:r w:rsidRPr="008C1784">
        <w:rPr>
          <w:rFonts w:ascii="Calibri Light" w:hAnsi="Calibri Light" w:cs="Calibri Light"/>
          <w:sz w:val="24"/>
        </w:rPr>
        <w:t xml:space="preserve">, </w:t>
      </w:r>
      <w:r w:rsidRPr="008C1784">
        <w:rPr>
          <w:rFonts w:ascii="Calibri Light" w:hAnsi="Calibri Light" w:cs="Calibri Light"/>
          <w:i/>
          <w:iCs/>
          <w:sz w:val="24"/>
        </w:rPr>
        <w:t>2</w:t>
      </w:r>
      <w:r w:rsidRPr="008C1784">
        <w:rPr>
          <w:rFonts w:ascii="Calibri Light" w:hAnsi="Calibri Light" w:cs="Calibri Light"/>
          <w:sz w:val="24"/>
        </w:rPr>
        <w:t>(1), 47–60.</w:t>
      </w:r>
    </w:p>
    <w:p w14:paraId="146394FF" w14:textId="34DAB838"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Law, S. E., Said, R. M., August, R., October, R., &amp; August, A. (2024). </w:t>
      </w:r>
      <w:r w:rsidR="00A31480" w:rsidRPr="008C1784">
        <w:rPr>
          <w:rFonts w:ascii="Calibri Light" w:hAnsi="Calibri Light" w:cs="Calibri Light"/>
          <w:i/>
          <w:iCs/>
          <w:sz w:val="24"/>
        </w:rPr>
        <w:t>Financial Performance Analysis Using Camels At Pt . Bank Syariah Indonesia Before And After Merger</w:t>
      </w:r>
      <w:r w:rsidR="00A31480" w:rsidRPr="008C1784">
        <w:rPr>
          <w:rFonts w:ascii="Calibri Light" w:hAnsi="Calibri Light" w:cs="Calibri Light"/>
          <w:sz w:val="24"/>
        </w:rPr>
        <w:t>.</w:t>
      </w:r>
      <w:r w:rsidRPr="008C1784">
        <w:rPr>
          <w:rFonts w:ascii="Calibri Light" w:hAnsi="Calibri Light" w:cs="Calibri Light"/>
          <w:sz w:val="24"/>
        </w:rPr>
        <w:t xml:space="preserve"> </w:t>
      </w:r>
      <w:r w:rsidRPr="008C1784">
        <w:rPr>
          <w:rFonts w:ascii="Calibri Light" w:hAnsi="Calibri Light" w:cs="Calibri Light"/>
          <w:i/>
          <w:iCs/>
          <w:sz w:val="24"/>
        </w:rPr>
        <w:t>25</w:t>
      </w:r>
      <w:r w:rsidRPr="008C1784">
        <w:rPr>
          <w:rFonts w:ascii="Calibri Light" w:hAnsi="Calibri Light" w:cs="Calibri Light"/>
          <w:sz w:val="24"/>
        </w:rPr>
        <w:t>(1), 195–210. https://journals2.ums.ac.id/profetika/article/view/2470</w:t>
      </w:r>
    </w:p>
    <w:p w14:paraId="4B57AC17"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Mitchell, C. (2022). The Power of Delay: Banking System Structure and Implementation of the Basel Accords. </w:t>
      </w:r>
      <w:r w:rsidRPr="008C1784">
        <w:rPr>
          <w:rFonts w:ascii="Calibri Light" w:hAnsi="Calibri Light" w:cs="Calibri Light"/>
          <w:i/>
          <w:iCs/>
          <w:sz w:val="24"/>
        </w:rPr>
        <w:t>Business and Politics</w:t>
      </w:r>
      <w:r w:rsidRPr="008C1784">
        <w:rPr>
          <w:rFonts w:ascii="Calibri Light" w:hAnsi="Calibri Light" w:cs="Calibri Light"/>
          <w:sz w:val="24"/>
        </w:rPr>
        <w:t xml:space="preserve">, </w:t>
      </w:r>
      <w:r w:rsidRPr="008C1784">
        <w:rPr>
          <w:rFonts w:ascii="Calibri Light" w:hAnsi="Calibri Light" w:cs="Calibri Light"/>
          <w:i/>
          <w:iCs/>
          <w:sz w:val="24"/>
        </w:rPr>
        <w:t>24</w:t>
      </w:r>
      <w:r w:rsidRPr="008C1784">
        <w:rPr>
          <w:rFonts w:ascii="Calibri Light" w:hAnsi="Calibri Light" w:cs="Calibri Light"/>
          <w:sz w:val="24"/>
        </w:rPr>
        <w:t>(1), 1–17. https://doi.org/10.1017/bap.2021.16</w:t>
      </w:r>
    </w:p>
    <w:p w14:paraId="7D71C3B2"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Muflih, M. (2021). The link between corporate social responsibility and customer loyalty: Empirical evidence from the Islamic banking industry. </w:t>
      </w:r>
      <w:r w:rsidRPr="008C1784">
        <w:rPr>
          <w:rFonts w:ascii="Calibri Light" w:hAnsi="Calibri Light" w:cs="Calibri Light"/>
          <w:i/>
          <w:iCs/>
          <w:sz w:val="24"/>
        </w:rPr>
        <w:t>Journal of Retailing and Consumer Services</w:t>
      </w:r>
      <w:r w:rsidRPr="008C1784">
        <w:rPr>
          <w:rFonts w:ascii="Calibri Light" w:hAnsi="Calibri Light" w:cs="Calibri Light"/>
          <w:sz w:val="24"/>
        </w:rPr>
        <w:t xml:space="preserve">, </w:t>
      </w:r>
      <w:r w:rsidRPr="008C1784">
        <w:rPr>
          <w:rFonts w:ascii="Calibri Light" w:hAnsi="Calibri Light" w:cs="Calibri Light"/>
          <w:i/>
          <w:iCs/>
          <w:sz w:val="24"/>
        </w:rPr>
        <w:t>61</w:t>
      </w:r>
      <w:r w:rsidRPr="008C1784">
        <w:rPr>
          <w:rFonts w:ascii="Calibri Light" w:hAnsi="Calibri Light" w:cs="Calibri Light"/>
          <w:sz w:val="24"/>
        </w:rPr>
        <w:t>. https://doi.org/10.1016/j.jretconser.2021.102558</w:t>
      </w:r>
    </w:p>
    <w:p w14:paraId="106D7F99"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Muthoifin, M., Amelia, I., &amp; Eprahim Ali, A. B. (2024). Islamic accounting: Ethics and contextualization of recording in Muamalah transactions. </w:t>
      </w:r>
      <w:r w:rsidRPr="008C1784">
        <w:rPr>
          <w:rFonts w:ascii="Calibri Light" w:hAnsi="Calibri Light" w:cs="Calibri Light"/>
          <w:i/>
          <w:iCs/>
          <w:sz w:val="24"/>
        </w:rPr>
        <w:t>Multidisciplinary Reviews</w:t>
      </w:r>
      <w:r w:rsidRPr="008C1784">
        <w:rPr>
          <w:rFonts w:ascii="Calibri Light" w:hAnsi="Calibri Light" w:cs="Calibri Light"/>
          <w:sz w:val="24"/>
        </w:rPr>
        <w:t xml:space="preserve">, </w:t>
      </w:r>
      <w:r w:rsidRPr="008C1784">
        <w:rPr>
          <w:rFonts w:ascii="Calibri Light" w:hAnsi="Calibri Light" w:cs="Calibri Light"/>
          <w:i/>
          <w:iCs/>
          <w:sz w:val="24"/>
        </w:rPr>
        <w:t>7</w:t>
      </w:r>
      <w:r w:rsidRPr="008C1784">
        <w:rPr>
          <w:rFonts w:ascii="Calibri Light" w:hAnsi="Calibri Light" w:cs="Calibri Light"/>
          <w:sz w:val="24"/>
        </w:rPr>
        <w:t>(8). https://doi.org/10.31893/multirev.2024132</w:t>
      </w:r>
    </w:p>
    <w:p w14:paraId="53C4D4D7"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Nasrullah, M. (2024). Implementation of Fiqh Rules in Economic Transactions in Islamic Financial Institutions : A Literature Review Study. </w:t>
      </w:r>
      <w:r w:rsidRPr="008C1784">
        <w:rPr>
          <w:rFonts w:ascii="Calibri Light" w:hAnsi="Calibri Light" w:cs="Calibri Light"/>
          <w:i/>
          <w:iCs/>
          <w:sz w:val="24"/>
        </w:rPr>
        <w:t>Demak Universal Journal of Islam and Sharia</w:t>
      </w:r>
      <w:r w:rsidRPr="008C1784">
        <w:rPr>
          <w:rFonts w:ascii="Calibri Light" w:hAnsi="Calibri Light" w:cs="Calibri Light"/>
          <w:sz w:val="24"/>
        </w:rPr>
        <w:t xml:space="preserve">, </w:t>
      </w:r>
      <w:r w:rsidRPr="008C1784">
        <w:rPr>
          <w:rFonts w:ascii="Calibri Light" w:hAnsi="Calibri Light" w:cs="Calibri Light"/>
          <w:i/>
          <w:iCs/>
          <w:sz w:val="24"/>
        </w:rPr>
        <w:t>2</w:t>
      </w:r>
      <w:r w:rsidRPr="008C1784">
        <w:rPr>
          <w:rFonts w:ascii="Calibri Light" w:hAnsi="Calibri Light" w:cs="Calibri Light"/>
          <w:sz w:val="24"/>
        </w:rPr>
        <w:t>(3), 347–360.</w:t>
      </w:r>
    </w:p>
    <w:p w14:paraId="41262827" w14:textId="387DAEDE"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Nouman, M., Ullah, K., &amp; Jan, S. (2022). DOMAINS </w:t>
      </w:r>
      <w:r w:rsidR="00A31480" w:rsidRPr="008C1784">
        <w:rPr>
          <w:rFonts w:ascii="Calibri Light" w:hAnsi="Calibri Light" w:cs="Calibri Light"/>
          <w:sz w:val="24"/>
        </w:rPr>
        <w:t xml:space="preserve">And </w:t>
      </w:r>
      <w:r w:rsidRPr="008C1784">
        <w:rPr>
          <w:rFonts w:ascii="Calibri Light" w:hAnsi="Calibri Light" w:cs="Calibri Light"/>
          <w:sz w:val="24"/>
        </w:rPr>
        <w:t xml:space="preserve">MOTIVES </w:t>
      </w:r>
      <w:r w:rsidR="00A31480" w:rsidRPr="008C1784">
        <w:rPr>
          <w:rFonts w:ascii="Calibri Light" w:hAnsi="Calibri Light" w:cs="Calibri Light"/>
          <w:sz w:val="24"/>
        </w:rPr>
        <w:t xml:space="preserve">Of </w:t>
      </w:r>
      <w:r w:rsidRPr="008C1784">
        <w:rPr>
          <w:rFonts w:ascii="Calibri Light" w:hAnsi="Calibri Light" w:cs="Calibri Light"/>
          <w:sz w:val="24"/>
        </w:rPr>
        <w:t xml:space="preserve">MUSHARAKAH SPUR </w:t>
      </w:r>
      <w:r w:rsidR="00A31480" w:rsidRPr="008C1784">
        <w:rPr>
          <w:rFonts w:ascii="Calibri Light" w:hAnsi="Calibri Light" w:cs="Calibri Light"/>
          <w:sz w:val="24"/>
        </w:rPr>
        <w:t xml:space="preserve">In The </w:t>
      </w:r>
      <w:r w:rsidRPr="008C1784">
        <w:rPr>
          <w:rFonts w:ascii="Calibri Light" w:hAnsi="Calibri Light" w:cs="Calibri Light"/>
          <w:sz w:val="24"/>
        </w:rPr>
        <w:t xml:space="preserve">ISLAMIC BANKING INDUSTRY </w:t>
      </w:r>
      <w:r w:rsidR="00A31480" w:rsidRPr="008C1784">
        <w:rPr>
          <w:rFonts w:ascii="Calibri Light" w:hAnsi="Calibri Light" w:cs="Calibri Light"/>
          <w:sz w:val="24"/>
        </w:rPr>
        <w:t xml:space="preserve">Of </w:t>
      </w:r>
      <w:r w:rsidRPr="008C1784">
        <w:rPr>
          <w:rFonts w:ascii="Calibri Light" w:hAnsi="Calibri Light" w:cs="Calibri Light"/>
          <w:sz w:val="24"/>
        </w:rPr>
        <w:t xml:space="preserve">PAKISTAN. </w:t>
      </w:r>
      <w:r w:rsidRPr="008C1784">
        <w:rPr>
          <w:rFonts w:ascii="Calibri Light" w:hAnsi="Calibri Light" w:cs="Calibri Light"/>
          <w:i/>
          <w:iCs/>
          <w:sz w:val="24"/>
        </w:rPr>
        <w:t>Singapore Economic Review</w:t>
      </w:r>
      <w:r w:rsidRPr="008C1784">
        <w:rPr>
          <w:rFonts w:ascii="Calibri Light" w:hAnsi="Calibri Light" w:cs="Calibri Light"/>
          <w:sz w:val="24"/>
        </w:rPr>
        <w:t xml:space="preserve">, </w:t>
      </w:r>
      <w:r w:rsidRPr="008C1784">
        <w:rPr>
          <w:rFonts w:ascii="Calibri Light" w:hAnsi="Calibri Light" w:cs="Calibri Light"/>
          <w:i/>
          <w:iCs/>
          <w:sz w:val="24"/>
        </w:rPr>
        <w:t>67</w:t>
      </w:r>
      <w:r w:rsidRPr="008C1784">
        <w:rPr>
          <w:rFonts w:ascii="Calibri Light" w:hAnsi="Calibri Light" w:cs="Calibri Light"/>
          <w:sz w:val="24"/>
        </w:rPr>
        <w:t>(1), 381–409. https://doi.org/10.1142/S0217590819500620</w:t>
      </w:r>
    </w:p>
    <w:p w14:paraId="6FDF3728"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Noviani, D., Ishaq, D. F., &amp; Madami, U. (2025). Implementation and Challenges of Wadi’ah Contracts in Islamic Banking with a View to Future Prospects. </w:t>
      </w:r>
      <w:r w:rsidRPr="008C1784">
        <w:rPr>
          <w:rFonts w:ascii="Calibri Light" w:hAnsi="Calibri Light" w:cs="Calibri Light"/>
          <w:i/>
          <w:iCs/>
          <w:sz w:val="24"/>
        </w:rPr>
        <w:t>Solo International Collaboration and Publication of Social Sciences and Humanities</w:t>
      </w:r>
      <w:r w:rsidRPr="008C1784">
        <w:rPr>
          <w:rFonts w:ascii="Calibri Light" w:hAnsi="Calibri Light" w:cs="Calibri Light"/>
          <w:sz w:val="24"/>
        </w:rPr>
        <w:t xml:space="preserve">, </w:t>
      </w:r>
      <w:r w:rsidRPr="008C1784">
        <w:rPr>
          <w:rFonts w:ascii="Calibri Light" w:hAnsi="Calibri Light" w:cs="Calibri Light"/>
          <w:i/>
          <w:iCs/>
          <w:sz w:val="24"/>
        </w:rPr>
        <w:t>3</w:t>
      </w:r>
      <w:r w:rsidRPr="008C1784">
        <w:rPr>
          <w:rFonts w:ascii="Calibri Light" w:hAnsi="Calibri Light" w:cs="Calibri Light"/>
          <w:sz w:val="24"/>
        </w:rPr>
        <w:t>(02), 359–370.</w:t>
      </w:r>
    </w:p>
    <w:p w14:paraId="6153F550"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8C1784">
        <w:rPr>
          <w:rFonts w:ascii="Calibri Light" w:hAnsi="Calibri Light" w:cs="Calibri Light"/>
          <w:i/>
          <w:iCs/>
          <w:sz w:val="24"/>
        </w:rPr>
        <w:t>Journal of Modelling in Management</w:t>
      </w:r>
      <w:r w:rsidRPr="008C1784">
        <w:rPr>
          <w:rFonts w:ascii="Calibri Light" w:hAnsi="Calibri Light" w:cs="Calibri Light"/>
          <w:sz w:val="24"/>
        </w:rPr>
        <w:t xml:space="preserve">, </w:t>
      </w:r>
      <w:r w:rsidRPr="008C1784">
        <w:rPr>
          <w:rFonts w:ascii="Calibri Light" w:hAnsi="Calibri Light" w:cs="Calibri Light"/>
          <w:i/>
          <w:iCs/>
          <w:sz w:val="24"/>
        </w:rPr>
        <w:t>17</w:t>
      </w:r>
      <w:r w:rsidRPr="008C1784">
        <w:rPr>
          <w:rFonts w:ascii="Calibri Light" w:hAnsi="Calibri Light" w:cs="Calibri Light"/>
          <w:sz w:val="24"/>
        </w:rPr>
        <w:t>(4), 1241–1261. https://doi.org/10.1108/JM2-10-2020-0256</w:t>
      </w:r>
    </w:p>
    <w:p w14:paraId="6CF6DA99"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Rahman, M. H., &amp; Chowdhury, N. M. S. I. (2024). The prospects of istijrar financing in Islamic banking: an exploratory study in Bangladesh. </w:t>
      </w:r>
      <w:r w:rsidRPr="008C1784">
        <w:rPr>
          <w:rFonts w:ascii="Calibri Light" w:hAnsi="Calibri Light" w:cs="Calibri Light"/>
          <w:i/>
          <w:iCs/>
          <w:sz w:val="24"/>
        </w:rPr>
        <w:t>Qualitative Research in Financial Markets</w:t>
      </w:r>
      <w:r w:rsidRPr="008C1784">
        <w:rPr>
          <w:rFonts w:ascii="Calibri Light" w:hAnsi="Calibri Light" w:cs="Calibri Light"/>
          <w:sz w:val="24"/>
        </w:rPr>
        <w:t xml:space="preserve">, </w:t>
      </w:r>
      <w:r w:rsidRPr="008C1784">
        <w:rPr>
          <w:rFonts w:ascii="Calibri Light" w:hAnsi="Calibri Light" w:cs="Calibri Light"/>
          <w:i/>
          <w:iCs/>
          <w:sz w:val="24"/>
        </w:rPr>
        <w:t>16</w:t>
      </w:r>
      <w:r w:rsidRPr="008C1784">
        <w:rPr>
          <w:rFonts w:ascii="Calibri Light" w:hAnsi="Calibri Light" w:cs="Calibri Light"/>
          <w:sz w:val="24"/>
        </w:rPr>
        <w:t>(1), 135–158. https://doi.org/10.1108/QRFM-10-2022-0173</w:t>
      </w:r>
    </w:p>
    <w:p w14:paraId="552D05EF"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Riaz, U., Burton, B., &amp; Fearfull, A. (2023). Emotional propensities and the contemporary Islamic banking industry. </w:t>
      </w:r>
      <w:r w:rsidRPr="008C1784">
        <w:rPr>
          <w:rFonts w:ascii="Calibri Light" w:hAnsi="Calibri Light" w:cs="Calibri Light"/>
          <w:i/>
          <w:iCs/>
          <w:sz w:val="24"/>
        </w:rPr>
        <w:t>Critical Perspectives on Accounting</w:t>
      </w:r>
      <w:r w:rsidRPr="008C1784">
        <w:rPr>
          <w:rFonts w:ascii="Calibri Light" w:hAnsi="Calibri Light" w:cs="Calibri Light"/>
          <w:sz w:val="24"/>
        </w:rPr>
        <w:t xml:space="preserve">, </w:t>
      </w:r>
      <w:r w:rsidRPr="008C1784">
        <w:rPr>
          <w:rFonts w:ascii="Calibri Light" w:hAnsi="Calibri Light" w:cs="Calibri Light"/>
          <w:i/>
          <w:iCs/>
          <w:sz w:val="24"/>
        </w:rPr>
        <w:t>94</w:t>
      </w:r>
      <w:r w:rsidRPr="008C1784">
        <w:rPr>
          <w:rFonts w:ascii="Calibri Light" w:hAnsi="Calibri Light" w:cs="Calibri Light"/>
          <w:sz w:val="24"/>
        </w:rPr>
        <w:t>. https://doi.org/10.1016/j.cpa.2022.102449</w:t>
      </w:r>
    </w:p>
    <w:p w14:paraId="3B498076"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Rossignolo, A. F. (2020). Basel 3.5 vs. Basel III: A radical overhaul of the capital requirements pillar. The case of commodity exposures. </w:t>
      </w:r>
      <w:r w:rsidRPr="008C1784">
        <w:rPr>
          <w:rFonts w:ascii="Calibri Light" w:hAnsi="Calibri Light" w:cs="Calibri Light"/>
          <w:i/>
          <w:iCs/>
          <w:sz w:val="24"/>
        </w:rPr>
        <w:t>International Journal of Banking, Accounting and Finance</w:t>
      </w:r>
      <w:r w:rsidRPr="008C1784">
        <w:rPr>
          <w:rFonts w:ascii="Calibri Light" w:hAnsi="Calibri Light" w:cs="Calibri Light"/>
          <w:sz w:val="24"/>
        </w:rPr>
        <w:t xml:space="preserve">, </w:t>
      </w:r>
      <w:r w:rsidRPr="008C1784">
        <w:rPr>
          <w:rFonts w:ascii="Calibri Light" w:hAnsi="Calibri Light" w:cs="Calibri Light"/>
          <w:i/>
          <w:iCs/>
          <w:sz w:val="24"/>
        </w:rPr>
        <w:t>11</w:t>
      </w:r>
      <w:r w:rsidRPr="008C1784">
        <w:rPr>
          <w:rFonts w:ascii="Calibri Light" w:hAnsi="Calibri Light" w:cs="Calibri Light"/>
          <w:sz w:val="24"/>
        </w:rPr>
        <w:t>(1), 1–34. https://doi.org/10.1504/IJBAAF.2020.104479</w:t>
      </w:r>
    </w:p>
    <w:p w14:paraId="0DD1F228"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Shaikh, S. A. (2023). Economic Evaluation of Islamic Banking in Pakistan. </w:t>
      </w:r>
      <w:r w:rsidRPr="008C1784">
        <w:rPr>
          <w:rFonts w:ascii="Calibri Light" w:hAnsi="Calibri Light" w:cs="Calibri Light"/>
          <w:i/>
          <w:iCs/>
          <w:sz w:val="24"/>
        </w:rPr>
        <w:t>Journal of King Abdulaziz University, Islamic Economics</w:t>
      </w:r>
      <w:r w:rsidRPr="008C1784">
        <w:rPr>
          <w:rFonts w:ascii="Calibri Light" w:hAnsi="Calibri Light" w:cs="Calibri Light"/>
          <w:sz w:val="24"/>
        </w:rPr>
        <w:t xml:space="preserve">, </w:t>
      </w:r>
      <w:r w:rsidRPr="008C1784">
        <w:rPr>
          <w:rFonts w:ascii="Calibri Light" w:hAnsi="Calibri Light" w:cs="Calibri Light"/>
          <w:i/>
          <w:iCs/>
          <w:sz w:val="24"/>
        </w:rPr>
        <w:t>36</w:t>
      </w:r>
      <w:r w:rsidRPr="008C1784">
        <w:rPr>
          <w:rFonts w:ascii="Calibri Light" w:hAnsi="Calibri Light" w:cs="Calibri Light"/>
          <w:sz w:val="24"/>
        </w:rPr>
        <w:t>(1), 91–111. https://doi.org/10.4197/Islec.36-1.5</w:t>
      </w:r>
    </w:p>
    <w:p w14:paraId="4A43A05A"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Shakilla, U., &amp; Elbanna, M. (2025). </w:t>
      </w:r>
      <w:r w:rsidRPr="008C1784">
        <w:rPr>
          <w:rFonts w:ascii="Calibri Light" w:hAnsi="Calibri Light" w:cs="Calibri Light"/>
          <w:i/>
          <w:iCs/>
          <w:sz w:val="24"/>
        </w:rPr>
        <w:t>Managing Consumer Emotions Post-Recall : A Behavioral Analysis of Psychological Reactions and Long-Term Brand Perception</w:t>
      </w:r>
      <w:r w:rsidRPr="008C1784">
        <w:rPr>
          <w:rFonts w:ascii="Calibri Light" w:hAnsi="Calibri Light" w:cs="Calibri Light"/>
          <w:sz w:val="24"/>
        </w:rPr>
        <w:t xml:space="preserve">. </w:t>
      </w:r>
      <w:r w:rsidRPr="008C1784">
        <w:rPr>
          <w:rFonts w:ascii="Calibri Light" w:hAnsi="Calibri Light" w:cs="Calibri Light"/>
          <w:i/>
          <w:iCs/>
          <w:sz w:val="24"/>
        </w:rPr>
        <w:t>3</w:t>
      </w:r>
      <w:r w:rsidRPr="008C1784">
        <w:rPr>
          <w:rFonts w:ascii="Calibri Light" w:hAnsi="Calibri Light" w:cs="Calibri Light"/>
          <w:sz w:val="24"/>
        </w:rPr>
        <w:t xml:space="preserve">(1), </w:t>
      </w:r>
      <w:r w:rsidRPr="008C1784">
        <w:rPr>
          <w:rFonts w:ascii="Calibri Light" w:hAnsi="Calibri Light" w:cs="Calibri Light"/>
          <w:sz w:val="24"/>
        </w:rPr>
        <w:lastRenderedPageBreak/>
        <w:t>25–42. https://doi.org/10.69526/bir.v3i1.163</w:t>
      </w:r>
    </w:p>
    <w:p w14:paraId="1F6B82E6"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Štrukelj, A. (2022). Grateful Remembrance of Henri Cardinal de Lubac on the Occasion 30th Anniversary of His Death (Sept. 4, 1991): Lecture at the Hans Urs von Balthasar Memorial Day, in Basel, 3 July 2021. </w:t>
      </w:r>
      <w:r w:rsidRPr="008C1784">
        <w:rPr>
          <w:rFonts w:ascii="Calibri Light" w:hAnsi="Calibri Light" w:cs="Calibri Light"/>
          <w:i/>
          <w:iCs/>
          <w:sz w:val="24"/>
        </w:rPr>
        <w:t>Bogoslovni Vestnik</w:t>
      </w:r>
      <w:r w:rsidRPr="008C1784">
        <w:rPr>
          <w:rFonts w:ascii="Calibri Light" w:hAnsi="Calibri Light" w:cs="Calibri Light"/>
          <w:sz w:val="24"/>
        </w:rPr>
        <w:t xml:space="preserve">, </w:t>
      </w:r>
      <w:r w:rsidRPr="008C1784">
        <w:rPr>
          <w:rFonts w:ascii="Calibri Light" w:hAnsi="Calibri Light" w:cs="Calibri Light"/>
          <w:i/>
          <w:iCs/>
          <w:sz w:val="24"/>
        </w:rPr>
        <w:t>82</w:t>
      </w:r>
      <w:r w:rsidRPr="008C1784">
        <w:rPr>
          <w:rFonts w:ascii="Calibri Light" w:hAnsi="Calibri Light" w:cs="Calibri Light"/>
          <w:sz w:val="24"/>
        </w:rPr>
        <w:t>(3), 737–759. https://doi.org/10.34291/BV2022/03/Strukelj</w:t>
      </w:r>
    </w:p>
    <w:p w14:paraId="7A898219"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Suhaedi, W., Wahab, A. O., Sulistia, A., &amp; Putri, B. S. W. (2025). Implementation of the System Mini Bank to Increase Literacy Finance Santri: Study at the Islamic Boarding School, Islamic Boarding School Haramain Narmada. </w:t>
      </w:r>
      <w:r w:rsidRPr="008C1784">
        <w:rPr>
          <w:rFonts w:ascii="Calibri Light" w:hAnsi="Calibri Light" w:cs="Calibri Light"/>
          <w:i/>
          <w:iCs/>
          <w:sz w:val="24"/>
        </w:rPr>
        <w:t>Ishraqi</w:t>
      </w:r>
      <w:r w:rsidRPr="008C1784">
        <w:rPr>
          <w:rFonts w:ascii="Calibri Light" w:hAnsi="Calibri Light" w:cs="Calibri Light"/>
          <w:sz w:val="24"/>
        </w:rPr>
        <w:t xml:space="preserve">, </w:t>
      </w:r>
      <w:r w:rsidRPr="008C1784">
        <w:rPr>
          <w:rFonts w:ascii="Calibri Light" w:hAnsi="Calibri Light" w:cs="Calibri Light"/>
          <w:i/>
          <w:iCs/>
          <w:sz w:val="24"/>
        </w:rPr>
        <w:t>24</w:t>
      </w:r>
      <w:r w:rsidRPr="008C1784">
        <w:rPr>
          <w:rFonts w:ascii="Calibri Light" w:hAnsi="Calibri Light" w:cs="Calibri Light"/>
          <w:sz w:val="24"/>
        </w:rPr>
        <w:t>(1), 19–32. https://journals2.ums.ac.id/index.php/ishraqi/article/view/8015</w:t>
      </w:r>
    </w:p>
    <w:p w14:paraId="08510367"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Suliyono, J., &amp; Risfandy, T. (2021). ISLAMIC BANKING MARKET DISCIPLINE IN INDONESIA. </w:t>
      </w:r>
      <w:r w:rsidRPr="008C1784">
        <w:rPr>
          <w:rFonts w:ascii="Calibri Light" w:hAnsi="Calibri Light" w:cs="Calibri Light"/>
          <w:i/>
          <w:iCs/>
          <w:sz w:val="24"/>
        </w:rPr>
        <w:t>Journal of Islamic Monetary Economics and Finance</w:t>
      </w:r>
      <w:r w:rsidRPr="008C1784">
        <w:rPr>
          <w:rFonts w:ascii="Calibri Light" w:hAnsi="Calibri Light" w:cs="Calibri Light"/>
          <w:sz w:val="24"/>
        </w:rPr>
        <w:t xml:space="preserve">, </w:t>
      </w:r>
      <w:r w:rsidRPr="008C1784">
        <w:rPr>
          <w:rFonts w:ascii="Calibri Light" w:hAnsi="Calibri Light" w:cs="Calibri Light"/>
          <w:i/>
          <w:iCs/>
          <w:sz w:val="24"/>
        </w:rPr>
        <w:t>7</w:t>
      </w:r>
      <w:r w:rsidRPr="008C1784">
        <w:rPr>
          <w:rFonts w:ascii="Calibri Light" w:hAnsi="Calibri Light" w:cs="Calibri Light"/>
          <w:sz w:val="24"/>
        </w:rPr>
        <w:t>(3), 457–472. https://doi.org/10.21098/jimf.v7i3.1376</w:t>
      </w:r>
    </w:p>
    <w:p w14:paraId="26FC45E2"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Syah, D., &amp; Rahmadani, G. (2024). The Profit-Sharing System in Financing Islamic Banking. </w:t>
      </w:r>
      <w:r w:rsidRPr="008C1784">
        <w:rPr>
          <w:rFonts w:ascii="Calibri Light" w:hAnsi="Calibri Light" w:cs="Calibri Light"/>
          <w:i/>
          <w:iCs/>
          <w:sz w:val="24"/>
        </w:rPr>
        <w:t xml:space="preserve">Qubahan Academic Journal </w:t>
      </w:r>
      <w:r w:rsidRPr="008C1784">
        <w:rPr>
          <w:rFonts w:ascii="Calibri Light" w:hAnsi="Calibri Light" w:cs="Calibri Light"/>
          <w:sz w:val="24"/>
        </w:rPr>
        <w:t xml:space="preserve">, </w:t>
      </w:r>
      <w:r w:rsidRPr="008C1784">
        <w:rPr>
          <w:rFonts w:ascii="Calibri Light" w:hAnsi="Calibri Light" w:cs="Calibri Light"/>
          <w:i/>
          <w:iCs/>
          <w:sz w:val="24"/>
        </w:rPr>
        <w:t>4</w:t>
      </w:r>
      <w:r w:rsidRPr="008C1784">
        <w:rPr>
          <w:rFonts w:ascii="Calibri Light" w:hAnsi="Calibri Light" w:cs="Calibri Light"/>
          <w:sz w:val="24"/>
        </w:rPr>
        <w:t>(1), 300–309. https://doi.org/10.48161/qaj.v4n1a198</w:t>
      </w:r>
    </w:p>
    <w:p w14:paraId="3711C32C" w14:textId="2F420260"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Triyanta, A., &amp; Hassan, R. (2024). </w:t>
      </w:r>
      <w:r w:rsidR="00A31480" w:rsidRPr="008C1784">
        <w:rPr>
          <w:rFonts w:ascii="Calibri Light" w:hAnsi="Calibri Light" w:cs="Calibri Light"/>
          <w:sz w:val="24"/>
        </w:rPr>
        <w:t>The Connection Between Robust Legal Instruments And The Exceptional Performance Of The Islamic Banking Industry</w:t>
      </w:r>
      <w:r w:rsidRPr="008C1784">
        <w:rPr>
          <w:rFonts w:ascii="Calibri Light" w:hAnsi="Calibri Light" w:cs="Calibri Light"/>
          <w:sz w:val="24"/>
        </w:rPr>
        <w:t xml:space="preserve">. </w:t>
      </w:r>
      <w:r w:rsidRPr="008C1784">
        <w:rPr>
          <w:rFonts w:ascii="Calibri Light" w:hAnsi="Calibri Light" w:cs="Calibri Light"/>
          <w:i/>
          <w:iCs/>
          <w:sz w:val="24"/>
        </w:rPr>
        <w:t>Journal of Governance and Regulation</w:t>
      </w:r>
      <w:r w:rsidRPr="008C1784">
        <w:rPr>
          <w:rFonts w:ascii="Calibri Light" w:hAnsi="Calibri Light" w:cs="Calibri Light"/>
          <w:sz w:val="24"/>
        </w:rPr>
        <w:t xml:space="preserve">, </w:t>
      </w:r>
      <w:r w:rsidRPr="008C1784">
        <w:rPr>
          <w:rFonts w:ascii="Calibri Light" w:hAnsi="Calibri Light" w:cs="Calibri Light"/>
          <w:i/>
          <w:iCs/>
          <w:sz w:val="24"/>
        </w:rPr>
        <w:t>13</w:t>
      </w:r>
      <w:r w:rsidRPr="008C1784">
        <w:rPr>
          <w:rFonts w:ascii="Calibri Light" w:hAnsi="Calibri Light" w:cs="Calibri Light"/>
          <w:sz w:val="24"/>
        </w:rPr>
        <w:t>(2 (special issue)), 267–274. https://doi.org/10.22495/jgrv13i2siart3</w:t>
      </w:r>
    </w:p>
    <w:p w14:paraId="3F79412E"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Ul-Haq, S., Lone, R. A., &amp; Ashraf, N. (2022). A theory of capitalist co-optation of radical alternatives: The case of Islamic banking industry. </w:t>
      </w:r>
      <w:r w:rsidRPr="008C1784">
        <w:rPr>
          <w:rFonts w:ascii="Calibri Light" w:hAnsi="Calibri Light" w:cs="Calibri Light"/>
          <w:i/>
          <w:iCs/>
          <w:sz w:val="24"/>
        </w:rPr>
        <w:t>Organization</w:t>
      </w:r>
      <w:r w:rsidRPr="008C1784">
        <w:rPr>
          <w:rFonts w:ascii="Calibri Light" w:hAnsi="Calibri Light" w:cs="Calibri Light"/>
          <w:sz w:val="24"/>
        </w:rPr>
        <w:t xml:space="preserve">, </w:t>
      </w:r>
      <w:r w:rsidRPr="008C1784">
        <w:rPr>
          <w:rFonts w:ascii="Calibri Light" w:hAnsi="Calibri Light" w:cs="Calibri Light"/>
          <w:i/>
          <w:iCs/>
          <w:sz w:val="24"/>
        </w:rPr>
        <w:t>29</w:t>
      </w:r>
      <w:r w:rsidRPr="008C1784">
        <w:rPr>
          <w:rFonts w:ascii="Calibri Light" w:hAnsi="Calibri Light" w:cs="Calibri Light"/>
          <w:sz w:val="24"/>
        </w:rPr>
        <w:t>(1), 129–154. https://doi.org/10.1177/1350508420939245</w:t>
      </w:r>
    </w:p>
    <w:p w14:paraId="29C66584" w14:textId="77777777" w:rsidR="005B5658" w:rsidRPr="008C1784" w:rsidRDefault="005B5658" w:rsidP="00417F5E">
      <w:pPr>
        <w:pStyle w:val="ListParagraph"/>
        <w:widowControl w:val="0"/>
        <w:numPr>
          <w:ilvl w:val="0"/>
          <w:numId w:val="35"/>
        </w:numPr>
        <w:adjustRightInd w:val="0"/>
        <w:spacing w:line="240" w:lineRule="atLeast"/>
        <w:ind w:left="810" w:hanging="450"/>
        <w:jc w:val="both"/>
        <w:rPr>
          <w:rFonts w:ascii="Calibri Light" w:hAnsi="Calibri Light" w:cs="Calibri Light"/>
          <w:sz w:val="24"/>
        </w:rPr>
      </w:pPr>
      <w:r w:rsidRPr="008C1784">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8C1784">
        <w:rPr>
          <w:rFonts w:ascii="Calibri Light" w:hAnsi="Calibri Light" w:cs="Calibri Light"/>
          <w:i/>
          <w:iCs/>
          <w:sz w:val="24"/>
        </w:rPr>
        <w:t>Uncertain Supply Chain Management</w:t>
      </w:r>
      <w:r w:rsidRPr="008C1784">
        <w:rPr>
          <w:rFonts w:ascii="Calibri Light" w:hAnsi="Calibri Light" w:cs="Calibri Light"/>
          <w:sz w:val="24"/>
        </w:rPr>
        <w:t xml:space="preserve">, </w:t>
      </w:r>
      <w:r w:rsidRPr="008C1784">
        <w:rPr>
          <w:rFonts w:ascii="Calibri Light" w:hAnsi="Calibri Light" w:cs="Calibri Light"/>
          <w:i/>
          <w:iCs/>
          <w:sz w:val="24"/>
        </w:rPr>
        <w:t>12</w:t>
      </w:r>
      <w:r w:rsidRPr="008C1784">
        <w:rPr>
          <w:rFonts w:ascii="Calibri Light" w:hAnsi="Calibri Light" w:cs="Calibri Light"/>
          <w:sz w:val="24"/>
        </w:rPr>
        <w:t>(1), 273–290. https://doi.org/10.5267/j.uscm.2023.9.022</w:t>
      </w:r>
    </w:p>
    <w:p w14:paraId="3C56DC31" w14:textId="0C039495" w:rsidR="006538D6" w:rsidRPr="008C1784" w:rsidRDefault="003E2706" w:rsidP="00417F5E">
      <w:pPr>
        <w:widowControl w:val="0"/>
        <w:adjustRightInd w:val="0"/>
        <w:spacing w:after="200" w:line="240" w:lineRule="atLeast"/>
        <w:ind w:left="810" w:hanging="450"/>
        <w:jc w:val="both"/>
        <w:rPr>
          <w:rFonts w:ascii="Calibri Light" w:hAnsi="Calibri Light" w:cs="Calibri Light"/>
          <w:color w:val="A6A6A6"/>
          <w:sz w:val="24"/>
          <w:szCs w:val="24"/>
        </w:rPr>
      </w:pPr>
      <w:r>
        <w:rPr>
          <w:rFonts w:ascii="Calibri Light" w:hAnsi="Calibri Light" w:cs="Calibri Light"/>
          <w:b/>
          <w:color w:val="7030A0"/>
          <w:sz w:val="24"/>
          <w:szCs w:val="24"/>
        </w:rPr>
        <w:fldChar w:fldCharType="end"/>
      </w:r>
    </w:p>
    <w:sectPr w:rsidR="006538D6" w:rsidRPr="008C1784" w:rsidSect="007816FC">
      <w:headerReference w:type="even" r:id="rId27"/>
      <w:headerReference w:type="default" r:id="rId28"/>
      <w:footerReference w:type="even" r:id="rId29"/>
      <w:footerReference w:type="default" r:id="rId30"/>
      <w:headerReference w:type="first" r:id="rId31"/>
      <w:footerReference w:type="first" r:id="rId32"/>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74A1B8" w14:textId="77777777" w:rsidR="00285CC4" w:rsidRDefault="00285CC4">
      <w:r>
        <w:separator/>
      </w:r>
    </w:p>
  </w:endnote>
  <w:endnote w:type="continuationSeparator" w:id="0">
    <w:p w14:paraId="3A8DF276" w14:textId="77777777" w:rsidR="00285CC4" w:rsidRDefault="00285C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739E8C" w14:textId="0DB08A09" w:rsidR="00122F5F" w:rsidRPr="00540F02" w:rsidRDefault="005742A6"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5A8E2A0A" wp14:editId="019008DC">
              <wp:simplePos x="0" y="0"/>
              <wp:positionH relativeFrom="column">
                <wp:posOffset>5151755</wp:posOffset>
              </wp:positionH>
              <wp:positionV relativeFrom="paragraph">
                <wp:posOffset>-64770</wp:posOffset>
              </wp:positionV>
              <wp:extent cx="619760" cy="278130"/>
              <wp:effectExtent l="13335" t="7620" r="5080" b="9525"/>
              <wp:wrapNone/>
              <wp:docPr id="744241138"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E2A0A" id="Rectangle 7" o:spid="_x0000_s1045"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122F5F" w:rsidRPr="00540F02">
      <w:rPr>
        <w:rFonts w:ascii="Calibri Light" w:hAnsi="Calibri Light" w:cs="Calibri Light"/>
        <w:sz w:val="16"/>
        <w:szCs w:val="16"/>
      </w:rPr>
      <w:t>International Journal Law and Society</w:t>
    </w:r>
  </w:p>
  <w:p w14:paraId="5996402B"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BFFC6F" w14:textId="48FD8C49" w:rsidR="0008220C" w:rsidRPr="00540F02" w:rsidRDefault="005742A6"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1AEFABBC" wp14:editId="741AF388">
              <wp:simplePos x="0" y="0"/>
              <wp:positionH relativeFrom="column">
                <wp:posOffset>5151755</wp:posOffset>
              </wp:positionH>
              <wp:positionV relativeFrom="paragraph">
                <wp:posOffset>-64770</wp:posOffset>
              </wp:positionV>
              <wp:extent cx="619760" cy="278130"/>
              <wp:effectExtent l="13335" t="7620" r="5080" b="9525"/>
              <wp:wrapNone/>
              <wp:docPr id="774966785"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FABBC" id="_x0000_s1046"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08220C" w:rsidRPr="00540F02">
      <w:rPr>
        <w:rFonts w:ascii="Calibri Light" w:hAnsi="Calibri Light" w:cs="Calibri Light"/>
        <w:sz w:val="16"/>
        <w:szCs w:val="16"/>
      </w:rPr>
      <w:t>International Journal Law and Society</w:t>
    </w:r>
  </w:p>
  <w:p w14:paraId="2A44180D"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05028D" w14:textId="11B9FBCA" w:rsidR="00965E3F" w:rsidRPr="0008220C" w:rsidRDefault="005742A6"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63D54A80" wp14:editId="18DA8200">
              <wp:simplePos x="0" y="0"/>
              <wp:positionH relativeFrom="column">
                <wp:posOffset>5151755</wp:posOffset>
              </wp:positionH>
              <wp:positionV relativeFrom="paragraph">
                <wp:posOffset>-64770</wp:posOffset>
              </wp:positionV>
              <wp:extent cx="619760" cy="278130"/>
              <wp:effectExtent l="13335" t="7620" r="5080" b="9525"/>
              <wp:wrapNone/>
              <wp:docPr id="548301629"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54A80" id="Rectangle 12" o:spid="_x0000_s1050"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00FF1D30" w:rsidRPr="0008220C">
      <w:rPr>
        <w:rFonts w:ascii="Calibri Light" w:hAnsi="Calibri Light" w:cs="Calibri Light"/>
        <w:sz w:val="16"/>
        <w:szCs w:val="16"/>
      </w:rPr>
      <w:t>International Journal Law and Society</w:t>
    </w:r>
  </w:p>
  <w:p w14:paraId="033FA3F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5DDA9B" w14:textId="77777777" w:rsidR="00285CC4" w:rsidRDefault="00285CC4">
      <w:r>
        <w:separator/>
      </w:r>
    </w:p>
  </w:footnote>
  <w:footnote w:type="continuationSeparator" w:id="0">
    <w:p w14:paraId="4DFCB435" w14:textId="77777777" w:rsidR="00285CC4" w:rsidRDefault="00285C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F532E3" w14:textId="5BD93A2C" w:rsidR="00122F5F" w:rsidRDefault="005742A6" w:rsidP="00122F5F">
    <w:pPr>
      <w:pStyle w:val="Header"/>
    </w:pPr>
    <w:r>
      <w:rPr>
        <w:noProof/>
      </w:rPr>
      <mc:AlternateContent>
        <mc:Choice Requires="wps">
          <w:drawing>
            <wp:anchor distT="0" distB="0" distL="114300" distR="114300" simplePos="0" relativeHeight="251656192" behindDoc="1" locked="0" layoutInCell="1" allowOverlap="1" wp14:anchorId="3818EDB0" wp14:editId="73DF62AB">
              <wp:simplePos x="0" y="0"/>
              <wp:positionH relativeFrom="page">
                <wp:posOffset>962025</wp:posOffset>
              </wp:positionH>
              <wp:positionV relativeFrom="page">
                <wp:posOffset>947420</wp:posOffset>
              </wp:positionV>
              <wp:extent cx="1998980" cy="229870"/>
              <wp:effectExtent l="0" t="4445" r="1270" b="3810"/>
              <wp:wrapNone/>
              <wp:docPr id="116642325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18EDB0" id="_x0000_t202" coordsize="21600,21600" o:spt="202" path="m,l,21600r21600,l21600,xe">
              <v:stroke joinstyle="miter"/>
              <v:path gradientshapeok="t" o:connecttype="rect"/>
            </v:shapetype>
            <v:shape id="Text Box 1" o:spid="_x0000_s1039"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F6338ED" wp14:editId="358829CC">
              <wp:simplePos x="0" y="0"/>
              <wp:positionH relativeFrom="page">
                <wp:posOffset>6497955</wp:posOffset>
              </wp:positionH>
              <wp:positionV relativeFrom="page">
                <wp:posOffset>445135</wp:posOffset>
              </wp:positionV>
              <wp:extent cx="231775" cy="177800"/>
              <wp:effectExtent l="1905" t="0" r="4445" b="0"/>
              <wp:wrapNone/>
              <wp:docPr id="1995149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6338ED" id="Text Box 2" o:spid="_x0000_s1040"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0C8BBA96" wp14:editId="5EA7D5CA">
              <wp:simplePos x="0" y="0"/>
              <wp:positionH relativeFrom="page">
                <wp:posOffset>3143250</wp:posOffset>
              </wp:positionH>
              <wp:positionV relativeFrom="page">
                <wp:posOffset>784860</wp:posOffset>
              </wp:positionV>
              <wp:extent cx="3523615" cy="416560"/>
              <wp:effectExtent l="0" t="3810" r="635" b="0"/>
              <wp:wrapNone/>
              <wp:docPr id="21704940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8BBA96" id="Text Box 3" o:spid="_x0000_s1041"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6781C1D7" wp14:editId="11AE7C6B">
          <wp:extent cx="1099185" cy="501015"/>
          <wp:effectExtent l="0" t="0" r="0" b="0"/>
          <wp:docPr id="17082772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6ADD042" w14:textId="77777777" w:rsidR="00122F5F" w:rsidRDefault="00122F5F" w:rsidP="00122F5F">
    <w:pPr>
      <w:pStyle w:val="Header"/>
      <w:rPr>
        <w:sz w:val="16"/>
        <w:szCs w:val="16"/>
      </w:rPr>
    </w:pPr>
  </w:p>
  <w:p w14:paraId="451B4ABF" w14:textId="77777777" w:rsidR="00AA4AE4" w:rsidRDefault="00AA4AE4" w:rsidP="00122F5F">
    <w:pPr>
      <w:pStyle w:val="Header"/>
      <w:rPr>
        <w:sz w:val="16"/>
        <w:szCs w:val="16"/>
      </w:rPr>
    </w:pPr>
  </w:p>
  <w:p w14:paraId="430F58E7"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FC2CCE" w14:textId="0F2CD7FB" w:rsidR="00540F02" w:rsidRDefault="005742A6" w:rsidP="00540F02">
    <w:pPr>
      <w:pStyle w:val="Header"/>
    </w:pPr>
    <w:r>
      <w:rPr>
        <w:noProof/>
      </w:rPr>
      <mc:AlternateContent>
        <mc:Choice Requires="wps">
          <w:drawing>
            <wp:anchor distT="0" distB="0" distL="114300" distR="114300" simplePos="0" relativeHeight="251658240" behindDoc="1" locked="0" layoutInCell="1" allowOverlap="1" wp14:anchorId="77F63B88" wp14:editId="71135EE8">
              <wp:simplePos x="0" y="0"/>
              <wp:positionH relativeFrom="page">
                <wp:posOffset>962025</wp:posOffset>
              </wp:positionH>
              <wp:positionV relativeFrom="page">
                <wp:posOffset>947420</wp:posOffset>
              </wp:positionV>
              <wp:extent cx="1998980" cy="229870"/>
              <wp:effectExtent l="0" t="4445" r="1270" b="3810"/>
              <wp:wrapNone/>
              <wp:docPr id="3063815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F63B88" id="_x0000_t202" coordsize="21600,21600" o:spt="202" path="m,l,21600r21600,l21600,xe">
              <v:stroke joinstyle="miter"/>
              <v:path gradientshapeok="t" o:connecttype="rect"/>
            </v:shapetype>
            <v:shape id="Text Box 4" o:spid="_x0000_s1042"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3C56B5DC" wp14:editId="3D0F1F6F">
              <wp:simplePos x="0" y="0"/>
              <wp:positionH relativeFrom="page">
                <wp:posOffset>6464300</wp:posOffset>
              </wp:positionH>
              <wp:positionV relativeFrom="page">
                <wp:posOffset>467360</wp:posOffset>
              </wp:positionV>
              <wp:extent cx="231775" cy="177800"/>
              <wp:effectExtent l="0" t="635" r="0" b="2540"/>
              <wp:wrapNone/>
              <wp:docPr id="22309424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56B5DC" id="Text Box 5" o:spid="_x0000_s1043"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58B90A9" wp14:editId="6B389420">
              <wp:simplePos x="0" y="0"/>
              <wp:positionH relativeFrom="page">
                <wp:posOffset>3143250</wp:posOffset>
              </wp:positionH>
              <wp:positionV relativeFrom="page">
                <wp:posOffset>784860</wp:posOffset>
              </wp:positionV>
              <wp:extent cx="3523615" cy="416560"/>
              <wp:effectExtent l="0" t="3810" r="635" b="0"/>
              <wp:wrapNone/>
              <wp:docPr id="143997817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8B90A9" id="Text Box 6" o:spid="_x0000_s1044"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36399822" wp14:editId="31D6F47E">
          <wp:extent cx="1099185" cy="501015"/>
          <wp:effectExtent l="0" t="0" r="0" b="0"/>
          <wp:docPr id="72899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274F9D73" w14:textId="77777777" w:rsidR="00540F02" w:rsidRDefault="00540F02" w:rsidP="00540F02">
    <w:pPr>
      <w:pStyle w:val="Header"/>
      <w:rPr>
        <w:sz w:val="16"/>
        <w:szCs w:val="16"/>
      </w:rPr>
    </w:pPr>
  </w:p>
  <w:p w14:paraId="34580A9D" w14:textId="77777777" w:rsidR="00540F02" w:rsidRDefault="00540F02" w:rsidP="00540F02">
    <w:pPr>
      <w:pStyle w:val="Header"/>
      <w:rPr>
        <w:sz w:val="16"/>
        <w:szCs w:val="16"/>
      </w:rPr>
    </w:pPr>
  </w:p>
  <w:p w14:paraId="309BE79A"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BA8AB" w14:textId="7C161386" w:rsidR="00FF1D30" w:rsidRDefault="005742A6">
    <w:pPr>
      <w:pStyle w:val="Header"/>
    </w:pPr>
    <w:r>
      <w:rPr>
        <w:noProof/>
      </w:rPr>
      <mc:AlternateContent>
        <mc:Choice Requires="wps">
          <w:drawing>
            <wp:anchor distT="0" distB="0" distL="114300" distR="114300" simplePos="0" relativeHeight="251652096" behindDoc="1" locked="0" layoutInCell="1" allowOverlap="1" wp14:anchorId="779C0690" wp14:editId="0E8E1707">
              <wp:simplePos x="0" y="0"/>
              <wp:positionH relativeFrom="page">
                <wp:posOffset>942975</wp:posOffset>
              </wp:positionH>
              <wp:positionV relativeFrom="page">
                <wp:posOffset>947420</wp:posOffset>
              </wp:positionV>
              <wp:extent cx="1998980" cy="229870"/>
              <wp:effectExtent l="0" t="4445" r="1270" b="3810"/>
              <wp:wrapNone/>
              <wp:docPr id="162509942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9C0690" id="_x0000_t202" coordsize="21600,21600" o:spt="202" path="m,l,21600r21600,l21600,xe">
              <v:stroke joinstyle="miter"/>
              <v:path gradientshapeok="t" o:connecttype="rect"/>
            </v:shapetype>
            <v:shape id="Text Box 9" o:spid="_x0000_s1047"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37B4B627" wp14:editId="75A34832">
              <wp:simplePos x="0" y="0"/>
              <wp:positionH relativeFrom="page">
                <wp:posOffset>6464300</wp:posOffset>
              </wp:positionH>
              <wp:positionV relativeFrom="page">
                <wp:posOffset>439420</wp:posOffset>
              </wp:positionV>
              <wp:extent cx="231775" cy="177800"/>
              <wp:effectExtent l="0" t="1270" r="0" b="1905"/>
              <wp:wrapNone/>
              <wp:docPr id="82203146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4B627" id="Text Box 10" o:spid="_x0000_s1048"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2ABCC91D" wp14:editId="35EBF4C7">
              <wp:simplePos x="0" y="0"/>
              <wp:positionH relativeFrom="page">
                <wp:posOffset>3143250</wp:posOffset>
              </wp:positionH>
              <wp:positionV relativeFrom="page">
                <wp:posOffset>784860</wp:posOffset>
              </wp:positionV>
              <wp:extent cx="3516630" cy="416560"/>
              <wp:effectExtent l="0" t="3810" r="0" b="0"/>
              <wp:wrapNone/>
              <wp:docPr id="21268047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BCC91D" id="Text Box 11" o:spid="_x0000_s1049"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277C3A4C" wp14:editId="1929EA41">
          <wp:extent cx="1099185" cy="501015"/>
          <wp:effectExtent l="0" t="0" r="0" b="0"/>
          <wp:docPr id="121095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DB29F68" w14:textId="77777777" w:rsidR="00FF1D30" w:rsidRDefault="00FF1D30">
    <w:pPr>
      <w:pStyle w:val="Header"/>
      <w:rPr>
        <w:sz w:val="16"/>
        <w:szCs w:val="16"/>
      </w:rPr>
    </w:pPr>
  </w:p>
  <w:p w14:paraId="089A3938" w14:textId="77777777" w:rsidR="00FF1D30" w:rsidRDefault="00FF1D30">
    <w:pPr>
      <w:pStyle w:val="Header"/>
      <w:rPr>
        <w:sz w:val="16"/>
        <w:szCs w:val="16"/>
      </w:rPr>
    </w:pPr>
  </w:p>
  <w:p w14:paraId="1F91C40E"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96F0B11"/>
    <w:multiLevelType w:val="hybridMultilevel"/>
    <w:tmpl w:val="7E4CAE7E"/>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0EB73380"/>
    <w:multiLevelType w:val="hybridMultilevel"/>
    <w:tmpl w:val="03AC1556"/>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0"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1"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2" w15:restartNumberingAfterBreak="0">
    <w:nsid w:val="1C91168D"/>
    <w:multiLevelType w:val="hybridMultilevel"/>
    <w:tmpl w:val="C7A224FC"/>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3" w15:restartNumberingAfterBreak="0">
    <w:nsid w:val="1D1E3992"/>
    <w:multiLevelType w:val="hybridMultilevel"/>
    <w:tmpl w:val="FFFFFFFF"/>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4" w15:restartNumberingAfterBreak="0">
    <w:nsid w:val="1F0401F9"/>
    <w:multiLevelType w:val="hybridMultilevel"/>
    <w:tmpl w:val="DBBC6596"/>
    <w:lvl w:ilvl="0" w:tplc="ED406B02">
      <w:start w:val="1"/>
      <w:numFmt w:val="decimal"/>
      <w:lvlText w:val="[%1]"/>
      <w:lvlJc w:val="left"/>
      <w:pPr>
        <w:ind w:left="1070" w:hanging="360"/>
      </w:pPr>
      <w:rPr>
        <w:rFonts w:hint="default"/>
      </w:rPr>
    </w:lvl>
    <w:lvl w:ilvl="1" w:tplc="38090019" w:tentative="1">
      <w:start w:val="1"/>
      <w:numFmt w:val="lowerLetter"/>
      <w:lvlText w:val="%2."/>
      <w:lvlJc w:val="left"/>
      <w:pPr>
        <w:ind w:left="1790" w:hanging="360"/>
      </w:pPr>
    </w:lvl>
    <w:lvl w:ilvl="2" w:tplc="3809001B" w:tentative="1">
      <w:start w:val="1"/>
      <w:numFmt w:val="lowerRoman"/>
      <w:lvlText w:val="%3."/>
      <w:lvlJc w:val="right"/>
      <w:pPr>
        <w:ind w:left="2510" w:hanging="180"/>
      </w:pPr>
    </w:lvl>
    <w:lvl w:ilvl="3" w:tplc="3809000F" w:tentative="1">
      <w:start w:val="1"/>
      <w:numFmt w:val="decimal"/>
      <w:lvlText w:val="%4."/>
      <w:lvlJc w:val="left"/>
      <w:pPr>
        <w:ind w:left="3230" w:hanging="360"/>
      </w:pPr>
    </w:lvl>
    <w:lvl w:ilvl="4" w:tplc="38090019" w:tentative="1">
      <w:start w:val="1"/>
      <w:numFmt w:val="lowerLetter"/>
      <w:lvlText w:val="%5."/>
      <w:lvlJc w:val="left"/>
      <w:pPr>
        <w:ind w:left="3950" w:hanging="360"/>
      </w:pPr>
    </w:lvl>
    <w:lvl w:ilvl="5" w:tplc="3809001B" w:tentative="1">
      <w:start w:val="1"/>
      <w:numFmt w:val="lowerRoman"/>
      <w:lvlText w:val="%6."/>
      <w:lvlJc w:val="right"/>
      <w:pPr>
        <w:ind w:left="4670" w:hanging="180"/>
      </w:pPr>
    </w:lvl>
    <w:lvl w:ilvl="6" w:tplc="3809000F" w:tentative="1">
      <w:start w:val="1"/>
      <w:numFmt w:val="decimal"/>
      <w:lvlText w:val="%7."/>
      <w:lvlJc w:val="left"/>
      <w:pPr>
        <w:ind w:left="5390" w:hanging="360"/>
      </w:pPr>
    </w:lvl>
    <w:lvl w:ilvl="7" w:tplc="38090019" w:tentative="1">
      <w:start w:val="1"/>
      <w:numFmt w:val="lowerLetter"/>
      <w:lvlText w:val="%8."/>
      <w:lvlJc w:val="left"/>
      <w:pPr>
        <w:ind w:left="6110" w:hanging="360"/>
      </w:pPr>
    </w:lvl>
    <w:lvl w:ilvl="8" w:tplc="3809001B" w:tentative="1">
      <w:start w:val="1"/>
      <w:numFmt w:val="lowerRoman"/>
      <w:lvlText w:val="%9."/>
      <w:lvlJc w:val="right"/>
      <w:pPr>
        <w:ind w:left="6830" w:hanging="180"/>
      </w:pPr>
    </w:lvl>
  </w:abstractNum>
  <w:abstractNum w:abstractNumId="15"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6"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7"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8"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9"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0" w15:restartNumberingAfterBreak="0">
    <w:nsid w:val="3A910A7D"/>
    <w:multiLevelType w:val="hybridMultilevel"/>
    <w:tmpl w:val="FFFFFFFF"/>
    <w:lvl w:ilvl="0" w:tplc="FFFFFFF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1"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2"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3"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4" w15:restartNumberingAfterBreak="0">
    <w:nsid w:val="52EC5E81"/>
    <w:multiLevelType w:val="hybridMultilevel"/>
    <w:tmpl w:val="834EBF32"/>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5"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7"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8"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9"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0"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31"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2"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4"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2073262972">
    <w:abstractNumId w:val="18"/>
  </w:num>
  <w:num w:numId="2" w16cid:durableId="485970993">
    <w:abstractNumId w:val="10"/>
  </w:num>
  <w:num w:numId="3" w16cid:durableId="410200282">
    <w:abstractNumId w:val="11"/>
  </w:num>
  <w:num w:numId="4" w16cid:durableId="2137285493">
    <w:abstractNumId w:val="28"/>
  </w:num>
  <w:num w:numId="5" w16cid:durableId="1019962932">
    <w:abstractNumId w:val="27"/>
  </w:num>
  <w:num w:numId="6" w16cid:durableId="370957493">
    <w:abstractNumId w:val="26"/>
  </w:num>
  <w:num w:numId="7" w16cid:durableId="1162768867">
    <w:abstractNumId w:val="33"/>
  </w:num>
  <w:num w:numId="8" w16cid:durableId="1438022640">
    <w:abstractNumId w:val="19"/>
  </w:num>
  <w:num w:numId="9" w16cid:durableId="2006592035">
    <w:abstractNumId w:val="29"/>
  </w:num>
  <w:num w:numId="10" w16cid:durableId="1061251243">
    <w:abstractNumId w:val="30"/>
  </w:num>
  <w:num w:numId="11" w16cid:durableId="967396715">
    <w:abstractNumId w:val="15"/>
  </w:num>
  <w:num w:numId="12" w16cid:durableId="1171063890">
    <w:abstractNumId w:val="23"/>
  </w:num>
  <w:num w:numId="13" w16cid:durableId="1903101194">
    <w:abstractNumId w:val="7"/>
  </w:num>
  <w:num w:numId="14" w16cid:durableId="210653759">
    <w:abstractNumId w:val="0"/>
  </w:num>
  <w:num w:numId="15" w16cid:durableId="2072386098">
    <w:abstractNumId w:val="34"/>
  </w:num>
  <w:num w:numId="16" w16cid:durableId="613246020">
    <w:abstractNumId w:val="25"/>
  </w:num>
  <w:num w:numId="17" w16cid:durableId="1116872063">
    <w:abstractNumId w:val="32"/>
  </w:num>
  <w:num w:numId="18" w16cid:durableId="1252080476">
    <w:abstractNumId w:val="31"/>
  </w:num>
  <w:num w:numId="19" w16cid:durableId="2101637754">
    <w:abstractNumId w:val="22"/>
  </w:num>
  <w:num w:numId="20" w16cid:durableId="220168126">
    <w:abstractNumId w:val="5"/>
  </w:num>
  <w:num w:numId="21" w16cid:durableId="1619142303">
    <w:abstractNumId w:val="1"/>
  </w:num>
  <w:num w:numId="22" w16cid:durableId="1619409271">
    <w:abstractNumId w:val="16"/>
  </w:num>
  <w:num w:numId="23" w16cid:durableId="1469056629">
    <w:abstractNumId w:val="2"/>
  </w:num>
  <w:num w:numId="24" w16cid:durableId="1543590173">
    <w:abstractNumId w:val="3"/>
  </w:num>
  <w:num w:numId="25" w16cid:durableId="177155830">
    <w:abstractNumId w:val="4"/>
  </w:num>
  <w:num w:numId="26" w16cid:durableId="1094084349">
    <w:abstractNumId w:val="13"/>
  </w:num>
  <w:num w:numId="27" w16cid:durableId="1235236214">
    <w:abstractNumId w:val="17"/>
  </w:num>
  <w:num w:numId="28" w16cid:durableId="943655462">
    <w:abstractNumId w:val="6"/>
  </w:num>
  <w:num w:numId="29" w16cid:durableId="78598166">
    <w:abstractNumId w:val="21"/>
  </w:num>
  <w:num w:numId="30" w16cid:durableId="680085252">
    <w:abstractNumId w:val="20"/>
  </w:num>
  <w:num w:numId="31" w16cid:durableId="1306934484">
    <w:abstractNumId w:val="24"/>
  </w:num>
  <w:num w:numId="32" w16cid:durableId="1428503509">
    <w:abstractNumId w:val="8"/>
  </w:num>
  <w:num w:numId="33" w16cid:durableId="1036853100">
    <w:abstractNumId w:val="14"/>
  </w:num>
  <w:num w:numId="34" w16cid:durableId="777720843">
    <w:abstractNumId w:val="12"/>
  </w:num>
  <w:num w:numId="35" w16cid:durableId="1928995638">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51D0"/>
    <w:rsid w:val="00005ED9"/>
    <w:rsid w:val="00010DEE"/>
    <w:rsid w:val="00017625"/>
    <w:rsid w:val="00022076"/>
    <w:rsid w:val="000243A3"/>
    <w:rsid w:val="00024881"/>
    <w:rsid w:val="0002569B"/>
    <w:rsid w:val="000417D3"/>
    <w:rsid w:val="00046968"/>
    <w:rsid w:val="000475BE"/>
    <w:rsid w:val="00055DD9"/>
    <w:rsid w:val="00055FC4"/>
    <w:rsid w:val="0006191D"/>
    <w:rsid w:val="00066AC1"/>
    <w:rsid w:val="0007302E"/>
    <w:rsid w:val="0007539D"/>
    <w:rsid w:val="00076F8C"/>
    <w:rsid w:val="0008220C"/>
    <w:rsid w:val="000877EE"/>
    <w:rsid w:val="00087E52"/>
    <w:rsid w:val="000900AD"/>
    <w:rsid w:val="0009204F"/>
    <w:rsid w:val="0009638F"/>
    <w:rsid w:val="000A0B41"/>
    <w:rsid w:val="000A0EB6"/>
    <w:rsid w:val="000A2548"/>
    <w:rsid w:val="000B0038"/>
    <w:rsid w:val="000B0CE5"/>
    <w:rsid w:val="000B59CD"/>
    <w:rsid w:val="000C034F"/>
    <w:rsid w:val="000C3688"/>
    <w:rsid w:val="000E1F30"/>
    <w:rsid w:val="000E31DC"/>
    <w:rsid w:val="000F66AA"/>
    <w:rsid w:val="00103AFF"/>
    <w:rsid w:val="00110D78"/>
    <w:rsid w:val="00116ED8"/>
    <w:rsid w:val="00117792"/>
    <w:rsid w:val="00117FCE"/>
    <w:rsid w:val="00122F5F"/>
    <w:rsid w:val="00123EF2"/>
    <w:rsid w:val="001245CB"/>
    <w:rsid w:val="0013783B"/>
    <w:rsid w:val="00140FA8"/>
    <w:rsid w:val="00155316"/>
    <w:rsid w:val="001578E9"/>
    <w:rsid w:val="001602A0"/>
    <w:rsid w:val="001624EF"/>
    <w:rsid w:val="00162A30"/>
    <w:rsid w:val="00165813"/>
    <w:rsid w:val="00171D19"/>
    <w:rsid w:val="00173196"/>
    <w:rsid w:val="00173632"/>
    <w:rsid w:val="0018288D"/>
    <w:rsid w:val="001834D8"/>
    <w:rsid w:val="00187357"/>
    <w:rsid w:val="001926F1"/>
    <w:rsid w:val="0019427B"/>
    <w:rsid w:val="00194BA9"/>
    <w:rsid w:val="001A07A8"/>
    <w:rsid w:val="001A410B"/>
    <w:rsid w:val="001A4C9F"/>
    <w:rsid w:val="001A583E"/>
    <w:rsid w:val="001B3613"/>
    <w:rsid w:val="001B7FC2"/>
    <w:rsid w:val="001C1AEE"/>
    <w:rsid w:val="001C2739"/>
    <w:rsid w:val="001C3D6C"/>
    <w:rsid w:val="001C3DA7"/>
    <w:rsid w:val="001C7B39"/>
    <w:rsid w:val="001C7BDA"/>
    <w:rsid w:val="001D5E03"/>
    <w:rsid w:val="001D7DEE"/>
    <w:rsid w:val="001E02DA"/>
    <w:rsid w:val="001E2AAA"/>
    <w:rsid w:val="001F1380"/>
    <w:rsid w:val="001F2D87"/>
    <w:rsid w:val="001F3695"/>
    <w:rsid w:val="001F582A"/>
    <w:rsid w:val="00200009"/>
    <w:rsid w:val="002003B1"/>
    <w:rsid w:val="0020406B"/>
    <w:rsid w:val="0020676E"/>
    <w:rsid w:val="00211FAA"/>
    <w:rsid w:val="002132FC"/>
    <w:rsid w:val="0021416E"/>
    <w:rsid w:val="00216CB6"/>
    <w:rsid w:val="00217165"/>
    <w:rsid w:val="00217D1E"/>
    <w:rsid w:val="00220E29"/>
    <w:rsid w:val="00223090"/>
    <w:rsid w:val="0022333F"/>
    <w:rsid w:val="00224082"/>
    <w:rsid w:val="00232863"/>
    <w:rsid w:val="00232961"/>
    <w:rsid w:val="00241B8D"/>
    <w:rsid w:val="00251164"/>
    <w:rsid w:val="00253D8A"/>
    <w:rsid w:val="002563E9"/>
    <w:rsid w:val="00260D64"/>
    <w:rsid w:val="002632DB"/>
    <w:rsid w:val="00264BA0"/>
    <w:rsid w:val="002676D3"/>
    <w:rsid w:val="002706E4"/>
    <w:rsid w:val="00271DA6"/>
    <w:rsid w:val="0027200A"/>
    <w:rsid w:val="00274990"/>
    <w:rsid w:val="00275DDD"/>
    <w:rsid w:val="00285CC4"/>
    <w:rsid w:val="00287EDB"/>
    <w:rsid w:val="00295FB9"/>
    <w:rsid w:val="002961FA"/>
    <w:rsid w:val="002A293E"/>
    <w:rsid w:val="002A4E05"/>
    <w:rsid w:val="002A69EA"/>
    <w:rsid w:val="002B594F"/>
    <w:rsid w:val="002C2FAC"/>
    <w:rsid w:val="002C3797"/>
    <w:rsid w:val="002D0F54"/>
    <w:rsid w:val="002D1D04"/>
    <w:rsid w:val="002D2DAC"/>
    <w:rsid w:val="002D33A7"/>
    <w:rsid w:val="002E0452"/>
    <w:rsid w:val="002E1840"/>
    <w:rsid w:val="002E29FD"/>
    <w:rsid w:val="002E4286"/>
    <w:rsid w:val="002E695D"/>
    <w:rsid w:val="002F4D18"/>
    <w:rsid w:val="00301FEB"/>
    <w:rsid w:val="00303D42"/>
    <w:rsid w:val="0030640D"/>
    <w:rsid w:val="00312D76"/>
    <w:rsid w:val="00334520"/>
    <w:rsid w:val="00334792"/>
    <w:rsid w:val="003363F0"/>
    <w:rsid w:val="00336A9A"/>
    <w:rsid w:val="0034128C"/>
    <w:rsid w:val="00347671"/>
    <w:rsid w:val="003524EC"/>
    <w:rsid w:val="00362CBC"/>
    <w:rsid w:val="00366775"/>
    <w:rsid w:val="0037001C"/>
    <w:rsid w:val="00381B26"/>
    <w:rsid w:val="00382478"/>
    <w:rsid w:val="00386F26"/>
    <w:rsid w:val="00387148"/>
    <w:rsid w:val="00387C94"/>
    <w:rsid w:val="00391ACE"/>
    <w:rsid w:val="003948B0"/>
    <w:rsid w:val="00395535"/>
    <w:rsid w:val="003B28D6"/>
    <w:rsid w:val="003B2BD3"/>
    <w:rsid w:val="003C27F1"/>
    <w:rsid w:val="003C40CE"/>
    <w:rsid w:val="003C482F"/>
    <w:rsid w:val="003C5369"/>
    <w:rsid w:val="003C5ADC"/>
    <w:rsid w:val="003E017E"/>
    <w:rsid w:val="003E1185"/>
    <w:rsid w:val="003E2706"/>
    <w:rsid w:val="003E6CBB"/>
    <w:rsid w:val="003E7145"/>
    <w:rsid w:val="003F1684"/>
    <w:rsid w:val="004003CF"/>
    <w:rsid w:val="00400BB8"/>
    <w:rsid w:val="00406663"/>
    <w:rsid w:val="00406D0E"/>
    <w:rsid w:val="00411F5E"/>
    <w:rsid w:val="00413EEB"/>
    <w:rsid w:val="00415562"/>
    <w:rsid w:val="00415A81"/>
    <w:rsid w:val="004174DD"/>
    <w:rsid w:val="00417F5E"/>
    <w:rsid w:val="0042287C"/>
    <w:rsid w:val="00423FBA"/>
    <w:rsid w:val="00425716"/>
    <w:rsid w:val="00425E5D"/>
    <w:rsid w:val="004308C0"/>
    <w:rsid w:val="0043544C"/>
    <w:rsid w:val="0043726F"/>
    <w:rsid w:val="00442F6C"/>
    <w:rsid w:val="004460D4"/>
    <w:rsid w:val="00451D00"/>
    <w:rsid w:val="00453027"/>
    <w:rsid w:val="004535C9"/>
    <w:rsid w:val="004538A9"/>
    <w:rsid w:val="004573CA"/>
    <w:rsid w:val="00461A20"/>
    <w:rsid w:val="00462D8E"/>
    <w:rsid w:val="00463904"/>
    <w:rsid w:val="004657C4"/>
    <w:rsid w:val="00465FB0"/>
    <w:rsid w:val="00466847"/>
    <w:rsid w:val="00467DAA"/>
    <w:rsid w:val="00471930"/>
    <w:rsid w:val="00474713"/>
    <w:rsid w:val="00476E9F"/>
    <w:rsid w:val="00481B20"/>
    <w:rsid w:val="00482EA1"/>
    <w:rsid w:val="00483B07"/>
    <w:rsid w:val="004863B6"/>
    <w:rsid w:val="00486707"/>
    <w:rsid w:val="0048722D"/>
    <w:rsid w:val="0048773D"/>
    <w:rsid w:val="004926FD"/>
    <w:rsid w:val="004928B8"/>
    <w:rsid w:val="00497A78"/>
    <w:rsid w:val="004A19B5"/>
    <w:rsid w:val="004A4564"/>
    <w:rsid w:val="004A68CB"/>
    <w:rsid w:val="004A6F9E"/>
    <w:rsid w:val="004B08D8"/>
    <w:rsid w:val="004B0E60"/>
    <w:rsid w:val="004C15A0"/>
    <w:rsid w:val="004D00AE"/>
    <w:rsid w:val="004D0872"/>
    <w:rsid w:val="004D5A18"/>
    <w:rsid w:val="004D67B0"/>
    <w:rsid w:val="004D7EF4"/>
    <w:rsid w:val="004E43C7"/>
    <w:rsid w:val="004F5144"/>
    <w:rsid w:val="004F5368"/>
    <w:rsid w:val="004F645F"/>
    <w:rsid w:val="00500754"/>
    <w:rsid w:val="00500AAF"/>
    <w:rsid w:val="005022AA"/>
    <w:rsid w:val="005031E8"/>
    <w:rsid w:val="0050390B"/>
    <w:rsid w:val="00503DD2"/>
    <w:rsid w:val="005062E6"/>
    <w:rsid w:val="0050681A"/>
    <w:rsid w:val="00512648"/>
    <w:rsid w:val="005137FB"/>
    <w:rsid w:val="005227C8"/>
    <w:rsid w:val="005323E6"/>
    <w:rsid w:val="00534B65"/>
    <w:rsid w:val="00534EF0"/>
    <w:rsid w:val="0053629A"/>
    <w:rsid w:val="005367ED"/>
    <w:rsid w:val="00540F02"/>
    <w:rsid w:val="0054303A"/>
    <w:rsid w:val="00543077"/>
    <w:rsid w:val="005469BE"/>
    <w:rsid w:val="00546E89"/>
    <w:rsid w:val="005478C9"/>
    <w:rsid w:val="00553784"/>
    <w:rsid w:val="005569E1"/>
    <w:rsid w:val="0056036E"/>
    <w:rsid w:val="005611F1"/>
    <w:rsid w:val="005626AA"/>
    <w:rsid w:val="005635B4"/>
    <w:rsid w:val="00564E9B"/>
    <w:rsid w:val="00566D1B"/>
    <w:rsid w:val="0057036A"/>
    <w:rsid w:val="00571CFE"/>
    <w:rsid w:val="005742A6"/>
    <w:rsid w:val="00590269"/>
    <w:rsid w:val="00591DE5"/>
    <w:rsid w:val="0059236C"/>
    <w:rsid w:val="0059415C"/>
    <w:rsid w:val="00597AAB"/>
    <w:rsid w:val="005A1BE1"/>
    <w:rsid w:val="005A4F69"/>
    <w:rsid w:val="005A5D6C"/>
    <w:rsid w:val="005A6A0E"/>
    <w:rsid w:val="005B5658"/>
    <w:rsid w:val="005C14AA"/>
    <w:rsid w:val="005C56C8"/>
    <w:rsid w:val="005C6309"/>
    <w:rsid w:val="005C643D"/>
    <w:rsid w:val="005C7FAC"/>
    <w:rsid w:val="005D4A0D"/>
    <w:rsid w:val="005D59B6"/>
    <w:rsid w:val="005E258A"/>
    <w:rsid w:val="005E7673"/>
    <w:rsid w:val="005F6F53"/>
    <w:rsid w:val="00601F30"/>
    <w:rsid w:val="00602879"/>
    <w:rsid w:val="006035FA"/>
    <w:rsid w:val="006052AE"/>
    <w:rsid w:val="006070C7"/>
    <w:rsid w:val="00615265"/>
    <w:rsid w:val="0061613E"/>
    <w:rsid w:val="0062129F"/>
    <w:rsid w:val="00622926"/>
    <w:rsid w:val="0062388D"/>
    <w:rsid w:val="006254AD"/>
    <w:rsid w:val="00630148"/>
    <w:rsid w:val="006352D0"/>
    <w:rsid w:val="00637098"/>
    <w:rsid w:val="00637BE1"/>
    <w:rsid w:val="00641650"/>
    <w:rsid w:val="006419D1"/>
    <w:rsid w:val="00643F44"/>
    <w:rsid w:val="00650832"/>
    <w:rsid w:val="00650CEB"/>
    <w:rsid w:val="006514A8"/>
    <w:rsid w:val="006527D4"/>
    <w:rsid w:val="006538D6"/>
    <w:rsid w:val="00654B07"/>
    <w:rsid w:val="0067067F"/>
    <w:rsid w:val="00672ECC"/>
    <w:rsid w:val="00674C01"/>
    <w:rsid w:val="00674CB5"/>
    <w:rsid w:val="00680536"/>
    <w:rsid w:val="006815A9"/>
    <w:rsid w:val="0068332B"/>
    <w:rsid w:val="006902BB"/>
    <w:rsid w:val="006A4FA3"/>
    <w:rsid w:val="006A7DFF"/>
    <w:rsid w:val="006B04B2"/>
    <w:rsid w:val="006B0510"/>
    <w:rsid w:val="006B0A52"/>
    <w:rsid w:val="006B2D02"/>
    <w:rsid w:val="006B2D04"/>
    <w:rsid w:val="006B4974"/>
    <w:rsid w:val="006B6E0F"/>
    <w:rsid w:val="006C0BEA"/>
    <w:rsid w:val="006C65C4"/>
    <w:rsid w:val="006C6EBD"/>
    <w:rsid w:val="006C7730"/>
    <w:rsid w:val="006D0A4B"/>
    <w:rsid w:val="006D6149"/>
    <w:rsid w:val="006D782E"/>
    <w:rsid w:val="006E21E9"/>
    <w:rsid w:val="006E2742"/>
    <w:rsid w:val="006E2F83"/>
    <w:rsid w:val="006E466B"/>
    <w:rsid w:val="006E7FC3"/>
    <w:rsid w:val="006F411A"/>
    <w:rsid w:val="00704378"/>
    <w:rsid w:val="007048B3"/>
    <w:rsid w:val="00706053"/>
    <w:rsid w:val="007066E4"/>
    <w:rsid w:val="00707398"/>
    <w:rsid w:val="00712658"/>
    <w:rsid w:val="007168B1"/>
    <w:rsid w:val="007169EC"/>
    <w:rsid w:val="00717040"/>
    <w:rsid w:val="00724398"/>
    <w:rsid w:val="007277EC"/>
    <w:rsid w:val="00727B9E"/>
    <w:rsid w:val="00741058"/>
    <w:rsid w:val="0075090F"/>
    <w:rsid w:val="00750DAC"/>
    <w:rsid w:val="00755AB4"/>
    <w:rsid w:val="00761E7C"/>
    <w:rsid w:val="00762C77"/>
    <w:rsid w:val="007636FC"/>
    <w:rsid w:val="00771574"/>
    <w:rsid w:val="00774469"/>
    <w:rsid w:val="00775180"/>
    <w:rsid w:val="007774E4"/>
    <w:rsid w:val="007816FC"/>
    <w:rsid w:val="00781D8B"/>
    <w:rsid w:val="00791E50"/>
    <w:rsid w:val="007923B1"/>
    <w:rsid w:val="007925B5"/>
    <w:rsid w:val="0079311F"/>
    <w:rsid w:val="007933FE"/>
    <w:rsid w:val="00796577"/>
    <w:rsid w:val="00796A75"/>
    <w:rsid w:val="007A2AA8"/>
    <w:rsid w:val="007A5A78"/>
    <w:rsid w:val="007A62B7"/>
    <w:rsid w:val="007A65BF"/>
    <w:rsid w:val="007B135B"/>
    <w:rsid w:val="007B5A8D"/>
    <w:rsid w:val="007B6823"/>
    <w:rsid w:val="007D5BA1"/>
    <w:rsid w:val="007E1004"/>
    <w:rsid w:val="007E4168"/>
    <w:rsid w:val="007E508F"/>
    <w:rsid w:val="007F02FB"/>
    <w:rsid w:val="007F2213"/>
    <w:rsid w:val="007F37D6"/>
    <w:rsid w:val="007F422E"/>
    <w:rsid w:val="007F5B9D"/>
    <w:rsid w:val="008003D6"/>
    <w:rsid w:val="00802718"/>
    <w:rsid w:val="00802990"/>
    <w:rsid w:val="00802A5B"/>
    <w:rsid w:val="00802A96"/>
    <w:rsid w:val="008049B4"/>
    <w:rsid w:val="00804B31"/>
    <w:rsid w:val="00810811"/>
    <w:rsid w:val="00815661"/>
    <w:rsid w:val="008157AA"/>
    <w:rsid w:val="00815993"/>
    <w:rsid w:val="00817086"/>
    <w:rsid w:val="0082272E"/>
    <w:rsid w:val="00835E51"/>
    <w:rsid w:val="00846249"/>
    <w:rsid w:val="00851870"/>
    <w:rsid w:val="00852EC7"/>
    <w:rsid w:val="0085484D"/>
    <w:rsid w:val="00862178"/>
    <w:rsid w:val="00862DDA"/>
    <w:rsid w:val="00863A78"/>
    <w:rsid w:val="00866723"/>
    <w:rsid w:val="00867428"/>
    <w:rsid w:val="008678F7"/>
    <w:rsid w:val="00874EB7"/>
    <w:rsid w:val="008752FD"/>
    <w:rsid w:val="008765A5"/>
    <w:rsid w:val="00882CAF"/>
    <w:rsid w:val="008847ED"/>
    <w:rsid w:val="00886BAD"/>
    <w:rsid w:val="0088746C"/>
    <w:rsid w:val="008940D8"/>
    <w:rsid w:val="008A257B"/>
    <w:rsid w:val="008A7B81"/>
    <w:rsid w:val="008B23F8"/>
    <w:rsid w:val="008B4BA9"/>
    <w:rsid w:val="008B7A0F"/>
    <w:rsid w:val="008C1784"/>
    <w:rsid w:val="008C2547"/>
    <w:rsid w:val="008C302B"/>
    <w:rsid w:val="008C3C9B"/>
    <w:rsid w:val="008C3DC2"/>
    <w:rsid w:val="008C45DE"/>
    <w:rsid w:val="008C62AD"/>
    <w:rsid w:val="008D0F02"/>
    <w:rsid w:val="008D5536"/>
    <w:rsid w:val="008D75B2"/>
    <w:rsid w:val="008E554D"/>
    <w:rsid w:val="008F0CE5"/>
    <w:rsid w:val="008F1989"/>
    <w:rsid w:val="008F3342"/>
    <w:rsid w:val="008F621C"/>
    <w:rsid w:val="00901F00"/>
    <w:rsid w:val="00902E8B"/>
    <w:rsid w:val="00902F9C"/>
    <w:rsid w:val="00906AC7"/>
    <w:rsid w:val="00907E40"/>
    <w:rsid w:val="00911A24"/>
    <w:rsid w:val="009206DD"/>
    <w:rsid w:val="009231B3"/>
    <w:rsid w:val="00923573"/>
    <w:rsid w:val="009276FB"/>
    <w:rsid w:val="00932634"/>
    <w:rsid w:val="00936811"/>
    <w:rsid w:val="00940F83"/>
    <w:rsid w:val="0094187E"/>
    <w:rsid w:val="00944018"/>
    <w:rsid w:val="00945575"/>
    <w:rsid w:val="0094630C"/>
    <w:rsid w:val="009517AC"/>
    <w:rsid w:val="0095288D"/>
    <w:rsid w:val="0095456E"/>
    <w:rsid w:val="00954B9B"/>
    <w:rsid w:val="00954BA8"/>
    <w:rsid w:val="00965E3F"/>
    <w:rsid w:val="00965F50"/>
    <w:rsid w:val="0098193E"/>
    <w:rsid w:val="00987772"/>
    <w:rsid w:val="009917BE"/>
    <w:rsid w:val="00991D92"/>
    <w:rsid w:val="0099291C"/>
    <w:rsid w:val="009929B4"/>
    <w:rsid w:val="00994209"/>
    <w:rsid w:val="009A1281"/>
    <w:rsid w:val="009A1E24"/>
    <w:rsid w:val="009B2397"/>
    <w:rsid w:val="009B4065"/>
    <w:rsid w:val="009B6344"/>
    <w:rsid w:val="009B764B"/>
    <w:rsid w:val="009C7D8B"/>
    <w:rsid w:val="009D7AA9"/>
    <w:rsid w:val="009E2468"/>
    <w:rsid w:val="009E336E"/>
    <w:rsid w:val="009E3624"/>
    <w:rsid w:val="009E4EBA"/>
    <w:rsid w:val="009F091C"/>
    <w:rsid w:val="009F2D64"/>
    <w:rsid w:val="009F409C"/>
    <w:rsid w:val="009F6F7B"/>
    <w:rsid w:val="009F7666"/>
    <w:rsid w:val="00A03126"/>
    <w:rsid w:val="00A03679"/>
    <w:rsid w:val="00A13315"/>
    <w:rsid w:val="00A14CEF"/>
    <w:rsid w:val="00A15A8A"/>
    <w:rsid w:val="00A175E3"/>
    <w:rsid w:val="00A272D2"/>
    <w:rsid w:val="00A27B34"/>
    <w:rsid w:val="00A30493"/>
    <w:rsid w:val="00A31480"/>
    <w:rsid w:val="00A32E17"/>
    <w:rsid w:val="00A33DAA"/>
    <w:rsid w:val="00A37C4B"/>
    <w:rsid w:val="00A427DC"/>
    <w:rsid w:val="00A430B8"/>
    <w:rsid w:val="00A43298"/>
    <w:rsid w:val="00A43778"/>
    <w:rsid w:val="00A4558F"/>
    <w:rsid w:val="00A50B27"/>
    <w:rsid w:val="00A526EF"/>
    <w:rsid w:val="00A549F9"/>
    <w:rsid w:val="00A54DE6"/>
    <w:rsid w:val="00A562A0"/>
    <w:rsid w:val="00A5653C"/>
    <w:rsid w:val="00A574C4"/>
    <w:rsid w:val="00A60243"/>
    <w:rsid w:val="00A602DE"/>
    <w:rsid w:val="00A64896"/>
    <w:rsid w:val="00A64A27"/>
    <w:rsid w:val="00A67525"/>
    <w:rsid w:val="00A67D4E"/>
    <w:rsid w:val="00A71464"/>
    <w:rsid w:val="00A72FCF"/>
    <w:rsid w:val="00A758BF"/>
    <w:rsid w:val="00A762E8"/>
    <w:rsid w:val="00A762F0"/>
    <w:rsid w:val="00A8066D"/>
    <w:rsid w:val="00A80B2E"/>
    <w:rsid w:val="00A80C31"/>
    <w:rsid w:val="00A819B4"/>
    <w:rsid w:val="00A82EEE"/>
    <w:rsid w:val="00A83D78"/>
    <w:rsid w:val="00A83E44"/>
    <w:rsid w:val="00A849D9"/>
    <w:rsid w:val="00A877F4"/>
    <w:rsid w:val="00A91CAD"/>
    <w:rsid w:val="00A92D0F"/>
    <w:rsid w:val="00A95B23"/>
    <w:rsid w:val="00AA4AE4"/>
    <w:rsid w:val="00AA4E7D"/>
    <w:rsid w:val="00AA4FC8"/>
    <w:rsid w:val="00AA6636"/>
    <w:rsid w:val="00AB0956"/>
    <w:rsid w:val="00AC0C00"/>
    <w:rsid w:val="00AC388E"/>
    <w:rsid w:val="00AC6628"/>
    <w:rsid w:val="00AD05B1"/>
    <w:rsid w:val="00AD169A"/>
    <w:rsid w:val="00AD2E20"/>
    <w:rsid w:val="00AD3EFD"/>
    <w:rsid w:val="00AD559D"/>
    <w:rsid w:val="00AD5DCB"/>
    <w:rsid w:val="00AE283C"/>
    <w:rsid w:val="00AF1BE3"/>
    <w:rsid w:val="00AF35CC"/>
    <w:rsid w:val="00AF4940"/>
    <w:rsid w:val="00AF73DF"/>
    <w:rsid w:val="00B029D3"/>
    <w:rsid w:val="00B02CE0"/>
    <w:rsid w:val="00B06D1D"/>
    <w:rsid w:val="00B17324"/>
    <w:rsid w:val="00B23F90"/>
    <w:rsid w:val="00B24984"/>
    <w:rsid w:val="00B25EDF"/>
    <w:rsid w:val="00B35DC8"/>
    <w:rsid w:val="00B4389C"/>
    <w:rsid w:val="00B47B2C"/>
    <w:rsid w:val="00B56B54"/>
    <w:rsid w:val="00B601BF"/>
    <w:rsid w:val="00B60784"/>
    <w:rsid w:val="00B7002E"/>
    <w:rsid w:val="00B70E6B"/>
    <w:rsid w:val="00B75A4B"/>
    <w:rsid w:val="00B768CC"/>
    <w:rsid w:val="00B80A1A"/>
    <w:rsid w:val="00B8352F"/>
    <w:rsid w:val="00B8520B"/>
    <w:rsid w:val="00B86AE8"/>
    <w:rsid w:val="00B86BF7"/>
    <w:rsid w:val="00B905EC"/>
    <w:rsid w:val="00B91F74"/>
    <w:rsid w:val="00B92EAB"/>
    <w:rsid w:val="00B9472D"/>
    <w:rsid w:val="00B97C5A"/>
    <w:rsid w:val="00BA5B4B"/>
    <w:rsid w:val="00BA6FF3"/>
    <w:rsid w:val="00BB08FA"/>
    <w:rsid w:val="00BB2B6F"/>
    <w:rsid w:val="00BB50DF"/>
    <w:rsid w:val="00BB57AB"/>
    <w:rsid w:val="00BB6938"/>
    <w:rsid w:val="00BC51D8"/>
    <w:rsid w:val="00BD1A3E"/>
    <w:rsid w:val="00BD3E7E"/>
    <w:rsid w:val="00BD5835"/>
    <w:rsid w:val="00BD5D62"/>
    <w:rsid w:val="00BD79A0"/>
    <w:rsid w:val="00BE144D"/>
    <w:rsid w:val="00BE17FD"/>
    <w:rsid w:val="00BE30EB"/>
    <w:rsid w:val="00BF2AAA"/>
    <w:rsid w:val="00BF5A85"/>
    <w:rsid w:val="00BF672B"/>
    <w:rsid w:val="00C0213A"/>
    <w:rsid w:val="00C02E08"/>
    <w:rsid w:val="00C03879"/>
    <w:rsid w:val="00C0389E"/>
    <w:rsid w:val="00C102EF"/>
    <w:rsid w:val="00C10C09"/>
    <w:rsid w:val="00C11C42"/>
    <w:rsid w:val="00C152F9"/>
    <w:rsid w:val="00C1756D"/>
    <w:rsid w:val="00C21420"/>
    <w:rsid w:val="00C26170"/>
    <w:rsid w:val="00C377E7"/>
    <w:rsid w:val="00C420B8"/>
    <w:rsid w:val="00C44781"/>
    <w:rsid w:val="00C50A65"/>
    <w:rsid w:val="00C549E7"/>
    <w:rsid w:val="00C56155"/>
    <w:rsid w:val="00C60479"/>
    <w:rsid w:val="00C6051D"/>
    <w:rsid w:val="00C6181C"/>
    <w:rsid w:val="00C67610"/>
    <w:rsid w:val="00C71E29"/>
    <w:rsid w:val="00C72516"/>
    <w:rsid w:val="00C7503D"/>
    <w:rsid w:val="00C90327"/>
    <w:rsid w:val="00C921FA"/>
    <w:rsid w:val="00C93C98"/>
    <w:rsid w:val="00CA4275"/>
    <w:rsid w:val="00CA65CF"/>
    <w:rsid w:val="00CA7439"/>
    <w:rsid w:val="00CB41DC"/>
    <w:rsid w:val="00CB490A"/>
    <w:rsid w:val="00CB5866"/>
    <w:rsid w:val="00CB660C"/>
    <w:rsid w:val="00CC56D8"/>
    <w:rsid w:val="00CD1607"/>
    <w:rsid w:val="00CE2A67"/>
    <w:rsid w:val="00CE741E"/>
    <w:rsid w:val="00CF03A1"/>
    <w:rsid w:val="00CF57D6"/>
    <w:rsid w:val="00CF6F49"/>
    <w:rsid w:val="00D21250"/>
    <w:rsid w:val="00D26ADD"/>
    <w:rsid w:val="00D26D30"/>
    <w:rsid w:val="00D41612"/>
    <w:rsid w:val="00D44083"/>
    <w:rsid w:val="00D44E96"/>
    <w:rsid w:val="00D46384"/>
    <w:rsid w:val="00D57022"/>
    <w:rsid w:val="00D57A56"/>
    <w:rsid w:val="00D63088"/>
    <w:rsid w:val="00D67104"/>
    <w:rsid w:val="00D67519"/>
    <w:rsid w:val="00D71087"/>
    <w:rsid w:val="00D7255F"/>
    <w:rsid w:val="00D73826"/>
    <w:rsid w:val="00D775DE"/>
    <w:rsid w:val="00D813BC"/>
    <w:rsid w:val="00D90FE5"/>
    <w:rsid w:val="00D94113"/>
    <w:rsid w:val="00D96860"/>
    <w:rsid w:val="00DA1969"/>
    <w:rsid w:val="00DC3AF3"/>
    <w:rsid w:val="00DC5866"/>
    <w:rsid w:val="00DC5DB0"/>
    <w:rsid w:val="00DC66E5"/>
    <w:rsid w:val="00DC78F5"/>
    <w:rsid w:val="00DC7B34"/>
    <w:rsid w:val="00DD601D"/>
    <w:rsid w:val="00DD6F37"/>
    <w:rsid w:val="00DE1E48"/>
    <w:rsid w:val="00DE4617"/>
    <w:rsid w:val="00DF0C41"/>
    <w:rsid w:val="00DF0EC0"/>
    <w:rsid w:val="00DF1636"/>
    <w:rsid w:val="00DF2729"/>
    <w:rsid w:val="00DF48E5"/>
    <w:rsid w:val="00DF5622"/>
    <w:rsid w:val="00DF6442"/>
    <w:rsid w:val="00E005F9"/>
    <w:rsid w:val="00E016D0"/>
    <w:rsid w:val="00E02E72"/>
    <w:rsid w:val="00E0470A"/>
    <w:rsid w:val="00E17217"/>
    <w:rsid w:val="00E17CB5"/>
    <w:rsid w:val="00E21EFB"/>
    <w:rsid w:val="00E26C00"/>
    <w:rsid w:val="00E30D6B"/>
    <w:rsid w:val="00E30E14"/>
    <w:rsid w:val="00E363A9"/>
    <w:rsid w:val="00E36AA2"/>
    <w:rsid w:val="00E434D8"/>
    <w:rsid w:val="00E439CB"/>
    <w:rsid w:val="00E46E84"/>
    <w:rsid w:val="00E51701"/>
    <w:rsid w:val="00E5640B"/>
    <w:rsid w:val="00E566B0"/>
    <w:rsid w:val="00E649E6"/>
    <w:rsid w:val="00E65AF8"/>
    <w:rsid w:val="00E73641"/>
    <w:rsid w:val="00E758FF"/>
    <w:rsid w:val="00E75F6E"/>
    <w:rsid w:val="00E77C4D"/>
    <w:rsid w:val="00E810D4"/>
    <w:rsid w:val="00E90314"/>
    <w:rsid w:val="00E90C62"/>
    <w:rsid w:val="00E91C37"/>
    <w:rsid w:val="00E922F2"/>
    <w:rsid w:val="00E93AC4"/>
    <w:rsid w:val="00EA2EA0"/>
    <w:rsid w:val="00EA3CA2"/>
    <w:rsid w:val="00EA4465"/>
    <w:rsid w:val="00EA4EF4"/>
    <w:rsid w:val="00EA5258"/>
    <w:rsid w:val="00EA7076"/>
    <w:rsid w:val="00EB2CFF"/>
    <w:rsid w:val="00EB323F"/>
    <w:rsid w:val="00EB5A85"/>
    <w:rsid w:val="00EB743A"/>
    <w:rsid w:val="00EC4D8B"/>
    <w:rsid w:val="00EC7FEC"/>
    <w:rsid w:val="00ED1805"/>
    <w:rsid w:val="00ED2F7D"/>
    <w:rsid w:val="00ED5DCF"/>
    <w:rsid w:val="00F00D99"/>
    <w:rsid w:val="00F01DBC"/>
    <w:rsid w:val="00F05A83"/>
    <w:rsid w:val="00F06CD1"/>
    <w:rsid w:val="00F06FB4"/>
    <w:rsid w:val="00F1027C"/>
    <w:rsid w:val="00F1612A"/>
    <w:rsid w:val="00F20576"/>
    <w:rsid w:val="00F23791"/>
    <w:rsid w:val="00F24181"/>
    <w:rsid w:val="00F31ECF"/>
    <w:rsid w:val="00F331B5"/>
    <w:rsid w:val="00F3381A"/>
    <w:rsid w:val="00F369EC"/>
    <w:rsid w:val="00F4322E"/>
    <w:rsid w:val="00F51BE9"/>
    <w:rsid w:val="00F52044"/>
    <w:rsid w:val="00F52B04"/>
    <w:rsid w:val="00F52E83"/>
    <w:rsid w:val="00F56645"/>
    <w:rsid w:val="00F660DB"/>
    <w:rsid w:val="00F727DB"/>
    <w:rsid w:val="00F7294C"/>
    <w:rsid w:val="00F814D0"/>
    <w:rsid w:val="00F84BE5"/>
    <w:rsid w:val="00F9056B"/>
    <w:rsid w:val="00F91387"/>
    <w:rsid w:val="00F94AE6"/>
    <w:rsid w:val="00F956D7"/>
    <w:rsid w:val="00F97E21"/>
    <w:rsid w:val="00FA3FD1"/>
    <w:rsid w:val="00FA4B17"/>
    <w:rsid w:val="00FB2A93"/>
    <w:rsid w:val="00FB4ACA"/>
    <w:rsid w:val="00FB5880"/>
    <w:rsid w:val="00FC13D6"/>
    <w:rsid w:val="00FC2DC7"/>
    <w:rsid w:val="00FC3C69"/>
    <w:rsid w:val="00FC3FCF"/>
    <w:rsid w:val="00FC4C88"/>
    <w:rsid w:val="00FC679E"/>
    <w:rsid w:val="00FD08EE"/>
    <w:rsid w:val="00FE0722"/>
    <w:rsid w:val="00FE59A0"/>
    <w:rsid w:val="00FE5CAA"/>
    <w:rsid w:val="00FE703C"/>
    <w:rsid w:val="00FE7276"/>
    <w:rsid w:val="00FF1D30"/>
    <w:rsid w:val="00FF2F74"/>
    <w:rsid w:val="00FF4D86"/>
    <w:rsid w:val="00FF5F3B"/>
    <w:rsid w:val="00FF67B3"/>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7A43CC6"/>
  <w14:defaultImageDpi w14:val="96"/>
  <w15:docId w15:val="{625792D6-6E3F-4381-A627-284507FD8B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rsid w:val="00672ECC"/>
    <w:rPr>
      <w:sz w:val="24"/>
      <w:szCs w:val="24"/>
    </w:rPr>
  </w:style>
  <w:style w:type="table" w:styleId="PlainTable2">
    <w:name w:val="Plain Table 2"/>
    <w:basedOn w:val="TableNormal"/>
    <w:uiPriority w:val="42"/>
    <w:rsid w:val="0007539D"/>
    <w:tblPr>
      <w:tblStyleRowBandSize w:val="1"/>
      <w:tblStyleColBandSize w:val="1"/>
      <w:tblBorders>
        <w:top w:val="single" w:sz="4" w:space="0" w:color="7F7F7F"/>
        <w:bottom w:val="single" w:sz="4" w:space="0" w:color="7F7F7F"/>
      </w:tblBorders>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table" w:customStyle="1" w:styleId="TableGrid1">
    <w:name w:val="Table Grid1"/>
    <w:basedOn w:val="TableNormal"/>
    <w:next w:val="TableGrid"/>
    <w:uiPriority w:val="39"/>
    <w:rsid w:val="004573CA"/>
    <w:rPr>
      <w:rFonts w:cs="Traditional Arabic"/>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ypography-modulelvnit">
    <w:name w:val="typography-module__lvnit"/>
    <w:basedOn w:val="DefaultParagraphFont"/>
    <w:rsid w:val="0037001C"/>
    <w:rPr>
      <w:rFonts w:cs="Times New Roman"/>
    </w:rPr>
  </w:style>
  <w:style w:type="table" w:styleId="PlainTable4">
    <w:name w:val="Plain Table 4"/>
    <w:basedOn w:val="TableNormal"/>
    <w:uiPriority w:val="44"/>
    <w:rsid w:val="00A64A27"/>
    <w:tblPr>
      <w:tblStyleRowBandSize w:val="1"/>
      <w:tblStyleColBandSize w:val="1"/>
    </w:tblPr>
    <w:tblStylePr w:type="firstRow">
      <w:rPr>
        <w:rFonts w:cs="Times New Roman"/>
        <w:b/>
        <w:bCs/>
      </w:rPr>
    </w:tblStylePr>
    <w:tblStylePr w:type="lastRow">
      <w:rPr>
        <w:rFonts w:cs="Times New Roman"/>
        <w:b/>
        <w:bCs/>
      </w:r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style>
  <w:style w:type="table" w:styleId="TableSimple1">
    <w:name w:val="Table Simple 1"/>
    <w:basedOn w:val="TableNormal"/>
    <w:uiPriority w:val="99"/>
    <w:rsid w:val="00A64A27"/>
    <w:pPr>
      <w:autoSpaceDE w:val="0"/>
      <w:autoSpaceDN w:val="0"/>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6" w:space="0" w:color="auto"/>
          <w:tr2bl w:val="none" w:sz="6" w:space="0" w:color="auto"/>
        </w:tcBorders>
      </w:tcPr>
    </w:tblStylePr>
    <w:tblStylePr w:type="lastRow">
      <w:rPr>
        <w:rFonts w:cs="Times New Roman"/>
      </w:rPr>
      <w:tblPr/>
      <w:tcPr>
        <w:tcBorders>
          <w:top w:val="single" w:sz="6" w:space="0" w:color="008000"/>
          <w:tl2br w:val="none" w:sz="6" w:space="0" w:color="auto"/>
          <w:tr2bl w:val="none" w:sz="6" w:space="0" w:color="auto"/>
        </w:tcBorders>
      </w:tcPr>
    </w:tblStylePr>
  </w:style>
  <w:style w:type="table" w:styleId="TableContemporary">
    <w:name w:val="Table Contemporary"/>
    <w:basedOn w:val="TableNormal"/>
    <w:uiPriority w:val="99"/>
    <w:rsid w:val="00A64A27"/>
    <w:pPr>
      <w:autoSpaceDE w:val="0"/>
      <w:autoSpaceDN w:val="0"/>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6" w:space="0" w:color="auto"/>
          <w:tr2bl w:val="none" w:sz="6" w:space="0" w:color="auto"/>
        </w:tcBorders>
        <w:shd w:val="pct20" w:color="000000" w:fill="FFFFFF"/>
      </w:tcPr>
    </w:tblStylePr>
    <w:tblStylePr w:type="band1Horz">
      <w:rPr>
        <w:rFonts w:cs="Times New Roman"/>
        <w:color w:val="auto"/>
      </w:rPr>
      <w:tblPr/>
      <w:tcPr>
        <w:tcBorders>
          <w:tl2br w:val="none" w:sz="6" w:space="0" w:color="auto"/>
          <w:tr2bl w:val="none" w:sz="6" w:space="0" w:color="auto"/>
        </w:tcBorders>
        <w:shd w:val="pct5" w:color="000000" w:fill="FFFFFF"/>
      </w:tcPr>
    </w:tblStylePr>
    <w:tblStylePr w:type="band2Horz">
      <w:rPr>
        <w:rFonts w:cs="Times New Roman"/>
        <w:color w:val="auto"/>
      </w:rPr>
      <w:tblPr/>
      <w:tcPr>
        <w:tcBorders>
          <w:tl2br w:val="none" w:sz="6" w:space="0" w:color="auto"/>
          <w:tr2bl w:val="none" w:sz="6" w:space="0" w:color="auto"/>
        </w:tcBorders>
        <w:shd w:val="pct20" w:color="000000" w:fill="FFFFFF"/>
      </w:tcPr>
    </w:tblStylePr>
  </w:style>
  <w:style w:type="table" w:styleId="PlainTable3">
    <w:name w:val="Plain Table 3"/>
    <w:basedOn w:val="TableNormal"/>
    <w:uiPriority w:val="43"/>
    <w:rsid w:val="006A4FA3"/>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styleId="TableClassic1">
    <w:name w:val="Table Classic 1"/>
    <w:basedOn w:val="TableNormal"/>
    <w:uiPriority w:val="99"/>
    <w:rsid w:val="006A4FA3"/>
    <w:pPr>
      <w:autoSpaceDE w:val="0"/>
      <w:autoSpaceDN w:val="0"/>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6" w:space="0" w:color="auto"/>
          <w:tr2bl w:val="none" w:sz="6" w:space="0" w:color="auto"/>
        </w:tcBorders>
      </w:tcPr>
    </w:tblStylePr>
    <w:tblStylePr w:type="lastRow">
      <w:rPr>
        <w:rFonts w:cs="Times New Roman"/>
        <w:color w:val="auto"/>
      </w:rPr>
      <w:tblPr/>
      <w:tcPr>
        <w:tcBorders>
          <w:top w:val="single" w:sz="6" w:space="0" w:color="000000"/>
          <w:tl2br w:val="none" w:sz="6" w:space="0" w:color="auto"/>
          <w:tr2bl w:val="none" w:sz="6" w:space="0" w:color="auto"/>
        </w:tcBorders>
      </w:tcPr>
    </w:tblStylePr>
    <w:tblStylePr w:type="firstCol">
      <w:rPr>
        <w:rFonts w:cs="Times New Roman"/>
      </w:rPr>
      <w:tblPr/>
      <w:tcPr>
        <w:tcBorders>
          <w:right w:val="single" w:sz="6" w:space="0" w:color="000000"/>
          <w:tl2br w:val="none" w:sz="6" w:space="0" w:color="auto"/>
          <w:tr2bl w:val="none" w:sz="6" w:space="0" w:color="auto"/>
        </w:tcBorders>
      </w:tcPr>
    </w:tblStylePr>
    <w:tblStylePr w:type="neCell">
      <w:rPr>
        <w:rFonts w:cs="Times New Roman"/>
        <w:b/>
        <w:bCs/>
        <w:i w:val="0"/>
        <w:iCs w:val="0"/>
      </w:rPr>
      <w:tblPr/>
      <w:tcPr>
        <w:tcBorders>
          <w:tl2br w:val="none" w:sz="6" w:space="0" w:color="auto"/>
          <w:tr2bl w:val="none" w:sz="6" w:space="0" w:color="auto"/>
        </w:tcBorders>
      </w:tcPr>
    </w:tblStylePr>
    <w:tblStylePr w:type="swCell">
      <w:rPr>
        <w:rFonts w:cs="Times New Roman"/>
        <w:b/>
        <w:bCs/>
      </w:rPr>
      <w:tblPr/>
      <w:tcPr>
        <w:tcBorders>
          <w:tl2br w:val="none" w:sz="6" w:space="0" w:color="auto"/>
          <w:tr2bl w:val="none" w:sz="6" w:space="0" w:color="auto"/>
        </w:tcBorders>
      </w:tcPr>
    </w:tblStylePr>
  </w:style>
  <w:style w:type="table" w:customStyle="1" w:styleId="PlainTable21">
    <w:name w:val="Plain Table 21"/>
    <w:basedOn w:val="TableNormal"/>
    <w:next w:val="PlainTable2"/>
    <w:uiPriority w:val="42"/>
    <w:rsid w:val="00CB5866"/>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2">
    <w:name w:val="Plain Table 22"/>
    <w:basedOn w:val="TableNormal"/>
    <w:next w:val="PlainTable2"/>
    <w:uiPriority w:val="42"/>
    <w:rsid w:val="00D26D30"/>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3">
    <w:name w:val="Plain Table 23"/>
    <w:basedOn w:val="TableNormal"/>
    <w:next w:val="PlainTable2"/>
    <w:uiPriority w:val="42"/>
    <w:rsid w:val="00415A81"/>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CommentReference">
    <w:name w:val="annotation reference"/>
    <w:basedOn w:val="DefaultParagraphFont"/>
    <w:uiPriority w:val="99"/>
    <w:rsid w:val="00954B9B"/>
    <w:rPr>
      <w:sz w:val="16"/>
      <w:szCs w:val="16"/>
    </w:rPr>
  </w:style>
  <w:style w:type="paragraph" w:styleId="CommentText">
    <w:name w:val="annotation text"/>
    <w:basedOn w:val="Normal"/>
    <w:link w:val="CommentTextChar"/>
    <w:uiPriority w:val="99"/>
    <w:rsid w:val="00954B9B"/>
  </w:style>
  <w:style w:type="character" w:customStyle="1" w:styleId="CommentTextChar">
    <w:name w:val="Comment Text Char"/>
    <w:basedOn w:val="DefaultParagraphFont"/>
    <w:link w:val="CommentText"/>
    <w:uiPriority w:val="99"/>
    <w:rsid w:val="00954B9B"/>
    <w:rPr>
      <w:lang w:val="en-US" w:eastAsia="en-GB"/>
    </w:rPr>
  </w:style>
  <w:style w:type="paragraph" w:styleId="CommentSubject">
    <w:name w:val="annotation subject"/>
    <w:basedOn w:val="CommentText"/>
    <w:next w:val="CommentText"/>
    <w:link w:val="CommentSubjectChar"/>
    <w:uiPriority w:val="99"/>
    <w:rsid w:val="00954B9B"/>
    <w:rPr>
      <w:b/>
      <w:bCs/>
    </w:rPr>
  </w:style>
  <w:style w:type="character" w:customStyle="1" w:styleId="CommentSubjectChar">
    <w:name w:val="Comment Subject Char"/>
    <w:basedOn w:val="CommentTextChar"/>
    <w:link w:val="CommentSubject"/>
    <w:uiPriority w:val="99"/>
    <w:rsid w:val="00954B9B"/>
    <w:rPr>
      <w:b/>
      <w:bCs/>
      <w:lang w:val="en-US" w:eastAsia="en-GB"/>
    </w:rPr>
  </w:style>
  <w:style w:type="character" w:customStyle="1" w:styleId="rynqvb">
    <w:name w:val="rynqvb"/>
    <w:basedOn w:val="DefaultParagraphFont"/>
    <w:rsid w:val="00817086"/>
  </w:style>
  <w:style w:type="character" w:customStyle="1" w:styleId="hwtze">
    <w:name w:val="hwtze"/>
    <w:basedOn w:val="DefaultParagraphFont"/>
    <w:rsid w:val="00564E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148501">
      <w:bodyDiv w:val="1"/>
      <w:marLeft w:val="0"/>
      <w:marRight w:val="0"/>
      <w:marTop w:val="0"/>
      <w:marBottom w:val="0"/>
      <w:divBdr>
        <w:top w:val="none" w:sz="0" w:space="0" w:color="auto"/>
        <w:left w:val="none" w:sz="0" w:space="0" w:color="auto"/>
        <w:bottom w:val="none" w:sz="0" w:space="0" w:color="auto"/>
        <w:right w:val="none" w:sz="0" w:space="0" w:color="auto"/>
      </w:divBdr>
    </w:div>
    <w:div w:id="334303255">
      <w:bodyDiv w:val="1"/>
      <w:marLeft w:val="0"/>
      <w:marRight w:val="0"/>
      <w:marTop w:val="0"/>
      <w:marBottom w:val="0"/>
      <w:divBdr>
        <w:top w:val="none" w:sz="0" w:space="0" w:color="auto"/>
        <w:left w:val="none" w:sz="0" w:space="0" w:color="auto"/>
        <w:bottom w:val="none" w:sz="0" w:space="0" w:color="auto"/>
        <w:right w:val="none" w:sz="0" w:space="0" w:color="auto"/>
      </w:divBdr>
    </w:div>
    <w:div w:id="371273661">
      <w:bodyDiv w:val="1"/>
      <w:marLeft w:val="0"/>
      <w:marRight w:val="0"/>
      <w:marTop w:val="0"/>
      <w:marBottom w:val="0"/>
      <w:divBdr>
        <w:top w:val="none" w:sz="0" w:space="0" w:color="auto"/>
        <w:left w:val="none" w:sz="0" w:space="0" w:color="auto"/>
        <w:bottom w:val="none" w:sz="0" w:space="0" w:color="auto"/>
        <w:right w:val="none" w:sz="0" w:space="0" w:color="auto"/>
      </w:divBdr>
    </w:div>
    <w:div w:id="381758855">
      <w:bodyDiv w:val="1"/>
      <w:marLeft w:val="0"/>
      <w:marRight w:val="0"/>
      <w:marTop w:val="0"/>
      <w:marBottom w:val="0"/>
      <w:divBdr>
        <w:top w:val="none" w:sz="0" w:space="0" w:color="auto"/>
        <w:left w:val="none" w:sz="0" w:space="0" w:color="auto"/>
        <w:bottom w:val="none" w:sz="0" w:space="0" w:color="auto"/>
        <w:right w:val="none" w:sz="0" w:space="0" w:color="auto"/>
      </w:divBdr>
    </w:div>
    <w:div w:id="383338311">
      <w:marLeft w:val="0"/>
      <w:marRight w:val="0"/>
      <w:marTop w:val="0"/>
      <w:marBottom w:val="0"/>
      <w:divBdr>
        <w:top w:val="none" w:sz="0" w:space="0" w:color="auto"/>
        <w:left w:val="none" w:sz="0" w:space="0" w:color="auto"/>
        <w:bottom w:val="none" w:sz="0" w:space="0" w:color="auto"/>
        <w:right w:val="none" w:sz="0" w:space="0" w:color="auto"/>
      </w:divBdr>
      <w:divsChild>
        <w:div w:id="383338315">
          <w:marLeft w:val="0"/>
          <w:marRight w:val="0"/>
          <w:marTop w:val="0"/>
          <w:marBottom w:val="0"/>
          <w:divBdr>
            <w:top w:val="none" w:sz="0" w:space="0" w:color="auto"/>
            <w:left w:val="none" w:sz="0" w:space="0" w:color="auto"/>
            <w:bottom w:val="none" w:sz="0" w:space="0" w:color="auto"/>
            <w:right w:val="none" w:sz="0" w:space="0" w:color="auto"/>
          </w:divBdr>
          <w:divsChild>
            <w:div w:id="383338327">
              <w:marLeft w:val="0"/>
              <w:marRight w:val="0"/>
              <w:marTop w:val="0"/>
              <w:marBottom w:val="0"/>
              <w:divBdr>
                <w:top w:val="none" w:sz="0" w:space="0" w:color="auto"/>
                <w:left w:val="none" w:sz="0" w:space="0" w:color="auto"/>
                <w:bottom w:val="none" w:sz="0" w:space="0" w:color="auto"/>
                <w:right w:val="none" w:sz="0" w:space="0" w:color="auto"/>
              </w:divBdr>
              <w:divsChild>
                <w:div w:id="383338324">
                  <w:marLeft w:val="0"/>
                  <w:marRight w:val="0"/>
                  <w:marTop w:val="0"/>
                  <w:marBottom w:val="0"/>
                  <w:divBdr>
                    <w:top w:val="none" w:sz="0" w:space="0" w:color="auto"/>
                    <w:left w:val="none" w:sz="0" w:space="0" w:color="auto"/>
                    <w:bottom w:val="none" w:sz="0" w:space="0" w:color="auto"/>
                    <w:right w:val="none" w:sz="0" w:space="0" w:color="auto"/>
                  </w:divBdr>
                  <w:divsChild>
                    <w:div w:id="38333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26">
          <w:marLeft w:val="0"/>
          <w:marRight w:val="0"/>
          <w:marTop w:val="0"/>
          <w:marBottom w:val="0"/>
          <w:divBdr>
            <w:top w:val="none" w:sz="0" w:space="0" w:color="auto"/>
            <w:left w:val="none" w:sz="0" w:space="0" w:color="auto"/>
            <w:bottom w:val="none" w:sz="0" w:space="0" w:color="auto"/>
            <w:right w:val="none" w:sz="0" w:space="0" w:color="auto"/>
          </w:divBdr>
          <w:divsChild>
            <w:div w:id="383338322">
              <w:marLeft w:val="0"/>
              <w:marRight w:val="0"/>
              <w:marTop w:val="0"/>
              <w:marBottom w:val="0"/>
              <w:divBdr>
                <w:top w:val="none" w:sz="0" w:space="0" w:color="auto"/>
                <w:left w:val="none" w:sz="0" w:space="0" w:color="auto"/>
                <w:bottom w:val="none" w:sz="0" w:space="0" w:color="auto"/>
                <w:right w:val="none" w:sz="0" w:space="0" w:color="auto"/>
              </w:divBdr>
              <w:divsChild>
                <w:div w:id="383338313">
                  <w:marLeft w:val="0"/>
                  <w:marRight w:val="0"/>
                  <w:marTop w:val="0"/>
                  <w:marBottom w:val="0"/>
                  <w:divBdr>
                    <w:top w:val="none" w:sz="0" w:space="0" w:color="auto"/>
                    <w:left w:val="none" w:sz="0" w:space="0" w:color="auto"/>
                    <w:bottom w:val="none" w:sz="0" w:space="0" w:color="auto"/>
                    <w:right w:val="none" w:sz="0" w:space="0" w:color="auto"/>
                  </w:divBdr>
                  <w:divsChild>
                    <w:div w:id="383338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14">
      <w:marLeft w:val="0"/>
      <w:marRight w:val="0"/>
      <w:marTop w:val="0"/>
      <w:marBottom w:val="0"/>
      <w:divBdr>
        <w:top w:val="none" w:sz="0" w:space="0" w:color="auto"/>
        <w:left w:val="none" w:sz="0" w:space="0" w:color="auto"/>
        <w:bottom w:val="none" w:sz="0" w:space="0" w:color="auto"/>
        <w:right w:val="none" w:sz="0" w:space="0" w:color="auto"/>
      </w:divBdr>
    </w:div>
    <w:div w:id="383338316">
      <w:marLeft w:val="0"/>
      <w:marRight w:val="0"/>
      <w:marTop w:val="0"/>
      <w:marBottom w:val="0"/>
      <w:divBdr>
        <w:top w:val="none" w:sz="0" w:space="0" w:color="auto"/>
        <w:left w:val="none" w:sz="0" w:space="0" w:color="auto"/>
        <w:bottom w:val="none" w:sz="0" w:space="0" w:color="auto"/>
        <w:right w:val="none" w:sz="0" w:space="0" w:color="auto"/>
      </w:divBdr>
    </w:div>
    <w:div w:id="383338318">
      <w:marLeft w:val="0"/>
      <w:marRight w:val="0"/>
      <w:marTop w:val="0"/>
      <w:marBottom w:val="0"/>
      <w:divBdr>
        <w:top w:val="none" w:sz="0" w:space="0" w:color="auto"/>
        <w:left w:val="none" w:sz="0" w:space="0" w:color="auto"/>
        <w:bottom w:val="none" w:sz="0" w:space="0" w:color="auto"/>
        <w:right w:val="none" w:sz="0" w:space="0" w:color="auto"/>
      </w:divBdr>
      <w:divsChild>
        <w:div w:id="383338319">
          <w:marLeft w:val="0"/>
          <w:marRight w:val="0"/>
          <w:marTop w:val="0"/>
          <w:marBottom w:val="0"/>
          <w:divBdr>
            <w:top w:val="none" w:sz="0" w:space="0" w:color="auto"/>
            <w:left w:val="none" w:sz="0" w:space="0" w:color="auto"/>
            <w:bottom w:val="none" w:sz="0" w:space="0" w:color="auto"/>
            <w:right w:val="none" w:sz="0" w:space="0" w:color="auto"/>
          </w:divBdr>
          <w:divsChild>
            <w:div w:id="38333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338320">
      <w:marLeft w:val="0"/>
      <w:marRight w:val="0"/>
      <w:marTop w:val="0"/>
      <w:marBottom w:val="0"/>
      <w:divBdr>
        <w:top w:val="none" w:sz="0" w:space="0" w:color="auto"/>
        <w:left w:val="none" w:sz="0" w:space="0" w:color="auto"/>
        <w:bottom w:val="none" w:sz="0" w:space="0" w:color="auto"/>
        <w:right w:val="none" w:sz="0" w:space="0" w:color="auto"/>
      </w:divBdr>
    </w:div>
    <w:div w:id="383338323">
      <w:marLeft w:val="0"/>
      <w:marRight w:val="0"/>
      <w:marTop w:val="0"/>
      <w:marBottom w:val="0"/>
      <w:divBdr>
        <w:top w:val="none" w:sz="0" w:space="0" w:color="auto"/>
        <w:left w:val="none" w:sz="0" w:space="0" w:color="auto"/>
        <w:bottom w:val="none" w:sz="0" w:space="0" w:color="auto"/>
        <w:right w:val="none" w:sz="0" w:space="0" w:color="auto"/>
      </w:divBdr>
    </w:div>
    <w:div w:id="383338325">
      <w:marLeft w:val="0"/>
      <w:marRight w:val="0"/>
      <w:marTop w:val="0"/>
      <w:marBottom w:val="0"/>
      <w:divBdr>
        <w:top w:val="none" w:sz="0" w:space="0" w:color="auto"/>
        <w:left w:val="none" w:sz="0" w:space="0" w:color="auto"/>
        <w:bottom w:val="none" w:sz="0" w:space="0" w:color="auto"/>
        <w:right w:val="none" w:sz="0" w:space="0" w:color="auto"/>
      </w:divBdr>
    </w:div>
    <w:div w:id="383338328">
      <w:marLeft w:val="0"/>
      <w:marRight w:val="0"/>
      <w:marTop w:val="0"/>
      <w:marBottom w:val="0"/>
      <w:divBdr>
        <w:top w:val="none" w:sz="0" w:space="0" w:color="auto"/>
        <w:left w:val="none" w:sz="0" w:space="0" w:color="auto"/>
        <w:bottom w:val="none" w:sz="0" w:space="0" w:color="auto"/>
        <w:right w:val="none" w:sz="0" w:space="0" w:color="auto"/>
      </w:divBdr>
      <w:divsChild>
        <w:div w:id="383338307">
          <w:marLeft w:val="0"/>
          <w:marRight w:val="0"/>
          <w:marTop w:val="0"/>
          <w:marBottom w:val="0"/>
          <w:divBdr>
            <w:top w:val="none" w:sz="0" w:space="0" w:color="auto"/>
            <w:left w:val="none" w:sz="0" w:space="0" w:color="auto"/>
            <w:bottom w:val="none" w:sz="0" w:space="0" w:color="auto"/>
            <w:right w:val="none" w:sz="0" w:space="0" w:color="auto"/>
          </w:divBdr>
          <w:divsChild>
            <w:div w:id="383338309">
              <w:marLeft w:val="0"/>
              <w:marRight w:val="0"/>
              <w:marTop w:val="0"/>
              <w:marBottom w:val="0"/>
              <w:divBdr>
                <w:top w:val="none" w:sz="0" w:space="0" w:color="auto"/>
                <w:left w:val="none" w:sz="0" w:space="0" w:color="auto"/>
                <w:bottom w:val="none" w:sz="0" w:space="0" w:color="auto"/>
                <w:right w:val="none" w:sz="0" w:space="0" w:color="auto"/>
              </w:divBdr>
              <w:divsChild>
                <w:div w:id="383338330">
                  <w:marLeft w:val="0"/>
                  <w:marRight w:val="0"/>
                  <w:marTop w:val="0"/>
                  <w:marBottom w:val="0"/>
                  <w:divBdr>
                    <w:top w:val="none" w:sz="0" w:space="0" w:color="auto"/>
                    <w:left w:val="none" w:sz="0" w:space="0" w:color="auto"/>
                    <w:bottom w:val="none" w:sz="0" w:space="0" w:color="auto"/>
                    <w:right w:val="none" w:sz="0" w:space="0" w:color="auto"/>
                  </w:divBdr>
                  <w:divsChild>
                    <w:div w:id="383338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10">
          <w:marLeft w:val="0"/>
          <w:marRight w:val="0"/>
          <w:marTop w:val="0"/>
          <w:marBottom w:val="0"/>
          <w:divBdr>
            <w:top w:val="none" w:sz="0" w:space="0" w:color="auto"/>
            <w:left w:val="none" w:sz="0" w:space="0" w:color="auto"/>
            <w:bottom w:val="none" w:sz="0" w:space="0" w:color="auto"/>
            <w:right w:val="none" w:sz="0" w:space="0" w:color="auto"/>
          </w:divBdr>
          <w:divsChild>
            <w:div w:id="383338306">
              <w:marLeft w:val="0"/>
              <w:marRight w:val="0"/>
              <w:marTop w:val="0"/>
              <w:marBottom w:val="0"/>
              <w:divBdr>
                <w:top w:val="none" w:sz="0" w:space="0" w:color="auto"/>
                <w:left w:val="none" w:sz="0" w:space="0" w:color="auto"/>
                <w:bottom w:val="none" w:sz="0" w:space="0" w:color="auto"/>
                <w:right w:val="none" w:sz="0" w:space="0" w:color="auto"/>
              </w:divBdr>
              <w:divsChild>
                <w:div w:id="383338305">
                  <w:marLeft w:val="0"/>
                  <w:marRight w:val="0"/>
                  <w:marTop w:val="0"/>
                  <w:marBottom w:val="0"/>
                  <w:divBdr>
                    <w:top w:val="none" w:sz="0" w:space="0" w:color="auto"/>
                    <w:left w:val="none" w:sz="0" w:space="0" w:color="auto"/>
                    <w:bottom w:val="none" w:sz="0" w:space="0" w:color="auto"/>
                    <w:right w:val="none" w:sz="0" w:space="0" w:color="auto"/>
                  </w:divBdr>
                  <w:divsChild>
                    <w:div w:id="383338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29">
      <w:marLeft w:val="0"/>
      <w:marRight w:val="0"/>
      <w:marTop w:val="0"/>
      <w:marBottom w:val="0"/>
      <w:divBdr>
        <w:top w:val="none" w:sz="0" w:space="0" w:color="auto"/>
        <w:left w:val="none" w:sz="0" w:space="0" w:color="auto"/>
        <w:bottom w:val="none" w:sz="0" w:space="0" w:color="auto"/>
        <w:right w:val="none" w:sz="0" w:space="0" w:color="auto"/>
      </w:divBdr>
    </w:div>
    <w:div w:id="441417465">
      <w:bodyDiv w:val="1"/>
      <w:marLeft w:val="0"/>
      <w:marRight w:val="0"/>
      <w:marTop w:val="0"/>
      <w:marBottom w:val="0"/>
      <w:divBdr>
        <w:top w:val="none" w:sz="0" w:space="0" w:color="auto"/>
        <w:left w:val="none" w:sz="0" w:space="0" w:color="auto"/>
        <w:bottom w:val="none" w:sz="0" w:space="0" w:color="auto"/>
        <w:right w:val="none" w:sz="0" w:space="0" w:color="auto"/>
      </w:divBdr>
    </w:div>
    <w:div w:id="446631540">
      <w:bodyDiv w:val="1"/>
      <w:marLeft w:val="0"/>
      <w:marRight w:val="0"/>
      <w:marTop w:val="0"/>
      <w:marBottom w:val="0"/>
      <w:divBdr>
        <w:top w:val="none" w:sz="0" w:space="0" w:color="auto"/>
        <w:left w:val="none" w:sz="0" w:space="0" w:color="auto"/>
        <w:bottom w:val="none" w:sz="0" w:space="0" w:color="auto"/>
        <w:right w:val="none" w:sz="0" w:space="0" w:color="auto"/>
      </w:divBdr>
    </w:div>
    <w:div w:id="478112213">
      <w:bodyDiv w:val="1"/>
      <w:marLeft w:val="0"/>
      <w:marRight w:val="0"/>
      <w:marTop w:val="0"/>
      <w:marBottom w:val="0"/>
      <w:divBdr>
        <w:top w:val="none" w:sz="0" w:space="0" w:color="auto"/>
        <w:left w:val="none" w:sz="0" w:space="0" w:color="auto"/>
        <w:bottom w:val="none" w:sz="0" w:space="0" w:color="auto"/>
        <w:right w:val="none" w:sz="0" w:space="0" w:color="auto"/>
      </w:divBdr>
      <w:divsChild>
        <w:div w:id="195509122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8635445">
      <w:bodyDiv w:val="1"/>
      <w:marLeft w:val="0"/>
      <w:marRight w:val="0"/>
      <w:marTop w:val="0"/>
      <w:marBottom w:val="0"/>
      <w:divBdr>
        <w:top w:val="none" w:sz="0" w:space="0" w:color="auto"/>
        <w:left w:val="none" w:sz="0" w:space="0" w:color="auto"/>
        <w:bottom w:val="none" w:sz="0" w:space="0" w:color="auto"/>
        <w:right w:val="none" w:sz="0" w:space="0" w:color="auto"/>
      </w:divBdr>
    </w:div>
    <w:div w:id="613829590">
      <w:bodyDiv w:val="1"/>
      <w:marLeft w:val="0"/>
      <w:marRight w:val="0"/>
      <w:marTop w:val="0"/>
      <w:marBottom w:val="0"/>
      <w:divBdr>
        <w:top w:val="none" w:sz="0" w:space="0" w:color="auto"/>
        <w:left w:val="none" w:sz="0" w:space="0" w:color="auto"/>
        <w:bottom w:val="none" w:sz="0" w:space="0" w:color="auto"/>
        <w:right w:val="none" w:sz="0" w:space="0" w:color="auto"/>
      </w:divBdr>
      <w:divsChild>
        <w:div w:id="90572353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34610915">
      <w:bodyDiv w:val="1"/>
      <w:marLeft w:val="0"/>
      <w:marRight w:val="0"/>
      <w:marTop w:val="0"/>
      <w:marBottom w:val="0"/>
      <w:divBdr>
        <w:top w:val="none" w:sz="0" w:space="0" w:color="auto"/>
        <w:left w:val="none" w:sz="0" w:space="0" w:color="auto"/>
        <w:bottom w:val="none" w:sz="0" w:space="0" w:color="auto"/>
        <w:right w:val="none" w:sz="0" w:space="0" w:color="auto"/>
      </w:divBdr>
    </w:div>
    <w:div w:id="864710911">
      <w:bodyDiv w:val="1"/>
      <w:marLeft w:val="0"/>
      <w:marRight w:val="0"/>
      <w:marTop w:val="0"/>
      <w:marBottom w:val="0"/>
      <w:divBdr>
        <w:top w:val="none" w:sz="0" w:space="0" w:color="auto"/>
        <w:left w:val="none" w:sz="0" w:space="0" w:color="auto"/>
        <w:bottom w:val="none" w:sz="0" w:space="0" w:color="auto"/>
        <w:right w:val="none" w:sz="0" w:space="0" w:color="auto"/>
      </w:divBdr>
      <w:divsChild>
        <w:div w:id="21351725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5047236">
      <w:bodyDiv w:val="1"/>
      <w:marLeft w:val="0"/>
      <w:marRight w:val="0"/>
      <w:marTop w:val="0"/>
      <w:marBottom w:val="0"/>
      <w:divBdr>
        <w:top w:val="none" w:sz="0" w:space="0" w:color="auto"/>
        <w:left w:val="none" w:sz="0" w:space="0" w:color="auto"/>
        <w:bottom w:val="none" w:sz="0" w:space="0" w:color="auto"/>
        <w:right w:val="none" w:sz="0" w:space="0" w:color="auto"/>
      </w:divBdr>
      <w:divsChild>
        <w:div w:id="196997198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92376231">
      <w:bodyDiv w:val="1"/>
      <w:marLeft w:val="0"/>
      <w:marRight w:val="0"/>
      <w:marTop w:val="0"/>
      <w:marBottom w:val="0"/>
      <w:divBdr>
        <w:top w:val="none" w:sz="0" w:space="0" w:color="auto"/>
        <w:left w:val="none" w:sz="0" w:space="0" w:color="auto"/>
        <w:bottom w:val="none" w:sz="0" w:space="0" w:color="auto"/>
        <w:right w:val="none" w:sz="0" w:space="0" w:color="auto"/>
      </w:divBdr>
      <w:divsChild>
        <w:div w:id="167707885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39519754">
      <w:bodyDiv w:val="1"/>
      <w:marLeft w:val="0"/>
      <w:marRight w:val="0"/>
      <w:marTop w:val="0"/>
      <w:marBottom w:val="0"/>
      <w:divBdr>
        <w:top w:val="none" w:sz="0" w:space="0" w:color="auto"/>
        <w:left w:val="none" w:sz="0" w:space="0" w:color="auto"/>
        <w:bottom w:val="none" w:sz="0" w:space="0" w:color="auto"/>
        <w:right w:val="none" w:sz="0" w:space="0" w:color="auto"/>
      </w:divBdr>
    </w:div>
    <w:div w:id="1910921418">
      <w:bodyDiv w:val="1"/>
      <w:marLeft w:val="0"/>
      <w:marRight w:val="0"/>
      <w:marTop w:val="0"/>
      <w:marBottom w:val="0"/>
      <w:divBdr>
        <w:top w:val="none" w:sz="0" w:space="0" w:color="auto"/>
        <w:left w:val="none" w:sz="0" w:space="0" w:color="auto"/>
        <w:bottom w:val="none" w:sz="0" w:space="0" w:color="auto"/>
        <w:right w:val="none" w:sz="0" w:space="0" w:color="auto"/>
      </w:divBdr>
    </w:div>
    <w:div w:id="1947231478">
      <w:bodyDiv w:val="1"/>
      <w:marLeft w:val="0"/>
      <w:marRight w:val="0"/>
      <w:marTop w:val="0"/>
      <w:marBottom w:val="0"/>
      <w:divBdr>
        <w:top w:val="none" w:sz="0" w:space="0" w:color="auto"/>
        <w:left w:val="none" w:sz="0" w:space="0" w:color="auto"/>
        <w:bottom w:val="none" w:sz="0" w:space="0" w:color="auto"/>
        <w:right w:val="none" w:sz="0" w:space="0" w:color="auto"/>
      </w:divBdr>
    </w:div>
    <w:div w:id="2019770919">
      <w:bodyDiv w:val="1"/>
      <w:marLeft w:val="0"/>
      <w:marRight w:val="0"/>
      <w:marTop w:val="0"/>
      <w:marBottom w:val="0"/>
      <w:divBdr>
        <w:top w:val="none" w:sz="0" w:space="0" w:color="auto"/>
        <w:left w:val="none" w:sz="0" w:space="0" w:color="auto"/>
        <w:bottom w:val="none" w:sz="0" w:space="0" w:color="auto"/>
        <w:right w:val="none" w:sz="0" w:space="0" w:color="auto"/>
      </w:divBdr>
    </w:div>
    <w:div w:id="2057117252">
      <w:bodyDiv w:val="1"/>
      <w:marLeft w:val="0"/>
      <w:marRight w:val="0"/>
      <w:marTop w:val="0"/>
      <w:marBottom w:val="0"/>
      <w:divBdr>
        <w:top w:val="none" w:sz="0" w:space="0" w:color="auto"/>
        <w:left w:val="none" w:sz="0" w:space="0" w:color="auto"/>
        <w:bottom w:val="none" w:sz="0" w:space="0" w:color="auto"/>
        <w:right w:val="none" w:sz="0" w:space="0" w:color="auto"/>
      </w:divBdr>
    </w:div>
    <w:div w:id="2105954149">
      <w:bodyDiv w:val="1"/>
      <w:marLeft w:val="0"/>
      <w:marRight w:val="0"/>
      <w:marTop w:val="0"/>
      <w:marBottom w:val="0"/>
      <w:divBdr>
        <w:top w:val="none" w:sz="0" w:space="0" w:color="auto"/>
        <w:left w:val="none" w:sz="0" w:space="0" w:color="auto"/>
        <w:bottom w:val="none" w:sz="0" w:space="0" w:color="auto"/>
        <w:right w:val="none" w:sz="0" w:space="0" w:color="auto"/>
      </w:divBdr>
    </w:div>
    <w:div w:id="2122991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4.pn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mut122@ums.ac.id" TargetMode="External"/><Relationship Id="rId17" Type="http://schemas.microsoft.com/office/2007/relationships/hdphoto" Target="media/hdphoto2.wdp"/><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sm190@ums.ac.id" TargetMode="External"/><Relationship Id="rId24" Type="http://schemas.openxmlformats.org/officeDocument/2006/relationships/image" Target="media/image9.png"/><Relationship Id="rId32" Type="http://schemas.openxmlformats.org/officeDocument/2006/relationships/footer" Target="footer3.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image" Target="media/image8.png"/><Relationship Id="rId28" Type="http://schemas.openxmlformats.org/officeDocument/2006/relationships/header" Target="header2.xml"/><Relationship Id="rId10" Type="http://schemas.openxmlformats.org/officeDocument/2006/relationships/hyperlink" Target="mailto:an140@ums.ac.id" TargetMode="External"/><Relationship Id="rId19" Type="http://schemas.microsoft.com/office/2007/relationships/hdphoto" Target="media/hdphoto3.wdp"/><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mailto:mut122@ums.ac.id" TargetMode="External"/><Relationship Id="rId14" Type="http://schemas.openxmlformats.org/officeDocument/2006/relationships/image" Target="media/image2.png"/><Relationship Id="rId22" Type="http://schemas.openxmlformats.org/officeDocument/2006/relationships/image" Target="media/image7.pn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hyperlink" Target="mailto:O200249004@student.ums.ac.id"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93AD3C-0A42-4AD3-917C-17024F5418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3306</TotalTime>
  <Pages>25</Pages>
  <Words>25237</Words>
  <Characters>143856</Characters>
  <Application>Microsoft Office Word</Application>
  <DocSecurity>0</DocSecurity>
  <Lines>1198</Lines>
  <Paragraphs>337</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168756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mariam elbanna</cp:lastModifiedBy>
  <cp:revision>46</cp:revision>
  <cp:lastPrinted>2008-11-01T04:52:00Z</cp:lastPrinted>
  <dcterms:created xsi:type="dcterms:W3CDTF">2025-04-26T02:59:00Z</dcterms:created>
  <dcterms:modified xsi:type="dcterms:W3CDTF">2025-06-23T11:39:00Z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http://www.zotero.org/styles/chicago-fullnote-bibliography</vt:lpwstr>
  </property>
  <property fmtid="{D5CDD505-2E9C-101B-9397-08002B2CF9AE}" pid="11" name="Mendeley Recent Style Name 4_1">
    <vt:lpwstr>Chicago Manual of Style 17th edition (full note)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4th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http://www.zotero.org/styles/apa</vt:lpwstr>
  </property>
  <property fmtid="{D5CDD505-2E9C-101B-9397-08002B2CF9AE}" pid="23" name="Mendeley Document_1">
    <vt:lpwstr>True</vt:lpwstr>
  </property>
  <property fmtid="{D5CDD505-2E9C-101B-9397-08002B2CF9AE}" pid="24" name="Mendeley Unique User Id_1">
    <vt:lpwstr>0ecf22fc-d155-3095-b975-1e9648574976</vt:lpwstr>
  </property>
</Properties>
</file>