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DE1E48" w:rsidRPr="00122F5F" w:rsidRDefault="00DE1E48" w:rsidP="00122F5F">
      <w:pPr>
        <w:rPr>
          <w:rFonts w:ascii="Calibri Light" w:hAnsi="Calibri Light" w:cs="Calibri Light"/>
          <w:b/>
          <w:bCs/>
          <w:sz w:val="24"/>
          <w:szCs w:val="24"/>
        </w:rPr>
      </w:pPr>
    </w:p>
    <w:p w:rsidR="00DE1E48" w:rsidRPr="00122F5F" w:rsidRDefault="00BB0092" w:rsidP="00122F5F">
      <w:pPr>
        <w:rPr>
          <w:rFonts w:ascii="Calibri Light" w:hAnsi="Calibri Light" w:cs="Calibri Light"/>
          <w:b/>
          <w:bCs/>
          <w:iCs/>
          <w:sz w:val="28"/>
          <w:szCs w:val="28"/>
          <w:lang w:val="id-ID"/>
        </w:rPr>
      </w:pPr>
      <w:r w:rsidRPr="00BB0092">
        <w:rPr>
          <w:rFonts w:ascii="Calibri Light" w:hAnsi="Calibri Light" w:cs="Calibri Light"/>
          <w:b/>
          <w:bCs/>
          <w:sz w:val="28"/>
          <w:szCs w:val="28"/>
        </w:rPr>
        <w:t>Basel Accords and Islamic Banking Regulation: A Bibliometric Analysis of Sharia, Governance, and Capital Adequacy</w:t>
      </w:r>
    </w:p>
    <w:p w:rsidR="00DE1E48" w:rsidRPr="00122F5F" w:rsidRDefault="00DE1E48" w:rsidP="001D7DEE">
      <w:pPr>
        <w:jc w:val="center"/>
        <w:rPr>
          <w:rFonts w:ascii="Calibri Light" w:hAnsi="Calibri Light" w:cs="Calibri Light"/>
          <w:sz w:val="24"/>
          <w:szCs w:val="24"/>
        </w:rPr>
      </w:pPr>
    </w:p>
    <w:p w:rsidR="008C45DE" w:rsidRPr="00540F02" w:rsidRDefault="003D19A0" w:rsidP="00122F5F">
      <w:pPr>
        <w:rPr>
          <w:rFonts w:ascii="Calibri Light" w:hAnsi="Calibri Light" w:cs="Calibri Light"/>
          <w:color w:val="A6A6A6"/>
          <w:sz w:val="24"/>
          <w:szCs w:val="24"/>
        </w:rPr>
      </w:pPr>
      <w:r w:rsidRPr="003D19A0">
        <w:rPr>
          <w:rFonts w:ascii="Calibri Light" w:hAnsi="Calibri Light" w:cs="Calibri Light"/>
          <w:b/>
          <w:bCs/>
          <w:sz w:val="24"/>
          <w:szCs w:val="24"/>
        </w:rPr>
        <w:t>Mariam Elbanna</w:t>
      </w:r>
      <w:r w:rsidR="00863A78" w:rsidRPr="00122F5F">
        <w:rPr>
          <w:rFonts w:ascii="Calibri Light" w:hAnsi="Calibri Light" w:cs="Calibri Light"/>
          <w:b/>
          <w:bCs/>
          <w:sz w:val="24"/>
          <w:szCs w:val="24"/>
          <w:lang w:val="id-ID"/>
        </w:rPr>
        <w:t>*</w:t>
      </w:r>
      <w:r w:rsidR="008C45DE" w:rsidRPr="00122F5F">
        <w:rPr>
          <w:rFonts w:ascii="Calibri Light" w:hAnsi="Calibri Light" w:cs="Calibri Light"/>
          <w:b/>
          <w:bCs/>
          <w:sz w:val="24"/>
          <w:szCs w:val="24"/>
          <w:vertAlign w:val="superscript"/>
        </w:rPr>
        <w:t>1</w:t>
      </w:r>
      <w:r w:rsidR="008C45DE" w:rsidRPr="00122F5F">
        <w:rPr>
          <w:rFonts w:ascii="Calibri Light" w:hAnsi="Calibri Light" w:cs="Calibri Light"/>
          <w:b/>
          <w:bCs/>
          <w:sz w:val="24"/>
          <w:szCs w:val="24"/>
        </w:rPr>
        <w:t xml:space="preserve">, </w:t>
      </w:r>
      <w:r w:rsidRPr="003D19A0">
        <w:rPr>
          <w:rFonts w:ascii="Calibri Light" w:hAnsi="Calibri Light" w:cs="Calibri Light"/>
          <w:b/>
          <w:bCs/>
          <w:sz w:val="24"/>
          <w:szCs w:val="24"/>
        </w:rPr>
        <w:t>Muthoifin</w:t>
      </w:r>
      <w:r w:rsidR="008C45DE" w:rsidRPr="00122F5F">
        <w:rPr>
          <w:rFonts w:ascii="Calibri Light" w:hAnsi="Calibri Light" w:cs="Calibri Light"/>
          <w:b/>
          <w:bCs/>
          <w:sz w:val="24"/>
          <w:szCs w:val="24"/>
          <w:vertAlign w:val="superscript"/>
        </w:rPr>
        <w:t>2</w:t>
      </w:r>
      <w:r>
        <w:rPr>
          <w:rFonts w:ascii="Calibri Light" w:hAnsi="Calibri Light" w:cs="Calibri Light"/>
          <w:b/>
          <w:bCs/>
          <w:sz w:val="24"/>
          <w:szCs w:val="24"/>
        </w:rPr>
        <w:t xml:space="preserve">, </w:t>
      </w:r>
      <w:r w:rsidRPr="003D19A0">
        <w:rPr>
          <w:rFonts w:ascii="Calibri Light" w:hAnsi="Calibri Light" w:cs="Calibri Light"/>
          <w:b/>
          <w:bCs/>
          <w:sz w:val="24"/>
          <w:szCs w:val="24"/>
        </w:rPr>
        <w:t>Andri Nirwana</w:t>
      </w:r>
      <w:r w:rsidRPr="003D19A0">
        <w:rPr>
          <w:rFonts w:ascii="Calibri Light" w:hAnsi="Calibri Light" w:cs="Calibri Light"/>
          <w:b/>
          <w:bCs/>
          <w:sz w:val="24"/>
          <w:szCs w:val="24"/>
          <w:vertAlign w:val="superscript"/>
        </w:rPr>
        <w:t>3</w:t>
      </w:r>
      <w:r>
        <w:rPr>
          <w:rFonts w:ascii="Calibri Light" w:hAnsi="Calibri Light" w:cs="Calibri Light"/>
          <w:b/>
          <w:bCs/>
          <w:sz w:val="24"/>
          <w:szCs w:val="24"/>
        </w:rPr>
        <w:t xml:space="preserve">, </w:t>
      </w:r>
      <w:r w:rsidRPr="003D19A0">
        <w:rPr>
          <w:rFonts w:ascii="Calibri Light" w:hAnsi="Calibri Light" w:cs="Calibri Light"/>
          <w:b/>
          <w:bCs/>
          <w:sz w:val="24"/>
          <w:szCs w:val="24"/>
        </w:rPr>
        <w:t>Isman</w:t>
      </w:r>
      <w:r w:rsidRPr="003D19A0">
        <w:rPr>
          <w:rFonts w:ascii="Calibri Light" w:hAnsi="Calibri Light" w:cs="Calibri Light"/>
          <w:b/>
          <w:bCs/>
          <w:sz w:val="24"/>
          <w:szCs w:val="24"/>
          <w:vertAlign w:val="superscript"/>
        </w:rPr>
        <w:t>4</w:t>
      </w:r>
    </w:p>
    <w:p w:rsidR="008C45DE" w:rsidRPr="00122F5F" w:rsidRDefault="008C45DE" w:rsidP="00122F5F">
      <w:pPr>
        <w:rPr>
          <w:rFonts w:ascii="Calibri Light" w:hAnsi="Calibri Light" w:cs="Calibri Light"/>
          <w:color w:val="FF0000"/>
          <w:sz w:val="24"/>
          <w:szCs w:val="24"/>
        </w:rPr>
      </w:pPr>
      <w:r w:rsidRPr="00122F5F">
        <w:rPr>
          <w:rFonts w:ascii="Calibri Light" w:hAnsi="Calibri Light" w:cs="Calibri Light"/>
          <w:sz w:val="24"/>
          <w:szCs w:val="24"/>
          <w:vertAlign w:val="superscript"/>
        </w:rPr>
        <w:t>1</w:t>
      </w:r>
      <w:r w:rsidR="005E5EF8">
        <w:rPr>
          <w:rFonts w:ascii="Calibri Light" w:hAnsi="Calibri Light" w:cs="Calibri Light"/>
          <w:sz w:val="24"/>
          <w:szCs w:val="24"/>
          <w:vertAlign w:val="superscript"/>
        </w:rPr>
        <w:t>,2,3,4</w:t>
      </w:r>
      <w:r w:rsidR="00614FF0" w:rsidRPr="00614FF0">
        <w:rPr>
          <w:rFonts w:ascii="Calibri Light" w:hAnsi="Calibri Light" w:cs="Calibri Light"/>
          <w:sz w:val="24"/>
          <w:szCs w:val="24"/>
        </w:rPr>
        <w:t>Universitas Muhammadiyah Surakarta, Jl. A. Yani, Mendungan, Sukoharjo, Central Java, Indonesia</w:t>
      </w:r>
    </w:p>
    <w:p w:rsidR="009E4EBA" w:rsidRPr="009246B2" w:rsidRDefault="009E4EBA" w:rsidP="00122F5F">
      <w:pPr>
        <w:rPr>
          <w:rFonts w:ascii="Calibri Light" w:hAnsi="Calibri Light" w:cs="Calibri Light"/>
          <w:sz w:val="24"/>
          <w:szCs w:val="24"/>
          <w:lang w:val="id-ID"/>
        </w:rPr>
      </w:pPr>
      <w:r w:rsidRPr="009246B2">
        <w:rPr>
          <w:rFonts w:ascii="Calibri Light" w:hAnsi="Calibri Light" w:cs="Calibri Light"/>
          <w:sz w:val="24"/>
          <w:szCs w:val="24"/>
          <w:lang w:val="id-ID"/>
        </w:rPr>
        <w:t>*</w:t>
      </w:r>
      <w:r w:rsidR="009246B2" w:rsidRPr="009246B2">
        <w:rPr>
          <w:rFonts w:ascii="Calibri Light" w:hAnsi="Calibri Light" w:cs="Calibri Light"/>
          <w:sz w:val="24"/>
          <w:szCs w:val="24"/>
          <w:lang w:val="id-ID"/>
        </w:rPr>
        <w:t>mut122@ums.ac.id</w:t>
      </w:r>
    </w:p>
    <w:p w:rsidR="00DE1E48" w:rsidRPr="00122F5F" w:rsidRDefault="00DE1E48" w:rsidP="001D7DEE">
      <w:pPr>
        <w:jc w:val="center"/>
        <w:rPr>
          <w:rFonts w:ascii="Calibri Light" w:hAnsi="Calibri Light" w:cs="Calibri Light"/>
          <w:sz w:val="24"/>
          <w:szCs w:val="24"/>
        </w:rPr>
      </w:pPr>
    </w:p>
    <w:p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Received: 2021-October-15</w:t>
      </w:r>
      <w:r w:rsidRPr="00863A78">
        <w:rPr>
          <w:rFonts w:ascii="Calibri Light" w:hAnsi="Calibri Light" w:cs="Calibri Light"/>
          <w:spacing w:val="1"/>
        </w:rPr>
        <w:t xml:space="preserve"> </w:t>
      </w:r>
      <w:r w:rsidRPr="00863A78">
        <w:rPr>
          <w:rFonts w:ascii="Calibri Light" w:hAnsi="Calibri Light" w:cs="Calibri Light"/>
          <w:color w:val="A6A6A6"/>
        </w:rPr>
        <w:t>(10-Calibri Light)</w:t>
      </w:r>
    </w:p>
    <w:p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Rev. Req:</w:t>
      </w:r>
      <w:r w:rsidRPr="00863A78">
        <w:rPr>
          <w:rFonts w:ascii="Calibri Light" w:hAnsi="Calibri Light" w:cs="Calibri Light"/>
          <w:spacing w:val="1"/>
        </w:rPr>
        <w:t xml:space="preserve"> </w:t>
      </w:r>
      <w:r w:rsidRPr="00863A78">
        <w:rPr>
          <w:rFonts w:ascii="Calibri Light" w:hAnsi="Calibri Light" w:cs="Calibri Light"/>
        </w:rPr>
        <w:t>2022-January-09</w:t>
      </w:r>
      <w:r w:rsidRPr="00863A78">
        <w:rPr>
          <w:rFonts w:ascii="Calibri Light" w:hAnsi="Calibri Light" w:cs="Calibri Light"/>
          <w:spacing w:val="1"/>
        </w:rPr>
        <w:t xml:space="preserve"> </w:t>
      </w:r>
    </w:p>
    <w:p w:rsidR="00863A78" w:rsidRPr="00863A78" w:rsidRDefault="00863A78" w:rsidP="00863A78">
      <w:pPr>
        <w:ind w:right="737"/>
        <w:rPr>
          <w:rFonts w:ascii="Calibri Light" w:hAnsi="Calibri Light" w:cs="Calibri Light"/>
        </w:rPr>
      </w:pPr>
      <w:r w:rsidRPr="00863A78">
        <w:rPr>
          <w:rFonts w:ascii="Calibri Light" w:hAnsi="Calibri Light" w:cs="Calibri Light"/>
        </w:rPr>
        <w:t>Accepted:</w:t>
      </w:r>
      <w:r w:rsidRPr="00863A78">
        <w:rPr>
          <w:rFonts w:ascii="Calibri Light" w:hAnsi="Calibri Light" w:cs="Calibri Light"/>
          <w:spacing w:val="32"/>
        </w:rPr>
        <w:t xml:space="preserve"> </w:t>
      </w:r>
      <w:r w:rsidRPr="00863A78">
        <w:rPr>
          <w:rFonts w:ascii="Calibri Light" w:hAnsi="Calibri Light" w:cs="Calibri Light"/>
        </w:rPr>
        <w:t>202</w:t>
      </w:r>
      <w:r w:rsidR="0093594B">
        <w:rPr>
          <w:rFonts w:ascii="Calibri Light" w:hAnsi="Calibri Light" w:cs="Calibri Light"/>
        </w:rPr>
        <w:t>5</w:t>
      </w:r>
      <w:r w:rsidRPr="00863A78">
        <w:rPr>
          <w:rFonts w:ascii="Calibri Light" w:hAnsi="Calibri Light" w:cs="Calibri Light"/>
        </w:rPr>
        <w:t>-J</w:t>
      </w:r>
      <w:r w:rsidR="0093594B">
        <w:rPr>
          <w:rFonts w:ascii="Calibri Light" w:hAnsi="Calibri Light" w:cs="Calibri Light"/>
        </w:rPr>
        <w:t>uly</w:t>
      </w:r>
      <w:r w:rsidRPr="00863A78">
        <w:rPr>
          <w:rFonts w:ascii="Calibri Light" w:hAnsi="Calibri Light" w:cs="Calibri Light"/>
        </w:rPr>
        <w:t>-</w:t>
      </w:r>
      <w:r w:rsidR="0093594B">
        <w:rPr>
          <w:rFonts w:ascii="Calibri Light" w:hAnsi="Calibri Light" w:cs="Calibri Light"/>
        </w:rPr>
        <w:t>11</w:t>
      </w:r>
    </w:p>
    <w:p w:rsidR="00863A78" w:rsidRPr="00863A78" w:rsidRDefault="00863A78" w:rsidP="00863A78">
      <w:pPr>
        <w:ind w:right="737"/>
        <w:rPr>
          <w:rFonts w:ascii="Calibri Light" w:hAnsi="Calibri Light" w:cs="Calibri Light"/>
          <w:b/>
          <w:bCs/>
        </w:rPr>
      </w:pPr>
    </w:p>
    <w:p w:rsidR="00863A78" w:rsidRPr="00863A78" w:rsidRDefault="00F20642" w:rsidP="00863A78">
      <w:pPr>
        <w:ind w:right="737"/>
        <w:rPr>
          <w:rFonts w:ascii="Calibri Light" w:hAnsi="Calibri Light" w:cs="Calibri Light"/>
          <w:b/>
          <w:bCs/>
        </w:rPr>
      </w:pPr>
      <w:r>
        <w:rPr>
          <w:rFonts w:ascii="Calibri Light" w:hAnsi="Calibri Light" w:cs="Calibri Light"/>
          <w:noProof/>
          <w:position w:val="-13"/>
          <w:lang w:val="id-ID" w:eastAsia="id-ID"/>
        </w:rPr>
        <w:drawing>
          <wp:inline distT="0" distB="0" distL="0" distR="0">
            <wp:extent cx="259080" cy="259080"/>
            <wp:effectExtent l="0" t="0" r="7620" b="7620"/>
            <wp:docPr id="17" name="image2.jpeg" descr="E:\DERGILER\ortak-kaynaklar-gorseller\Doi-1024x629 - K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descr="E:\DERGILER\ortak-kaynaklar-gorseller\Doi-1024x629 - Kopya.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9080" cy="259080"/>
                    </a:xfrm>
                    <a:prstGeom prst="rect">
                      <a:avLst/>
                    </a:prstGeom>
                    <a:noFill/>
                    <a:ln>
                      <a:noFill/>
                    </a:ln>
                  </pic:spPr>
                </pic:pic>
              </a:graphicData>
            </a:graphic>
          </wp:inline>
        </w:drawing>
      </w:r>
      <w:r w:rsidR="00863A78" w:rsidRPr="00863A78">
        <w:rPr>
          <w:rFonts w:ascii="Calibri Light" w:hAnsi="Calibri Light" w:cs="Calibri Light"/>
          <w:noProof/>
          <w:position w:val="-13"/>
        </w:rPr>
        <w:t xml:space="preserve"> </w:t>
      </w:r>
      <w:r w:rsidR="00863A78" w:rsidRPr="00863A78">
        <w:rPr>
          <w:rFonts w:ascii="Calibri Light" w:hAnsi="Calibri Light" w:cs="Calibri Light"/>
        </w:rPr>
        <w:t>10.5758/ijls.2022.1</w:t>
      </w:r>
      <w:r w:rsidR="00863A78">
        <w:rPr>
          <w:rFonts w:ascii="Calibri Light" w:hAnsi="Calibri Light" w:cs="Calibri Light"/>
        </w:rPr>
        <w:t xml:space="preserve"> </w:t>
      </w:r>
    </w:p>
    <w:p w:rsidR="00863A78" w:rsidRDefault="00863A78" w:rsidP="00863A78">
      <w:pPr>
        <w:ind w:right="737"/>
        <w:rPr>
          <w:rFonts w:ascii="Calibri Light" w:hAnsi="Calibri Light" w:cs="Calibri Light"/>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04"/>
      </w:tblGrid>
      <w:tr w:rsidR="00863A78" w:rsidRPr="00540F02" w:rsidTr="00540F02">
        <w:tc>
          <w:tcPr>
            <w:tcW w:w="9004" w:type="dxa"/>
            <w:tcBorders>
              <w:left w:val="nil"/>
              <w:right w:val="nil"/>
            </w:tcBorders>
          </w:tcPr>
          <w:p w:rsidR="00863A78" w:rsidRPr="00540F02" w:rsidRDefault="00863A78" w:rsidP="00540F02">
            <w:pPr>
              <w:ind w:right="2"/>
              <w:jc w:val="both"/>
              <w:rPr>
                <w:rFonts w:ascii="Calibri Light" w:hAnsi="Calibri Light" w:cs="Calibri Light"/>
                <w:sz w:val="12"/>
                <w:szCs w:val="12"/>
              </w:rPr>
            </w:pPr>
          </w:p>
          <w:p w:rsidR="00863A78" w:rsidRPr="00540F02" w:rsidRDefault="00863A78" w:rsidP="00540F02">
            <w:pPr>
              <w:ind w:right="2"/>
              <w:jc w:val="both"/>
              <w:rPr>
                <w:rFonts w:ascii="Calibri Light" w:hAnsi="Calibri Light" w:cs="Calibri Light"/>
                <w:color w:val="0462C1"/>
                <w:u w:val="single" w:color="0462C1"/>
              </w:rPr>
            </w:pPr>
            <w:r w:rsidRPr="00540F02">
              <w:rPr>
                <w:rFonts w:ascii="Calibri Light" w:hAnsi="Calibri Light" w:cs="Calibri Light"/>
              </w:rPr>
              <w:t xml:space="preserve">How to cite this paper: </w:t>
            </w:r>
            <w:r w:rsidR="00295D91" w:rsidRPr="00295D91">
              <w:rPr>
                <w:rFonts w:ascii="Calibri Light" w:hAnsi="Calibri Light" w:cs="Calibri Light"/>
              </w:rPr>
              <w:t>Elbanna, M., Muthoifin, Nirwana, A. &amp; Isman</w:t>
            </w:r>
            <w:r w:rsidRPr="00540F02">
              <w:rPr>
                <w:rFonts w:ascii="Calibri Light" w:hAnsi="Calibri Light" w:cs="Calibri Light"/>
              </w:rPr>
              <w:t xml:space="preserve"> (202</w:t>
            </w:r>
            <w:r w:rsidR="00295D91">
              <w:rPr>
                <w:rFonts w:ascii="Calibri Light" w:hAnsi="Calibri Light" w:cs="Calibri Light"/>
              </w:rPr>
              <w:t>5</w:t>
            </w:r>
            <w:r w:rsidRPr="00540F02">
              <w:rPr>
                <w:rFonts w:ascii="Calibri Light" w:hAnsi="Calibri Light" w:cs="Calibri Light"/>
              </w:rPr>
              <w:t xml:space="preserve">). </w:t>
            </w:r>
            <w:r w:rsidR="002B5183" w:rsidRPr="002B5183">
              <w:rPr>
                <w:rFonts w:ascii="Calibri Light" w:hAnsi="Calibri Light" w:cs="Calibri Light"/>
              </w:rPr>
              <w:t>Basel Accords and Islamic Banking Regulation: A Bibliometric Analysis of Sharia, Governance, and Capital Adequacy</w:t>
            </w:r>
            <w:r w:rsidRPr="00540F02">
              <w:rPr>
                <w:rFonts w:ascii="Calibri Light" w:hAnsi="Calibri Light" w:cs="Calibri Light"/>
              </w:rPr>
              <w:t>.</w:t>
            </w:r>
            <w:r w:rsidRPr="00540F02">
              <w:rPr>
                <w:rFonts w:ascii="Calibri Light" w:hAnsi="Calibri Light" w:cs="Calibri Light"/>
                <w:spacing w:val="1"/>
              </w:rPr>
              <w:t xml:space="preserve"> </w:t>
            </w:r>
            <w:r w:rsidR="002B5183" w:rsidRPr="002B5183">
              <w:rPr>
                <w:rFonts w:ascii="Calibri Light" w:hAnsi="Calibri Light" w:cs="Calibri Light"/>
                <w:i/>
              </w:rPr>
              <w:t>International Journal of Law and Society (IJLS)</w:t>
            </w:r>
            <w:r w:rsidRPr="00540F02">
              <w:rPr>
                <w:rFonts w:ascii="Calibri Light" w:hAnsi="Calibri Light" w:cs="Calibri Light"/>
              </w:rPr>
              <w:t xml:space="preserve">, </w:t>
            </w:r>
            <w:r w:rsidRPr="00540F02">
              <w:rPr>
                <w:rFonts w:ascii="Calibri Light" w:hAnsi="Calibri Light" w:cs="Calibri Light"/>
                <w:i/>
              </w:rPr>
              <w:t>4</w:t>
            </w:r>
            <w:r w:rsidRPr="00540F02">
              <w:rPr>
                <w:rFonts w:ascii="Calibri Light" w:hAnsi="Calibri Light" w:cs="Calibri Light"/>
              </w:rPr>
              <w:t>(2), 1</w:t>
            </w:r>
            <w:r w:rsidR="00D51C12">
              <w:rPr>
                <w:rFonts w:ascii="Calibri Light" w:hAnsi="Calibri Light" w:cs="Calibri Light"/>
              </w:rPr>
              <w:t>80</w:t>
            </w:r>
            <w:r w:rsidRPr="00540F02">
              <w:rPr>
                <w:rFonts w:ascii="Calibri Light" w:hAnsi="Calibri Light" w:cs="Calibri Light"/>
              </w:rPr>
              <w:t>-2</w:t>
            </w:r>
            <w:r w:rsidR="00B04698">
              <w:rPr>
                <w:rFonts w:ascii="Calibri Light" w:hAnsi="Calibri Light" w:cs="Calibri Light"/>
              </w:rPr>
              <w:t>01</w:t>
            </w:r>
            <w:r w:rsidRPr="00540F02">
              <w:rPr>
                <w:rFonts w:ascii="Calibri Light" w:hAnsi="Calibri Light" w:cs="Calibri Light"/>
              </w:rPr>
              <w:t>.</w:t>
            </w:r>
            <w:r w:rsidRPr="00540F02">
              <w:rPr>
                <w:rFonts w:ascii="Calibri Light" w:hAnsi="Calibri Light" w:cs="Calibri Light"/>
                <w:spacing w:val="1"/>
              </w:rPr>
              <w:t xml:space="preserve"> </w:t>
            </w:r>
            <w:hyperlink r:id="rId9" w:history="1">
              <w:r w:rsidRPr="00540F02">
                <w:rPr>
                  <w:rStyle w:val="Hyperlink"/>
                  <w:rFonts w:ascii="Calibri Light" w:hAnsi="Calibri Light" w:cs="Calibri Light"/>
                </w:rPr>
                <w:t>https://doi.org/10.5758/ijls.2022.1</w:t>
              </w:r>
            </w:hyperlink>
          </w:p>
          <w:p w:rsidR="00863A78" w:rsidRPr="00540F02" w:rsidRDefault="00863A78" w:rsidP="00540F02">
            <w:pPr>
              <w:ind w:right="2"/>
              <w:jc w:val="both"/>
              <w:rPr>
                <w:rFonts w:ascii="Calibri Light" w:hAnsi="Calibri Light" w:cs="Calibri Light"/>
                <w:color w:val="0462C1"/>
                <w:u w:val="single" w:color="0462C1"/>
              </w:rPr>
            </w:pPr>
          </w:p>
          <w:p w:rsidR="00863A78" w:rsidRPr="00540F02" w:rsidRDefault="00863A78" w:rsidP="00540F02">
            <w:pPr>
              <w:ind w:right="2"/>
              <w:jc w:val="both"/>
              <w:rPr>
                <w:rFonts w:ascii="Calibri Light" w:hAnsi="Calibri Light" w:cs="Calibri Light"/>
              </w:rPr>
            </w:pPr>
            <w:r w:rsidRPr="00540F02">
              <w:rPr>
                <w:rFonts w:ascii="Calibri Light" w:hAnsi="Calibri Light" w:cs="Calibri Light"/>
              </w:rPr>
              <w:t>This is an Open Access article distributed under the terms of the Creative Commons Attribution 4.0 International license</w:t>
            </w:r>
            <w:r w:rsidRPr="00540F02">
              <w:rPr>
                <w:rFonts w:ascii="Calibri Light" w:hAnsi="Calibri Light" w:cs="Calibri Light"/>
                <w:spacing w:val="-34"/>
              </w:rPr>
              <w:t xml:space="preserve"> </w:t>
            </w:r>
            <w:hyperlink r:id="rId10">
              <w:r w:rsidRPr="00540F02">
                <w:rPr>
                  <w:rFonts w:ascii="Calibri Light" w:hAnsi="Calibri Light" w:cs="Calibri Light"/>
                </w:rPr>
                <w:t>(</w:t>
              </w:r>
              <w:r w:rsidRPr="00540F02">
                <w:rPr>
                  <w:rFonts w:ascii="Calibri Light" w:hAnsi="Calibri Light" w:cs="Calibri Light"/>
                  <w:color w:val="0462C1"/>
                  <w:u w:val="single" w:color="0462C1"/>
                </w:rPr>
                <w:t>https://creativecommons.org/licenses/by/4.0/</w:t>
              </w:r>
              <w:r w:rsidRPr="00540F02">
                <w:rPr>
                  <w:rFonts w:ascii="Calibri Light" w:hAnsi="Calibri Light" w:cs="Calibri Light"/>
                </w:rPr>
                <w:t>)</w:t>
              </w:r>
            </w:hyperlink>
          </w:p>
          <w:p w:rsidR="00863A78" w:rsidRPr="00540F02" w:rsidRDefault="00863A78" w:rsidP="00540F02">
            <w:pPr>
              <w:ind w:right="2"/>
              <w:jc w:val="both"/>
              <w:rPr>
                <w:rFonts w:ascii="Calibri Light" w:hAnsi="Calibri Light" w:cs="Calibri Light"/>
                <w:b/>
                <w:bCs/>
                <w:sz w:val="12"/>
                <w:szCs w:val="12"/>
              </w:rPr>
            </w:pPr>
          </w:p>
        </w:tc>
      </w:tr>
    </w:tbl>
    <w:p w:rsidR="00863A78" w:rsidRDefault="00863A78" w:rsidP="00863A78">
      <w:pPr>
        <w:ind w:right="737"/>
        <w:rPr>
          <w:rFonts w:ascii="Calibri Light" w:hAnsi="Calibri Light" w:cs="Calibri Light"/>
          <w:b/>
          <w:bCs/>
          <w:sz w:val="24"/>
          <w:szCs w:val="24"/>
        </w:rPr>
      </w:pPr>
    </w:p>
    <w:p w:rsidR="00260D64" w:rsidRDefault="00A27B34" w:rsidP="00540F02">
      <w:pPr>
        <w:ind w:right="-1"/>
        <w:jc w:val="both"/>
        <w:rPr>
          <w:rFonts w:ascii="Calibri Light" w:hAnsi="Calibri Light" w:cs="Calibri Light"/>
          <w:i/>
          <w:iCs/>
          <w:noProof/>
          <w:color w:val="000000"/>
          <w:sz w:val="24"/>
          <w:szCs w:val="24"/>
        </w:rPr>
      </w:pPr>
      <w:r w:rsidRPr="00122F5F">
        <w:rPr>
          <w:rFonts w:ascii="Calibri Light" w:hAnsi="Calibri Light" w:cs="Calibri Light"/>
          <w:b/>
          <w:bCs/>
          <w:sz w:val="24"/>
          <w:szCs w:val="24"/>
        </w:rPr>
        <w:t>ABSTRACT:</w:t>
      </w:r>
      <w:r w:rsidRPr="00122F5F">
        <w:rPr>
          <w:rFonts w:ascii="Calibri Light" w:hAnsi="Calibri Light" w:cs="Calibri Light"/>
          <w:sz w:val="24"/>
          <w:szCs w:val="24"/>
        </w:rPr>
        <w:t xml:space="preserve"> </w:t>
      </w:r>
      <w:r w:rsidR="005E5EF8" w:rsidRPr="005E5EF8">
        <w:rPr>
          <w:rFonts w:ascii="Calibri Light" w:hAnsi="Calibri Light" w:cs="Calibri Light"/>
          <w:i/>
          <w:iCs/>
          <w:noProof/>
          <w:color w:val="000000"/>
          <w:sz w:val="24"/>
          <w:szCs w:val="24"/>
        </w:rPr>
        <w:t xml:space="preserve">This study conducts a bibliometric analysis of research addressing the intersection between the Basel Accords and Islamic banking. Using data extracted from the Scopus database covering 2015 to 2024, 1,149 relevant documents were analyzed. A modified PRISMA framework was applied not to assess content quality, but to guide the structured identification, screening, and inclusion of relevant publications, enhancing transparency and reproducibility in the selection process. The analysis used VOSviewer software (v1.6.19) to identify key trends, thematic clusters, and scholarly networks through co-citation, keyword mapping, and co-authorship analysis. The results show that 62% of the literature focuses on Basel III, while only 12% addresses Basel IV, highlighting a lack of academic engagement with the latest regulatory developments. Thematic analysis revealed three dominant research clusters: the impact of Basel III on capital adequacy in Islamic banks,  challenges related to aligning Basel standards with Sharia principles, and the integration of liquidity risk and financial stability within Islamic financial institutions. Malaysia and Indonesia emerged as leading contributors to this field, with a notable rise in publication output from 2020 to 2022, producing over 500 articles. This growth may reflect increased regulatory interest in financial resilience and Islamic finance during and after </w:t>
      </w:r>
      <w:r w:rsidR="0023752D" w:rsidRPr="005E5EF8">
        <w:rPr>
          <w:rFonts w:ascii="Calibri Light" w:hAnsi="Calibri Light" w:cs="Calibri Light"/>
          <w:i/>
          <w:iCs/>
          <w:noProof/>
          <w:color w:val="000000"/>
          <w:sz w:val="24"/>
          <w:szCs w:val="24"/>
        </w:rPr>
        <w:t>Covid</w:t>
      </w:r>
      <w:r w:rsidR="005E5EF8" w:rsidRPr="005E5EF8">
        <w:rPr>
          <w:rFonts w:ascii="Calibri Light" w:hAnsi="Calibri Light" w:cs="Calibri Light"/>
          <w:i/>
          <w:iCs/>
          <w:noProof/>
          <w:color w:val="000000"/>
          <w:sz w:val="24"/>
          <w:szCs w:val="24"/>
        </w:rPr>
        <w:t>-19. The study also identifies gaps in the literature, particularly regarding legal harmonization and practical implementation of Basel standards in Sharia-compliant contexts. By mapping the academic landscape, this research offers insights into current trends and future directions, supporting scholars, regulators, and financial institutions.</w:t>
      </w:r>
    </w:p>
    <w:p w:rsidR="005E5EF8" w:rsidRPr="00122F5F" w:rsidRDefault="005E5EF8" w:rsidP="00540F02">
      <w:pPr>
        <w:ind w:right="-1"/>
        <w:jc w:val="both"/>
        <w:rPr>
          <w:rFonts w:ascii="Calibri Light" w:hAnsi="Calibri Light" w:cs="Calibri Light"/>
          <w:noProof/>
          <w:color w:val="000000"/>
          <w:sz w:val="24"/>
          <w:szCs w:val="24"/>
          <w:lang w:val="id-ID"/>
        </w:rPr>
      </w:pPr>
    </w:p>
    <w:p w:rsidR="00DE1E48" w:rsidRPr="00122F5F" w:rsidRDefault="005E5EF8" w:rsidP="00863A78">
      <w:pPr>
        <w:ind w:right="-1"/>
        <w:jc w:val="both"/>
        <w:rPr>
          <w:rFonts w:ascii="Calibri Light" w:hAnsi="Calibri Light" w:cs="Calibri Light"/>
          <w:i/>
          <w:iCs/>
          <w:sz w:val="24"/>
          <w:szCs w:val="24"/>
          <w:lang w:val="id-ID"/>
        </w:rPr>
      </w:pPr>
      <w:r w:rsidRPr="005E5EF8">
        <w:rPr>
          <w:rFonts w:ascii="Calibri Light" w:hAnsi="Calibri Light" w:cs="Calibri Light"/>
          <w:noProof/>
          <w:sz w:val="24"/>
          <w:szCs w:val="24"/>
        </w:rPr>
        <w:t>Studi ini melakukan analisis bibliometrik terhadap penelitian yang membahas keterkaitan antara Perjanjian Basel (</w:t>
      </w:r>
      <w:r w:rsidRPr="0023752D">
        <w:rPr>
          <w:rFonts w:ascii="Calibri Light" w:hAnsi="Calibri Light" w:cs="Calibri Light"/>
          <w:i/>
          <w:iCs/>
          <w:noProof/>
          <w:sz w:val="24"/>
          <w:szCs w:val="24"/>
        </w:rPr>
        <w:t>Basel Accords</w:t>
      </w:r>
      <w:r w:rsidRPr="005E5EF8">
        <w:rPr>
          <w:rFonts w:ascii="Calibri Light" w:hAnsi="Calibri Light" w:cs="Calibri Light"/>
          <w:noProof/>
          <w:sz w:val="24"/>
          <w:szCs w:val="24"/>
        </w:rPr>
        <w:t xml:space="preserve">) dan perbankan Islam. Menggunakan data yang diambil </w:t>
      </w:r>
      <w:r w:rsidRPr="005E5EF8">
        <w:rPr>
          <w:rFonts w:ascii="Calibri Light" w:hAnsi="Calibri Light" w:cs="Calibri Light"/>
          <w:noProof/>
          <w:sz w:val="24"/>
          <w:szCs w:val="24"/>
        </w:rPr>
        <w:lastRenderedPageBreak/>
        <w:t>dari basis data Scopus selama periode 2015 hingga 2024, sebanyak 1.149 dokumen yang relevan dianalisis. Kerangka kerja PRISMA yang telah dimodifikasi diterapkan bukan untuk menilai kualitas konten, melainkan untuk memandu proses identifikasi, penyaringan, dan inklusi publikasi secara terstruktur</w:t>
      </w:r>
      <w:r w:rsidR="0023752D">
        <w:rPr>
          <w:rFonts w:ascii="Calibri Light" w:hAnsi="Calibri Light" w:cs="Calibri Light"/>
          <w:noProof/>
          <w:sz w:val="24"/>
          <w:szCs w:val="24"/>
        </w:rPr>
        <w:t xml:space="preserve">, </w:t>
      </w:r>
      <w:r w:rsidRPr="005E5EF8">
        <w:rPr>
          <w:rFonts w:ascii="Calibri Light" w:hAnsi="Calibri Light" w:cs="Calibri Light"/>
          <w:noProof/>
          <w:sz w:val="24"/>
          <w:szCs w:val="24"/>
        </w:rPr>
        <w:t xml:space="preserve">guna meningkatkan transparansi dan replikasi dalam proses seleksi. Analisis dilakukan menggunakan perangkat lunak VOSviewer (versi 1.6.19) untuk mengidentifikasi tren utama, klaster tematik, dan jaringan keilmuan melalui analisis kutipan bersama, pemetaan kata kunci, dan kolaborasi penulis. Hasilnya menunjukkan bahwa 62% literatur berfokus pada Basel III, sementara hanya 12% yang membahas Basel IV, yang menyoroti kurangnya keterlibatan akademik terhadap perkembangan regulasi terbaru. Analisis tematik mengungkapkan tiga klaster penelitian dominan: dampak Basel III terhadap kecukupan modal di bank-bank Islam, tantangan dalam menyelaraskan standar Basel dengan prinsip-prinsip syariah, serta integrasi risiko likuiditas dan stabilitas keuangan dalam institusi keuangan Islam. Malaysia dan Indonesia muncul sebagai kontributor utama dalam bidang ini, dengan peningkatan signifikan dalam jumlah publikasi selama tahun 2020–2022, menghasilkan lebih dari 500 artikel. Pertumbuhan ini dapat mencerminkan meningkatnya perhatian regulasi terhadap ketahanan keuangan dan keuangan Islam selama dan setelah periode </w:t>
      </w:r>
      <w:r w:rsidR="0023752D" w:rsidRPr="005E5EF8">
        <w:rPr>
          <w:rFonts w:ascii="Calibri Light" w:hAnsi="Calibri Light" w:cs="Calibri Light"/>
          <w:noProof/>
          <w:sz w:val="24"/>
          <w:szCs w:val="24"/>
        </w:rPr>
        <w:t>Covid</w:t>
      </w:r>
      <w:r w:rsidRPr="005E5EF8">
        <w:rPr>
          <w:rFonts w:ascii="Calibri Light" w:hAnsi="Calibri Light" w:cs="Calibri Light"/>
          <w:noProof/>
          <w:sz w:val="24"/>
          <w:szCs w:val="24"/>
        </w:rPr>
        <w:t>-19. Studi ini juga mengidentifikasi kesenjangan dalam literatur, khususnya terkait harmonisasi hukum dan implementasi praktis standar Basel dalam konteks kepatuhan syariah. Dengan memetakan lanskap akademik, penelitian ini memberikan wawasan tentang tren saat ini dan arah penelitian di masa depan, serta mendukung para akademisi, regulator, dan lembaga keuangan.</w:t>
      </w:r>
    </w:p>
    <w:p w:rsidR="00486707" w:rsidRPr="00122F5F" w:rsidRDefault="00486707" w:rsidP="001D7DEE">
      <w:pPr>
        <w:ind w:left="709" w:right="737"/>
        <w:jc w:val="both"/>
        <w:rPr>
          <w:rFonts w:ascii="Calibri Light" w:hAnsi="Calibri Light" w:cs="Calibri Light"/>
          <w:i/>
          <w:iCs/>
          <w:sz w:val="24"/>
          <w:szCs w:val="24"/>
          <w:lang w:val="id-ID"/>
        </w:rPr>
      </w:pPr>
    </w:p>
    <w:p w:rsidR="00DE1E48" w:rsidRPr="00122F5F" w:rsidRDefault="0095288D" w:rsidP="00540F02">
      <w:pPr>
        <w:ind w:right="737"/>
        <w:jc w:val="both"/>
        <w:rPr>
          <w:rFonts w:ascii="Calibri Light" w:hAnsi="Calibri Light" w:cs="Calibri Light"/>
          <w:i/>
          <w:iCs/>
          <w:sz w:val="24"/>
          <w:szCs w:val="24"/>
          <w:lang w:val="id-ID"/>
        </w:rPr>
      </w:pPr>
      <w:r w:rsidRPr="00122F5F">
        <w:rPr>
          <w:rFonts w:ascii="Calibri Light" w:hAnsi="Calibri Light" w:cs="Calibri Light"/>
          <w:b/>
          <w:bCs/>
          <w:sz w:val="24"/>
          <w:szCs w:val="24"/>
        </w:rPr>
        <w:t>Keyword</w:t>
      </w:r>
      <w:r w:rsidR="008C45DE" w:rsidRPr="00122F5F">
        <w:rPr>
          <w:rFonts w:ascii="Calibri Light" w:hAnsi="Calibri Light" w:cs="Calibri Light"/>
          <w:b/>
          <w:bCs/>
          <w:sz w:val="24"/>
          <w:szCs w:val="24"/>
          <w:lang w:val="id-ID"/>
        </w:rPr>
        <w:t>s</w:t>
      </w:r>
      <w:r w:rsidRPr="00122F5F">
        <w:rPr>
          <w:rFonts w:ascii="Calibri Light" w:hAnsi="Calibri Light" w:cs="Calibri Light"/>
          <w:b/>
          <w:bCs/>
          <w:sz w:val="24"/>
          <w:szCs w:val="24"/>
        </w:rPr>
        <w:t>:</w:t>
      </w:r>
      <w:r w:rsidRPr="00122F5F">
        <w:rPr>
          <w:rFonts w:ascii="Calibri Light" w:hAnsi="Calibri Light" w:cs="Calibri Light"/>
          <w:sz w:val="24"/>
          <w:szCs w:val="24"/>
        </w:rPr>
        <w:t xml:space="preserve"> </w:t>
      </w:r>
      <w:r w:rsidR="007907EB" w:rsidRPr="007907EB">
        <w:rPr>
          <w:rStyle w:val="shorttext"/>
          <w:rFonts w:ascii="Calibri Light" w:hAnsi="Calibri Light" w:cs="Calibri Light"/>
          <w:i/>
          <w:iCs/>
          <w:sz w:val="24"/>
          <w:szCs w:val="24"/>
        </w:rPr>
        <w:t>Islamic Banking, Bibliometric Analysis, Basel Accords, PRISMA Framework, Scopus Database.</w:t>
      </w:r>
    </w:p>
    <w:p w:rsidR="00F1027C" w:rsidRPr="00122F5F" w:rsidRDefault="00F1027C" w:rsidP="00F1027C">
      <w:pPr>
        <w:jc w:val="center"/>
        <w:rPr>
          <w:rFonts w:ascii="Calibri Light" w:hAnsi="Calibri Light" w:cs="Calibri Light"/>
          <w:i/>
          <w:iCs/>
          <w:lang w:val="id-ID"/>
        </w:rPr>
      </w:pPr>
    </w:p>
    <w:p w:rsidR="00F1027C" w:rsidRPr="00122F5F" w:rsidRDefault="00F1027C" w:rsidP="0095288D">
      <w:pPr>
        <w:rPr>
          <w:rFonts w:ascii="Calibri Light" w:hAnsi="Calibri Light" w:cs="Calibri Light"/>
          <w:b/>
          <w:bCs/>
          <w:sz w:val="24"/>
          <w:szCs w:val="24"/>
          <w:lang w:val="id-ID"/>
        </w:rPr>
      </w:pPr>
    </w:p>
    <w:p w:rsidR="0095288D" w:rsidRPr="00122F5F" w:rsidRDefault="008C45DE" w:rsidP="00540F02">
      <w:pPr>
        <w:numPr>
          <w:ilvl w:val="0"/>
          <w:numId w:val="15"/>
        </w:numPr>
        <w:spacing w:before="120" w:after="120"/>
        <w:ind w:left="426" w:hanging="284"/>
        <w:rPr>
          <w:rFonts w:ascii="Calibri Light" w:hAnsi="Calibri Light" w:cs="Calibri Light"/>
          <w:b/>
          <w:bCs/>
          <w:sz w:val="24"/>
          <w:szCs w:val="24"/>
          <w:lang w:val="id-ID"/>
        </w:rPr>
      </w:pPr>
      <w:r w:rsidRPr="00122F5F">
        <w:rPr>
          <w:rFonts w:ascii="Calibri Light" w:hAnsi="Calibri Light" w:cs="Calibri Light"/>
          <w:b/>
          <w:sz w:val="24"/>
          <w:szCs w:val="24"/>
        </w:rPr>
        <w:t>INTRODUCTION</w:t>
      </w:r>
    </w:p>
    <w:p w:rsidR="005E5EF8" w:rsidRPr="005E5EF8" w:rsidRDefault="005E5EF8" w:rsidP="005E5EF8">
      <w:pPr>
        <w:spacing w:before="120" w:after="120"/>
        <w:ind w:left="426"/>
        <w:jc w:val="both"/>
        <w:rPr>
          <w:rFonts w:ascii="Calibri Light" w:hAnsi="Calibri Light" w:cs="Calibri Light"/>
          <w:sz w:val="24"/>
          <w:szCs w:val="24"/>
        </w:rPr>
      </w:pPr>
      <w:r w:rsidRPr="005E5EF8">
        <w:rPr>
          <w:rFonts w:ascii="Calibri Light" w:hAnsi="Calibri Light" w:cs="Calibri Light"/>
          <w:sz w:val="24"/>
          <w:szCs w:val="24"/>
        </w:rPr>
        <w:t>In light of recent global financial disruptions, stricter regulatory reforms, and the rapid expansion of Islamic finance, the intersection between international regulatory frameworks and Islamic banking</w:t>
      </w:r>
      <w:r w:rsidR="00876CBA">
        <w:rPr>
          <w:rFonts w:ascii="Calibri Light" w:hAnsi="Calibri Light" w:cs="Calibri Light"/>
          <w:sz w:val="24"/>
          <w:szCs w:val="24"/>
        </w:rPr>
        <w:t xml:space="preserve">, </w:t>
      </w:r>
      <w:r w:rsidRPr="005E5EF8">
        <w:rPr>
          <w:rFonts w:ascii="Calibri Light" w:hAnsi="Calibri Light" w:cs="Calibri Light"/>
          <w:sz w:val="24"/>
          <w:szCs w:val="24"/>
        </w:rPr>
        <w:t>particularly the implications of the Basel Accords</w:t>
      </w:r>
      <w:r w:rsidR="00876CBA">
        <w:rPr>
          <w:rFonts w:ascii="Calibri Light" w:hAnsi="Calibri Light" w:cs="Calibri Light"/>
          <w:sz w:val="24"/>
          <w:szCs w:val="24"/>
        </w:rPr>
        <w:t xml:space="preserve">, </w:t>
      </w:r>
      <w:r w:rsidRPr="005E5EF8">
        <w:rPr>
          <w:rFonts w:ascii="Calibri Light" w:hAnsi="Calibri Light" w:cs="Calibri Light"/>
          <w:sz w:val="24"/>
          <w:szCs w:val="24"/>
        </w:rPr>
        <w:t xml:space="preserve">has become a timely and critical subject of academic research. The Basel Committee on Banking Supervision (BCBS) introduced these accords to enhance banking stability and reduce financial risks through capital adequacy requirements, risk management, and liquidity standards </w:t>
      </w:r>
      <w:r w:rsidR="009E6AF8">
        <w:rPr>
          <w:rFonts w:ascii="Calibri Light" w:hAnsi="Calibri Light" w:cs="Calibri Light"/>
          <w:sz w:val="24"/>
          <w:szCs w:val="24"/>
        </w:rPr>
        <w:fldChar w:fldCharType="begin" w:fldLock="1"/>
      </w:r>
      <w:r w:rsidR="009E6AF8">
        <w:rPr>
          <w:rFonts w:ascii="Calibri Light" w:hAnsi="Calibri Light" w:cs="Calibri Light"/>
          <w:sz w:val="24"/>
          <w:szCs w:val="24"/>
        </w:rPr>
        <w:instrText>ADDIN CSL_CITATION {"citationItems":[{"id":"ITEM-1","itemData":{"DOI":"10.1002/ijfe.2637","ISSN":"10769307 (ISSN)","abstract":"Using data for Italy from 1994 to 2015, we appraise the nexus between Basel II and III accords and both the cost and the profit inefficiency of profit-oriented and mutual cooperative banks. Our analysis further deals with the effects of the regulation in different market structures. To assess the efficiency of the two types of banks under scrutiny, a stochastic frontier approach has been proposed. The evidence reported in this paper indicates that the regulatory framework of the Basel accords had heterogeneous effects on the efficiency of Italian banking institutions. Specifically, Basel II is associated with a contraction in the profit inefficiency and an increase in the cost inefficiency for mutual cooperative banks. On the other hand, Basel III worsened the profit inefficiency, though it is found to reduce the profit inefficiency of mutual cooperative banks, with no significant impact on cost inefficiency. Furthermore, once we control for the degree of market competition, the effects of the regulation are shown to be statistically insignificant. The advent of the 2008 recession and the application of the revenue inefficiency do not alter the main findings. There is also some evidence of spatial effects of the Basel II regulation at the LMA level. © 2022 The Authors. International Journal of Finance &amp; Economics published by John Wiley &amp; Sons Ltd.","author":[{"dropping-particle":"","family":"Barra","given":"C","non-dropping-particle":"","parse-names":false,"suffix":""},{"dropping-particle":"","family":"Papaccio","given":"A","non-dropping-particle":"","parse-names":false,"suffix":""},{"dropping-particle":"","family":"Ruggiero","given":"N","non-dropping-particle":"","parse-names":false,"suffix":""}],"container-title":"International Journal of Finance and Economics","id":"ITEM-1","issue":"4","issued":{"date-parts":[["2023"]]},"language":"English","page":"4079-4119","publisher":"John Wiley and Sons Ltd","publisher-place":"Department of Economics and Statistics (DISES), Centre for Labour Economics and Economic Policy (CELPE), University of Salerno, Fisciano, Italy","title":"Basel accords and banking inefficiency: Evidence from the Italian local market","type":"article-journal","volume":"28"},"uris":["http://www.mendeley.com/documents/?uuid=13cfe76b-1574-46d8-bac4-0e45d1740f34"]}],"mendeley":{"formattedCitation":"(Barra et al., 2023)","plainTextFormattedCitation":"(Barra et al., 2023)","previouslyFormattedCitation":"(Barra et al., 2023)"},"properties":{"noteIndex":0},"schema":"https://github.com/citation-style-language/schema/raw/master/csl-citation.json"}</w:instrText>
      </w:r>
      <w:r w:rsidR="009E6AF8">
        <w:rPr>
          <w:rFonts w:ascii="Calibri Light" w:hAnsi="Calibri Light" w:cs="Calibri Light"/>
          <w:sz w:val="24"/>
          <w:szCs w:val="24"/>
        </w:rPr>
        <w:fldChar w:fldCharType="separate"/>
      </w:r>
      <w:r w:rsidR="009E6AF8" w:rsidRPr="009E6AF8">
        <w:rPr>
          <w:rFonts w:ascii="Calibri Light" w:hAnsi="Calibri Light" w:cs="Calibri Light"/>
          <w:noProof/>
          <w:sz w:val="24"/>
          <w:szCs w:val="24"/>
        </w:rPr>
        <w:t>(</w:t>
      </w:r>
      <w:hyperlink w:anchor="Barra" w:history="1">
        <w:r w:rsidR="009E6AF8" w:rsidRPr="00434A6A">
          <w:rPr>
            <w:rStyle w:val="Hyperlink"/>
            <w:rFonts w:ascii="Calibri Light" w:hAnsi="Calibri Light" w:cs="Calibri Light"/>
            <w:noProof/>
            <w:sz w:val="24"/>
            <w:szCs w:val="24"/>
          </w:rPr>
          <w:t>Barra et al.</w:t>
        </w:r>
      </w:hyperlink>
      <w:r w:rsidR="009E6AF8" w:rsidRPr="009E6AF8">
        <w:rPr>
          <w:rFonts w:ascii="Calibri Light" w:hAnsi="Calibri Light" w:cs="Calibri Light"/>
          <w:noProof/>
          <w:sz w:val="24"/>
          <w:szCs w:val="24"/>
        </w:rPr>
        <w:t>, 2023)</w:t>
      </w:r>
      <w:r w:rsidR="009E6AF8">
        <w:rPr>
          <w:rFonts w:ascii="Calibri Light" w:hAnsi="Calibri Light" w:cs="Calibri Light"/>
          <w:sz w:val="24"/>
          <w:szCs w:val="24"/>
        </w:rPr>
        <w:fldChar w:fldCharType="end"/>
      </w:r>
      <w:r w:rsidRPr="005E5EF8">
        <w:rPr>
          <w:rFonts w:ascii="Calibri Light" w:hAnsi="Calibri Light" w:cs="Calibri Light"/>
          <w:sz w:val="24"/>
          <w:szCs w:val="24"/>
        </w:rPr>
        <w:t xml:space="preserve">. Since the introduction of Basel I in 1988 and the subsequent developments in Basel II and Basel III, these regulatory guidelines have profoundly impacted global banking systems </w:t>
      </w:r>
      <w:r w:rsidR="003A66C6">
        <w:rPr>
          <w:rFonts w:ascii="Calibri Light" w:hAnsi="Calibri Light" w:cs="Calibri Light"/>
          <w:sz w:val="24"/>
          <w:szCs w:val="24"/>
        </w:rPr>
        <w:fldChar w:fldCharType="begin" w:fldLock="1"/>
      </w:r>
      <w:r w:rsidR="003A66C6">
        <w:rPr>
          <w:rFonts w:ascii="Calibri Light" w:hAnsi="Calibri Light" w:cs="Calibri Light"/>
          <w:sz w:val="24"/>
          <w:szCs w:val="24"/>
        </w:rPr>
        <w:instrText>ADDIN CSL_CITATION {"citationItems":[{"id":"ITEM-1","itemData":{"DOI":"10.1016/j.irfa.2024.103502","ISSN":"10575219 (ISSN)","abstract":"We develop a model to compare the changes in banks' equilibrium capital and liquidity holdings under various versions of Basel-style requirements across economic cycles. We find that banks' liquidity is countercyclical while capital buffer is procyclical. Countercyclical liquidity-holding behaviour causes a larger liquidation of loans in economic expansions. We also find that Basel-style liquidity requirements help to lower banks' loan liquidations in economic upturns, although it is of limited effectiveness in economic downturns. We thus suggest that similar to capital requirements, liquidity requirements should also be set in a countercyclical manner. Our results show that capital requirements and liquidity requirements are complements in economic upturns in terms of enhancing banking stability and obtaining social welfare. Furthermore, Basel III outperforms previous regulatory versions in enhancing bank stability and social welfare in extreme situations. © 2024 The Author(s)","author":[{"dropping-particle":"","family":"Huang","given":"C","non-dropping-particle":"","parse-names":false,"suffix":""},{"dropping-particle":"","family":"Moreira","given":"F","non-dropping-particle":"","parse-names":false,"suffix":""},{"dropping-particle":"","family":"Archibald","given":"T W","non-dropping-particle":"","parse-names":false,"suffix":""}],"container-title":"International Review of Financial Analysis","id":"ITEM-1","issued":{"date-parts":[["2024"]]},"language":"English","publisher":"Elsevier Inc.","publisher-place":"School of Economics and Management, Beijing Jiaotong University, China","title":"Should Basel-style liquidity requirements be set countercyclically? Evidence from a numerical analysis","type":"article-journal","volume":"95"},"uris":["http://www.mendeley.com/documents/?uuid=294fc67e-3c03-42d8-bcbf-e00fe1948993"]}],"mendeley":{"formattedCitation":"(Huang et al., 2024)","plainTextFormattedCitation":"(Huang et al., 2024)","previouslyFormattedCitation":"(Huang et al., 2024)"},"properties":{"noteIndex":0},"schema":"https://github.com/citation-style-language/schema/raw/master/csl-citation.json"}</w:instrText>
      </w:r>
      <w:r w:rsidR="003A66C6">
        <w:rPr>
          <w:rFonts w:ascii="Calibri Light" w:hAnsi="Calibri Light" w:cs="Calibri Light"/>
          <w:sz w:val="24"/>
          <w:szCs w:val="24"/>
        </w:rPr>
        <w:fldChar w:fldCharType="separate"/>
      </w:r>
      <w:r w:rsidR="003A66C6" w:rsidRPr="003A66C6">
        <w:rPr>
          <w:rFonts w:ascii="Calibri Light" w:hAnsi="Calibri Light" w:cs="Calibri Light"/>
          <w:noProof/>
          <w:sz w:val="24"/>
          <w:szCs w:val="24"/>
        </w:rPr>
        <w:t>(</w:t>
      </w:r>
      <w:hyperlink w:anchor="Huang" w:history="1">
        <w:r w:rsidR="003A66C6" w:rsidRPr="004231BE">
          <w:rPr>
            <w:rStyle w:val="Hyperlink"/>
            <w:rFonts w:ascii="Calibri Light" w:hAnsi="Calibri Light" w:cs="Calibri Light"/>
            <w:noProof/>
            <w:sz w:val="24"/>
            <w:szCs w:val="24"/>
          </w:rPr>
          <w:t>Huang et al.</w:t>
        </w:r>
      </w:hyperlink>
      <w:r w:rsidR="003A66C6" w:rsidRPr="003A66C6">
        <w:rPr>
          <w:rFonts w:ascii="Calibri Light" w:hAnsi="Calibri Light" w:cs="Calibri Light"/>
          <w:noProof/>
          <w:sz w:val="24"/>
          <w:szCs w:val="24"/>
        </w:rPr>
        <w:t>, 2024)</w:t>
      </w:r>
      <w:r w:rsidR="003A66C6">
        <w:rPr>
          <w:rFonts w:ascii="Calibri Light" w:hAnsi="Calibri Light" w:cs="Calibri Light"/>
          <w:sz w:val="24"/>
          <w:szCs w:val="24"/>
        </w:rPr>
        <w:fldChar w:fldCharType="end"/>
      </w:r>
      <w:r w:rsidRPr="005E5EF8">
        <w:rPr>
          <w:rFonts w:ascii="Calibri Light" w:hAnsi="Calibri Light" w:cs="Calibri Light"/>
          <w:sz w:val="24"/>
          <w:szCs w:val="24"/>
        </w:rPr>
        <w:t>. However, their applicability to Islamic financial institutions (IFIs), which operate under Shariah principles, remains a subject of ongoing academic and regulatory debate.</w:t>
      </w:r>
    </w:p>
    <w:p w:rsidR="005E5EF8" w:rsidRDefault="005E5EF8" w:rsidP="005E5EF8">
      <w:pPr>
        <w:spacing w:before="120" w:after="120"/>
        <w:ind w:left="426"/>
        <w:jc w:val="both"/>
        <w:rPr>
          <w:rFonts w:ascii="Calibri Light" w:hAnsi="Calibri Light" w:cs="Calibri Light"/>
          <w:sz w:val="24"/>
          <w:szCs w:val="24"/>
        </w:rPr>
      </w:pPr>
      <w:r w:rsidRPr="005E5EF8">
        <w:rPr>
          <w:rFonts w:ascii="Calibri Light" w:hAnsi="Calibri Light" w:cs="Calibri Light"/>
          <w:sz w:val="24"/>
          <w:szCs w:val="24"/>
        </w:rPr>
        <w:t xml:space="preserve">Developed to strengthen global financial stability through risk-based capital regulation and liquidity standards, the Basel Accords present unique challenges for Islamic banks, which differ fundamentally from conventional banks due to their adherence to </w:t>
      </w:r>
      <w:r w:rsidRPr="00876CBA">
        <w:rPr>
          <w:rFonts w:ascii="Calibri Light" w:hAnsi="Calibri Light" w:cs="Calibri Light"/>
          <w:i/>
          <w:iCs/>
          <w:sz w:val="24"/>
          <w:szCs w:val="24"/>
        </w:rPr>
        <w:t>Maqasid</w:t>
      </w:r>
      <w:r w:rsidRPr="005E5EF8">
        <w:rPr>
          <w:rFonts w:ascii="Calibri Light" w:hAnsi="Calibri Light" w:cs="Calibri Light"/>
          <w:sz w:val="24"/>
          <w:szCs w:val="24"/>
        </w:rPr>
        <w:t xml:space="preserve"> </w:t>
      </w:r>
      <w:r w:rsidRPr="00876CBA">
        <w:rPr>
          <w:rFonts w:ascii="Calibri Light" w:hAnsi="Calibri Light" w:cs="Calibri Light"/>
          <w:i/>
          <w:iCs/>
          <w:sz w:val="24"/>
          <w:szCs w:val="24"/>
        </w:rPr>
        <w:t>al-Shariah</w:t>
      </w:r>
      <w:r w:rsidR="00876CBA">
        <w:rPr>
          <w:rFonts w:ascii="Calibri Light" w:hAnsi="Calibri Light" w:cs="Calibri Light"/>
          <w:sz w:val="24"/>
          <w:szCs w:val="24"/>
        </w:rPr>
        <w:t xml:space="preserve">, </w:t>
      </w:r>
      <w:r w:rsidRPr="005E5EF8">
        <w:rPr>
          <w:rFonts w:ascii="Calibri Light" w:hAnsi="Calibri Light" w:cs="Calibri Light"/>
          <w:sz w:val="24"/>
          <w:szCs w:val="24"/>
        </w:rPr>
        <w:t>the higher objectives of Islamic law. These principles prohibit interest (</w:t>
      </w:r>
      <w:r w:rsidRPr="00876CBA">
        <w:rPr>
          <w:rFonts w:ascii="Calibri Light" w:hAnsi="Calibri Light" w:cs="Calibri Light"/>
          <w:i/>
          <w:iCs/>
          <w:sz w:val="24"/>
          <w:szCs w:val="24"/>
        </w:rPr>
        <w:t>riba</w:t>
      </w:r>
      <w:r w:rsidRPr="005E5EF8">
        <w:rPr>
          <w:rFonts w:ascii="Calibri Light" w:hAnsi="Calibri Light" w:cs="Calibri Light"/>
          <w:sz w:val="24"/>
          <w:szCs w:val="24"/>
        </w:rPr>
        <w:t xml:space="preserve">) and promote risk-sharing, ethical investment, and asset-backed financing, making the direct application of Basel's interest-based framework problematic in Sharia-compliant </w:t>
      </w:r>
      <w:r w:rsidRPr="005E5EF8">
        <w:rPr>
          <w:rFonts w:ascii="Calibri Light" w:hAnsi="Calibri Light" w:cs="Calibri Light"/>
          <w:sz w:val="24"/>
          <w:szCs w:val="24"/>
        </w:rPr>
        <w:lastRenderedPageBreak/>
        <w:t xml:space="preserve">contexts. As a result, applying Basel regulations to Islamic financial institutions presents unique challenges, as these accords rely on an interest-based risk assessment model to evaluate capital and risk exposure </w:t>
      </w:r>
      <w:r w:rsidR="00F737F3">
        <w:rPr>
          <w:rFonts w:ascii="Calibri Light" w:hAnsi="Calibri Light" w:cs="Calibri Light"/>
          <w:sz w:val="24"/>
          <w:szCs w:val="24"/>
        </w:rPr>
        <w:fldChar w:fldCharType="begin" w:fldLock="1"/>
      </w:r>
      <w:r w:rsidR="00F737F3">
        <w:rPr>
          <w:rFonts w:ascii="Calibri Light" w:hAnsi="Calibri Light" w:cs="Calibri Light"/>
          <w:sz w:val="24"/>
          <w:szCs w:val="24"/>
        </w:rPr>
        <w:instrText>ADDIN CSL_CITATION {"citationItems":[{"id":"ITEM-1","itemData":{"ISSN":"1412-5722","author":[{"dropping-particle":"","family":"Suhaedi","given":"Wirawan","non-dropping-particle":"","parse-names":false,"suffix":""},{"dropping-particle":"","family":"Wahab","given":"Alvina Oktavia","non-dropping-particle":"","parse-names":false,"suffix":""},{"dropping-particle":"","family":"Sulistia","given":"Ananda","non-dropping-particle":"","parse-names":false,"suffix":""},{"dropping-particle":"","family":"Putri","given":"Baiq Sri Wulan","non-dropping-particle":"","parse-names":false,"suffix":""}],"container-title":"Ishraqi","id":"ITEM-1","issue":"1","issued":{"date-parts":[["2025"]]},"page":"19-32","title":"Implementation of the System Mini Bank to Increase Literacy Finance Santri: Study at the Islamic Boarding School, Islamic Boarding School Haramain Narmada","type":"article-journal","volume":"24"},"uris":["http://www.mendeley.com/documents/?uuid=884e2461-6b7f-4066-b94f-ed56037e49a2"]}],"mendeley":{"formattedCitation":"(Suhaedi et al., 2025)","plainTextFormattedCitation":"(Suhaedi et al., 2025)","previouslyFormattedCitation":"(Suhaedi et al., 2025)"},"properties":{"noteIndex":0},"schema":"https://github.com/citation-style-language/schema/raw/master/csl-citation.json"}</w:instrText>
      </w:r>
      <w:r w:rsidR="00F737F3">
        <w:rPr>
          <w:rFonts w:ascii="Calibri Light" w:hAnsi="Calibri Light" w:cs="Calibri Light"/>
          <w:sz w:val="24"/>
          <w:szCs w:val="24"/>
        </w:rPr>
        <w:fldChar w:fldCharType="separate"/>
      </w:r>
      <w:r w:rsidR="00F737F3" w:rsidRPr="00F737F3">
        <w:rPr>
          <w:rFonts w:ascii="Calibri Light" w:hAnsi="Calibri Light" w:cs="Calibri Light"/>
          <w:noProof/>
          <w:sz w:val="24"/>
          <w:szCs w:val="24"/>
        </w:rPr>
        <w:t>(</w:t>
      </w:r>
      <w:hyperlink w:anchor="Suhaedi" w:history="1">
        <w:r w:rsidR="00F737F3" w:rsidRPr="00A47ADB">
          <w:rPr>
            <w:rStyle w:val="Hyperlink"/>
            <w:rFonts w:ascii="Calibri Light" w:hAnsi="Calibri Light" w:cs="Calibri Light"/>
            <w:noProof/>
            <w:sz w:val="24"/>
            <w:szCs w:val="24"/>
          </w:rPr>
          <w:t>Suhaedi et al.</w:t>
        </w:r>
      </w:hyperlink>
      <w:r w:rsidR="00F737F3" w:rsidRPr="00F737F3">
        <w:rPr>
          <w:rFonts w:ascii="Calibri Light" w:hAnsi="Calibri Light" w:cs="Calibri Light"/>
          <w:noProof/>
          <w:sz w:val="24"/>
          <w:szCs w:val="24"/>
        </w:rPr>
        <w:t>, 2025)</w:t>
      </w:r>
      <w:r w:rsidR="00F737F3">
        <w:rPr>
          <w:rFonts w:ascii="Calibri Light" w:hAnsi="Calibri Light" w:cs="Calibri Light"/>
          <w:sz w:val="24"/>
          <w:szCs w:val="24"/>
        </w:rPr>
        <w:fldChar w:fldCharType="end"/>
      </w:r>
      <w:r w:rsidRPr="005E5EF8">
        <w:rPr>
          <w:rFonts w:ascii="Calibri Light" w:hAnsi="Calibri Light" w:cs="Calibri Light"/>
          <w:sz w:val="24"/>
          <w:szCs w:val="24"/>
        </w:rPr>
        <w:t xml:space="preserve">. In contrast, Islamic banks operate using financial instruments such as </w:t>
      </w:r>
      <w:r w:rsidRPr="00876CBA">
        <w:rPr>
          <w:rFonts w:ascii="Calibri Light" w:hAnsi="Calibri Light" w:cs="Calibri Light"/>
          <w:i/>
          <w:iCs/>
          <w:sz w:val="24"/>
          <w:szCs w:val="24"/>
        </w:rPr>
        <w:t>murabaha</w:t>
      </w:r>
      <w:r w:rsidRPr="005E5EF8">
        <w:rPr>
          <w:rFonts w:ascii="Calibri Light" w:hAnsi="Calibri Light" w:cs="Calibri Light"/>
          <w:sz w:val="24"/>
          <w:szCs w:val="24"/>
        </w:rPr>
        <w:t xml:space="preserve"> (cost-plus financing), </w:t>
      </w:r>
      <w:r w:rsidRPr="00876CBA">
        <w:rPr>
          <w:rFonts w:ascii="Calibri Light" w:hAnsi="Calibri Light" w:cs="Calibri Light"/>
          <w:i/>
          <w:iCs/>
          <w:sz w:val="24"/>
          <w:szCs w:val="24"/>
        </w:rPr>
        <w:t>musharakah</w:t>
      </w:r>
      <w:r w:rsidRPr="005E5EF8">
        <w:rPr>
          <w:rFonts w:ascii="Calibri Light" w:hAnsi="Calibri Light" w:cs="Calibri Light"/>
          <w:sz w:val="24"/>
          <w:szCs w:val="24"/>
        </w:rPr>
        <w:t xml:space="preserve"> (equity partnership), </w:t>
      </w:r>
      <w:r w:rsidRPr="00876CBA">
        <w:rPr>
          <w:rFonts w:ascii="Calibri Light" w:hAnsi="Calibri Light" w:cs="Calibri Light"/>
          <w:i/>
          <w:iCs/>
          <w:sz w:val="24"/>
          <w:szCs w:val="24"/>
        </w:rPr>
        <w:t>mudarabah</w:t>
      </w:r>
      <w:r w:rsidRPr="005E5EF8">
        <w:rPr>
          <w:rFonts w:ascii="Calibri Light" w:hAnsi="Calibri Light" w:cs="Calibri Light"/>
          <w:sz w:val="24"/>
          <w:szCs w:val="24"/>
        </w:rPr>
        <w:t xml:space="preserve"> (profit-sharing), and </w:t>
      </w:r>
      <w:r w:rsidRPr="00876CBA">
        <w:rPr>
          <w:rFonts w:ascii="Calibri Light" w:hAnsi="Calibri Light" w:cs="Calibri Light"/>
          <w:i/>
          <w:iCs/>
          <w:sz w:val="24"/>
          <w:szCs w:val="24"/>
        </w:rPr>
        <w:t>ijarah</w:t>
      </w:r>
      <w:r w:rsidRPr="005E5EF8">
        <w:rPr>
          <w:rFonts w:ascii="Calibri Light" w:hAnsi="Calibri Light" w:cs="Calibri Light"/>
          <w:sz w:val="24"/>
          <w:szCs w:val="24"/>
        </w:rPr>
        <w:t xml:space="preserve"> (leasing). These differences raise critical questions about whether conventional regulatory frameworks can effectively accommodate Islamic banking operations and whether modifications are needed to align Basel standards with Shariah-compliant finance.</w:t>
      </w:r>
    </w:p>
    <w:p w:rsidR="005E5EF8" w:rsidRPr="005E5EF8" w:rsidRDefault="005E5EF8" w:rsidP="005E5EF8">
      <w:pPr>
        <w:spacing w:before="120" w:after="120"/>
        <w:ind w:left="426"/>
        <w:jc w:val="both"/>
        <w:rPr>
          <w:rFonts w:ascii="Calibri Light" w:hAnsi="Calibri Light" w:cs="Calibri Light"/>
          <w:sz w:val="24"/>
          <w:szCs w:val="24"/>
        </w:rPr>
      </w:pPr>
      <w:r w:rsidRPr="005E5EF8">
        <w:rPr>
          <w:rFonts w:ascii="Calibri Light" w:hAnsi="Calibri Light" w:cs="Calibri Light"/>
          <w:sz w:val="24"/>
          <w:szCs w:val="24"/>
        </w:rPr>
        <w:t xml:space="preserve">While numerous studies have addressed Basel standards and Islamic banking independently, limited research has systematically examined their intersection. This gap highlights the need for a comprehensive overview of academic contributions, research trends, and regulatory discussions that link the Basel Accords with the Islamic banking sector, particularly in light of evolving global supervisory frameworks and the increasing demand to align compliance with Shariah principles. </w:t>
      </w:r>
    </w:p>
    <w:p w:rsidR="005E5EF8" w:rsidRPr="005E5EF8" w:rsidRDefault="005E5EF8" w:rsidP="005E5EF8">
      <w:pPr>
        <w:spacing w:before="120" w:after="120"/>
        <w:ind w:left="426"/>
        <w:jc w:val="both"/>
        <w:rPr>
          <w:rFonts w:ascii="Calibri Light" w:hAnsi="Calibri Light" w:cs="Calibri Light"/>
          <w:sz w:val="24"/>
          <w:szCs w:val="24"/>
        </w:rPr>
      </w:pPr>
      <w:r w:rsidRPr="005E5EF8">
        <w:rPr>
          <w:rFonts w:ascii="Calibri Light" w:hAnsi="Calibri Light" w:cs="Calibri Light"/>
          <w:sz w:val="24"/>
          <w:szCs w:val="24"/>
        </w:rPr>
        <w:t>The findings indicate that countries with well-developed Islamic banking sectors, such as Malaysia, the Gulf Cooperation Council (GCC) countries, and Indonesia, have been the most active in publishing research on this topic</w:t>
      </w:r>
      <w:r w:rsidR="003A66C6">
        <w:rPr>
          <w:rFonts w:ascii="Calibri Light" w:hAnsi="Calibri Light" w:cs="Calibri Light"/>
          <w:sz w:val="24"/>
          <w:szCs w:val="24"/>
        </w:rPr>
        <w:t xml:space="preserve"> </w:t>
      </w:r>
      <w:r w:rsidR="003A66C6">
        <w:rPr>
          <w:rFonts w:ascii="Calibri Light" w:hAnsi="Calibri Light" w:cs="Calibri Light"/>
          <w:sz w:val="24"/>
          <w:szCs w:val="24"/>
        </w:rPr>
        <w:fldChar w:fldCharType="begin" w:fldLock="1"/>
      </w:r>
      <w:r w:rsidR="003A66C6">
        <w:rPr>
          <w:rFonts w:ascii="Calibri Light" w:hAnsi="Calibri Light" w:cs="Calibri Light"/>
          <w:sz w:val="24"/>
          <w:szCs w:val="24"/>
        </w:rPr>
        <w:instrText>ADDIN CSL_CITATION {"citationItems":[{"id":"ITEM-1","itemData":{"author":[{"dropping-particle":"","family":"Isman","given":"Afifah","non-dropping-particle":"","parse-names":false,"suffix":""}],"container-title":"International Conference on Actual Islamic Studies","id":"ITEM-1","issue":"1","issued":{"date-parts":[["2024"]]},"title":"Islamic Capital Market Accessibility and Fintech Innovation: Transformation of POJK 77/2016","type":"paper-conference","volume":"3"},"uris":["http://www.mendeley.com/documents/?uuid=5760d728-88b3-4df8-bf2e-f5a9121422c8"]}],"mendeley":{"formattedCitation":"(Isman, 2024)","plainTextFormattedCitation":"(Isman, 2024)","previouslyFormattedCitation":"(Isman, 2024)"},"properties":{"noteIndex":0},"schema":"https://github.com/citation-style-language/schema/raw/master/csl-citation.json"}</w:instrText>
      </w:r>
      <w:r w:rsidR="003A66C6">
        <w:rPr>
          <w:rFonts w:ascii="Calibri Light" w:hAnsi="Calibri Light" w:cs="Calibri Light"/>
          <w:sz w:val="24"/>
          <w:szCs w:val="24"/>
        </w:rPr>
        <w:fldChar w:fldCharType="separate"/>
      </w:r>
      <w:r w:rsidR="003A66C6" w:rsidRPr="003A66C6">
        <w:rPr>
          <w:rFonts w:ascii="Calibri Light" w:hAnsi="Calibri Light" w:cs="Calibri Light"/>
          <w:noProof/>
          <w:sz w:val="24"/>
          <w:szCs w:val="24"/>
        </w:rPr>
        <w:t>(</w:t>
      </w:r>
      <w:hyperlink w:anchor="Isman" w:history="1">
        <w:r w:rsidR="003A66C6" w:rsidRPr="004231BE">
          <w:rPr>
            <w:rStyle w:val="Hyperlink"/>
            <w:rFonts w:ascii="Calibri Light" w:hAnsi="Calibri Light" w:cs="Calibri Light"/>
            <w:noProof/>
            <w:sz w:val="24"/>
            <w:szCs w:val="24"/>
          </w:rPr>
          <w:t>Isman</w:t>
        </w:r>
      </w:hyperlink>
      <w:r w:rsidR="003A66C6" w:rsidRPr="003A66C6">
        <w:rPr>
          <w:rFonts w:ascii="Calibri Light" w:hAnsi="Calibri Light" w:cs="Calibri Light"/>
          <w:noProof/>
          <w:sz w:val="24"/>
          <w:szCs w:val="24"/>
        </w:rPr>
        <w:t>, 2024)</w:t>
      </w:r>
      <w:r w:rsidR="003A66C6">
        <w:rPr>
          <w:rFonts w:ascii="Calibri Light" w:hAnsi="Calibri Light" w:cs="Calibri Light"/>
          <w:sz w:val="24"/>
          <w:szCs w:val="24"/>
        </w:rPr>
        <w:fldChar w:fldCharType="end"/>
      </w:r>
      <w:r w:rsidRPr="005E5EF8">
        <w:rPr>
          <w:rFonts w:ascii="Calibri Light" w:hAnsi="Calibri Light" w:cs="Calibri Light"/>
          <w:sz w:val="24"/>
          <w:szCs w:val="24"/>
        </w:rPr>
        <w:t xml:space="preserve">. Additionally, several academic journals specializing in Islamic finance and banking regulation have been crucial in disseminating studies in this area. By examining the most frequently used research keywords over the past decade, it was found that terms such as "Basel III," "Islamic Finance Regulation," and "Risk Management in Islamic Banking" were among the most commonly cited, reflecting the growing focus on regulatory challenges faced by Islamic financial institutions </w:t>
      </w:r>
      <w:r w:rsidR="009B4597">
        <w:rPr>
          <w:rFonts w:ascii="Calibri Light" w:hAnsi="Calibri Light" w:cs="Calibri Light"/>
          <w:sz w:val="24"/>
          <w:szCs w:val="24"/>
        </w:rPr>
        <w:fldChar w:fldCharType="begin" w:fldLock="1"/>
      </w:r>
      <w:r w:rsidR="009B4597">
        <w:rPr>
          <w:rFonts w:ascii="Calibri Light" w:hAnsi="Calibri Light" w:cs="Calibri Light"/>
          <w:sz w:val="24"/>
          <w:szCs w:val="24"/>
        </w:rPr>
        <w:instrText>ADDIN CSL_CITATION {"citationItems":[{"id":"ITEM-1","itemData":{"DOI":"10.21511/bbs.16(1).2021.05","ISSN":"18167403 (ISSN)","abstract":"This paper aims to analyze the link between the disclosure of zakat information and the performance of Islamic financial institutions in Yemen. Panel data of three Islamic banks working in Yemen were used. The study used a 16-item disclosure index to measure zakat disclosure information, and the financial performance of banks was calculated using two proxies, such as return on assets (ROA) and return on equity (ROE). Based on secondary data, this study used correlation matrix, descriptive analysis and regression analysis. ROA results revealed that zakat data and the age of a bank significantly affected financial results calculated by ROA, while the size of Islamic banks had an insignificant influence of banking performance. Zakat information and the size of Islamic banks have a positive effect on bank performance, while the age of the bank negatively influences the performance of banks. The results concerning ROE indicated that zakat data and the age of a bank have a strong and significant influence on the performance of banks, determined by ROA, while the size of a bank has a negative and insignificant effect on the performance of banks, determined by ROE. © Eissa A. Al-Homaidi, Ebrahim Mohammed Al-Matari, Suhaib Anagreh, Mosab I. Tabash, Nabil Ahmed Mareai Senan, 2021.","author":[{"dropping-particle":"","family":"Al-Homaidi","given":"E A","non-dropping-particle":"","parse-names":false,"suffix":""},{"dropping-particle":"","family":"Al-Matari","given":"E M","non-dropping-particle":"","parse-names":false,"suffix":""},{"dropping-particle":"","family":"Anagreh","given":"S","non-dropping-particle":"","parse-names":false,"suffix":""},{"dropping-particle":"","family":"Tabash","given":"M I","non-dropping-particle":"","parse-names":false,"suffix":""},{"dropping-particle":"","family":"Mareai Senan","given":"N A","non-dropping-particle":"","parse-names":false,"suffix":""}],"container-title":"Banks and Bank Systems","id":"ITEM-1","issue":"1","issued":{"date-parts":[["2021"]]},"language":"English","page":"52-61","publisher":"LLC CPC Business Perspectives","publisher-place":"Faculty of Commerce, Aligarh Muslim University, India","title":"The relationship between zakat disclosures and Islamic banking performance: Evidence from Yemen","type":"article-journal","volume":"16"},"uris":["http://www.mendeley.com/documents/?uuid=f49950c6-6b03-48f7-a430-2611b6aa0ef8"]}],"mendeley":{"formattedCitation":"(Al-Homaidi et al., 2021)","plainTextFormattedCitation":"(Al-Homaidi et al., 2021)","previouslyFormattedCitation":"(Al-Homaidi et al., 2021)"},"properties":{"noteIndex":0},"schema":"https://github.com/citation-style-language/schema/raw/master/csl-citation.json"}</w:instrText>
      </w:r>
      <w:r w:rsidR="009B4597">
        <w:rPr>
          <w:rFonts w:ascii="Calibri Light" w:hAnsi="Calibri Light" w:cs="Calibri Light"/>
          <w:sz w:val="24"/>
          <w:szCs w:val="24"/>
        </w:rPr>
        <w:fldChar w:fldCharType="separate"/>
      </w:r>
      <w:r w:rsidR="009B4597" w:rsidRPr="009B4597">
        <w:rPr>
          <w:rFonts w:ascii="Calibri Light" w:hAnsi="Calibri Light" w:cs="Calibri Light"/>
          <w:noProof/>
          <w:sz w:val="24"/>
          <w:szCs w:val="24"/>
        </w:rPr>
        <w:t>(</w:t>
      </w:r>
      <w:hyperlink w:anchor="AlHomaidi" w:history="1">
        <w:r w:rsidR="009B4597" w:rsidRPr="00A96769">
          <w:rPr>
            <w:rStyle w:val="Hyperlink"/>
            <w:rFonts w:ascii="Calibri Light" w:hAnsi="Calibri Light" w:cs="Calibri Light"/>
            <w:noProof/>
            <w:sz w:val="24"/>
            <w:szCs w:val="24"/>
          </w:rPr>
          <w:t>Al-Homaidi et al.</w:t>
        </w:r>
      </w:hyperlink>
      <w:r w:rsidR="009B4597" w:rsidRPr="009B4597">
        <w:rPr>
          <w:rFonts w:ascii="Calibri Light" w:hAnsi="Calibri Light" w:cs="Calibri Light"/>
          <w:noProof/>
          <w:sz w:val="24"/>
          <w:szCs w:val="24"/>
        </w:rPr>
        <w:t>, 2021)</w:t>
      </w:r>
      <w:r w:rsidR="009B4597">
        <w:rPr>
          <w:rFonts w:ascii="Calibri Light" w:hAnsi="Calibri Light" w:cs="Calibri Light"/>
          <w:sz w:val="24"/>
          <w:szCs w:val="24"/>
        </w:rPr>
        <w:fldChar w:fldCharType="end"/>
      </w:r>
      <w:r w:rsidRPr="005E5EF8">
        <w:rPr>
          <w:rFonts w:ascii="Calibri Light" w:hAnsi="Calibri Light" w:cs="Calibri Light"/>
          <w:sz w:val="24"/>
          <w:szCs w:val="24"/>
        </w:rPr>
        <w:t>.</w:t>
      </w:r>
    </w:p>
    <w:p w:rsidR="005E5EF8" w:rsidRDefault="005E5EF8" w:rsidP="005E5EF8">
      <w:pPr>
        <w:spacing w:before="120" w:after="120"/>
        <w:ind w:left="426"/>
        <w:jc w:val="both"/>
        <w:rPr>
          <w:rFonts w:ascii="Calibri Light" w:hAnsi="Calibri Light" w:cs="Calibri Light"/>
          <w:sz w:val="24"/>
          <w:szCs w:val="24"/>
        </w:rPr>
      </w:pPr>
      <w:r w:rsidRPr="005E5EF8">
        <w:rPr>
          <w:rFonts w:ascii="Calibri Light" w:hAnsi="Calibri Light" w:cs="Calibri Light"/>
          <w:sz w:val="24"/>
          <w:szCs w:val="24"/>
        </w:rPr>
        <w:t>Based on these findings, this study aims to provide a comprehensive overview of the evolving research landscape on Basel Accords and Islamic banking, identifying gaps in the literature that could inform future studies. Some key research questions guiding this study include: What has the annual distribution of publications related to Basel Accords and Islamic banking been over the past decade? Which journals and authors have been the most influential in this field? Which countries have contributed the most research on the intersection of Basel regulations and Islamic finance? What primary research keywords have shaped academic discussions in this domain? By addressing these questions, this study will offer valuable insights for academics, policymakers, and financial professionals, helping them understand current developments and future directions in integrating international banking regulations with the principles of Islamic finance.</w:t>
      </w:r>
    </w:p>
    <w:p w:rsidR="008C45DE" w:rsidRPr="00122F5F" w:rsidRDefault="008C45DE" w:rsidP="008C45DE">
      <w:pPr>
        <w:spacing w:before="120" w:after="120"/>
        <w:ind w:left="426" w:firstLine="709"/>
        <w:jc w:val="both"/>
        <w:rPr>
          <w:rFonts w:ascii="Calibri Light" w:hAnsi="Calibri Light" w:cs="Calibri Light"/>
          <w:color w:val="FF0000"/>
          <w:sz w:val="24"/>
          <w:szCs w:val="24"/>
          <w:lang w:val="id-ID"/>
        </w:rPr>
      </w:pPr>
    </w:p>
    <w:p w:rsidR="00D26ADD" w:rsidRPr="00122F5F" w:rsidRDefault="00334792" w:rsidP="00540F02">
      <w:pPr>
        <w:numPr>
          <w:ilvl w:val="0"/>
          <w:numId w:val="15"/>
        </w:numPr>
        <w:autoSpaceDE/>
        <w:autoSpaceDN/>
        <w:spacing w:before="120" w:after="120"/>
        <w:ind w:left="426" w:hanging="219"/>
        <w:rPr>
          <w:rFonts w:ascii="Calibri Light" w:hAnsi="Calibri Light" w:cs="Calibri Light"/>
          <w:b/>
          <w:sz w:val="24"/>
          <w:szCs w:val="24"/>
          <w:lang w:val="id-ID"/>
        </w:rPr>
      </w:pPr>
      <w:r w:rsidRPr="00122F5F">
        <w:rPr>
          <w:rFonts w:ascii="Calibri Light" w:hAnsi="Calibri Light" w:cs="Calibri Light"/>
          <w:b/>
          <w:sz w:val="24"/>
          <w:szCs w:val="24"/>
          <w:lang w:val="id-ID"/>
        </w:rPr>
        <w:t>METHOD</w:t>
      </w:r>
    </w:p>
    <w:p w:rsidR="00E86264" w:rsidRPr="00E86264" w:rsidRDefault="00E86264" w:rsidP="00E86264">
      <w:pPr>
        <w:spacing w:before="120" w:after="120"/>
        <w:ind w:left="426"/>
        <w:jc w:val="both"/>
        <w:rPr>
          <w:rFonts w:ascii="Calibri Light" w:hAnsi="Calibri Light" w:cs="Calibri Light"/>
          <w:sz w:val="24"/>
          <w:szCs w:val="24"/>
        </w:rPr>
      </w:pPr>
      <w:r w:rsidRPr="00E86264">
        <w:rPr>
          <w:rFonts w:ascii="Calibri Light" w:hAnsi="Calibri Light" w:cs="Calibri Light"/>
          <w:sz w:val="24"/>
          <w:szCs w:val="24"/>
        </w:rPr>
        <w:t xml:space="preserve">This study conducted a bibliometric analysis using the Scopus database to extract research related to the Basel Accords and Islamic banking from 2015 to 2024. The search was performed using a carefully selected set of keywords to ensure comprehensive coverage, including "Basel Accords," "Islamic Banking," "Risk Management," "Shariah," and others. The scope of the bibliometric analysis was refined by applying disciplinary filters, ensuring that only studies published in the fields of economics and business were </w:t>
      </w:r>
      <w:r w:rsidRPr="00E86264">
        <w:rPr>
          <w:rFonts w:ascii="Calibri Light" w:hAnsi="Calibri Light" w:cs="Calibri Light"/>
          <w:sz w:val="24"/>
          <w:szCs w:val="24"/>
        </w:rPr>
        <w:lastRenderedPageBreak/>
        <w:t xml:space="preserve">included (ECON, BUSI), scientific articles (Article Type), English-language publications, The analysis was limited to English-language publications primarily because the vast majority of peer-reviewed articles indexed in Scopus are published in English. English is the dominant language of academic communication, especially in economics and finance. This criterion was applied to maintain consistency and ensure access to the most widely cited and internationally recognized research and peer-reviewed journals </w:t>
      </w:r>
      <w:r w:rsidR="00E15343">
        <w:rPr>
          <w:rFonts w:ascii="Calibri Light" w:hAnsi="Calibri Light" w:cs="Calibri Light"/>
          <w:sz w:val="24"/>
          <w:szCs w:val="24"/>
        </w:rPr>
        <w:fldChar w:fldCharType="begin" w:fldLock="1"/>
      </w:r>
      <w:r w:rsidR="002E383A">
        <w:rPr>
          <w:rFonts w:ascii="Calibri Light" w:hAnsi="Calibri Light" w:cs="Calibri Light"/>
          <w:sz w:val="24"/>
          <w:szCs w:val="24"/>
        </w:rPr>
        <w:instrText>ADDIN CSL_CITATION {"citationItems":[{"id":"ITEM-1","itemData":{"DOI":"10.4197/Islec.36-1.5","ISSN":"10187383 (ISSN)","abstract":"The term Islamic in Islamic banking naturally raises the question of what this word adds to the concept and practice of banking? The early literature on Islamic economics raised the bar of expectations and envisioned Islamic banking as distinct from conventional banking by avoiding interest in letters and spirit. Interest-based banking was thought to suffer from exclusion, inequality, injustice, misallocation of capital resources and concentration of capital. It was thought that Islamic banking, while avoiding interest, would be more inclusive, equitable, and fair and would result in a broad allocation of resources without the exclusionary criterion of a fixed cost of capital. It was also thought that this new banking system would reduce income and wealth inequalities and control the concentration of wealth. Today, after two decades of Islamic banking in Pakistan, it is pertinent to assess the progress and performance of these ideals. This study evaluates Islamic banking in terms of inclusiveness, competitiveness, and equity. The economic assessment shows that Islamic banks have secured financial inclusion for those who wish to avoid ribā. However, concerted efforts are needed to improve competitiveness and distinction regarding distributional impact of Islamic financial products © 2023, Journal of King Abdulaziz University, Islamic Economics.All Rights Reserved.","author":[{"dropping-particle":"","family":"Shaikh","given":"S A","non-dropping-particle":"","parse-names":false,"suffix":""}],"container-title":"Journal of King Abdulaziz University, Islamic Economics","id":"ITEM-1","issue":"1","issued":{"date-parts":[["2023"]]},"language":"English","page":"91-111","publisher":"King Abdulaziz University Scientific Publishing Center","publisher-place":"SZABIST University, Karachi, Pakistan","title":"Economic Evaluation of Islamic Banking in Pakistan","type":"article-journal","volume":"36"},"uris":["http://www.mendeley.com/documents/?uuid=b28f6ee3-fb0d-484b-bfc5-a1911b1ad210"]}],"mendeley":{"formattedCitation":"(Shaikh, 2023)","plainTextFormattedCitation":"(Shaikh, 2023)","previouslyFormattedCitation":"(Shaikh, 2023)"},"properties":{"noteIndex":0},"schema":"https://github.com/citation-style-language/schema/raw/master/csl-citation.json"}</w:instrText>
      </w:r>
      <w:r w:rsidR="00E15343">
        <w:rPr>
          <w:rFonts w:ascii="Calibri Light" w:hAnsi="Calibri Light" w:cs="Calibri Light"/>
          <w:sz w:val="24"/>
          <w:szCs w:val="24"/>
        </w:rPr>
        <w:fldChar w:fldCharType="separate"/>
      </w:r>
      <w:r w:rsidR="00E15343" w:rsidRPr="00E15343">
        <w:rPr>
          <w:rFonts w:ascii="Calibri Light" w:hAnsi="Calibri Light" w:cs="Calibri Light"/>
          <w:noProof/>
          <w:sz w:val="24"/>
          <w:szCs w:val="24"/>
        </w:rPr>
        <w:t>(</w:t>
      </w:r>
      <w:hyperlink w:anchor="Shaikh" w:history="1">
        <w:r w:rsidR="00E15343" w:rsidRPr="00A47ADB">
          <w:rPr>
            <w:rStyle w:val="Hyperlink"/>
            <w:rFonts w:ascii="Calibri Light" w:hAnsi="Calibri Light" w:cs="Calibri Light"/>
            <w:noProof/>
            <w:sz w:val="24"/>
            <w:szCs w:val="24"/>
          </w:rPr>
          <w:t>Shaikh</w:t>
        </w:r>
      </w:hyperlink>
      <w:r w:rsidR="00E15343" w:rsidRPr="00E15343">
        <w:rPr>
          <w:rFonts w:ascii="Calibri Light" w:hAnsi="Calibri Light" w:cs="Calibri Light"/>
          <w:noProof/>
          <w:sz w:val="24"/>
          <w:szCs w:val="24"/>
        </w:rPr>
        <w:t>, 2023)</w:t>
      </w:r>
      <w:r w:rsidR="00E15343">
        <w:rPr>
          <w:rFonts w:ascii="Calibri Light" w:hAnsi="Calibri Light" w:cs="Calibri Light"/>
          <w:sz w:val="24"/>
          <w:szCs w:val="24"/>
        </w:rPr>
        <w:fldChar w:fldCharType="end"/>
      </w:r>
      <w:r w:rsidRPr="00E86264">
        <w:rPr>
          <w:rFonts w:ascii="Calibri Light" w:hAnsi="Calibri Light" w:cs="Calibri Light"/>
          <w:sz w:val="24"/>
          <w:szCs w:val="24"/>
        </w:rPr>
        <w:t>.</w:t>
      </w:r>
    </w:p>
    <w:p w:rsidR="00E86264" w:rsidRDefault="00E86264" w:rsidP="00E86264">
      <w:pPr>
        <w:spacing w:before="120" w:after="120"/>
        <w:ind w:left="426"/>
        <w:jc w:val="both"/>
        <w:rPr>
          <w:rFonts w:ascii="Calibri Light" w:hAnsi="Calibri Light" w:cs="Calibri Light"/>
          <w:sz w:val="24"/>
          <w:szCs w:val="24"/>
        </w:rPr>
      </w:pPr>
      <w:r w:rsidRPr="00E86264">
        <w:rPr>
          <w:rFonts w:ascii="Calibri Light" w:hAnsi="Calibri Light" w:cs="Calibri Light"/>
          <w:sz w:val="24"/>
          <w:szCs w:val="24"/>
        </w:rPr>
        <w:t xml:space="preserve">In the initial stage, the search in Scopus yielded 3,511 records, highlighting the substantial volume of research in the Basel Accords and Islamic banking domain. Several filters were applied within Scopus to refine the dataset. Following this, three independent researchers manually screened titles and abstracts to ensure relevance to the intersection of Basel regulations and Islamic finance. Specific exclusion criteria were applied: studies were excluded if they focused solely on Basel without reference to Islamic banking, or vice versa; duplicates and publications outside the defined subject areas were also removed </w:t>
      </w:r>
      <w:r w:rsidR="00E15343">
        <w:rPr>
          <w:rFonts w:ascii="Calibri Light" w:hAnsi="Calibri Light" w:cs="Calibri Light"/>
          <w:sz w:val="24"/>
          <w:szCs w:val="24"/>
        </w:rPr>
        <w:fldChar w:fldCharType="begin" w:fldLock="1"/>
      </w:r>
      <w:r w:rsidR="00E15343">
        <w:rPr>
          <w:rFonts w:ascii="Calibri Light" w:hAnsi="Calibri Light" w:cs="Calibri Light"/>
          <w:sz w:val="24"/>
          <w:szCs w:val="24"/>
        </w:rPr>
        <w:instrText>ADDIN CSL_CITATION {"citationItems":[{"id":"ITEM-1","itemData":{"DOI":"10.69526/bir.v3i1.163","author":[{"dropping-particle":"","family":"Shakilla","given":"Uwase","non-dropping-particle":"","parse-names":false,"suffix":""},{"dropping-particle":"","family":"Elbanna","given":"Mariam","non-dropping-particle":"","parse-names":false,"suffix":""}],"container-title":"Bulletin of Islamic Research","id":"ITEM-1","issue":"1","issued":{"date-parts":[["2025"]]},"page":"25-42","title":"Managing Consumer Emotions Post-Recall : A Behavioral Analysis of Psychological Reactions and Long-Term Brand Perception","type":"article-journal","volume":"3"},"uris":["http://www.mendeley.com/documents/?uuid=27512f3b-61eb-437f-83c8-90b76625e3b7"]}],"mendeley":{"formattedCitation":"(Shakilla &amp; Elbanna, 2025)","plainTextFormattedCitation":"(Shakilla &amp; Elbanna, 2025)","previouslyFormattedCitation":"(Shakilla &amp; Elbanna, 2025)"},"properties":{"noteIndex":0},"schema":"https://github.com/citation-style-language/schema/raw/master/csl-citation.json"}</w:instrText>
      </w:r>
      <w:r w:rsidR="00E15343">
        <w:rPr>
          <w:rFonts w:ascii="Calibri Light" w:hAnsi="Calibri Light" w:cs="Calibri Light"/>
          <w:sz w:val="24"/>
          <w:szCs w:val="24"/>
        </w:rPr>
        <w:fldChar w:fldCharType="separate"/>
      </w:r>
      <w:r w:rsidR="00E15343" w:rsidRPr="00E15343">
        <w:rPr>
          <w:rFonts w:ascii="Calibri Light" w:hAnsi="Calibri Light" w:cs="Calibri Light"/>
          <w:noProof/>
          <w:sz w:val="24"/>
          <w:szCs w:val="24"/>
        </w:rPr>
        <w:t>(</w:t>
      </w:r>
      <w:hyperlink w:anchor="Shakilla" w:history="1">
        <w:r w:rsidR="00E15343" w:rsidRPr="00A47ADB">
          <w:rPr>
            <w:rStyle w:val="Hyperlink"/>
            <w:rFonts w:ascii="Calibri Light" w:hAnsi="Calibri Light" w:cs="Calibri Light"/>
            <w:noProof/>
            <w:sz w:val="24"/>
            <w:szCs w:val="24"/>
          </w:rPr>
          <w:t>Shakilla &amp; Elbanna</w:t>
        </w:r>
      </w:hyperlink>
      <w:r w:rsidR="00E15343" w:rsidRPr="00E15343">
        <w:rPr>
          <w:rFonts w:ascii="Calibri Light" w:hAnsi="Calibri Light" w:cs="Calibri Light"/>
          <w:noProof/>
          <w:sz w:val="24"/>
          <w:szCs w:val="24"/>
        </w:rPr>
        <w:t>, 2025)</w:t>
      </w:r>
      <w:r w:rsidR="00E15343">
        <w:rPr>
          <w:rFonts w:ascii="Calibri Light" w:hAnsi="Calibri Light" w:cs="Calibri Light"/>
          <w:sz w:val="24"/>
          <w:szCs w:val="24"/>
        </w:rPr>
        <w:fldChar w:fldCharType="end"/>
      </w:r>
      <w:r w:rsidRPr="00E86264">
        <w:rPr>
          <w:rFonts w:ascii="Calibri Light" w:hAnsi="Calibri Light" w:cs="Calibri Light"/>
          <w:sz w:val="24"/>
          <w:szCs w:val="24"/>
        </w:rPr>
        <w:t xml:space="preserve">. In the eligibility phase, full-text articles were reviewed to confirm alignment with the research objectives. After this multi-stage selection process, 1,149 studies were retained for the final bibliometric analysis, representing this field's most relevant and high-quality contributions </w:t>
      </w:r>
      <w:r w:rsidR="002E383A">
        <w:rPr>
          <w:rFonts w:ascii="Calibri Light" w:hAnsi="Calibri Light" w:cs="Calibri Light"/>
          <w:sz w:val="24"/>
          <w:szCs w:val="24"/>
        </w:rPr>
        <w:fldChar w:fldCharType="begin" w:fldLock="1"/>
      </w:r>
      <w:r w:rsidR="003A66C6">
        <w:rPr>
          <w:rFonts w:ascii="Calibri Light" w:hAnsi="Calibri Light" w:cs="Calibri Light"/>
          <w:sz w:val="24"/>
          <w:szCs w:val="24"/>
        </w:rPr>
        <w:instrText>ADDIN CSL_CITATION {"citationItems":[{"id":"ITEM-1","itemData":{"DOI":"10.1108/QRFM-10-2022-0173","ISSN":"17554179 (ISSN)","abstract":"Purpose: This study aims to explore the prospects of istijrar financing in the Islamic banking of Bangladesh. Istijrar is a supply sale contract that facilitates recurrent transactions under a master agreement without needing a deal-to-deal agreement. Murabahah financing in Bangladesh is being criticized for Shari’ah violations, which can be minimized if istijrar financing is integrated and applied. Design/methodology/approach: The study uses a qualitative approach, primarily using a semistructured interview method to collect the primary data. The study conducted 13 one-to-one interviews with leading Islamic banking experts in the country, including Shari’ah scholars, Islamic bankers and regulators. Besides, the study consults with classical and contemporary fiqhi sources to realize the status of istijrar sale in Islamic law. Thematic analysis is performed to explore the qualitative data. Findings: The study finds that istijrar financing has great prospects in the Islamic banking of Bangladesh. Istijrar is applicable in consumer financing and can be offered as an alternative or supplement to murabahah. Also, postimport murabahah financing can be structured with istijrar, while it can also be used in export financing. Besides, a few challenges should be dealt with before offering istijrar, such as proper structure, lack of literacy, stakeholders’ awareness, Shari’ah and regulatory approval and alignment with the law of the land. Practical implications: Murabahah financing is dominant on the asset side of Islamic banks’ balance sheets in Bangladesh. Murabahah practice in Bangladesh is frequently criticized for some possible Shari’ah violations. Also, more documents are needed for each murabahah operation, which eventually accelerates the costs. Applying istijrar would minimize these issues as it does not require a new contract for each deal. Multiple supplies can be done under a single agreement. Besides, istijrar reduces documentation hassle and transaction costs. Istijrar would be an easy practice and benefit the bank and its clients. Originality/value: This study contributes to the body of knowledge and the Islamic banking industry. The existing studies have not adequately addressed the potential of istijrar in Islamic banking. In addition, this study will be an eye-opener for Islamic bankers to develop new products with istijrar. © 2023, Emerald Publishing Limited.","author":[{"dropping-particle":"","family":"Rahman","given":"M H","non-dropping-particle":"","parse-names":false,"suffix":""},{"dropping-particle":"","family":"Chowdhury","given":"N.M.S.I.","non-dropping-particle":"","parse-names":false,"suffix":""}],"container-title":"Qualitative Research in Financial Markets","id":"ITEM-1","issue":"1","issued":{"date-parts":[["2024"]]},"language":"English","page":"135-158","publisher":"Emerald Publishing","publisher-place":"Faculty of Business and Management, Universiti Sultan Zainal Abidin (UniSZA), Kuala Terengganu, Malaysia","title":"The prospects of istijrar financing in Islamic banking: an exploratory study in Bangladesh","type":"article-journal","volume":"16"},"uris":["http://www.mendeley.com/documents/?uuid=d31c0a0f-33d8-4754-93f9-cecf05cb8296"]}],"mendeley":{"formattedCitation":"(Rahman &amp; Chowdhury, 2024)","plainTextFormattedCitation":"(Rahman &amp; Chowdhury, 2024)","previouslyFormattedCitation":"(Rahman &amp; Chowdhury, 2024)"},"properties":{"noteIndex":0},"schema":"https://github.com/citation-style-language/schema/raw/master/csl-citation.json"}</w:instrText>
      </w:r>
      <w:r w:rsidR="002E383A">
        <w:rPr>
          <w:rFonts w:ascii="Calibri Light" w:hAnsi="Calibri Light" w:cs="Calibri Light"/>
          <w:sz w:val="24"/>
          <w:szCs w:val="24"/>
        </w:rPr>
        <w:fldChar w:fldCharType="separate"/>
      </w:r>
      <w:r w:rsidR="002E383A" w:rsidRPr="002E383A">
        <w:rPr>
          <w:rFonts w:ascii="Calibri Light" w:hAnsi="Calibri Light" w:cs="Calibri Light"/>
          <w:noProof/>
          <w:sz w:val="24"/>
          <w:szCs w:val="24"/>
        </w:rPr>
        <w:t>(</w:t>
      </w:r>
      <w:hyperlink w:anchor="Rahman" w:history="1">
        <w:r w:rsidR="002E383A" w:rsidRPr="00A47ADB">
          <w:rPr>
            <w:rStyle w:val="Hyperlink"/>
            <w:rFonts w:ascii="Calibri Light" w:hAnsi="Calibri Light" w:cs="Calibri Light"/>
            <w:noProof/>
            <w:sz w:val="24"/>
            <w:szCs w:val="24"/>
          </w:rPr>
          <w:t>Rahman &amp; Chowdhury</w:t>
        </w:r>
      </w:hyperlink>
      <w:r w:rsidR="002E383A" w:rsidRPr="002E383A">
        <w:rPr>
          <w:rFonts w:ascii="Calibri Light" w:hAnsi="Calibri Light" w:cs="Calibri Light"/>
          <w:noProof/>
          <w:sz w:val="24"/>
          <w:szCs w:val="24"/>
        </w:rPr>
        <w:t>, 2024)</w:t>
      </w:r>
      <w:r w:rsidR="002E383A">
        <w:rPr>
          <w:rFonts w:ascii="Calibri Light" w:hAnsi="Calibri Light" w:cs="Calibri Light"/>
          <w:sz w:val="24"/>
          <w:szCs w:val="24"/>
        </w:rPr>
        <w:fldChar w:fldCharType="end"/>
      </w:r>
      <w:r w:rsidRPr="00E86264">
        <w:rPr>
          <w:rFonts w:ascii="Calibri Light" w:hAnsi="Calibri Light" w:cs="Calibri Light"/>
          <w:sz w:val="24"/>
          <w:szCs w:val="24"/>
        </w:rPr>
        <w:t>.</w:t>
      </w:r>
    </w:p>
    <w:p w:rsidR="00E86264" w:rsidRDefault="00E86264" w:rsidP="00E86264">
      <w:pPr>
        <w:spacing w:before="120" w:after="120"/>
        <w:ind w:left="426"/>
        <w:jc w:val="both"/>
        <w:rPr>
          <w:rFonts w:ascii="Calibri Light" w:hAnsi="Calibri Light" w:cs="Calibri Light"/>
          <w:sz w:val="24"/>
          <w:szCs w:val="24"/>
        </w:rPr>
      </w:pPr>
      <w:r w:rsidRPr="00E86264">
        <w:rPr>
          <w:rFonts w:ascii="Calibri Light" w:hAnsi="Calibri Light" w:cs="Calibri Light"/>
          <w:sz w:val="24"/>
          <w:szCs w:val="24"/>
        </w:rPr>
        <w:t>TITLE-ABS-KEY ( "Basel Accords" OR "Islamic banking" ) AND ( LIMIT-TO ( PUBYEAR , 2015 ) OR LIMIT-TO ( PUBYEAR , 2016 ) OR LIMIT-TO ( PUBYEAR , 2017 ) OR LIMIT-TO ( PUBYEAR , 2018 ) OR LIMIT-TO ( PUBYEAR , 2019 ) OR LIMIT-TO ( PUBYEAR , 2020 ) OR LIMIT-TO ( PUBYEAR , 2021 ) OR LIMIT-TO ( PUBYEAR , 2022 ) OR LIMIT-TO ( PUBYEAR , 2023 ) OR LIMIT-TO ( PUBYEAR , 2024 ) ) AND ( LIMIT-TO ( SUBJAREA , "ECON" ) OR LIMIT-TO ( SUBJAREA , "BUSI" ) ) AND ( LIMIT-TO ( DOCTYPE , "ar" ) ) AND ( LIMIT-TO ( LANGUAGE , "English" ) ) AND ( LIMIT-TO ( SRCTYPE , "j" ) ) AND ( LIMIT-TO ( EXACTKEYWORD , "Basel Accords" ) OR LIMIT-TO ( EXACTKEYWORD , "Basel Accord" ) OR LIMIT-TO ( EXACTKEYWORD , "Islamic Bank" ) OR LIMIT-TO ( EXACTKEYWORD , "Banking" ) OR LIMIT-TO ( EXACTKEYWORD , "Islamic Finance" ) OR LIMIT-TO ( EXACTKEYWORD , "Islamic Banks" ) OR LIMIT-TO ( EXACTKEYWORD , "Islamic Banking" ) OR LIMIT-TO ( EXACTKEYWORD , "Indonesia" ) OR LIMIT-TO ( EXACTKEYWORD , "Malaysia" ) OR LIMIT-TO ( EXACTKEYWORD , "Risk Management" ) OR LIMIT-TO ( EXACTKEYWORD , "Trust" ) OR LIMIT-TO ( EXACTKEYWORD , "Islamic Banking And Finance" ) OR LIMIT-TO ( EXACTKEYWORD , "Liquidity Risk" ) OR LIMIT-TO ( EXACTKEYWORD , "Basel III" ) OR LIMIT-TO ( EXACTKEYWORD , "Islamic Marketing" ) OR LIMIT-TO ( EXACTKEYWORD , "Risk" ) OR LIMIT-TO ( EXACTKEYWORD , "Shariah" ) OR LIMIT-TO ( EXACTKEYWORD , "Islamic Economics" ) OR LIMIT-TO ( EXACTKEYWORD , "Sharia" ) OR LIMIT-TO ( EXACTKEYWORD , "Systemic Risk" ) )</w:t>
      </w:r>
    </w:p>
    <w:p w:rsidR="00E86264" w:rsidRDefault="00E86264" w:rsidP="00E86264">
      <w:pPr>
        <w:spacing w:before="120" w:after="120"/>
        <w:ind w:left="426"/>
        <w:jc w:val="both"/>
        <w:rPr>
          <w:rFonts w:ascii="Calibri Light" w:hAnsi="Calibri Light" w:cs="Calibri Light"/>
          <w:sz w:val="24"/>
          <w:szCs w:val="24"/>
        </w:rPr>
      </w:pPr>
      <w:r w:rsidRPr="00E86264">
        <w:rPr>
          <w:rFonts w:ascii="Calibri Light" w:hAnsi="Calibri Light" w:cs="Calibri Light"/>
          <w:sz w:val="24"/>
          <w:szCs w:val="24"/>
        </w:rPr>
        <w:t>The analysis followed the PRISMA Framework to ensure transparency and accuracy in study selection. This methodology provides a clear insight into the development of research on the Basel Accords and Islamic banking over the last decade, helping to understand research shifts and the key topics that have been the focus of academic discourse in this field. These criteria were comprehensively detailed in Figure 1 within the PRISMA framework section, where key parameters</w:t>
      </w:r>
      <w:r w:rsidR="00A60445">
        <w:rPr>
          <w:rFonts w:ascii="Calibri Light" w:hAnsi="Calibri Light" w:cs="Calibri Light"/>
          <w:sz w:val="24"/>
          <w:szCs w:val="24"/>
        </w:rPr>
        <w:t xml:space="preserve">, </w:t>
      </w:r>
      <w:r w:rsidRPr="00E86264">
        <w:rPr>
          <w:rFonts w:ascii="Calibri Light" w:hAnsi="Calibri Light" w:cs="Calibri Light"/>
          <w:sz w:val="24"/>
          <w:szCs w:val="24"/>
        </w:rPr>
        <w:t>including language, subject areas, and publication years</w:t>
      </w:r>
      <w:r w:rsidR="00A60445">
        <w:rPr>
          <w:rFonts w:ascii="Calibri Light" w:hAnsi="Calibri Light" w:cs="Calibri Light"/>
          <w:sz w:val="24"/>
          <w:szCs w:val="24"/>
        </w:rPr>
        <w:t xml:space="preserve">, </w:t>
      </w:r>
      <w:r w:rsidRPr="00E86264">
        <w:rPr>
          <w:rFonts w:ascii="Calibri Light" w:hAnsi="Calibri Light" w:cs="Calibri Light"/>
          <w:sz w:val="24"/>
          <w:szCs w:val="24"/>
        </w:rPr>
        <w:t xml:space="preserve">were explicitly specified. The analysis was conducted using </w:t>
      </w:r>
      <w:r w:rsidRPr="00E86264">
        <w:rPr>
          <w:rFonts w:ascii="Calibri Light" w:hAnsi="Calibri Light" w:cs="Calibri Light"/>
          <w:sz w:val="24"/>
          <w:szCs w:val="24"/>
        </w:rPr>
        <w:lastRenderedPageBreak/>
        <w:t xml:space="preserve">VOSviewer version 1.6.19, with a minimum keyword occurrence set at 5, and clusters generated using the LinLog/modularity algorithm. While citation counts and average citations per year were included as impact metrics, the omission of h-index and </w:t>
      </w:r>
      <w:r w:rsidR="00AC397B" w:rsidRPr="007923B1">
        <w:rPr>
          <w:rFonts w:ascii="Calibri" w:eastAsia="Calibri" w:hAnsi="Calibri" w:cs="Arial"/>
          <w:noProof/>
          <w:sz w:val="22"/>
          <w:szCs w:val="22"/>
          <w:lang w:val="en-AU" w:eastAsia="en-US"/>
        </w:rPr>
        <mc:AlternateContent>
          <mc:Choice Requires="wps">
            <w:drawing>
              <wp:anchor distT="0" distB="0" distL="114300" distR="114300" simplePos="0" relativeHeight="251810304" behindDoc="0" locked="0" layoutInCell="1" allowOverlap="1" wp14:anchorId="4D5EC747" wp14:editId="480FBBE5">
                <wp:simplePos x="0" y="0"/>
                <wp:positionH relativeFrom="column">
                  <wp:posOffset>649817</wp:posOffset>
                </wp:positionH>
                <wp:positionV relativeFrom="paragraph">
                  <wp:posOffset>801370</wp:posOffset>
                </wp:positionV>
                <wp:extent cx="4622800" cy="381000"/>
                <wp:effectExtent l="38100" t="38100" r="63500" b="76200"/>
                <wp:wrapNone/>
                <wp:docPr id="29" name="Flowchart: Alternate Process 29"/>
                <wp:cNvGraphicFramePr/>
                <a:graphic xmlns:a="http://schemas.openxmlformats.org/drawingml/2006/main">
                  <a:graphicData uri="http://schemas.microsoft.com/office/word/2010/wordprocessingShape">
                    <wps:wsp>
                      <wps:cNvSpPr/>
                      <wps:spPr>
                        <a:xfrm>
                          <a:off x="0" y="0"/>
                          <a:ext cx="4622800" cy="381000"/>
                        </a:xfrm>
                        <a:prstGeom prst="flowChartAlternateProcess">
                          <a:avLst/>
                        </a:prstGeom>
                        <a:gradFill rotWithShape="1">
                          <a:gsLst>
                            <a:gs pos="0">
                              <a:srgbClr val="D8B25C"/>
                            </a:gs>
                            <a:gs pos="90000">
                              <a:srgbClr val="D8B25C">
                                <a:shade val="100000"/>
                              </a:srgbClr>
                            </a:gs>
                            <a:gs pos="100000">
                              <a:srgbClr val="D8B25C">
                                <a:shade val="85000"/>
                              </a:srgbClr>
                            </a:gs>
                          </a:gsLst>
                          <a:path path="circle">
                            <a:fillToRect l="100000" t="100000" r="100000" b="100000"/>
                          </a:path>
                        </a:gradFill>
                        <a:ln w="10000" cap="flat" cmpd="sng" algn="ctr">
                          <a:solidFill>
                            <a:srgbClr val="D8B25C"/>
                          </a:solidFill>
                          <a:prstDash val="solid"/>
                        </a:ln>
                        <a:effectLst>
                          <a:outerShdw blurRad="38100" dist="17779" dir="5400000" rotWithShape="0">
                            <a:srgbClr val="000000">
                              <a:alpha val="40000"/>
                            </a:srgbClr>
                          </a:outerShdw>
                        </a:effectLst>
                      </wps:spPr>
                      <wps:txbx>
                        <w:txbxContent>
                          <w:p w:rsidR="00E86264" w:rsidRPr="00D813BC" w:rsidRDefault="00E86264" w:rsidP="00E86264">
                            <w:pPr>
                              <w:jc w:val="center"/>
                              <w:rPr>
                                <w:rFonts w:ascii="Calibri Light" w:hAnsi="Calibri Light" w:cs="Calibri Light"/>
                                <w:b/>
                                <w:color w:val="000000"/>
                                <w:sz w:val="28"/>
                                <w:szCs w:val="28"/>
                              </w:rPr>
                            </w:pPr>
                            <w:r w:rsidRPr="00D813BC">
                              <w:rPr>
                                <w:rFonts w:ascii="Calibri Light" w:hAnsi="Calibri Light" w:cs="Calibri Light"/>
                                <w:b/>
                                <w:color w:val="000000"/>
                                <w:sz w:val="28"/>
                                <w:szCs w:val="28"/>
                              </w:rPr>
                              <w:t>Prisma framework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D5EC747"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Flowchart: Alternate Process 29" o:spid="_x0000_s1026" type="#_x0000_t176" style="position:absolute;left:0;text-align:left;margin-left:51.15pt;margin-top:63.1pt;width:364pt;height:30pt;z-index:251810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" fillcolor="#d8b25c" strokecolor="#d8b25c" strokeweight=".27778mm">
                <v:fill color2="#c9a555" rotate="t" focusposition="1,1" focussize="-1,-1" colors="0 #d8b25c;58982f #d8b25c;1 #c9a555" focus="100%" type="gradientRadial"/>
                <v:shadow on="t" color="black" opacity="26214f" origin=",.5" offset="0,.49386mm"/>
                <v:textbox>
                  <w:txbxContent>
                    <w:p w:rsidR="00E86264" w:rsidRPr="00D813BC" w:rsidRDefault="00E86264" w:rsidP="00E86264">
                      <w:pPr>
                        <w:jc w:val="center"/>
                        <w:rPr>
                          <w:rFonts w:ascii="Calibri Light" w:hAnsi="Calibri Light" w:cs="Calibri Light"/>
                          <w:b/>
                          <w:color w:val="000000"/>
                          <w:sz w:val="28"/>
                          <w:szCs w:val="28"/>
                        </w:rPr>
                      </w:pPr>
                      <w:r w:rsidRPr="00D813BC">
                        <w:rPr>
                          <w:rFonts w:ascii="Calibri Light" w:hAnsi="Calibri Light" w:cs="Calibri Light"/>
                          <w:b/>
                          <w:color w:val="000000"/>
                          <w:sz w:val="28"/>
                          <w:szCs w:val="28"/>
                        </w:rPr>
                        <w:t>Prisma framework</w:t>
                      </w:r>
                    </w:p>
                  </w:txbxContent>
                </v:textbox>
              </v:shape>
            </w:pict>
          </mc:Fallback>
        </mc:AlternateContent>
      </w:r>
      <w:r w:rsidRPr="00E86264">
        <w:rPr>
          <w:rFonts w:ascii="Calibri Light" w:hAnsi="Calibri Light" w:cs="Calibri Light"/>
          <w:sz w:val="24"/>
          <w:szCs w:val="24"/>
        </w:rPr>
        <w:t xml:space="preserve">altmetrics is acknowledged as a limitation of this study </w:t>
      </w:r>
      <w:r w:rsidR="009E6AF8">
        <w:rPr>
          <w:rFonts w:ascii="Calibri Light" w:hAnsi="Calibri Light" w:cs="Calibri Light"/>
          <w:sz w:val="24"/>
          <w:szCs w:val="24"/>
        </w:rPr>
        <w:fldChar w:fldCharType="begin" w:fldLock="1"/>
      </w:r>
      <w:r w:rsidR="009E6AF8">
        <w:rPr>
          <w:rFonts w:ascii="Calibri Light" w:hAnsi="Calibri Light" w:cs="Calibri Light"/>
          <w:sz w:val="24"/>
          <w:szCs w:val="24"/>
        </w:rPr>
        <w:instrText>ADDIN CSL_CITATION {"citationItems":[{"id":"ITEM-1","itemData":{"DOI":"10.59683/ijls.v3i3.90","ISSN":"28279042","abstract":"This study explores the application of Qur'anic human rights principles in Egypt and Indonesia, focusing on how Islamic teachings are integrated into modern legal systems amidst different cultural, political, and historical contexts. The study investigates the balance between universal human rights standards and Islamic jurisprudence, identifying variations in the interpretation and application of these principles in both countries. The PRISMA framework was used as the basis for the method, ensuring a systematic and transparent approach to reviewing legal texts, academic literature, and case studies. The technique began by identifying sources relevant to applying human rights law in the context of Islamic teachings in Egypt and Indonesia. A focused search was conducted using Web of Science and Scopus databases, targeting articles published between 2014 and 2024. Inclusion criteria ensured that the study analyzed recent and high-quality research on the intersection of Qur'anic principles and international human rights standards. The study shows that Egypt faces challenges in implementing Qur'anic teachings due to conservative interpretations that limit gender equality, freedom of expression, and freedom of religion. In contrast, Indonesia is more flexible by balancing Islamic principles with modern democratic values. This allows for a broader interpretation of Qur'anic principles, especially gender equality and religious freedom. The role of ijtihad in Indonesia is crucial in adapting Islamic law to contemporary human rights standards. This study highlights the complexity of aligning Islamic teachings with global human rights norms. It emphasizes the importance of revisiting traditional interpretations of the Qur'an to better align them with contemporary values of justice, equality, and human dignity, as well as ensuring respect for the human rights of all citizens.","author":[{"dropping-particle":"","family":"Nirwana","given":"A. N. Andri","non-dropping-particle":"","parse-names":false,"suffix":""},{"dropping-particle":"","family":"Elbanna","given":"Mariam","non-dropping-particle":"","parse-names":false,"suffix":""},{"dropping-particle":"","family":"Ismail","given":"Faisal Husen","non-dropping-particle":"","parse-names":false,"suffix":""},{"dropping-particle":"","family":"Daud","given":"Zainora","non-dropping-particle":"","parse-names":false,"suffix":""},{"dropping-particle":"","family":"Mohd Salleh","given":"Norsaleha","non-dropping-particle":"","parse-names":false,"suffix":""},{"dropping-particle":"","family":"Kirin","given":"Arwansyah","non-dropping-particle":"Bin","parse-names":false,"suffix":""},{"dropping-particle":"","family":"Marisa","given":"Siti Nurkhafifah","non-dropping-particle":"","parse-names":false,"suffix":""},{"dropping-particle":"","family":"Husein","given":"Muhammad Zakir","non-dropping-particle":"","parse-names":false,"suffix":""}],"container-title":"International Journal of Law and Society","id":"ITEM-1","issue":"3","issued":{"date-parts":[["2024"]]},"page":"173-186","title":"PRISMA-Based Study on Integrating Islamic Principles into Legal Systems: Human Rights in Egypt and Indonesia","type":"article-journal","volume":"3"},"uris":["http://www.mendeley.com/documents/?uuid=6af68a66-7a6e-4bab-bc62-9779824c65f6"]}],"mendeley":{"formattedCitation":"(Nirwana et al., 2024)","plainTextFormattedCitation":"(Nirwana et al., 2024)","previouslyFormattedCitation":"(Nirwana et al., 2024)"},"properties":{"noteIndex":0},"schema":"https://github.com/citation-style-language/schema/raw/master/csl-citation.json"}</w:instrText>
      </w:r>
      <w:r w:rsidR="009E6AF8">
        <w:rPr>
          <w:rFonts w:ascii="Calibri Light" w:hAnsi="Calibri Light" w:cs="Calibri Light"/>
          <w:sz w:val="24"/>
          <w:szCs w:val="24"/>
        </w:rPr>
        <w:fldChar w:fldCharType="separate"/>
      </w:r>
      <w:r w:rsidR="009E6AF8" w:rsidRPr="009E6AF8">
        <w:rPr>
          <w:rFonts w:ascii="Calibri Light" w:hAnsi="Calibri Light" w:cs="Calibri Light"/>
          <w:noProof/>
          <w:sz w:val="24"/>
          <w:szCs w:val="24"/>
        </w:rPr>
        <w:t>(</w:t>
      </w:r>
      <w:hyperlink w:anchor="Nirwana" w:history="1">
        <w:r w:rsidR="009E6AF8" w:rsidRPr="004231BE">
          <w:rPr>
            <w:rStyle w:val="Hyperlink"/>
            <w:rFonts w:ascii="Calibri Light" w:hAnsi="Calibri Light" w:cs="Calibri Light"/>
            <w:noProof/>
            <w:sz w:val="24"/>
            <w:szCs w:val="24"/>
          </w:rPr>
          <w:t>Nirwana et al.</w:t>
        </w:r>
      </w:hyperlink>
      <w:r w:rsidR="009E6AF8" w:rsidRPr="009E6AF8">
        <w:rPr>
          <w:rFonts w:ascii="Calibri Light" w:hAnsi="Calibri Light" w:cs="Calibri Light"/>
          <w:noProof/>
          <w:sz w:val="24"/>
          <w:szCs w:val="24"/>
        </w:rPr>
        <w:t>, 2024)</w:t>
      </w:r>
      <w:r w:rsidR="009E6AF8">
        <w:rPr>
          <w:rFonts w:ascii="Calibri Light" w:hAnsi="Calibri Light" w:cs="Calibri Light"/>
          <w:sz w:val="24"/>
          <w:szCs w:val="24"/>
        </w:rPr>
        <w:fldChar w:fldCharType="end"/>
      </w:r>
      <w:r w:rsidRPr="00E86264">
        <w:rPr>
          <w:rFonts w:ascii="Calibri Light" w:hAnsi="Calibri Light" w:cs="Calibri Light"/>
          <w:sz w:val="24"/>
          <w:szCs w:val="24"/>
        </w:rPr>
        <w:t>.</w:t>
      </w: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Default="00AC397B" w:rsidP="00E86264">
      <w:pPr>
        <w:autoSpaceDE/>
        <w:autoSpaceDN/>
        <w:rPr>
          <w:rFonts w:ascii="Calibri" w:eastAsia="Calibri" w:hAnsi="Calibri" w:cs="Arial"/>
          <w:sz w:val="22"/>
          <w:szCs w:val="22"/>
          <w:lang w:val="en-AU" w:eastAsia="en-US"/>
        </w:rPr>
      </w:pPr>
      <w:r>
        <w:rPr>
          <w:rFonts w:ascii="Calibri" w:eastAsia="Calibri" w:hAnsi="Calibri" w:cs="Arial"/>
          <w:noProof/>
          <w:sz w:val="22"/>
          <w:szCs w:val="22"/>
          <w:lang w:val="en-AU" w:eastAsia="en-US"/>
        </w:rPr>
        <mc:AlternateContent>
          <mc:Choice Requires="wpg">
            <w:drawing>
              <wp:anchor distT="0" distB="0" distL="114300" distR="114300" simplePos="0" relativeHeight="252121600" behindDoc="0" locked="0" layoutInCell="1" allowOverlap="1">
                <wp:simplePos x="0" y="0"/>
                <wp:positionH relativeFrom="column">
                  <wp:posOffset>22437</wp:posOffset>
                </wp:positionH>
                <wp:positionV relativeFrom="paragraph">
                  <wp:posOffset>21802</wp:posOffset>
                </wp:positionV>
                <wp:extent cx="6009005" cy="6637866"/>
                <wp:effectExtent l="0" t="0" r="0" b="0"/>
                <wp:wrapNone/>
                <wp:docPr id="1471984576" name="Group 35"/>
                <wp:cNvGraphicFramePr/>
                <a:graphic xmlns:a="http://schemas.openxmlformats.org/drawingml/2006/main">
                  <a:graphicData uri="http://schemas.microsoft.com/office/word/2010/wordprocessingGroup">
                    <wpg:wgp>
                      <wpg:cNvGrpSpPr/>
                      <wpg:grpSpPr>
                        <a:xfrm>
                          <a:off x="0" y="0"/>
                          <a:ext cx="6009005" cy="6637866"/>
                          <a:chOff x="0" y="0"/>
                          <a:chExt cx="6009217" cy="6638072"/>
                        </a:xfrm>
                      </wpg:grpSpPr>
                      <wps:wsp>
                        <wps:cNvPr id="1537352987" name="Rectangle 1537352987"/>
                        <wps:cNvSpPr/>
                        <wps:spPr>
                          <a:xfrm>
                            <a:off x="2887134" y="2616200"/>
                            <a:ext cx="2437130" cy="393065"/>
                          </a:xfrm>
                          <a:prstGeom prst="rect">
                            <a:avLst/>
                          </a:prstGeom>
                          <a:solidFill>
                            <a:srgbClr val="A5AB81">
                              <a:alpha val="50000"/>
                            </a:srgbClr>
                          </a:solidFill>
                          <a:ln>
                            <a:noFill/>
                          </a:ln>
                          <a:effectLst/>
                        </wps:spPr>
                        <wps:txbx>
                          <w:txbxContent>
                            <w:p w:rsidR="00E86264" w:rsidRPr="004349D3" w:rsidRDefault="00E86264" w:rsidP="00E86264">
                              <w:pPr>
                                <w:rPr>
                                  <w:rFonts w:ascii="Arial" w:hAnsi="Arial" w:cs="Arial"/>
                                  <w:b/>
                                  <w:bCs/>
                                  <w:color w:val="000000"/>
                                  <w:szCs w:val="22"/>
                                </w:rPr>
                              </w:pPr>
                              <w:r w:rsidRPr="004349D3">
                                <w:rPr>
                                  <w:rFonts w:ascii="Arial" w:hAnsi="Arial" w:cs="Arial"/>
                                  <w:b/>
                                  <w:bCs/>
                                  <w:color w:val="000000"/>
                                  <w:szCs w:val="22"/>
                                </w:rPr>
                                <w:t xml:space="preserve">            Limit to English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88586389" name="Rectangle 1388586389"/>
                        <wps:cNvSpPr/>
                        <wps:spPr>
                          <a:xfrm>
                            <a:off x="482600" y="3742266"/>
                            <a:ext cx="1887220" cy="526415"/>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rsidR="00E86264" w:rsidRPr="008A7B81" w:rsidRDefault="00E86264" w:rsidP="00E86264">
                              <w:pPr>
                                <w:rPr>
                                  <w:rFonts w:ascii="Arial" w:hAnsi="Arial" w:cs="Arial"/>
                                  <w:b/>
                                  <w:bCs/>
                                  <w:color w:val="FFFFFF" w:themeColor="background1"/>
                                  <w:sz w:val="18"/>
                                </w:rPr>
                              </w:pPr>
                              <w:r w:rsidRPr="001C3167">
                                <w:rPr>
                                  <w:rFonts w:ascii="Arial" w:hAnsi="Arial" w:cs="Arial"/>
                                  <w:color w:val="000000"/>
                                  <w:sz w:val="18"/>
                                </w:rPr>
                                <w:t xml:space="preserve">         </w:t>
                              </w:r>
                              <w:r w:rsidRPr="008A7B81">
                                <w:rPr>
                                  <w:rFonts w:ascii="Arial" w:hAnsi="Arial" w:cs="Arial"/>
                                  <w:b/>
                                  <w:bCs/>
                                  <w:color w:val="FFFFFF" w:themeColor="background1"/>
                                  <w:sz w:val="18"/>
                                </w:rPr>
                                <w:t>Subject area</w:t>
                              </w:r>
                            </w:p>
                            <w:p w:rsidR="00E86264" w:rsidRPr="001C3167" w:rsidRDefault="00E86264" w:rsidP="00E86264">
                              <w:pPr>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00144729" name="Rectangle 1100144729"/>
                        <wps:cNvSpPr/>
                        <wps:spPr>
                          <a:xfrm>
                            <a:off x="2980267" y="3183466"/>
                            <a:ext cx="3028950" cy="3454606"/>
                          </a:xfrm>
                          <a:prstGeom prst="rect">
                            <a:avLst/>
                          </a:prstGeom>
                          <a:solidFill>
                            <a:srgbClr val="A5AB81">
                              <a:alpha val="50000"/>
                            </a:srgbClr>
                          </a:solidFill>
                          <a:ln>
                            <a:noFill/>
                          </a:ln>
                          <a:effectLst/>
                        </wps:spPr>
                        <wps:txbx>
                          <w:txbxContent>
                            <w:p w:rsidR="00E86264" w:rsidRPr="00196C88" w:rsidRDefault="00E86264" w:rsidP="00E86264">
                              <w:pPr>
                                <w:rPr>
                                  <w:rFonts w:ascii="Arial" w:hAnsi="Arial" w:cs="Arial"/>
                                  <w:color w:val="000000"/>
                                  <w:sz w:val="18"/>
                                </w:rPr>
                              </w:pPr>
                              <w:r w:rsidRPr="00442774">
                                <w:rPr>
                                  <w:rFonts w:ascii="Arial" w:hAnsi="Arial" w:cs="Arial"/>
                                  <w:b/>
                                  <w:bCs/>
                                  <w:color w:val="000000"/>
                                  <w:sz w:val="18"/>
                                </w:rPr>
                                <w:t>TITLE-ABS-KEY ( "Basel Accords" OR "Islamic banking" )</w:t>
                              </w:r>
                              <w:r w:rsidRPr="001C3167">
                                <w:rPr>
                                  <w:rFonts w:ascii="Arial" w:hAnsi="Arial" w:cs="Arial"/>
                                  <w:color w:val="000000"/>
                                  <w:sz w:val="18"/>
                                </w:rPr>
                                <w:t xml:space="preserve"> </w:t>
                              </w:r>
                              <w:r w:rsidRPr="004D6C91">
                                <w:rPr>
                                  <w:rFonts w:ascii="Arial" w:hAnsi="Arial" w:cs="Arial"/>
                                  <w:color w:val="000000"/>
                                  <w:sz w:val="18"/>
                                </w:rPr>
                                <w:t>AND ( LIMIT-TO ( SUBJAREA , "ECON" ) OR LIMIT-TO ( SUBJAREA , "BUSI" ) ) AND ( LIMIT-TO ( DOCTYPE , "ar" ) ) AND ( LIMIT-TO ( LANGUAGE , "English" ) ) AND ( LIMIT-TO ( SRCTYPE , "j" ) ) AND ( LIMIT-TO ( EXACTKEYWORD , "Basel Accords" ) OR LIMIT-TO ( EXACTKEYWORD , "Basel Accord" ) OR LIMIT-TO ( EXACTKEYWORD , "Islamic Bank" ) OR LIMIT-TO ( EXACTKEYWORD , "Banking" ) OR LIMIT-TO ( EXACTKEYWORD , "Islamic Finance" ) OR LIMIT-TO ( EXACTKEYWORD , "Islamic Banks" ) OR LIMIT-TO ( EXACTKEYWORD , "Islamic Banking" ) OR LIMIT-TO ( EXACTKEYWORD , "Indonesia" ) OR LIMIT-TO ( EXACTKEYWORD , "Malaysia" ) OR LIMIT-TO ( EXACTKEYWORD , "Risk Management" ) OR LIMIT-TO ( EXACTKEYWORD , "Trust" ) OR LIMIT-TO ( EXACTKEYWORD , "Islamic Banking And Finance" ) OR LIMIT-TO ( EXACTKEYWORD , "Liquidity Risk" ) OR LIMIT-TO ( EXACTKEYWORD , "Basel III" ) OR LIMIT-TO ( EXACTKEYWORD , "Islamic Marketing" ) OR LIMIT-TO ( EXACTKEYWORD , "Risk" ) OR LIMIT-TO ( EXACTKEYWORD , "Shariah" ) OR LIMIT-TO ( EXACTKEYWORD , "Islamic Economics" ) OR LIMIT-TO ( EXACTKEYWORD , "Sharia" ) OR LIMIT-TO ( EXACTKEYWORD , "Systemic Risk" ) )</w:t>
                              </w:r>
                            </w:p>
                            <w:p w:rsidR="00E86264" w:rsidRPr="001C3167" w:rsidRDefault="00E86264" w:rsidP="00E86264">
                              <w:pPr>
                                <w:ind w:left="284"/>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4371197" name="Rectangle 214371197"/>
                        <wps:cNvSpPr/>
                        <wps:spPr>
                          <a:xfrm>
                            <a:off x="516467" y="5503333"/>
                            <a:ext cx="1752600" cy="857250"/>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rsidR="00E86264" w:rsidRPr="008A7B81" w:rsidRDefault="00E86264" w:rsidP="00E86264">
                              <w:pPr>
                                <w:rPr>
                                  <w:rFonts w:ascii="Arial" w:hAnsi="Arial" w:cs="Arial"/>
                                  <w:b/>
                                  <w:bCs/>
                                  <w:color w:val="FFFFFF" w:themeColor="background1"/>
                                  <w:sz w:val="18"/>
                                </w:rPr>
                              </w:pPr>
                              <w:r w:rsidRPr="008A7B81">
                                <w:rPr>
                                  <w:rFonts w:ascii="Arial" w:hAnsi="Arial" w:cs="Arial"/>
                                  <w:b/>
                                  <w:bCs/>
                                  <w:color w:val="FFFFFF" w:themeColor="background1"/>
                                  <w:sz w:val="18"/>
                                </w:rPr>
                                <w:t>Studies included in review</w:t>
                              </w:r>
                            </w:p>
                            <w:p w:rsidR="00E86264" w:rsidRPr="008A7B81" w:rsidRDefault="00E86264" w:rsidP="00E86264">
                              <w:pPr>
                                <w:rPr>
                                  <w:rFonts w:ascii="Arial" w:hAnsi="Arial" w:cs="Arial"/>
                                  <w:b/>
                                  <w:bCs/>
                                  <w:color w:val="FFFFFF" w:themeColor="background1"/>
                                  <w:sz w:val="18"/>
                                </w:rPr>
                              </w:pPr>
                              <w:r w:rsidRPr="008A7B81">
                                <w:rPr>
                                  <w:rFonts w:ascii="Arial" w:hAnsi="Arial" w:cs="Arial"/>
                                  <w:b/>
                                  <w:bCs/>
                                  <w:color w:val="FFFFFF" w:themeColor="background1"/>
                                  <w:sz w:val="18"/>
                                </w:rPr>
                                <w:t>(n = 1,149  )</w:t>
                              </w:r>
                            </w:p>
                            <w:p w:rsidR="00E86264" w:rsidRPr="001C3167" w:rsidRDefault="00E86264" w:rsidP="00E86264">
                              <w:pPr>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3968902" name="Straight Arrow Connector 613968902"/>
                        <wps:cNvCnPr/>
                        <wps:spPr>
                          <a:xfrm>
                            <a:off x="2396067" y="3983566"/>
                            <a:ext cx="563245" cy="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wps:wsp>
                        <wps:cNvPr id="2060321953" name="Flowchart: Alternate Process 2060321953"/>
                        <wps:cNvSpPr/>
                        <wps:spPr>
                          <a:xfrm rot="16200000">
                            <a:off x="-143298" y="5783368"/>
                            <a:ext cx="722630" cy="262890"/>
                          </a:xfrm>
                          <a:prstGeom prst="flowChartAlternateProcess">
                            <a:avLst/>
                          </a:prstGeom>
                          <a:solidFill>
                            <a:srgbClr val="7BA79D"/>
                          </a:solidFill>
                          <a:ln>
                            <a:noFill/>
                          </a:ln>
                          <a:effectLst/>
                        </wps:spPr>
                        <wps:txbx>
                          <w:txbxContent>
                            <w:p w:rsidR="00E86264" w:rsidRPr="001C3167" w:rsidRDefault="00E86264" w:rsidP="00E86264">
                              <w:pPr>
                                <w:jc w:val="center"/>
                                <w:rPr>
                                  <w:rFonts w:ascii="Arial" w:hAnsi="Arial" w:cs="Arial"/>
                                  <w:b/>
                                  <w:color w:val="000000"/>
                                  <w:sz w:val="18"/>
                                  <w:szCs w:val="18"/>
                                </w:rPr>
                              </w:pPr>
                              <w:r w:rsidRPr="001C3167">
                                <w:rPr>
                                  <w:rFonts w:ascii="Arial" w:hAnsi="Arial" w:cs="Arial"/>
                                  <w:b/>
                                  <w:color w:val="000000"/>
                                  <w:sz w:val="18"/>
                                  <w:szCs w:val="18"/>
                                </w:rPr>
                                <w:t>Included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799462644" name="Group 34"/>
                        <wpg:cNvGrpSpPr/>
                        <wpg:grpSpPr>
                          <a:xfrm>
                            <a:off x="0" y="0"/>
                            <a:ext cx="5933441" cy="3738036"/>
                            <a:chOff x="0" y="0"/>
                            <a:chExt cx="5933441" cy="3738036"/>
                          </a:xfrm>
                        </wpg:grpSpPr>
                        <wps:wsp>
                          <wps:cNvPr id="2130073241" name="Rectangle 2130073241"/>
                          <wps:cNvSpPr/>
                          <wps:spPr>
                            <a:xfrm>
                              <a:off x="485141" y="67523"/>
                              <a:ext cx="1887220" cy="981075"/>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rsidR="00E86264" w:rsidRPr="008A7B81" w:rsidRDefault="00E86264" w:rsidP="00E86264">
                                <w:pPr>
                                  <w:rPr>
                                    <w:rFonts w:ascii="Arial" w:hAnsi="Arial" w:cs="Arial"/>
                                    <w:color w:val="FFFFFF" w:themeColor="background1"/>
                                    <w:sz w:val="18"/>
                                  </w:rPr>
                                </w:pPr>
                                <w:r w:rsidRPr="008A7B81">
                                  <w:rPr>
                                    <w:rFonts w:ascii="Arial" w:hAnsi="Arial" w:cs="Arial"/>
                                    <w:color w:val="FFFFFF" w:themeColor="background1"/>
                                    <w:sz w:val="18"/>
                                  </w:rPr>
                                  <w:t xml:space="preserve">Records identified from Scopus Databases </w:t>
                                </w:r>
                                <w:r w:rsidRPr="008A7B81">
                                  <w:rPr>
                                    <w:rFonts w:ascii="Arial" w:hAnsi="Arial" w:cs="Arial"/>
                                    <w:b/>
                                    <w:bCs/>
                                    <w:color w:val="FFFFFF" w:themeColor="background1"/>
                                    <w:sz w:val="18"/>
                                  </w:rPr>
                                  <w:t>(n= 3,511</w:t>
                                </w:r>
                                <w:r w:rsidRPr="008A7B81">
                                  <w:rPr>
                                    <w:rFonts w:hint="cs"/>
                                    <w:color w:val="FFFFFF" w:themeColor="background1"/>
                                    <w:rtl/>
                                    <w:lang w:eastAsia="en-ID"/>
                                  </w:rPr>
                                  <w:t xml:space="preserve"> </w:t>
                                </w:r>
                                <w:r w:rsidRPr="008A7B81">
                                  <w:rPr>
                                    <w:rFonts w:ascii="Arial" w:hAnsi="Arial" w:cs="Arial"/>
                                    <w:color w:val="FFFFFF" w:themeColor="background1"/>
                                    <w:sz w:val="18"/>
                                  </w:rPr>
                                  <w:t xml:space="preserve">) </w:t>
                                </w:r>
                              </w:p>
                              <w:p w:rsidR="00E86264" w:rsidRPr="008A7B81" w:rsidRDefault="00E86264" w:rsidP="00E86264">
                                <w:pPr>
                                  <w:rPr>
                                    <w:rFonts w:ascii="Arial" w:hAnsi="Arial" w:cs="Arial"/>
                                    <w:color w:val="FFFFFF" w:themeColor="background1"/>
                                    <w:sz w:val="18"/>
                                  </w:rPr>
                                </w:pPr>
                              </w:p>
                              <w:p w:rsidR="00E86264" w:rsidRPr="008A7B81" w:rsidRDefault="00E86264" w:rsidP="00E86264">
                                <w:pPr>
                                  <w:rPr>
                                    <w:rFonts w:ascii="Arial" w:hAnsi="Arial" w:cs="Arial"/>
                                    <w:color w:val="FFFFFF" w:themeColor="background1"/>
                                    <w:sz w:val="18"/>
                                  </w:rPr>
                                </w:pPr>
                                <w:r w:rsidRPr="008A7B81">
                                  <w:rPr>
                                    <w:rFonts w:ascii="Arial" w:hAnsi="Arial" w:cs="Arial"/>
                                    <w:color w:val="FFFFFF" w:themeColor="background1"/>
                                    <w:sz w:val="18"/>
                                  </w:rPr>
                                  <w:t>Registers (</w:t>
                                </w:r>
                                <w:r w:rsidRPr="008A7B81">
                                  <w:rPr>
                                    <w:rFonts w:ascii="Arial" w:hAnsi="Arial" w:cs="Arial"/>
                                    <w:b/>
                                    <w:bCs/>
                                    <w:color w:val="FFFFFF" w:themeColor="background1"/>
                                    <w:sz w:val="18"/>
                                  </w:rPr>
                                  <w:t>n =2,631 )</w:t>
                                </w:r>
                              </w:p>
                              <w:p w:rsidR="00E86264" w:rsidRPr="001C3167" w:rsidRDefault="00E86264" w:rsidP="00E86264">
                                <w:pPr>
                                  <w:ind w:left="284"/>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26145291" name="Rectangle 1826145291"/>
                          <wps:cNvSpPr/>
                          <wps:spPr>
                            <a:xfrm>
                              <a:off x="2940475" y="219923"/>
                              <a:ext cx="2389505" cy="752475"/>
                            </a:xfrm>
                            <a:prstGeom prst="rect">
                              <a:avLst/>
                            </a:prstGeom>
                            <a:solidFill>
                              <a:srgbClr val="A5AB81">
                                <a:alpha val="50000"/>
                              </a:srgbClr>
                            </a:solidFill>
                            <a:ln>
                              <a:noFill/>
                            </a:ln>
                            <a:effectLst/>
                          </wps:spPr>
                          <wps:txbx>
                            <w:txbxContent>
                              <w:p w:rsidR="00E86264" w:rsidRPr="001C3167" w:rsidRDefault="00E86264" w:rsidP="00E86264">
                                <w:pPr>
                                  <w:rPr>
                                    <w:rFonts w:ascii="Arial" w:hAnsi="Arial" w:cs="Arial"/>
                                    <w:color w:val="000000"/>
                                    <w:sz w:val="18"/>
                                  </w:rPr>
                                </w:pPr>
                                <w:r w:rsidRPr="001C3167">
                                  <w:rPr>
                                    <w:rFonts w:ascii="Arial" w:hAnsi="Arial" w:cs="Arial"/>
                                    <w:color w:val="000000"/>
                                    <w:sz w:val="18"/>
                                  </w:rPr>
                                  <w:t xml:space="preserve">Records removed </w:t>
                                </w:r>
                                <w:r w:rsidRPr="001C3167">
                                  <w:rPr>
                                    <w:rFonts w:ascii="Arial" w:hAnsi="Arial" w:cs="Arial"/>
                                    <w:i/>
                                    <w:iCs/>
                                    <w:color w:val="000000"/>
                                    <w:sz w:val="18"/>
                                  </w:rPr>
                                  <w:t>before screening</w:t>
                                </w:r>
                                <w:r w:rsidRPr="001C3167">
                                  <w:rPr>
                                    <w:rFonts w:ascii="Arial" w:hAnsi="Arial" w:cs="Arial"/>
                                    <w:color w:val="000000"/>
                                    <w:sz w:val="18"/>
                                  </w:rPr>
                                  <w:t>:</w:t>
                                </w:r>
                              </w:p>
                              <w:p w:rsidR="00E86264" w:rsidRPr="001C3167" w:rsidRDefault="00E86264" w:rsidP="00E86264">
                                <w:pPr>
                                  <w:ind w:left="284"/>
                                  <w:rPr>
                                    <w:rFonts w:ascii="Arial" w:hAnsi="Arial" w:cs="Arial"/>
                                    <w:color w:val="000000"/>
                                    <w:sz w:val="18"/>
                                  </w:rPr>
                                </w:pPr>
                                <w:r w:rsidRPr="001C3167">
                                  <w:rPr>
                                    <w:rFonts w:ascii="Arial" w:hAnsi="Arial" w:cs="Arial"/>
                                    <w:color w:val="000000"/>
                                    <w:sz w:val="18"/>
                                  </w:rPr>
                                  <w:t>Duplicate records removed  (n =</w:t>
                                </w:r>
                                <w:r w:rsidRPr="00F42F9F">
                                  <w:rPr>
                                    <w:rFonts w:ascii="Arial" w:hAnsi="Arial" w:cs="Arial"/>
                                    <w:color w:val="000000"/>
                                    <w:sz w:val="18"/>
                                  </w:rPr>
                                  <w:t xml:space="preserve">1,911 </w:t>
                                </w:r>
                                <w:r w:rsidRPr="001C3167">
                                  <w:rPr>
                                    <w:rFonts w:ascii="Arial" w:hAnsi="Arial" w:cs="Arial"/>
                                    <w:color w:val="000000"/>
                                    <w:sz w:val="18"/>
                                  </w:rPr>
                                  <w:t>)</w:t>
                                </w:r>
                              </w:p>
                              <w:p w:rsidR="00E86264" w:rsidRPr="001C3167" w:rsidRDefault="00E86264" w:rsidP="00E86264">
                                <w:pPr>
                                  <w:ind w:left="284"/>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3885407" name="Rectangle 423885407"/>
                          <wps:cNvSpPr/>
                          <wps:spPr>
                            <a:xfrm>
                              <a:off x="476675" y="1549190"/>
                              <a:ext cx="1887220" cy="526415"/>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rsidR="00E86264" w:rsidRPr="008A7B81" w:rsidRDefault="00E86264" w:rsidP="00E86264">
                                <w:pPr>
                                  <w:rPr>
                                    <w:rFonts w:ascii="Arial" w:hAnsi="Arial" w:cs="Arial"/>
                                    <w:b/>
                                    <w:bCs/>
                                    <w:color w:val="FFFFFF" w:themeColor="background1"/>
                                    <w:sz w:val="18"/>
                                  </w:rPr>
                                </w:pPr>
                                <w:r w:rsidRPr="008A7B81">
                                  <w:rPr>
                                    <w:rFonts w:ascii="Arial" w:hAnsi="Arial" w:cs="Arial"/>
                                    <w:b/>
                                    <w:bCs/>
                                    <w:color w:val="FFFFFF" w:themeColor="background1"/>
                                    <w:sz w:val="18"/>
                                  </w:rPr>
                                  <w:t xml:space="preserve">       Publication years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0110985" name="Rectangle 300110985"/>
                          <wps:cNvSpPr/>
                          <wps:spPr>
                            <a:xfrm>
                              <a:off x="2923541" y="1142790"/>
                              <a:ext cx="3009900" cy="1390650"/>
                            </a:xfrm>
                            <a:prstGeom prst="rect">
                              <a:avLst/>
                            </a:prstGeom>
                            <a:solidFill>
                              <a:srgbClr val="A5AB81">
                                <a:alpha val="50000"/>
                              </a:srgbClr>
                            </a:solidFill>
                            <a:ln>
                              <a:noFill/>
                            </a:ln>
                            <a:effectLst/>
                          </wps:spPr>
                          <wps:txbx>
                            <w:txbxContent>
                              <w:p w:rsidR="00E86264" w:rsidRPr="00D86218" w:rsidRDefault="00E86264" w:rsidP="00E86264">
                                <w:pPr>
                                  <w:rPr>
                                    <w:rFonts w:ascii="Arial" w:hAnsi="Arial" w:cs="Arial"/>
                                    <w:b/>
                                    <w:bCs/>
                                    <w:color w:val="000000"/>
                                    <w:sz w:val="18"/>
                                  </w:rPr>
                                </w:pPr>
                                <w:r w:rsidRPr="00D86218">
                                  <w:rPr>
                                    <w:rFonts w:ascii="Arial" w:hAnsi="Arial" w:cs="Arial"/>
                                    <w:b/>
                                    <w:bCs/>
                                    <w:color w:val="000000"/>
                                    <w:sz w:val="18"/>
                                  </w:rPr>
                                  <w:t>Limit to (2015– 2024)</w:t>
                                </w:r>
                              </w:p>
                              <w:p w:rsidR="00E86264" w:rsidRPr="001C3167" w:rsidRDefault="00E86264" w:rsidP="00E86264">
                                <w:pPr>
                                  <w:rPr>
                                    <w:rFonts w:ascii="Arial" w:hAnsi="Arial" w:cs="Arial"/>
                                    <w:color w:val="000000"/>
                                    <w:sz w:val="18"/>
                                  </w:rPr>
                                </w:pPr>
                                <w:bookmarkStart w:id="0" w:name="_Hlk191392340"/>
                                <w:r w:rsidRPr="00D86218">
                                  <w:rPr>
                                    <w:rFonts w:ascii="Arial" w:hAnsi="Arial" w:cs="Arial"/>
                                    <w:color w:val="000000"/>
                                    <w:sz w:val="18"/>
                                  </w:rPr>
                                  <w:t>TITLE-ABS-KEY ( "Basel Accords" OR "Islamic banking" )</w:t>
                                </w:r>
                                <w:bookmarkEnd w:id="0"/>
                                <w:r w:rsidRPr="00D86218">
                                  <w:rPr>
                                    <w:rFonts w:ascii="Arial" w:hAnsi="Arial" w:cs="Arial"/>
                                    <w:color w:val="000000"/>
                                    <w:sz w:val="18"/>
                                  </w:rPr>
                                  <w:t xml:space="preserve"> AND ( LIMIT-TO ( PUBYEAR , 2015 ) OR LIMIT-TO ( PUBYEAR , 2016 ) OR LIMIT-TO ( PUBYEAR , 2017 ) OR LIMIT-TO ( PUBYEAR , 2018 ) OR LIMIT-TO ( PUBYEAR , 2019 ) OR LIMIT-TO ( PUBYEAR , 2020 ) OR LIMIT-TO ( PUBYEAR , 2021 ) OR LIMIT-TO ( PUBYEAR , 2022 ) OR LIMIT-TO ( PUBYEAR , 2023 ) OR LIMIT-TO ( PUBYEAR , 2024 )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37520891" name="Straight Arrow Connector 2137520891"/>
                          <wps:cNvCnPr/>
                          <wps:spPr>
                            <a:xfrm>
                              <a:off x="2373208" y="626323"/>
                              <a:ext cx="563270" cy="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wps:wsp>
                          <wps:cNvPr id="452914635" name="Straight Arrow Connector 452914635"/>
                          <wps:cNvCnPr/>
                          <wps:spPr>
                            <a:xfrm>
                              <a:off x="2373208" y="1803190"/>
                              <a:ext cx="563245" cy="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wps:wsp>
                          <wps:cNvPr id="1995384082" name="Flowchart: Alternate Process 1995384082"/>
                          <wps:cNvSpPr/>
                          <wps:spPr>
                            <a:xfrm rot="16200000">
                              <a:off x="-480799" y="507048"/>
                              <a:ext cx="1276985" cy="262890"/>
                            </a:xfrm>
                            <a:prstGeom prst="flowChartAlternateProcess">
                              <a:avLst/>
                            </a:prstGeom>
                            <a:solidFill>
                              <a:srgbClr val="7BA79D"/>
                            </a:solidFill>
                            <a:ln>
                              <a:noFill/>
                            </a:ln>
                            <a:effectLst/>
                          </wps:spPr>
                          <wps:txbx>
                            <w:txbxContent>
                              <w:p w:rsidR="00E86264" w:rsidRPr="001C3167" w:rsidRDefault="00E86264" w:rsidP="00E86264">
                                <w:pPr>
                                  <w:jc w:val="center"/>
                                  <w:rPr>
                                    <w:rFonts w:ascii="Arial" w:hAnsi="Arial" w:cs="Arial"/>
                                    <w:b/>
                                    <w:color w:val="000000"/>
                                    <w:sz w:val="18"/>
                                    <w:szCs w:val="18"/>
                                  </w:rPr>
                                </w:pPr>
                                <w:r w:rsidRPr="001C3167">
                                  <w:rPr>
                                    <w:rFonts w:ascii="Arial" w:hAnsi="Arial" w:cs="Arial"/>
                                    <w:b/>
                                    <w:color w:val="000000"/>
                                    <w:sz w:val="18"/>
                                    <w:szCs w:val="18"/>
                                  </w:rPr>
                                  <w:t>Identification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80726905" name="Flowchart: Alternate Process 1280726905"/>
                          <wps:cNvSpPr/>
                          <wps:spPr>
                            <a:xfrm rot="16200000">
                              <a:off x="-985836" y="2465812"/>
                              <a:ext cx="2258060" cy="286387"/>
                            </a:xfrm>
                            <a:prstGeom prst="flowChartAlternateProcess">
                              <a:avLst/>
                            </a:prstGeom>
                            <a:solidFill>
                              <a:srgbClr val="7BA79D"/>
                            </a:solidFill>
                            <a:ln>
                              <a:noFill/>
                            </a:ln>
                            <a:effectLst/>
                          </wps:spPr>
                          <wps:txbx>
                            <w:txbxContent>
                              <w:p w:rsidR="00E86264" w:rsidRPr="001C3167" w:rsidRDefault="00E86264" w:rsidP="00E86264">
                                <w:pPr>
                                  <w:jc w:val="center"/>
                                  <w:rPr>
                                    <w:rFonts w:ascii="Arial" w:hAnsi="Arial" w:cs="Arial"/>
                                    <w:b/>
                                    <w:color w:val="000000"/>
                                    <w:sz w:val="18"/>
                                    <w:szCs w:val="18"/>
                                  </w:rPr>
                                </w:pPr>
                                <w:r w:rsidRPr="001C3167">
                                  <w:rPr>
                                    <w:rFonts w:ascii="Arial" w:hAnsi="Arial" w:cs="Arial"/>
                                    <w:b/>
                                    <w:color w:val="000000"/>
                                    <w:sz w:val="18"/>
                                    <w:szCs w:val="18"/>
                                  </w:rPr>
                                  <w:t>Screening</w:t>
                                </w:r>
                              </w:p>
                              <w:p w:rsidR="00E86264" w:rsidRPr="001C3167" w:rsidRDefault="00E86264" w:rsidP="00E86264">
                                <w:pPr>
                                  <w:rPr>
                                    <w:rFonts w:ascii="Arial" w:hAnsi="Arial" w:cs="Arial"/>
                                    <w:b/>
                                    <w:color w:val="000000"/>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43013478" name="Straight Arrow Connector 643013478"/>
                          <wps:cNvCnPr/>
                          <wps:spPr>
                            <a:xfrm>
                              <a:off x="1321225" y="1077173"/>
                              <a:ext cx="0" cy="467995"/>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wps:wsp>
                          <wps:cNvPr id="805271113" name="Straight Arrow Connector 805271113"/>
                          <wps:cNvCnPr/>
                          <wps:spPr>
                            <a:xfrm>
                              <a:off x="1323341" y="2082590"/>
                              <a:ext cx="0" cy="39600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wpg:grpSp>
                      <wps:wsp>
                        <wps:cNvPr id="117820217" name="Straight Arrow Connector 117820217"/>
                        <wps:cNvCnPr/>
                        <wps:spPr>
                          <a:xfrm>
                            <a:off x="1327150" y="3016250"/>
                            <a:ext cx="0" cy="72000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wps:wsp>
                        <wps:cNvPr id="1678672061" name="Straight Arrow Connector 1678672061"/>
                        <wps:cNvCnPr/>
                        <wps:spPr>
                          <a:xfrm>
                            <a:off x="1318684" y="4269316"/>
                            <a:ext cx="0" cy="1223645"/>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wpg:wgp>
                  </a:graphicData>
                </a:graphic>
                <wp14:sizeRelV relativeFrom="margin">
                  <wp14:pctHeight>0</wp14:pctHeight>
                </wp14:sizeRelV>
              </wp:anchor>
            </w:drawing>
          </mc:Choice>
          <mc:Fallback>
            <w:pict>
              <v:group id="Group 35" o:spid="_x0000_s1027" style="position:absolute;margin-left:1.75pt;margin-top:1.7pt;width:473.15pt;height:522.65pt;z-index:252121600;mso-height-relative:margin" coordsize="60092,663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">
                <v:rect id="Rectangle 1537352987" o:spid="_x0000_s1028" style="position:absolute;left:28871;top:26162;width:24371;height:39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" fillcolor="#a5ab81" stroked="f">
                  <v:fill opacity="32896f"/>
                  <v:textbox>
                    <w:txbxContent>
                      <w:p w:rsidR="00E86264" w:rsidRPr="004349D3" w:rsidRDefault="00E86264" w:rsidP="00E86264">
                        <w:pPr>
                          <w:rPr>
                            <w:rFonts w:ascii="Arial" w:hAnsi="Arial" w:cs="Arial"/>
                            <w:b/>
                            <w:bCs/>
                            <w:color w:val="000000"/>
                            <w:szCs w:val="22"/>
                          </w:rPr>
                        </w:pPr>
                        <w:r w:rsidRPr="004349D3">
                          <w:rPr>
                            <w:rFonts w:ascii="Arial" w:hAnsi="Arial" w:cs="Arial"/>
                            <w:b/>
                            <w:bCs/>
                            <w:color w:val="000000"/>
                            <w:szCs w:val="22"/>
                          </w:rPr>
                          <w:t xml:space="preserve">            Limit to English</w:t>
                        </w:r>
                      </w:p>
                    </w:txbxContent>
                  </v:textbox>
                </v:rect>
                <v:rect id="Rectangle 1388586389" o:spid="_x0000_s1029" style="position:absolute;left:4826;top:37422;width:18872;height:52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" fillcolor="#737950" stroked="f">
                  <v:fill color2="#c9cdb3" rotate="t" angle="180" colors="0 #737950;31457f #a8ae85;1 #c9cdb3" focus="100%" type="gradient"/>
                  <v:textbox>
                    <w:txbxContent>
                      <w:p w:rsidR="00E86264" w:rsidRPr="008A7B81" w:rsidRDefault="00E86264" w:rsidP="00E86264">
                        <w:pPr>
                          <w:rPr>
                            <w:rFonts w:ascii="Arial" w:hAnsi="Arial" w:cs="Arial"/>
                            <w:b/>
                            <w:bCs/>
                            <w:color w:val="FFFFFF" w:themeColor="background1"/>
                            <w:sz w:val="18"/>
                          </w:rPr>
                        </w:pPr>
                        <w:r w:rsidRPr="001C3167">
                          <w:rPr>
                            <w:rFonts w:ascii="Arial" w:hAnsi="Arial" w:cs="Arial"/>
                            <w:color w:val="000000"/>
                            <w:sz w:val="18"/>
                          </w:rPr>
                          <w:t xml:space="preserve">         </w:t>
                        </w:r>
                        <w:r w:rsidRPr="008A7B81">
                          <w:rPr>
                            <w:rFonts w:ascii="Arial" w:hAnsi="Arial" w:cs="Arial"/>
                            <w:b/>
                            <w:bCs/>
                            <w:color w:val="FFFFFF" w:themeColor="background1"/>
                            <w:sz w:val="18"/>
                          </w:rPr>
                          <w:t>Subject area</w:t>
                        </w:r>
                      </w:p>
                      <w:p w:rsidR="00E86264" w:rsidRPr="001C3167" w:rsidRDefault="00E86264" w:rsidP="00E86264">
                        <w:pPr>
                          <w:rPr>
                            <w:rFonts w:ascii="Arial" w:hAnsi="Arial" w:cs="Arial"/>
                            <w:color w:val="000000"/>
                            <w:sz w:val="18"/>
                          </w:rPr>
                        </w:pPr>
                      </w:p>
                    </w:txbxContent>
                  </v:textbox>
                </v:rect>
                <v:rect id="Rectangle 1100144729" o:spid="_x0000_s1030" style="position:absolute;left:29802;top:31834;width:30290;height:3454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" fillcolor="#a5ab81" stroked="f">
                  <v:fill opacity="32896f"/>
                  <v:textbox>
                    <w:txbxContent>
                      <w:p w:rsidR="00E86264" w:rsidRPr="00196C88" w:rsidRDefault="00E86264" w:rsidP="00E86264">
                        <w:pPr>
                          <w:rPr>
                            <w:rFonts w:ascii="Arial" w:hAnsi="Arial" w:cs="Arial"/>
                            <w:color w:val="000000"/>
                            <w:sz w:val="18"/>
                          </w:rPr>
                        </w:pPr>
                        <w:r w:rsidRPr="00442774">
                          <w:rPr>
                            <w:rFonts w:ascii="Arial" w:hAnsi="Arial" w:cs="Arial"/>
                            <w:b/>
                            <w:bCs/>
                            <w:color w:val="000000"/>
                            <w:sz w:val="18"/>
                          </w:rPr>
                          <w:t>TITLE-ABS-KEY ( "Basel Accords" OR "Islamic banking" )</w:t>
                        </w:r>
                        <w:r w:rsidRPr="001C3167">
                          <w:rPr>
                            <w:rFonts w:ascii="Arial" w:hAnsi="Arial" w:cs="Arial"/>
                            <w:color w:val="000000"/>
                            <w:sz w:val="18"/>
                          </w:rPr>
                          <w:t xml:space="preserve"> </w:t>
                        </w:r>
                        <w:r w:rsidRPr="004D6C91">
                          <w:rPr>
                            <w:rFonts w:ascii="Arial" w:hAnsi="Arial" w:cs="Arial"/>
                            <w:color w:val="000000"/>
                            <w:sz w:val="18"/>
                          </w:rPr>
                          <w:t>AND ( LIMIT-TO ( SUBJAREA , "ECON" ) OR LIMIT-TO ( SUBJAREA , "BUSI" ) ) AND ( LIMIT-TO ( DOCTYPE , "ar" ) ) AND ( LIMIT-TO ( LANGUAGE , "English" ) ) AND ( LIMIT-TO ( SRCTYPE , "j" ) ) AND ( LIMIT-TO ( EXACTKEYWORD , "Basel Accords" ) OR LIMIT-TO ( EXACTKEYWORD , "Basel Accord" ) OR LIMIT-TO ( EXACTKEYWORD , "Islamic Bank" ) OR LIMIT-TO ( EXACTKEYWORD , "Banking" ) OR LIMIT-TO ( EXACTKEYWORD , "Islamic Finance" ) OR LIMIT-TO ( EXACTKEYWORD , "Islamic Banks" ) OR LIMIT-TO ( EXACTKEYWORD , "Islamic Banking" ) OR LIMIT-TO ( EXACTKEYWORD , "Indonesia" ) OR LIMIT-TO ( EXACTKEYWORD , "Malaysia" ) OR LIMIT-TO ( EXACTKEYWORD , "Risk Management" ) OR LIMIT-TO ( EXACTKEYWORD , "Trust" ) OR LIMIT-TO ( EXACTKEYWORD , "Islamic Banking And Finance" ) OR LIMIT-TO ( EXACTKEYWORD , "Liquidity Risk" ) OR LIMIT-TO ( EXACTKEYWORD , "Basel III" ) OR LIMIT-TO ( EXACTKEYWORD , "Islamic Marketing" ) OR LIMIT-TO ( EXACTKEYWORD , "Risk" ) OR LIMIT-TO ( EXACTKEYWORD , "Shariah" ) OR LIMIT-TO ( EXACTKEYWORD , "Islamic Economics" ) OR LIMIT-TO ( EXACTKEYWORD , "Sharia" ) OR LIMIT-TO ( EXACTKEYWORD , "Systemic Risk" ) )</w:t>
                        </w:r>
                      </w:p>
                      <w:p w:rsidR="00E86264" w:rsidRPr="001C3167" w:rsidRDefault="00E86264" w:rsidP="00E86264">
                        <w:pPr>
                          <w:ind w:left="284"/>
                          <w:rPr>
                            <w:rFonts w:ascii="Arial" w:hAnsi="Arial" w:cs="Arial"/>
                            <w:color w:val="000000"/>
                            <w:sz w:val="18"/>
                          </w:rPr>
                        </w:pPr>
                      </w:p>
                    </w:txbxContent>
                  </v:textbox>
                </v:rect>
                <v:rect id="Rectangle 214371197" o:spid="_x0000_s1031" style="position:absolute;left:5164;top:55033;width:17526;height:8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" fillcolor="#737950" stroked="f">
                  <v:fill color2="#c9cdb3" rotate="t" angle="180" colors="0 #737950;31457f #a8ae85;1 #c9cdb3" focus="100%" type="gradient"/>
                  <v:textbox>
                    <w:txbxContent>
                      <w:p w:rsidR="00E86264" w:rsidRPr="008A7B81" w:rsidRDefault="00E86264" w:rsidP="00E86264">
                        <w:pPr>
                          <w:rPr>
                            <w:rFonts w:ascii="Arial" w:hAnsi="Arial" w:cs="Arial"/>
                            <w:b/>
                            <w:bCs/>
                            <w:color w:val="FFFFFF" w:themeColor="background1"/>
                            <w:sz w:val="18"/>
                          </w:rPr>
                        </w:pPr>
                        <w:r w:rsidRPr="008A7B81">
                          <w:rPr>
                            <w:rFonts w:ascii="Arial" w:hAnsi="Arial" w:cs="Arial"/>
                            <w:b/>
                            <w:bCs/>
                            <w:color w:val="FFFFFF" w:themeColor="background1"/>
                            <w:sz w:val="18"/>
                          </w:rPr>
                          <w:t>Studies included in review</w:t>
                        </w:r>
                      </w:p>
                      <w:p w:rsidR="00E86264" w:rsidRPr="008A7B81" w:rsidRDefault="00E86264" w:rsidP="00E86264">
                        <w:pPr>
                          <w:rPr>
                            <w:rFonts w:ascii="Arial" w:hAnsi="Arial" w:cs="Arial"/>
                            <w:b/>
                            <w:bCs/>
                            <w:color w:val="FFFFFF" w:themeColor="background1"/>
                            <w:sz w:val="18"/>
                          </w:rPr>
                        </w:pPr>
                        <w:r w:rsidRPr="008A7B81">
                          <w:rPr>
                            <w:rFonts w:ascii="Arial" w:hAnsi="Arial" w:cs="Arial"/>
                            <w:b/>
                            <w:bCs/>
                            <w:color w:val="FFFFFF" w:themeColor="background1"/>
                            <w:sz w:val="18"/>
                          </w:rPr>
                          <w:t>(n = 1,149  )</w:t>
                        </w:r>
                      </w:p>
                      <w:p w:rsidR="00E86264" w:rsidRPr="001C3167" w:rsidRDefault="00E86264" w:rsidP="00E86264">
                        <w:pPr>
                          <w:rPr>
                            <w:rFonts w:ascii="Arial" w:hAnsi="Arial" w:cs="Arial"/>
                            <w:color w:val="000000"/>
                            <w:sz w:val="18"/>
                          </w:rPr>
                        </w:pPr>
                      </w:p>
                    </w:txbxContent>
                  </v:textbox>
                </v:rect>
                <v:shapetype id="_x0000_t32" coordsize="21600,21600" o:spt="32" o:oned="t" path="m,l21600,21600e" filled="f">
                  <v:path arrowok="t" fillok="f" o:connecttype="none"/>
                  <o:lock v:ext="edit" shapetype="t"/>
                </v:shapetype>
                <v:shape id="Straight Arrow Connector 613968902" o:spid="_x0000_s1032" type="#_x0000_t32" style="position:absolute;left:23960;top:39835;width:563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" strokecolor="windowText" strokeweight="4.25pt">
                  <v:stroke endarrow="block" linestyle="thinThin"/>
                  <v:shadow on="t" color="black" opacity="26214f" origin=",.5" offset="0,.49386mm"/>
                </v:shape>
                <v:shape id="Flowchart: Alternate Process 2060321953" o:spid="_x0000_s1033" type="#_x0000_t176" style="position:absolute;left:-1434;top:57833;width:7227;height:262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" fillcolor="#7ba79d" stroked="f">
                  <v:textbox>
                    <w:txbxContent>
                      <w:p w:rsidR="00E86264" w:rsidRPr="001C3167" w:rsidRDefault="00E86264" w:rsidP="00E86264">
                        <w:pPr>
                          <w:jc w:val="center"/>
                          <w:rPr>
                            <w:rFonts w:ascii="Arial" w:hAnsi="Arial" w:cs="Arial"/>
                            <w:b/>
                            <w:color w:val="000000"/>
                            <w:sz w:val="18"/>
                            <w:szCs w:val="18"/>
                          </w:rPr>
                        </w:pPr>
                        <w:r w:rsidRPr="001C3167">
                          <w:rPr>
                            <w:rFonts w:ascii="Arial" w:hAnsi="Arial" w:cs="Arial"/>
                            <w:b/>
                            <w:color w:val="000000"/>
                            <w:sz w:val="18"/>
                            <w:szCs w:val="18"/>
                          </w:rPr>
                          <w:t>Included</w:t>
                        </w:r>
                      </w:p>
                    </w:txbxContent>
                  </v:textbox>
                </v:shape>
                <v:group id="Group 34" o:spid="_x0000_s1034" style="position:absolute;width:59334;height:37380" coordsize="59334,373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">
                  <v:rect id="Rectangle 2130073241" o:spid="_x0000_s1035" style="position:absolute;left:4851;top:675;width:18872;height:9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" fillcolor="#737950" stroked="f">
                    <v:fill color2="#c9cdb3" rotate="t" angle="180" colors="0 #737950;31457f #a8ae85;1 #c9cdb3" focus="100%" type="gradient"/>
                    <v:textbox>
                      <w:txbxContent>
                        <w:p w:rsidR="00E86264" w:rsidRPr="008A7B81" w:rsidRDefault="00E86264" w:rsidP="00E86264">
                          <w:pPr>
                            <w:rPr>
                              <w:rFonts w:ascii="Arial" w:hAnsi="Arial" w:cs="Arial"/>
                              <w:color w:val="FFFFFF" w:themeColor="background1"/>
                              <w:sz w:val="18"/>
                            </w:rPr>
                          </w:pPr>
                          <w:r w:rsidRPr="008A7B81">
                            <w:rPr>
                              <w:rFonts w:ascii="Arial" w:hAnsi="Arial" w:cs="Arial"/>
                              <w:color w:val="FFFFFF" w:themeColor="background1"/>
                              <w:sz w:val="18"/>
                            </w:rPr>
                            <w:t xml:space="preserve">Records identified from Scopus Databases </w:t>
                          </w:r>
                          <w:r w:rsidRPr="008A7B81">
                            <w:rPr>
                              <w:rFonts w:ascii="Arial" w:hAnsi="Arial" w:cs="Arial"/>
                              <w:b/>
                              <w:bCs/>
                              <w:color w:val="FFFFFF" w:themeColor="background1"/>
                              <w:sz w:val="18"/>
                            </w:rPr>
                            <w:t>(n= 3,511</w:t>
                          </w:r>
                          <w:r w:rsidRPr="008A7B81">
                            <w:rPr>
                              <w:rFonts w:hint="cs"/>
                              <w:color w:val="FFFFFF" w:themeColor="background1"/>
                              <w:rtl/>
                              <w:lang w:eastAsia="en-ID"/>
                            </w:rPr>
                            <w:t xml:space="preserve"> </w:t>
                          </w:r>
                          <w:r w:rsidRPr="008A7B81">
                            <w:rPr>
                              <w:rFonts w:ascii="Arial" w:hAnsi="Arial" w:cs="Arial"/>
                              <w:color w:val="FFFFFF" w:themeColor="background1"/>
                              <w:sz w:val="18"/>
                            </w:rPr>
                            <w:t xml:space="preserve">) </w:t>
                          </w:r>
                        </w:p>
                        <w:p w:rsidR="00E86264" w:rsidRPr="008A7B81" w:rsidRDefault="00E86264" w:rsidP="00E86264">
                          <w:pPr>
                            <w:rPr>
                              <w:rFonts w:ascii="Arial" w:hAnsi="Arial" w:cs="Arial"/>
                              <w:color w:val="FFFFFF" w:themeColor="background1"/>
                              <w:sz w:val="18"/>
                            </w:rPr>
                          </w:pPr>
                        </w:p>
                        <w:p w:rsidR="00E86264" w:rsidRPr="008A7B81" w:rsidRDefault="00E86264" w:rsidP="00E86264">
                          <w:pPr>
                            <w:rPr>
                              <w:rFonts w:ascii="Arial" w:hAnsi="Arial" w:cs="Arial"/>
                              <w:color w:val="FFFFFF" w:themeColor="background1"/>
                              <w:sz w:val="18"/>
                            </w:rPr>
                          </w:pPr>
                          <w:r w:rsidRPr="008A7B81">
                            <w:rPr>
                              <w:rFonts w:ascii="Arial" w:hAnsi="Arial" w:cs="Arial"/>
                              <w:color w:val="FFFFFF" w:themeColor="background1"/>
                              <w:sz w:val="18"/>
                            </w:rPr>
                            <w:t>Registers (</w:t>
                          </w:r>
                          <w:r w:rsidRPr="008A7B81">
                            <w:rPr>
                              <w:rFonts w:ascii="Arial" w:hAnsi="Arial" w:cs="Arial"/>
                              <w:b/>
                              <w:bCs/>
                              <w:color w:val="FFFFFF" w:themeColor="background1"/>
                              <w:sz w:val="18"/>
                            </w:rPr>
                            <w:t>n =2,631 )</w:t>
                          </w:r>
                        </w:p>
                        <w:p w:rsidR="00E86264" w:rsidRPr="001C3167" w:rsidRDefault="00E86264" w:rsidP="00E86264">
                          <w:pPr>
                            <w:ind w:left="284"/>
                            <w:rPr>
                              <w:rFonts w:ascii="Arial" w:hAnsi="Arial" w:cs="Arial"/>
                              <w:color w:val="000000"/>
                              <w:sz w:val="18"/>
                            </w:rPr>
                          </w:pPr>
                        </w:p>
                      </w:txbxContent>
                    </v:textbox>
                  </v:rect>
                  <v:rect id="Rectangle 1826145291" o:spid="_x0000_s1036" style="position:absolute;left:29404;top:2199;width:23895;height:752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" fillcolor="#a5ab81" stroked="f">
                    <v:fill opacity="32896f"/>
                    <v:textbox>
                      <w:txbxContent>
                        <w:p w:rsidR="00E86264" w:rsidRPr="001C3167" w:rsidRDefault="00E86264" w:rsidP="00E86264">
                          <w:pPr>
                            <w:rPr>
                              <w:rFonts w:ascii="Arial" w:hAnsi="Arial" w:cs="Arial"/>
                              <w:color w:val="000000"/>
                              <w:sz w:val="18"/>
                            </w:rPr>
                          </w:pPr>
                          <w:r w:rsidRPr="001C3167">
                            <w:rPr>
                              <w:rFonts w:ascii="Arial" w:hAnsi="Arial" w:cs="Arial"/>
                              <w:color w:val="000000"/>
                              <w:sz w:val="18"/>
                            </w:rPr>
                            <w:t xml:space="preserve">Records removed </w:t>
                          </w:r>
                          <w:r w:rsidRPr="001C3167">
                            <w:rPr>
                              <w:rFonts w:ascii="Arial" w:hAnsi="Arial" w:cs="Arial"/>
                              <w:i/>
                              <w:iCs/>
                              <w:color w:val="000000"/>
                              <w:sz w:val="18"/>
                            </w:rPr>
                            <w:t>before screening</w:t>
                          </w:r>
                          <w:r w:rsidRPr="001C3167">
                            <w:rPr>
                              <w:rFonts w:ascii="Arial" w:hAnsi="Arial" w:cs="Arial"/>
                              <w:color w:val="000000"/>
                              <w:sz w:val="18"/>
                            </w:rPr>
                            <w:t>:</w:t>
                          </w:r>
                        </w:p>
                        <w:p w:rsidR="00E86264" w:rsidRPr="001C3167" w:rsidRDefault="00E86264" w:rsidP="00E86264">
                          <w:pPr>
                            <w:ind w:left="284"/>
                            <w:rPr>
                              <w:rFonts w:ascii="Arial" w:hAnsi="Arial" w:cs="Arial"/>
                              <w:color w:val="000000"/>
                              <w:sz w:val="18"/>
                            </w:rPr>
                          </w:pPr>
                          <w:r w:rsidRPr="001C3167">
                            <w:rPr>
                              <w:rFonts w:ascii="Arial" w:hAnsi="Arial" w:cs="Arial"/>
                              <w:color w:val="000000"/>
                              <w:sz w:val="18"/>
                            </w:rPr>
                            <w:t>Duplicate records removed  (n =</w:t>
                          </w:r>
                          <w:r w:rsidRPr="00F42F9F">
                            <w:rPr>
                              <w:rFonts w:ascii="Arial" w:hAnsi="Arial" w:cs="Arial"/>
                              <w:color w:val="000000"/>
                              <w:sz w:val="18"/>
                            </w:rPr>
                            <w:t xml:space="preserve">1,911 </w:t>
                          </w:r>
                          <w:r w:rsidRPr="001C3167">
                            <w:rPr>
                              <w:rFonts w:ascii="Arial" w:hAnsi="Arial" w:cs="Arial"/>
                              <w:color w:val="000000"/>
                              <w:sz w:val="18"/>
                            </w:rPr>
                            <w:t>)</w:t>
                          </w:r>
                        </w:p>
                        <w:p w:rsidR="00E86264" w:rsidRPr="001C3167" w:rsidRDefault="00E86264" w:rsidP="00E86264">
                          <w:pPr>
                            <w:ind w:left="284"/>
                            <w:rPr>
                              <w:rFonts w:ascii="Arial" w:hAnsi="Arial" w:cs="Arial"/>
                              <w:color w:val="000000"/>
                              <w:sz w:val="18"/>
                            </w:rPr>
                          </w:pPr>
                        </w:p>
                      </w:txbxContent>
                    </v:textbox>
                  </v:rect>
                  <v:rect id="Rectangle 423885407" o:spid="_x0000_s1037" style="position:absolute;left:4766;top:15491;width:18872;height:526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" fillcolor="#737950" stroked="f">
                    <v:fill color2="#c9cdb3" rotate="t" angle="180" colors="0 #737950;31457f #a8ae85;1 #c9cdb3" focus="100%" type="gradient"/>
                    <v:textbox>
                      <w:txbxContent>
                        <w:p w:rsidR="00E86264" w:rsidRPr="008A7B81" w:rsidRDefault="00E86264" w:rsidP="00E86264">
                          <w:pPr>
                            <w:rPr>
                              <w:rFonts w:ascii="Arial" w:hAnsi="Arial" w:cs="Arial"/>
                              <w:b/>
                              <w:bCs/>
                              <w:color w:val="FFFFFF" w:themeColor="background1"/>
                              <w:sz w:val="18"/>
                            </w:rPr>
                          </w:pPr>
                          <w:r w:rsidRPr="008A7B81">
                            <w:rPr>
                              <w:rFonts w:ascii="Arial" w:hAnsi="Arial" w:cs="Arial"/>
                              <w:b/>
                              <w:bCs/>
                              <w:color w:val="FFFFFF" w:themeColor="background1"/>
                              <w:sz w:val="18"/>
                            </w:rPr>
                            <w:t xml:space="preserve">       Publication years</w:t>
                          </w:r>
                        </w:p>
                      </w:txbxContent>
                    </v:textbox>
                  </v:rect>
                  <v:rect id="Rectangle 300110985" o:spid="_x0000_s1038" style="position:absolute;left:29235;top:11427;width:30099;height:139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" fillcolor="#a5ab81" stroked="f">
                    <v:fill opacity="32896f"/>
                    <v:textbox>
                      <w:txbxContent>
                        <w:p w:rsidR="00E86264" w:rsidRPr="00D86218" w:rsidRDefault="00E86264" w:rsidP="00E86264">
                          <w:pPr>
                            <w:rPr>
                              <w:rFonts w:ascii="Arial" w:hAnsi="Arial" w:cs="Arial"/>
                              <w:b/>
                              <w:bCs/>
                              <w:color w:val="000000"/>
                              <w:sz w:val="18"/>
                            </w:rPr>
                          </w:pPr>
                          <w:r w:rsidRPr="00D86218">
                            <w:rPr>
                              <w:rFonts w:ascii="Arial" w:hAnsi="Arial" w:cs="Arial"/>
                              <w:b/>
                              <w:bCs/>
                              <w:color w:val="000000"/>
                              <w:sz w:val="18"/>
                            </w:rPr>
                            <w:t>Limit to (2015– 2024)</w:t>
                          </w:r>
                        </w:p>
                        <w:p w:rsidR="00E86264" w:rsidRPr="001C3167" w:rsidRDefault="00E86264" w:rsidP="00E86264">
                          <w:pPr>
                            <w:rPr>
                              <w:rFonts w:ascii="Arial" w:hAnsi="Arial" w:cs="Arial"/>
                              <w:color w:val="000000"/>
                              <w:sz w:val="18"/>
                            </w:rPr>
                          </w:pPr>
                          <w:bookmarkStart w:id="1" w:name="_Hlk191392340"/>
                          <w:r w:rsidRPr="00D86218">
                            <w:rPr>
                              <w:rFonts w:ascii="Arial" w:hAnsi="Arial" w:cs="Arial"/>
                              <w:color w:val="000000"/>
                              <w:sz w:val="18"/>
                            </w:rPr>
                            <w:t>TITLE-ABS-KEY ( "Basel Accords" OR "Islamic banking" )</w:t>
                          </w:r>
                          <w:bookmarkEnd w:id="1"/>
                          <w:r w:rsidRPr="00D86218">
                            <w:rPr>
                              <w:rFonts w:ascii="Arial" w:hAnsi="Arial" w:cs="Arial"/>
                              <w:color w:val="000000"/>
                              <w:sz w:val="18"/>
                            </w:rPr>
                            <w:t xml:space="preserve"> AND ( LIMIT-TO ( PUBYEAR , 2015 ) OR LIMIT-TO ( PUBYEAR , 2016 ) OR LIMIT-TO ( PUBYEAR , 2017 ) OR LIMIT-TO ( PUBYEAR , 2018 ) OR LIMIT-TO ( PUBYEAR , 2019 ) OR LIMIT-TO ( PUBYEAR , 2020 ) OR LIMIT-TO ( PUBYEAR , 2021 ) OR LIMIT-TO ( PUBYEAR , 2022 ) OR LIMIT-TO ( PUBYEAR , 2023 ) OR LIMIT-TO ( PUBYEAR , 2024 ) )</w:t>
                          </w:r>
                        </w:p>
                      </w:txbxContent>
                    </v:textbox>
                  </v:rect>
                  <v:shape id="Straight Arrow Connector 2137520891" o:spid="_x0000_s1039" type="#_x0000_t32" style="position:absolute;left:23732;top:6263;width:563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" strokecolor="windowText" strokeweight="4.25pt">
                    <v:stroke endarrow="block" linestyle="thinThin"/>
                    <v:shadow on="t" color="black" opacity="26214f" origin=",.5" offset="0,.49386mm"/>
                  </v:shape>
                  <v:shape id="Straight Arrow Connector 452914635" o:spid="_x0000_s1040" type="#_x0000_t32" style="position:absolute;left:23732;top:18031;width:563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" strokecolor="windowText" strokeweight="4.25pt">
                    <v:stroke endarrow="block" linestyle="thinThin"/>
                    <v:shadow on="t" color="black" opacity="26214f" origin=",.5" offset="0,.49386mm"/>
                  </v:shape>
                  <v:shape id="Flowchart: Alternate Process 1995384082" o:spid="_x0000_s1041" type="#_x0000_t176" style="position:absolute;left:-4808;top:5070;width:12769;height:262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" fillcolor="#7ba79d" stroked="f">
                    <v:textbox>
                      <w:txbxContent>
                        <w:p w:rsidR="00E86264" w:rsidRPr="001C3167" w:rsidRDefault="00E86264" w:rsidP="00E86264">
                          <w:pPr>
                            <w:jc w:val="center"/>
                            <w:rPr>
                              <w:rFonts w:ascii="Arial" w:hAnsi="Arial" w:cs="Arial"/>
                              <w:b/>
                              <w:color w:val="000000"/>
                              <w:sz w:val="18"/>
                              <w:szCs w:val="18"/>
                            </w:rPr>
                          </w:pPr>
                          <w:r w:rsidRPr="001C3167">
                            <w:rPr>
                              <w:rFonts w:ascii="Arial" w:hAnsi="Arial" w:cs="Arial"/>
                              <w:b/>
                              <w:color w:val="000000"/>
                              <w:sz w:val="18"/>
                              <w:szCs w:val="18"/>
                            </w:rPr>
                            <w:t>Identification</w:t>
                          </w:r>
                        </w:p>
                      </w:txbxContent>
                    </v:textbox>
                  </v:shape>
                  <v:shape id="Flowchart: Alternate Process 1280726905" o:spid="_x0000_s1042" type="#_x0000_t176" style="position:absolute;left:-9859;top:24658;width:22581;height:2863;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" fillcolor="#7ba79d" stroked="f">
                    <v:textbox>
                      <w:txbxContent>
                        <w:p w:rsidR="00E86264" w:rsidRPr="001C3167" w:rsidRDefault="00E86264" w:rsidP="00E86264">
                          <w:pPr>
                            <w:jc w:val="center"/>
                            <w:rPr>
                              <w:rFonts w:ascii="Arial" w:hAnsi="Arial" w:cs="Arial"/>
                              <w:b/>
                              <w:color w:val="000000"/>
                              <w:sz w:val="18"/>
                              <w:szCs w:val="18"/>
                            </w:rPr>
                          </w:pPr>
                          <w:r w:rsidRPr="001C3167">
                            <w:rPr>
                              <w:rFonts w:ascii="Arial" w:hAnsi="Arial" w:cs="Arial"/>
                              <w:b/>
                              <w:color w:val="000000"/>
                              <w:sz w:val="18"/>
                              <w:szCs w:val="18"/>
                            </w:rPr>
                            <w:t>Screening</w:t>
                          </w:r>
                        </w:p>
                        <w:p w:rsidR="00E86264" w:rsidRPr="001C3167" w:rsidRDefault="00E86264" w:rsidP="00E86264">
                          <w:pPr>
                            <w:rPr>
                              <w:rFonts w:ascii="Arial" w:hAnsi="Arial" w:cs="Arial"/>
                              <w:b/>
                              <w:color w:val="000000"/>
                              <w:sz w:val="18"/>
                              <w:szCs w:val="18"/>
                            </w:rPr>
                          </w:pPr>
                        </w:p>
                      </w:txbxContent>
                    </v:textbox>
                  </v:shape>
                  <v:shape id="Straight Arrow Connector 643013478" o:spid="_x0000_s1043" type="#_x0000_t32" style="position:absolute;left:13212;top:10771;width:0;height:46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" strokecolor="windowText" strokeweight="4.25pt">
                    <v:stroke endarrow="block" linestyle="thinThin"/>
                    <v:shadow on="t" color="black" opacity="26214f" origin=",.5" offset="0,.49386mm"/>
                  </v:shape>
                  <v:shape id="Straight Arrow Connector 805271113" o:spid="_x0000_s1044" type="#_x0000_t32" style="position:absolute;left:13233;top:20825;width:0;height:396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" strokecolor="windowText" strokeweight="4.25pt">
                    <v:stroke endarrow="block" linestyle="thinThin"/>
                    <v:shadow on="t" color="black" opacity="26214f" origin=",.5" offset="0,.49386mm"/>
                  </v:shape>
                </v:group>
                <v:shape id="Straight Arrow Connector 117820217" o:spid="_x0000_s1045" type="#_x0000_t32" style="position:absolute;left:13271;top:30162;width:0;height:720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" strokecolor="windowText" strokeweight="4.25pt">
                  <v:stroke endarrow="block" linestyle="thinThin"/>
                  <v:shadow on="t" color="black" opacity="26214f" origin=",.5" offset="0,.49386mm"/>
                </v:shape>
                <v:shape id="Straight Arrow Connector 1678672061" o:spid="_x0000_s1046" type="#_x0000_t32" style="position:absolute;left:13186;top:42693;width:0;height:1223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" strokecolor="windowText" strokeweight="4.25pt">
                  <v:stroke endarrow="block" linestyle="thinThin"/>
                  <v:shadow on="t" color="black" opacity="26214f" origin=",.5" offset="0,.49386mm"/>
                </v:shape>
              </v:group>
            </w:pict>
          </mc:Fallback>
        </mc:AlternateContent>
      </w:r>
    </w:p>
    <w:p w:rsidR="00E86264"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414016" behindDoc="0" locked="0" layoutInCell="1" allowOverlap="1" wp14:anchorId="07EA9288" wp14:editId="4D042ACC">
                <wp:simplePos x="0" y="0"/>
                <wp:positionH relativeFrom="column">
                  <wp:posOffset>560705</wp:posOffset>
                </wp:positionH>
                <wp:positionV relativeFrom="paragraph">
                  <wp:posOffset>152400</wp:posOffset>
                </wp:positionV>
                <wp:extent cx="1887220" cy="526415"/>
                <wp:effectExtent l="0" t="0" r="0" b="6985"/>
                <wp:wrapNone/>
                <wp:docPr id="1986837339" name="Rectangle 1986837339"/>
                <wp:cNvGraphicFramePr/>
                <a:graphic xmlns:a="http://schemas.openxmlformats.org/drawingml/2006/main">
                  <a:graphicData uri="http://schemas.microsoft.com/office/word/2010/wordprocessingShape">
                    <wps:wsp>
                      <wps:cNvSpPr/>
                      <wps:spPr>
                        <a:xfrm>
                          <a:off x="0" y="0"/>
                          <a:ext cx="1887220" cy="526415"/>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rsidR="00E86264" w:rsidRPr="008A7B81" w:rsidRDefault="00E86264" w:rsidP="00E86264">
                            <w:pPr>
                              <w:rPr>
                                <w:rFonts w:ascii="Arial" w:hAnsi="Arial" w:cs="Arial"/>
                                <w:b/>
                                <w:bCs/>
                                <w:color w:val="FFFFFF" w:themeColor="background1"/>
                                <w:sz w:val="18"/>
                              </w:rPr>
                            </w:pPr>
                            <w:r w:rsidRPr="008A7B81">
                              <w:rPr>
                                <w:rFonts w:ascii="Arial" w:hAnsi="Arial" w:cs="Arial"/>
                                <w:b/>
                                <w:bCs/>
                                <w:color w:val="FFFFFF" w:themeColor="background1"/>
                                <w:sz w:val="18"/>
                              </w:rPr>
                              <w:t xml:space="preserve">             Language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7EA9288" id="Rectangle 1986837339" o:spid="_x0000_s1047" style="position:absolute;margin-left:44.15pt;margin-top:12pt;width:148.6pt;height:41.45pt;z-index:25141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" fillcolor="#737950" stroked="f">
                <v:fill color2="#c9cdb3" rotate="t" angle="180" colors="0 #737950;31457f #a8ae85;1 #c9cdb3" focus="100%" type="gradient"/>
                <v:textbox>
                  <w:txbxContent>
                    <w:p w:rsidR="00E86264" w:rsidRPr="008A7B81" w:rsidRDefault="00E86264" w:rsidP="00E86264">
                      <w:pPr>
                        <w:rPr>
                          <w:rFonts w:ascii="Arial" w:hAnsi="Arial" w:cs="Arial"/>
                          <w:b/>
                          <w:bCs/>
                          <w:color w:val="FFFFFF" w:themeColor="background1"/>
                          <w:sz w:val="18"/>
                        </w:rPr>
                      </w:pPr>
                      <w:r w:rsidRPr="008A7B81">
                        <w:rPr>
                          <w:rFonts w:ascii="Arial" w:hAnsi="Arial" w:cs="Arial"/>
                          <w:b/>
                          <w:bCs/>
                          <w:color w:val="FFFFFF" w:themeColor="background1"/>
                          <w:sz w:val="18"/>
                        </w:rPr>
                        <w:t xml:space="preserve">             Language</w:t>
                      </w:r>
                    </w:p>
                  </w:txbxContent>
                </v:textbox>
              </v:rect>
            </w:pict>
          </mc:Fallback>
        </mc:AlternateContent>
      </w: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722240" behindDoc="0" locked="0" layoutInCell="1" allowOverlap="1" wp14:anchorId="07FA125C" wp14:editId="1F9F04E0">
                <wp:simplePos x="0" y="0"/>
                <wp:positionH relativeFrom="column">
                  <wp:posOffset>2444115</wp:posOffset>
                </wp:positionH>
                <wp:positionV relativeFrom="paragraph">
                  <wp:posOffset>84455</wp:posOffset>
                </wp:positionV>
                <wp:extent cx="563245" cy="0"/>
                <wp:effectExtent l="0" t="76200" r="27305" b="95250"/>
                <wp:wrapNone/>
                <wp:docPr id="6198643" name="Straight Arrow Connector 6198643"/>
                <wp:cNvGraphicFramePr/>
                <a:graphic xmlns:a="http://schemas.openxmlformats.org/drawingml/2006/main">
                  <a:graphicData uri="http://schemas.microsoft.com/office/word/2010/wordprocessingShape">
                    <wps:wsp>
                      <wps:cNvCnPr/>
                      <wps:spPr>
                        <a:xfrm>
                          <a:off x="0" y="0"/>
                          <a:ext cx="563245" cy="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anchor>
            </w:drawing>
          </mc:Choice>
          <mc:Fallback>
            <w:pict>
              <v:shape w14:anchorId="108FDD60" id="Straight Arrow Connector 6198643" o:spid="_x0000_s1026" type="#_x0000_t32" style="position:absolute;margin-left:192.45pt;margin-top:6.65pt;width:44.35pt;height:0;z-index:2517222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" strokecolor="windowText" strokeweight="4.25pt">
                <v:stroke endarrow="block" linestyle="thinThin"/>
                <v:shadow on="t" color="black" opacity="26214f" origin=",.5" offset="0,.49386mm"/>
              </v:shape>
            </w:pict>
          </mc:Fallback>
        </mc:AlternateContent>
      </w: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Default="00E86264" w:rsidP="00E86264">
      <w:pPr>
        <w:autoSpaceDE/>
        <w:autoSpaceDN/>
        <w:rPr>
          <w:rFonts w:ascii="Calibri" w:eastAsia="Calibri" w:hAnsi="Calibri" w:cs="Arial"/>
          <w:sz w:val="22"/>
          <w:szCs w:val="22"/>
          <w:lang w:val="en-AU" w:eastAsia="en-US"/>
        </w:rPr>
      </w:pPr>
    </w:p>
    <w:p w:rsidR="00AC397B" w:rsidRDefault="00AC397B" w:rsidP="00E86264">
      <w:pPr>
        <w:autoSpaceDE/>
        <w:autoSpaceDN/>
        <w:rPr>
          <w:rFonts w:ascii="Calibri" w:eastAsia="Calibri" w:hAnsi="Calibri" w:cs="Arial"/>
          <w:sz w:val="22"/>
          <w:szCs w:val="22"/>
          <w:lang w:val="en-AU" w:eastAsia="en-US"/>
        </w:rPr>
      </w:pPr>
    </w:p>
    <w:p w:rsidR="00AC397B" w:rsidRDefault="00AC397B" w:rsidP="00E86264">
      <w:pPr>
        <w:autoSpaceDE/>
        <w:autoSpaceDN/>
        <w:rPr>
          <w:rFonts w:ascii="Calibri" w:eastAsia="Calibri" w:hAnsi="Calibri" w:cs="Arial"/>
          <w:sz w:val="22"/>
          <w:szCs w:val="22"/>
          <w:lang w:val="en-AU" w:eastAsia="en-US"/>
        </w:rPr>
      </w:pPr>
    </w:p>
    <w:p w:rsidR="00AC397B" w:rsidRDefault="00AC397B"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Pr="007923B1" w:rsidRDefault="00E86264" w:rsidP="00E86264">
      <w:pPr>
        <w:autoSpaceDE/>
        <w:autoSpaceDN/>
        <w:rPr>
          <w:rFonts w:ascii="Calibri" w:eastAsia="Calibri" w:hAnsi="Calibri" w:cs="Arial"/>
          <w:sz w:val="22"/>
          <w:szCs w:val="22"/>
          <w:lang w:val="en-AU" w:eastAsia="en-US"/>
        </w:rPr>
      </w:pPr>
    </w:p>
    <w:p w:rsidR="00E86264" w:rsidRDefault="00E86264" w:rsidP="00E86264">
      <w:pPr>
        <w:spacing w:before="120" w:after="120"/>
        <w:ind w:left="426"/>
        <w:jc w:val="both"/>
        <w:rPr>
          <w:rFonts w:ascii="Calibri Light" w:hAnsi="Calibri Light" w:cs="Calibri Light"/>
          <w:sz w:val="24"/>
          <w:szCs w:val="24"/>
        </w:rPr>
      </w:pPr>
    </w:p>
    <w:p w:rsidR="00E86264" w:rsidRDefault="00E86264" w:rsidP="00E86264">
      <w:pPr>
        <w:spacing w:before="120" w:after="120"/>
        <w:ind w:left="426"/>
        <w:jc w:val="center"/>
        <w:rPr>
          <w:rFonts w:ascii="Calibri Light" w:hAnsi="Calibri Light" w:cs="Calibri Light"/>
          <w:sz w:val="24"/>
          <w:szCs w:val="24"/>
        </w:rPr>
      </w:pPr>
      <w:r w:rsidRPr="00E86264">
        <w:rPr>
          <w:rFonts w:ascii="Calibri Light" w:hAnsi="Calibri Light" w:cs="Calibri Light"/>
          <w:b/>
          <w:bCs/>
          <w:i/>
          <w:iCs/>
          <w:sz w:val="24"/>
          <w:szCs w:val="24"/>
        </w:rPr>
        <w:t>Figure 1.</w:t>
      </w:r>
      <w:r w:rsidRPr="00E86264">
        <w:rPr>
          <w:rFonts w:ascii="Calibri Light" w:hAnsi="Calibri Light" w:cs="Calibri Light"/>
          <w:i/>
          <w:iCs/>
          <w:sz w:val="24"/>
          <w:szCs w:val="24"/>
        </w:rPr>
        <w:t xml:space="preserve"> The PRISMA-based systematic review process, highlighting the identification, screening, and inclusion phases in analyzing research on Basel Accords and Islamic banking</w:t>
      </w:r>
    </w:p>
    <w:p w:rsidR="00E86264" w:rsidRDefault="00720B52" w:rsidP="008C3DC2">
      <w:pPr>
        <w:spacing w:before="120" w:after="120"/>
        <w:ind w:left="426"/>
        <w:jc w:val="both"/>
        <w:rPr>
          <w:rFonts w:ascii="Calibri Light" w:hAnsi="Calibri Light" w:cs="Calibri Light"/>
          <w:sz w:val="24"/>
          <w:szCs w:val="24"/>
        </w:rPr>
      </w:pPr>
      <w:r w:rsidRPr="00720B52">
        <w:rPr>
          <w:rFonts w:ascii="Calibri Light" w:hAnsi="Calibri Light" w:cs="Calibri Light"/>
          <w:sz w:val="24"/>
          <w:szCs w:val="24"/>
        </w:rPr>
        <w:lastRenderedPageBreak/>
        <w:t xml:space="preserve">The inclusion and exclusion criteria for data screening were carefully defined to ensure the relevance and quality of the selected studies. The inclusion criteria focused on English-language articles published between 2015 and 2024 in specific subject areas such as Islamic Banks, Shariah and Islamic Economics. Conversely, studies falling outside these parameters were excluded to maintain the accuracy and focus of the bibliometric analysis </w:t>
      </w:r>
      <w:r w:rsidR="009E6AF8">
        <w:rPr>
          <w:rFonts w:ascii="Calibri Light" w:hAnsi="Calibri Light" w:cs="Calibri Light"/>
          <w:sz w:val="24"/>
          <w:szCs w:val="24"/>
        </w:rPr>
        <w:fldChar w:fldCharType="begin" w:fldLock="1"/>
      </w:r>
      <w:r w:rsidR="009E6AF8">
        <w:rPr>
          <w:rFonts w:ascii="Calibri Light" w:hAnsi="Calibri Light" w:cs="Calibri Light"/>
          <w:sz w:val="24"/>
          <w:szCs w:val="24"/>
        </w:rPr>
        <w:instrText>ADDIN CSL_CITATION {"citationItems":[{"id":"ITEM-1","itemData":{"DOI":"10.1108/JIMA-12-2023-0397","ISSN":"17590833 (ISSN)","abstract":"Purpose: The fact that Islamic banking in Indonesia held only a 7% market share in 2023 is ironic, considering that Indonesia has the largest Muslim population in the world. Beyond differences in ethnicity, race and religious understanding, Indonesia’s sociopolitical diversity also presents an intriguing study area about consumer decisions to use financial services. This study aims to investigate the influence of sociopolitical identity on attitudes and intentions to participate in Islamic banking in Indonesia using the theory of reasoned action as a basis. Design/methodology/approach: This study used SEM-PLS to investigate the intention to participate in Islamic banking among Muslim communities in Indonesia. Its focus on prediction and theory building aligns perfectly with the objectives of this study, making it the most appropriate methodological choice. The sample used in this study comprised 343 respondents. The structural model was used to test the relationship between intention to participate in Islamic banking and religiosity, subjective norms, attitudes and sociopolitical identity, with reputation as mediation. Findings: This study found that three variables significantly affect the intention to participate in Islamic banks: attitude (AT), reputation (RP) and subjective norms (SN). Sociopolitical identity (SP) and religiosity (RE) do not have a direct effect. However, sociopolitical identity (SP), attitudes (AT) and religiosity (RE) have been proven to have an indirect impact through reputation (RP) as mediation, and only subjective norms (SN) have not. Practical implications: This study implies that Islamic banking needs to consider non-marketing aspects because, based on its findings, non-marketing factors such as sociopolitical identity and religiosity have been proven to influence the intention to participate in Islamic banking in Indonesia. Originality/value: This study’s respondents were two Muslim communities in Indonesia with the largest mass and assets, namely, Nahdhatul Ulama and Muhammadiyah. The inclusion of non-marketing aspects, such as sociopolitical identity, in the research model added value, which is still rarely researched. © 2024, Emerald Publishing Limited.","author":[{"dropping-particle":"","family":"Fathoni","given":"M A","non-dropping-particle":"","parse-names":false,"suffix":""},{"dropping-particle":"","family":"Rodoni","given":"A","non-dropping-particle":"","parse-names":false,"suffix":""},{"dropping-particle":"","family":"Arif","given":"M N R","non-dropping-particle":"Al","parse-names":false,"suffix":""},{"dropping-particle":"","family":"Hidayah","given":"N","non-dropping-particle":"","parse-names":false,"suffix":""}],"container-title":"Journal of Islamic Marketing","id":"ITEM-1","issued":{"date-parts":[["2024"]]},"language":"English","publisher":"Emerald Publishing","publisher-place":"Department of Islamic Economics, Universitas Pembangunan Nasional Veteran Jakarta, Jakarta, Indonesia","title":"Intention to participate in Islamic banking in Indonesia: Does socio-political identity matter?","type":"article-journal"},"uris":["http://www.mendeley.com/documents/?uuid=903d7c69-d042-40ee-8a87-736c9ea3a7fc"]}],"mendeley":{"formattedCitation":"(Fathoni et al., 2024)","plainTextFormattedCitation":"(Fathoni et al., 2024)","previouslyFormattedCitation":"(Fathoni et al., 2024)"},"properties":{"noteIndex":0},"schema":"https://github.com/citation-style-language/schema/raw/master/csl-citation.json"}</w:instrText>
      </w:r>
      <w:r w:rsidR="009E6AF8">
        <w:rPr>
          <w:rFonts w:ascii="Calibri Light" w:hAnsi="Calibri Light" w:cs="Calibri Light"/>
          <w:sz w:val="24"/>
          <w:szCs w:val="24"/>
        </w:rPr>
        <w:fldChar w:fldCharType="separate"/>
      </w:r>
      <w:r w:rsidR="009E6AF8" w:rsidRPr="009E6AF8">
        <w:rPr>
          <w:rFonts w:ascii="Calibri Light" w:hAnsi="Calibri Light" w:cs="Calibri Light"/>
          <w:noProof/>
          <w:sz w:val="24"/>
          <w:szCs w:val="24"/>
        </w:rPr>
        <w:t>(</w:t>
      </w:r>
      <w:hyperlink w:anchor="Fathoni" w:history="1">
        <w:r w:rsidR="009E6AF8" w:rsidRPr="00434A6A">
          <w:rPr>
            <w:rStyle w:val="Hyperlink"/>
            <w:rFonts w:ascii="Calibri Light" w:hAnsi="Calibri Light" w:cs="Calibri Light"/>
            <w:noProof/>
            <w:sz w:val="24"/>
            <w:szCs w:val="24"/>
          </w:rPr>
          <w:t>Fathoni et al.</w:t>
        </w:r>
      </w:hyperlink>
      <w:r w:rsidR="009E6AF8" w:rsidRPr="009E6AF8">
        <w:rPr>
          <w:rFonts w:ascii="Calibri Light" w:hAnsi="Calibri Light" w:cs="Calibri Light"/>
          <w:noProof/>
          <w:sz w:val="24"/>
          <w:szCs w:val="24"/>
        </w:rPr>
        <w:t>, 2024)</w:t>
      </w:r>
      <w:r w:rsidR="009E6AF8">
        <w:rPr>
          <w:rFonts w:ascii="Calibri Light" w:hAnsi="Calibri Light" w:cs="Calibri Light"/>
          <w:sz w:val="24"/>
          <w:szCs w:val="24"/>
        </w:rPr>
        <w:fldChar w:fldCharType="end"/>
      </w:r>
      <w:r w:rsidRPr="00720B52">
        <w:rPr>
          <w:rFonts w:ascii="Calibri Light" w:hAnsi="Calibri Light" w:cs="Calibri Light"/>
          <w:sz w:val="24"/>
          <w:szCs w:val="24"/>
        </w:rPr>
        <w:t>. These criteria played a crucial role in refining the dataset and ensuring a systematic and robust review process, as Table 1 details the inclusion and exclusion criteria.</w:t>
      </w:r>
    </w:p>
    <w:p w:rsidR="00720B52" w:rsidRPr="00720B52" w:rsidRDefault="00720B52" w:rsidP="00720B52">
      <w:pPr>
        <w:spacing w:before="120" w:after="120"/>
        <w:ind w:left="426"/>
        <w:jc w:val="center"/>
        <w:rPr>
          <w:rFonts w:ascii="Calibri Light" w:hAnsi="Calibri Light" w:cs="Calibri Light"/>
          <w:b/>
          <w:bCs/>
          <w:sz w:val="24"/>
          <w:szCs w:val="24"/>
        </w:rPr>
      </w:pPr>
      <w:r w:rsidRPr="00720B52">
        <w:rPr>
          <w:rFonts w:ascii="Calibri Light" w:hAnsi="Calibri Light" w:cs="Calibri Light"/>
          <w:b/>
          <w:bCs/>
          <w:sz w:val="24"/>
          <w:szCs w:val="24"/>
        </w:rPr>
        <w:t>Table 1. The inclusion and the exclusion criteria for data screening</w:t>
      </w:r>
    </w:p>
    <w:tbl>
      <w:tblPr>
        <w:tblW w:w="8981" w:type="dxa"/>
        <w:tblInd w:w="392" w:type="dxa"/>
        <w:tblBorders>
          <w:top w:val="single" w:sz="4" w:space="0" w:color="000000"/>
          <w:bottom w:val="single" w:sz="4" w:space="0" w:color="000000"/>
          <w:insideH w:val="single" w:sz="4" w:space="0" w:color="000000"/>
        </w:tblBorders>
        <w:tblLook w:val="04A0" w:firstRow="1" w:lastRow="0" w:firstColumn="1" w:lastColumn="0" w:noHBand="0" w:noVBand="1"/>
      </w:tblPr>
      <w:tblGrid>
        <w:gridCol w:w="1144"/>
        <w:gridCol w:w="1324"/>
        <w:gridCol w:w="1272"/>
        <w:gridCol w:w="1538"/>
        <w:gridCol w:w="1386"/>
        <w:gridCol w:w="1162"/>
        <w:gridCol w:w="1155"/>
      </w:tblGrid>
      <w:tr w:rsidR="00720B52" w:rsidRPr="00720B52" w:rsidTr="00AC397B">
        <w:tc>
          <w:tcPr>
            <w:tcW w:w="1144" w:type="dxa"/>
            <w:shd w:val="clear" w:color="auto" w:fill="D9D9D9"/>
            <w:vAlign w:val="center"/>
          </w:tcPr>
          <w:p w:rsidR="00720B52" w:rsidRPr="00720B52" w:rsidRDefault="00720B52" w:rsidP="00AC397B">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p>
        </w:tc>
        <w:tc>
          <w:tcPr>
            <w:tcW w:w="1324" w:type="dxa"/>
            <w:shd w:val="clear" w:color="auto" w:fill="D9D9D9"/>
            <w:vAlign w:val="center"/>
          </w:tcPr>
          <w:p w:rsidR="00720B52" w:rsidRPr="00720B52" w:rsidRDefault="00720B52" w:rsidP="00AC397B">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720B52">
              <w:rPr>
                <w:rFonts w:ascii="Calibri Light" w:hAnsi="Calibri Light" w:cs="Calibri Light"/>
                <w:b/>
                <w:bCs/>
                <w:szCs w:val="24"/>
              </w:rPr>
              <w:t>Year</w:t>
            </w:r>
          </w:p>
        </w:tc>
        <w:tc>
          <w:tcPr>
            <w:tcW w:w="1272" w:type="dxa"/>
            <w:shd w:val="clear" w:color="auto" w:fill="D9D9D9"/>
            <w:vAlign w:val="center"/>
          </w:tcPr>
          <w:p w:rsidR="00720B52" w:rsidRPr="00720B52" w:rsidRDefault="00720B52" w:rsidP="00AC397B">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720B52">
              <w:rPr>
                <w:rFonts w:ascii="Calibri Light" w:hAnsi="Calibri Light" w:cs="Calibri Light"/>
                <w:b/>
                <w:bCs/>
                <w:szCs w:val="24"/>
              </w:rPr>
              <w:t>Subject Area</w:t>
            </w:r>
          </w:p>
        </w:tc>
        <w:tc>
          <w:tcPr>
            <w:tcW w:w="1538" w:type="dxa"/>
            <w:shd w:val="clear" w:color="auto" w:fill="D9D9D9"/>
            <w:vAlign w:val="center"/>
          </w:tcPr>
          <w:p w:rsidR="00720B52" w:rsidRPr="00720B52" w:rsidRDefault="00720B52" w:rsidP="00AC397B">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720B52">
              <w:rPr>
                <w:rFonts w:ascii="Calibri Light" w:hAnsi="Calibri Light" w:cs="Calibri Light"/>
                <w:b/>
                <w:bCs/>
                <w:szCs w:val="24"/>
              </w:rPr>
              <w:t>Document Type</w:t>
            </w:r>
          </w:p>
        </w:tc>
        <w:tc>
          <w:tcPr>
            <w:tcW w:w="1386" w:type="dxa"/>
            <w:shd w:val="clear" w:color="auto" w:fill="D9D9D9"/>
            <w:vAlign w:val="center"/>
          </w:tcPr>
          <w:p w:rsidR="00720B52" w:rsidRPr="00720B52" w:rsidRDefault="00720B52" w:rsidP="00AC397B">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720B52">
              <w:rPr>
                <w:rFonts w:ascii="Calibri Light" w:hAnsi="Calibri Light" w:cs="Calibri Light"/>
                <w:b/>
                <w:bCs/>
                <w:szCs w:val="24"/>
              </w:rPr>
              <w:t>Keyword</w:t>
            </w:r>
          </w:p>
        </w:tc>
        <w:tc>
          <w:tcPr>
            <w:tcW w:w="1162" w:type="dxa"/>
            <w:shd w:val="clear" w:color="auto" w:fill="D9D9D9"/>
            <w:vAlign w:val="center"/>
          </w:tcPr>
          <w:p w:rsidR="00720B52" w:rsidRPr="00720B52" w:rsidRDefault="00720B52" w:rsidP="00AC397B">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720B52">
              <w:rPr>
                <w:rFonts w:ascii="Calibri Light" w:hAnsi="Calibri Light" w:cs="Calibri Light"/>
                <w:b/>
                <w:bCs/>
                <w:szCs w:val="24"/>
              </w:rPr>
              <w:t>Source Type</w:t>
            </w:r>
          </w:p>
        </w:tc>
        <w:tc>
          <w:tcPr>
            <w:tcW w:w="1155" w:type="dxa"/>
            <w:shd w:val="clear" w:color="auto" w:fill="D9D9D9"/>
            <w:vAlign w:val="center"/>
          </w:tcPr>
          <w:p w:rsidR="00720B52" w:rsidRPr="00720B52" w:rsidRDefault="00720B52" w:rsidP="00AC397B">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720B52">
              <w:rPr>
                <w:rFonts w:ascii="Calibri Light" w:hAnsi="Calibri Light" w:cs="Calibri Light"/>
                <w:b/>
                <w:bCs/>
                <w:szCs w:val="24"/>
              </w:rPr>
              <w:t>Language</w:t>
            </w:r>
          </w:p>
        </w:tc>
      </w:tr>
      <w:tr w:rsidR="00720B52" w:rsidRPr="00720B52" w:rsidTr="00AC397B">
        <w:tc>
          <w:tcPr>
            <w:tcW w:w="1144" w:type="dxa"/>
          </w:tcPr>
          <w:p w:rsidR="00720B52" w:rsidRPr="00720B52" w:rsidRDefault="00720B52" w:rsidP="00720B52">
            <w:pPr>
              <w:rPr>
                <w:rFonts w:ascii="Calibri Light" w:hAnsi="Calibri Light" w:cs="Calibri Light"/>
              </w:rPr>
            </w:pPr>
            <w:r w:rsidRPr="00720B52">
              <w:rPr>
                <w:rFonts w:ascii="Calibri Light" w:hAnsi="Calibri Light" w:cs="Calibri Light"/>
              </w:rPr>
              <w:t>Inclusion Criteria</w:t>
            </w:r>
          </w:p>
        </w:tc>
        <w:tc>
          <w:tcPr>
            <w:tcW w:w="1324" w:type="dxa"/>
          </w:tcPr>
          <w:p w:rsidR="00720B52" w:rsidRPr="00720B52" w:rsidRDefault="00720B52" w:rsidP="00720B52">
            <w:pPr>
              <w:rPr>
                <w:rFonts w:ascii="Calibri Light" w:hAnsi="Calibri Light" w:cs="Calibri Light"/>
              </w:rPr>
            </w:pPr>
            <w:r w:rsidRPr="00720B52">
              <w:rPr>
                <w:rFonts w:ascii="Calibri Light" w:hAnsi="Calibri Light" w:cs="Calibri Light"/>
              </w:rPr>
              <w:t>from 2015-2024</w:t>
            </w:r>
          </w:p>
        </w:tc>
        <w:tc>
          <w:tcPr>
            <w:tcW w:w="1272" w:type="dxa"/>
          </w:tcPr>
          <w:p w:rsidR="00720B52" w:rsidRPr="00720B52" w:rsidRDefault="00720B52" w:rsidP="00720B52">
            <w:pPr>
              <w:rPr>
                <w:rFonts w:ascii="Calibri Light" w:hAnsi="Calibri Light" w:cs="Calibri Light"/>
              </w:rPr>
            </w:pPr>
            <w:r w:rsidRPr="00720B52">
              <w:rPr>
                <w:rFonts w:ascii="Calibri Light" w:hAnsi="Calibri Light" w:cs="Calibri Light"/>
              </w:rPr>
              <w:t>economics and business (ECON, BUSI)</w:t>
            </w:r>
          </w:p>
        </w:tc>
        <w:tc>
          <w:tcPr>
            <w:tcW w:w="1538" w:type="dxa"/>
          </w:tcPr>
          <w:p w:rsidR="00720B52" w:rsidRPr="00720B52" w:rsidRDefault="00720B52" w:rsidP="00720B52">
            <w:pPr>
              <w:rPr>
                <w:rFonts w:ascii="Calibri Light" w:hAnsi="Calibri Light" w:cs="Calibri Light"/>
              </w:rPr>
            </w:pPr>
            <w:r w:rsidRPr="00720B52">
              <w:rPr>
                <w:rFonts w:ascii="Calibri Light" w:hAnsi="Calibri Light" w:cs="Calibri Light"/>
              </w:rPr>
              <w:t>Only Articles.</w:t>
            </w:r>
          </w:p>
        </w:tc>
        <w:tc>
          <w:tcPr>
            <w:tcW w:w="1386" w:type="dxa"/>
          </w:tcPr>
          <w:p w:rsidR="00720B52" w:rsidRPr="00720B52" w:rsidRDefault="00720B52" w:rsidP="00720B52">
            <w:pPr>
              <w:rPr>
                <w:rFonts w:ascii="Calibri Light" w:hAnsi="Calibri Light" w:cs="Calibri Light"/>
              </w:rPr>
            </w:pPr>
            <w:r w:rsidRPr="00720B52">
              <w:rPr>
                <w:rFonts w:ascii="Calibri Light" w:hAnsi="Calibri Light" w:cs="Calibri Light"/>
              </w:rPr>
              <w:t>Basel Accords, Islamic banking</w:t>
            </w:r>
          </w:p>
        </w:tc>
        <w:tc>
          <w:tcPr>
            <w:tcW w:w="1162" w:type="dxa"/>
          </w:tcPr>
          <w:p w:rsidR="00720B52" w:rsidRPr="00720B52" w:rsidRDefault="00720B52" w:rsidP="00720B52">
            <w:pPr>
              <w:rPr>
                <w:rFonts w:ascii="Calibri Light" w:hAnsi="Calibri Light" w:cs="Calibri Light"/>
              </w:rPr>
            </w:pPr>
            <w:r w:rsidRPr="00720B52">
              <w:rPr>
                <w:rFonts w:ascii="Calibri Light" w:hAnsi="Calibri Light" w:cs="Calibri Light"/>
              </w:rPr>
              <w:t>Journal</w:t>
            </w:r>
          </w:p>
        </w:tc>
        <w:tc>
          <w:tcPr>
            <w:tcW w:w="1155" w:type="dxa"/>
          </w:tcPr>
          <w:p w:rsidR="00720B52" w:rsidRPr="00720B52" w:rsidRDefault="00720B52" w:rsidP="00720B52">
            <w:pPr>
              <w:rPr>
                <w:rFonts w:ascii="Calibri Light" w:hAnsi="Calibri Light" w:cs="Calibri Light"/>
              </w:rPr>
            </w:pPr>
            <w:r w:rsidRPr="00720B52">
              <w:rPr>
                <w:rFonts w:ascii="Calibri Light" w:hAnsi="Calibri Light" w:cs="Calibri Light"/>
              </w:rPr>
              <w:t>English Language</w:t>
            </w:r>
          </w:p>
        </w:tc>
      </w:tr>
      <w:tr w:rsidR="00720B52" w:rsidRPr="00720B52" w:rsidTr="00AC397B">
        <w:tc>
          <w:tcPr>
            <w:tcW w:w="1144" w:type="dxa"/>
          </w:tcPr>
          <w:p w:rsidR="00720B52" w:rsidRPr="00720B52" w:rsidRDefault="00720B52" w:rsidP="00720B52">
            <w:pPr>
              <w:rPr>
                <w:rFonts w:ascii="Calibri Light" w:hAnsi="Calibri Light" w:cs="Calibri Light"/>
              </w:rPr>
            </w:pPr>
            <w:r w:rsidRPr="00720B52">
              <w:rPr>
                <w:rFonts w:ascii="Calibri Light" w:hAnsi="Calibri Light" w:cs="Calibri Light"/>
              </w:rPr>
              <w:t>Exclusion Criteria</w:t>
            </w:r>
          </w:p>
        </w:tc>
        <w:tc>
          <w:tcPr>
            <w:tcW w:w="1324" w:type="dxa"/>
          </w:tcPr>
          <w:p w:rsidR="00720B52" w:rsidRPr="00720B52" w:rsidRDefault="00720B52" w:rsidP="00720B52">
            <w:pPr>
              <w:rPr>
                <w:rFonts w:ascii="Calibri Light" w:hAnsi="Calibri Light" w:cs="Calibri Light"/>
              </w:rPr>
            </w:pPr>
            <w:r w:rsidRPr="00720B52">
              <w:rPr>
                <w:rFonts w:ascii="Calibri Light" w:hAnsi="Calibri Light" w:cs="Calibri Light"/>
              </w:rPr>
              <w:t>Any research before 2014 was excluded</w:t>
            </w:r>
          </w:p>
        </w:tc>
        <w:tc>
          <w:tcPr>
            <w:tcW w:w="1272" w:type="dxa"/>
          </w:tcPr>
          <w:p w:rsidR="00720B52" w:rsidRPr="00720B52" w:rsidRDefault="00720B52" w:rsidP="00720B52">
            <w:pPr>
              <w:rPr>
                <w:rFonts w:ascii="Calibri Light" w:hAnsi="Calibri Light" w:cs="Calibri Light"/>
              </w:rPr>
            </w:pPr>
            <w:r w:rsidRPr="00720B52">
              <w:rPr>
                <w:rFonts w:ascii="Calibri Light" w:hAnsi="Calibri Light" w:cs="Calibri Light"/>
              </w:rPr>
              <w:t>Any other</w:t>
            </w:r>
          </w:p>
        </w:tc>
        <w:tc>
          <w:tcPr>
            <w:tcW w:w="1538" w:type="dxa"/>
          </w:tcPr>
          <w:p w:rsidR="00720B52" w:rsidRPr="00720B52" w:rsidRDefault="00720B52" w:rsidP="00720B52">
            <w:pPr>
              <w:rPr>
                <w:rFonts w:ascii="Calibri Light" w:hAnsi="Calibri Light" w:cs="Calibri Light"/>
              </w:rPr>
            </w:pPr>
            <w:r w:rsidRPr="00720B52">
              <w:rPr>
                <w:rFonts w:ascii="Calibri Light" w:hAnsi="Calibri Light" w:cs="Calibri Light"/>
              </w:rPr>
              <w:t>Conference papers,Book, theises, Review</w:t>
            </w:r>
          </w:p>
        </w:tc>
        <w:tc>
          <w:tcPr>
            <w:tcW w:w="1386" w:type="dxa"/>
          </w:tcPr>
          <w:p w:rsidR="00720B52" w:rsidRPr="00720B52" w:rsidRDefault="00720B52" w:rsidP="00720B52">
            <w:pPr>
              <w:rPr>
                <w:rFonts w:ascii="Calibri Light" w:hAnsi="Calibri Light" w:cs="Calibri Light"/>
              </w:rPr>
            </w:pPr>
            <w:r w:rsidRPr="00720B52">
              <w:rPr>
                <w:rFonts w:ascii="Calibri Light" w:hAnsi="Calibri Light" w:cs="Calibri Light"/>
              </w:rPr>
              <w:t>Any other keywords</w:t>
            </w:r>
          </w:p>
        </w:tc>
        <w:tc>
          <w:tcPr>
            <w:tcW w:w="1162" w:type="dxa"/>
          </w:tcPr>
          <w:p w:rsidR="00720B52" w:rsidRPr="00720B52" w:rsidRDefault="00720B52" w:rsidP="00720B52">
            <w:pPr>
              <w:rPr>
                <w:rFonts w:ascii="Calibri Light" w:hAnsi="Calibri Light" w:cs="Calibri Light"/>
              </w:rPr>
            </w:pPr>
            <w:r w:rsidRPr="00720B52">
              <w:rPr>
                <w:rFonts w:ascii="Calibri Light" w:hAnsi="Calibri Light" w:cs="Calibri Light"/>
              </w:rPr>
              <w:t>Book series</w:t>
            </w:r>
          </w:p>
        </w:tc>
        <w:tc>
          <w:tcPr>
            <w:tcW w:w="1155" w:type="dxa"/>
          </w:tcPr>
          <w:p w:rsidR="00720B52" w:rsidRPr="00720B52" w:rsidRDefault="00720B52" w:rsidP="00720B52">
            <w:pPr>
              <w:rPr>
                <w:rFonts w:ascii="Calibri Light" w:hAnsi="Calibri Light" w:cs="Calibri Light"/>
              </w:rPr>
            </w:pPr>
            <w:r w:rsidRPr="00720B52">
              <w:rPr>
                <w:rFonts w:ascii="Calibri Light" w:hAnsi="Calibri Light" w:cs="Calibri Light"/>
              </w:rPr>
              <w:t>Any other Languages</w:t>
            </w:r>
          </w:p>
        </w:tc>
      </w:tr>
    </w:tbl>
    <w:p w:rsidR="00F369EC" w:rsidRPr="00122F5F" w:rsidRDefault="00F369EC" w:rsidP="00F369EC">
      <w:pPr>
        <w:spacing w:before="120" w:after="120"/>
        <w:ind w:left="426"/>
        <w:jc w:val="both"/>
        <w:rPr>
          <w:rFonts w:ascii="Calibri Light" w:hAnsi="Calibri Light" w:cs="Calibri Light"/>
          <w:color w:val="FF0000"/>
          <w:sz w:val="24"/>
          <w:szCs w:val="24"/>
          <w:lang w:val="id-ID"/>
        </w:rPr>
      </w:pPr>
    </w:p>
    <w:p w:rsidR="00D26ADD" w:rsidRPr="00122F5F" w:rsidRDefault="007636FC" w:rsidP="00334792">
      <w:pPr>
        <w:spacing w:before="120" w:after="120"/>
        <w:rPr>
          <w:rFonts w:ascii="Calibri Light" w:hAnsi="Calibri Light" w:cs="Calibri Light"/>
          <w:b/>
          <w:sz w:val="24"/>
          <w:szCs w:val="24"/>
          <w:lang w:val="id-ID"/>
        </w:rPr>
      </w:pPr>
      <w:r w:rsidRPr="00122F5F">
        <w:rPr>
          <w:rFonts w:ascii="Calibri Light" w:hAnsi="Calibri Light" w:cs="Calibri Light"/>
          <w:b/>
          <w:sz w:val="24"/>
          <w:szCs w:val="24"/>
          <w:lang w:val="id-ID"/>
        </w:rPr>
        <w:t>I</w:t>
      </w:r>
      <w:r w:rsidR="00781D8B" w:rsidRPr="00122F5F">
        <w:rPr>
          <w:rFonts w:ascii="Calibri Light" w:hAnsi="Calibri Light" w:cs="Calibri Light"/>
          <w:b/>
          <w:sz w:val="24"/>
          <w:szCs w:val="24"/>
        </w:rPr>
        <w:t>II</w:t>
      </w:r>
      <w:r w:rsidRPr="00122F5F">
        <w:rPr>
          <w:rFonts w:ascii="Calibri Light" w:hAnsi="Calibri Light" w:cs="Calibri Light"/>
          <w:b/>
          <w:sz w:val="24"/>
          <w:szCs w:val="24"/>
          <w:lang w:val="id-ID"/>
        </w:rPr>
        <w:t xml:space="preserve">. </w:t>
      </w:r>
      <w:r w:rsidR="00F369EC" w:rsidRPr="00122F5F">
        <w:rPr>
          <w:rFonts w:ascii="Calibri Light" w:hAnsi="Calibri Light" w:cs="Calibri Light"/>
          <w:b/>
          <w:sz w:val="24"/>
          <w:szCs w:val="24"/>
          <w:lang w:val="id-ID"/>
        </w:rPr>
        <w:t xml:space="preserve"> </w:t>
      </w:r>
      <w:r w:rsidR="00334792" w:rsidRPr="00122F5F">
        <w:rPr>
          <w:rFonts w:ascii="Calibri Light" w:hAnsi="Calibri Light" w:cs="Calibri Light"/>
          <w:b/>
          <w:sz w:val="24"/>
          <w:szCs w:val="24"/>
          <w:lang w:val="id-ID"/>
        </w:rPr>
        <w:t>RESULT AND DISCUSSION</w:t>
      </w:r>
    </w:p>
    <w:p w:rsidR="00EB4BB6" w:rsidRPr="00EB4BB6" w:rsidRDefault="00EB4BB6" w:rsidP="00B25EDF">
      <w:pPr>
        <w:spacing w:before="120" w:after="120"/>
        <w:ind w:left="440" w:right="-1" w:hanging="14"/>
        <w:jc w:val="both"/>
        <w:rPr>
          <w:rFonts w:ascii="Calibri Light" w:hAnsi="Calibri Light" w:cs="Calibri Light"/>
          <w:b/>
          <w:bCs/>
          <w:sz w:val="24"/>
          <w:szCs w:val="24"/>
        </w:rPr>
      </w:pPr>
      <w:r w:rsidRPr="00EB4BB6">
        <w:rPr>
          <w:rFonts w:ascii="Calibri Light" w:hAnsi="Calibri Light" w:cs="Calibri Light"/>
          <w:b/>
          <w:bCs/>
          <w:sz w:val="24"/>
          <w:szCs w:val="24"/>
        </w:rPr>
        <w:t>Results Analysis</w:t>
      </w:r>
    </w:p>
    <w:p w:rsidR="00EB4BB6" w:rsidRDefault="00EB4BB6" w:rsidP="00B25EDF">
      <w:pPr>
        <w:spacing w:before="120" w:after="120"/>
        <w:ind w:left="440" w:right="-1" w:hanging="14"/>
        <w:jc w:val="both"/>
        <w:rPr>
          <w:rFonts w:ascii="Calibri Light" w:hAnsi="Calibri Light" w:cs="Calibri Light"/>
          <w:sz w:val="24"/>
          <w:szCs w:val="24"/>
        </w:rPr>
      </w:pPr>
      <w:r w:rsidRPr="00EB4BB6">
        <w:rPr>
          <w:rFonts w:ascii="Calibri Light" w:hAnsi="Calibri Light" w:cs="Calibri Light"/>
          <w:sz w:val="24"/>
          <w:szCs w:val="24"/>
        </w:rPr>
        <w:t xml:space="preserve">The analysis in this study will be conducted from four main perspectives. First, we will examine the key characteristics of published research to explore the academic field related to the Basel Accords and Islamic banking. Second, we will analyze data and present visual representations to identify research trends, leading countries, and academic institutions contributing to this field </w:t>
      </w:r>
      <w:r w:rsidR="009B4597">
        <w:rPr>
          <w:rFonts w:ascii="Calibri Light" w:hAnsi="Calibri Light" w:cs="Calibri Light"/>
          <w:sz w:val="24"/>
          <w:szCs w:val="24"/>
        </w:rPr>
        <w:fldChar w:fldCharType="begin" w:fldLock="1"/>
      </w:r>
      <w:r w:rsidR="0023752D">
        <w:rPr>
          <w:rFonts w:ascii="Calibri Light" w:hAnsi="Calibri Light" w:cs="Calibri Light"/>
          <w:sz w:val="24"/>
          <w:szCs w:val="24"/>
        </w:rPr>
        <w:instrText>ADDIN CSL_CITATION {"citationItems":[{"id":"ITEM-1","itemData":{"DOI":"10.1007/s13132-022-00933-y","ISSN":"18687865 (ISSN)","abstract":"This study aims to investigate the impact of customer knowledge, political support, and innovative advancement on the development of Islamic bank. There is a strong microeconomics ground of Islamic financing for the economy-wide conduct of good monetary issues, and issues including the procedure structure. Islamic bank clients limit the dangers related to premium-based obligation financing, and simple credit, which tormented regular banks amid the sub-prime home loan emergency. In short, when there will be sufficient knowledge and information about the Islamic banking services and products, then it will help to develop the Islamic banking system, and similar is the case for advanced innovations. Meanwhile, strong political support can also play an influential role in the development of the Islamic banking system. This study collects the data through self-administered survey from managers of Islamic banks located in the Lahore region. The results of regression analysis are obtained through SPSS. The findings revealed that customer knowledge, innovations, and political support positively and significantly influence the growth of Islamic banks in Pakistan. In other words, good knowledge, innovations, and political support can result in more Islamic banking system development. Conclusively, general monetary development of Islamic banking in Muslim nations will drive the development of Islamic money-related administrations, prompting further in Sharia-consistent system. © 2022, The Author(s), under exclusive licence to Springer Science+Business Media, LLC, part of Springer Nature.","author":[{"dropping-particle":"","family":"Abrar","given":"M","non-dropping-particle":"","parse-names":false,"suffix":""},{"dropping-particle":"","family":"Abbas","given":"S","non-dropping-particle":"","parse-names":false,"suffix":""},{"dropping-particle":"","family":"Kousar","given":"S","non-dropping-particle":"","parse-names":false,"suffix":""},{"dropping-particle":"","family":"Mushtaq","given":"M","non-dropping-particle":"","parse-names":false,"suffix":""}],"container-title":"Journal of the Knowledge Economy","id":"ITEM-1","issue":"2","issued":{"date-parts":[["2023"]]},"language":"English","page":"946-965","publisher":"Springer","publisher-place":"Business School, Department of Finance, Konkuk University, Seoul, South Korea","title":"Investigation on the Effects of Customer Knowledge, Political Support, and Innovation on the Growth of Islamic Banking System: a Case Study of Pakistan","type":"article-journal","volume":"14"},"uris":["http://www.mendeley.com/documents/?uuid=db18296f-383f-48f5-9ecc-402ec39aede8"]}],"mendeley":{"formattedCitation":"(Abrar et al., 2023)","plainTextFormattedCitation":"(Abrar et al., 2023)","previouslyFormattedCitation":"(Abrar et al., 2023)"},"properties":{"noteIndex":0},"schema":"https://github.com/citation-style-language/schema/raw/master/csl-citation.json"}</w:instrText>
      </w:r>
      <w:r w:rsidR="009B4597">
        <w:rPr>
          <w:rFonts w:ascii="Calibri Light" w:hAnsi="Calibri Light" w:cs="Calibri Light"/>
          <w:sz w:val="24"/>
          <w:szCs w:val="24"/>
        </w:rPr>
        <w:fldChar w:fldCharType="separate"/>
      </w:r>
      <w:r w:rsidR="009B4597" w:rsidRPr="009B4597">
        <w:rPr>
          <w:rFonts w:ascii="Calibri Light" w:hAnsi="Calibri Light" w:cs="Calibri Light"/>
          <w:noProof/>
          <w:sz w:val="24"/>
          <w:szCs w:val="24"/>
        </w:rPr>
        <w:t>(</w:t>
      </w:r>
      <w:hyperlink w:anchor="Abrar" w:history="1">
        <w:r w:rsidR="009B4597" w:rsidRPr="00A96769">
          <w:rPr>
            <w:rStyle w:val="Hyperlink"/>
            <w:rFonts w:ascii="Calibri Light" w:hAnsi="Calibri Light" w:cs="Calibri Light"/>
            <w:noProof/>
            <w:sz w:val="24"/>
            <w:szCs w:val="24"/>
          </w:rPr>
          <w:t>Abrar et al.</w:t>
        </w:r>
      </w:hyperlink>
      <w:r w:rsidR="009B4597" w:rsidRPr="009B4597">
        <w:rPr>
          <w:rFonts w:ascii="Calibri Light" w:hAnsi="Calibri Light" w:cs="Calibri Light"/>
          <w:noProof/>
          <w:sz w:val="24"/>
          <w:szCs w:val="24"/>
        </w:rPr>
        <w:t>, 2023)</w:t>
      </w:r>
      <w:r w:rsidR="009B4597">
        <w:rPr>
          <w:rFonts w:ascii="Calibri Light" w:hAnsi="Calibri Light" w:cs="Calibri Light"/>
          <w:sz w:val="24"/>
          <w:szCs w:val="24"/>
        </w:rPr>
        <w:fldChar w:fldCharType="end"/>
      </w:r>
      <w:r w:rsidRPr="00EB4BB6">
        <w:rPr>
          <w:rFonts w:ascii="Calibri Light" w:hAnsi="Calibri Light" w:cs="Calibri Light"/>
          <w:sz w:val="24"/>
          <w:szCs w:val="24"/>
        </w:rPr>
        <w:t xml:space="preserve">. Third, we will define the conceptual structure of keywords related to Islamic banking and the Basel Accords. Finally, we will apply bibliometric analysis, including keyword co-occurrence and citation network analysis, to identify current research trends, future directions, and key topics in this field </w:t>
      </w:r>
      <w:r w:rsidR="003A66C6">
        <w:rPr>
          <w:rFonts w:ascii="Calibri Light" w:hAnsi="Calibri Light" w:cs="Calibri Light"/>
          <w:sz w:val="24"/>
          <w:szCs w:val="24"/>
        </w:rPr>
        <w:fldChar w:fldCharType="begin" w:fldLock="1"/>
      </w:r>
      <w:r w:rsidR="003A66C6">
        <w:rPr>
          <w:rFonts w:ascii="Calibri Light" w:hAnsi="Calibri Light" w:cs="Calibri Light"/>
          <w:sz w:val="24"/>
          <w:szCs w:val="24"/>
        </w:rPr>
        <w:instrText>ADDIN CSL_CITATION {"citationItems":[{"id":"ITEM-1","itemData":{"ISSN":"26007975 (ISSN)","abstract":"This research provides an in-depth examination of the crucial connection between Sharia Supervisory Boards (SSB) and Sharia Compliance Disclosure (SCD) in the context of Indonesian Islamic banks. Using secondary data from the years 2014 to 2019, sourced from a selection of Islamic Banks, this research employed panel multiple regression analysis conducted using E-Views software. The findings of this investigation yielded remarkable insights. Firstly, it was demonstrated that the expertise of SSB members played a pivotal role in significantly and positively influencing the extent of SCD. Conversely, the size and education of SSB members exerted a significant and negative influence on SCD. Intriguingly, the study revealed that SSB’s meetings and SSB’s cross-directorship did not have any impact on SCD. These findings hold profound implications for the strategic selection and composition of SSB, highlighting the paramount importance of expertise in driving robust SCD practices within Islamic Banks. In this way, this research advances our understanding of SSB dynamics and their impact on financial transparency, contributing valuable insights to the global discourse on Islamic finance. © 2023, Universiti Teknologi Mara. All rights reserved.","author":[{"dropping-particle":"","family":"Hudayati","given":"A","non-dropping-particle":"","parse-names":false,"suffix":""}],"container-title":"Management and Accounting Review","id":"ITEM-1","issue":"3","issued":{"date-parts":[["2023"]]},"language":"English","page":"407-428","publisher":"Universiti Teknologi Mara","publisher-place":"Department of Sharia Economics, STAI Darul Ulum, South Kalimantan, Indonesia","title":"Exploring the Nexus of Disclosure of Sharia Compliance and Governance in Islamic Banking: A Comprehensive Analysis of the Sharia Supervisory Board","type":"article-journal","volume":"22"},"uris":["http://www.mendeley.com/documents/?uuid=02b69e48-6792-496d-bfe9-40075d576bc3"]}],"mendeley":{"formattedCitation":"(Hudayati, 2023)","plainTextFormattedCitation":"(Hudayati, 2023)","previouslyFormattedCitation":"(Hudayati, 2023)"},"properties":{"noteIndex":0},"schema":"https://github.com/citation-style-language/schema/raw/master/csl-citation.json"}</w:instrText>
      </w:r>
      <w:r w:rsidR="003A66C6">
        <w:rPr>
          <w:rFonts w:ascii="Calibri Light" w:hAnsi="Calibri Light" w:cs="Calibri Light"/>
          <w:sz w:val="24"/>
          <w:szCs w:val="24"/>
        </w:rPr>
        <w:fldChar w:fldCharType="separate"/>
      </w:r>
      <w:r w:rsidR="003A66C6" w:rsidRPr="003A66C6">
        <w:rPr>
          <w:rFonts w:ascii="Calibri Light" w:hAnsi="Calibri Light" w:cs="Calibri Light"/>
          <w:noProof/>
          <w:sz w:val="24"/>
          <w:szCs w:val="24"/>
        </w:rPr>
        <w:t>(</w:t>
      </w:r>
      <w:hyperlink w:anchor="Hudayati" w:history="1">
        <w:r w:rsidR="003A66C6" w:rsidRPr="004231BE">
          <w:rPr>
            <w:rStyle w:val="Hyperlink"/>
            <w:rFonts w:ascii="Calibri Light" w:hAnsi="Calibri Light" w:cs="Calibri Light"/>
            <w:noProof/>
            <w:sz w:val="24"/>
            <w:szCs w:val="24"/>
          </w:rPr>
          <w:t>Hudayati</w:t>
        </w:r>
      </w:hyperlink>
      <w:r w:rsidR="003A66C6" w:rsidRPr="003A66C6">
        <w:rPr>
          <w:rFonts w:ascii="Calibri Light" w:hAnsi="Calibri Light" w:cs="Calibri Light"/>
          <w:noProof/>
          <w:sz w:val="24"/>
          <w:szCs w:val="24"/>
        </w:rPr>
        <w:t>, 2023)</w:t>
      </w:r>
      <w:r w:rsidR="003A66C6">
        <w:rPr>
          <w:rFonts w:ascii="Calibri Light" w:hAnsi="Calibri Light" w:cs="Calibri Light"/>
          <w:sz w:val="24"/>
          <w:szCs w:val="24"/>
        </w:rPr>
        <w:fldChar w:fldCharType="end"/>
      </w:r>
      <w:r w:rsidRPr="00EB4BB6">
        <w:rPr>
          <w:rFonts w:ascii="Calibri Light" w:hAnsi="Calibri Light" w:cs="Calibri Light"/>
          <w:sz w:val="24"/>
          <w:szCs w:val="24"/>
        </w:rPr>
        <w:t>.</w:t>
      </w:r>
    </w:p>
    <w:p w:rsidR="009A6380" w:rsidRPr="009A6380" w:rsidRDefault="009A6380" w:rsidP="00B25EDF">
      <w:pPr>
        <w:spacing w:before="120" w:after="120"/>
        <w:ind w:left="440" w:right="-1" w:hanging="14"/>
        <w:jc w:val="both"/>
        <w:rPr>
          <w:rFonts w:ascii="Calibri Light" w:hAnsi="Calibri Light" w:cs="Calibri Light"/>
          <w:b/>
          <w:bCs/>
          <w:i/>
          <w:iCs/>
          <w:sz w:val="24"/>
          <w:szCs w:val="24"/>
        </w:rPr>
      </w:pPr>
      <w:r w:rsidRPr="009A6380">
        <w:rPr>
          <w:rFonts w:ascii="Calibri Light" w:hAnsi="Calibri Light" w:cs="Calibri Light"/>
          <w:b/>
          <w:bCs/>
          <w:i/>
          <w:iCs/>
          <w:sz w:val="24"/>
          <w:szCs w:val="24"/>
        </w:rPr>
        <w:t>Size and Growth of Publication</w:t>
      </w:r>
    </w:p>
    <w:p w:rsidR="00032F3B" w:rsidRPr="00032F3B" w:rsidRDefault="00032F3B" w:rsidP="00032F3B">
      <w:pPr>
        <w:spacing w:before="120" w:after="120"/>
        <w:ind w:left="440" w:right="-1" w:hanging="14"/>
        <w:jc w:val="both"/>
        <w:rPr>
          <w:rFonts w:ascii="Calibri Light" w:hAnsi="Calibri Light" w:cs="Calibri Light"/>
          <w:sz w:val="24"/>
          <w:szCs w:val="24"/>
        </w:rPr>
      </w:pPr>
      <w:r w:rsidRPr="00032F3B">
        <w:rPr>
          <w:rFonts w:ascii="Calibri Light" w:hAnsi="Calibri Light" w:cs="Calibri Light"/>
          <w:sz w:val="24"/>
          <w:szCs w:val="24"/>
        </w:rPr>
        <w:t>The 1st research question:</w:t>
      </w:r>
      <w:r w:rsidR="009D7404">
        <w:rPr>
          <w:rFonts w:ascii="Calibri Light" w:hAnsi="Calibri Light" w:cs="Calibri Light"/>
          <w:sz w:val="24"/>
          <w:szCs w:val="24"/>
        </w:rPr>
        <w:t xml:space="preserve"> </w:t>
      </w:r>
      <w:r w:rsidRPr="00032F3B">
        <w:rPr>
          <w:rFonts w:ascii="Calibri Light" w:hAnsi="Calibri Light" w:cs="Calibri Light"/>
          <w:sz w:val="24"/>
          <w:szCs w:val="24"/>
        </w:rPr>
        <w:t>What is the annual distribution of publications related to Basel Accords and Islamic banking over the past decade?</w:t>
      </w:r>
    </w:p>
    <w:p w:rsidR="00EB4BB6" w:rsidRDefault="00032F3B" w:rsidP="00032F3B">
      <w:pPr>
        <w:spacing w:before="120" w:after="120"/>
        <w:ind w:left="440" w:right="-1" w:hanging="14"/>
        <w:jc w:val="both"/>
        <w:rPr>
          <w:rFonts w:ascii="Calibri Light" w:hAnsi="Calibri Light" w:cs="Calibri Light"/>
          <w:sz w:val="24"/>
          <w:szCs w:val="24"/>
        </w:rPr>
      </w:pPr>
      <w:r w:rsidRPr="00032F3B">
        <w:rPr>
          <w:rFonts w:ascii="Calibri Light" w:hAnsi="Calibri Light" w:cs="Calibri Light"/>
          <w:sz w:val="24"/>
          <w:szCs w:val="24"/>
        </w:rPr>
        <w:t>The chart illustrates the annual growth of academic publications related to Basel Accords and Islamic Banking from 2015 to 2024. The blue bars represent the absolute number of publications for each year, showing a consistent upward trend over the decade. Although the chart legend includes categories for “Decrease” and “Total,” only the “Increase” (blue) bars are represented, as the focus of this visualization is solely on yearly publication output.</w:t>
      </w:r>
    </w:p>
    <w:p w:rsidR="00032F3B" w:rsidRDefault="00032F3B" w:rsidP="00032F3B">
      <w:pPr>
        <w:spacing w:before="120" w:after="120"/>
        <w:ind w:left="440" w:right="-1" w:hanging="14"/>
        <w:jc w:val="center"/>
        <w:rPr>
          <w:rFonts w:ascii="Calibri Light" w:hAnsi="Calibri Light" w:cs="Calibri Light"/>
          <w:sz w:val="24"/>
          <w:szCs w:val="24"/>
        </w:rPr>
      </w:pPr>
      <w:r w:rsidRPr="00F00D99">
        <w:rPr>
          <w:rFonts w:eastAsia="Calibri" w:cs="Traditional Arabic"/>
          <w:noProof/>
          <w:sz w:val="24"/>
          <w:szCs w:val="24"/>
          <w:lang w:val="en-ID" w:eastAsia="en-US"/>
        </w:rPr>
        <w:lastRenderedPageBreak/>
        <w:drawing>
          <wp:inline distT="0" distB="0" distL="0" distR="0" wp14:anchorId="5FA8E62F">
            <wp:extent cx="3893820" cy="2416332"/>
            <wp:effectExtent l="0" t="0" r="0" b="3175"/>
            <wp:docPr id="98538311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BEBA8EAE-BF5A-486C-A8C5-ECC9F3942E4B}">
                          <a14:imgProps xmlns:a14="http://schemas.microsoft.com/office/drawing/2010/main">
                            <a14:imgLayer r:embed="rId12">
                              <a14:imgEffect>
                                <a14:saturation sat="40000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3902091" cy="2421464"/>
                    </a:xfrm>
                    <a:prstGeom prst="rect">
                      <a:avLst/>
                    </a:prstGeom>
                    <a:noFill/>
                    <a:ln>
                      <a:noFill/>
                    </a:ln>
                  </pic:spPr>
                </pic:pic>
              </a:graphicData>
            </a:graphic>
          </wp:inline>
        </w:drawing>
      </w:r>
    </w:p>
    <w:p w:rsidR="00032F3B" w:rsidRPr="00032F3B" w:rsidRDefault="00032F3B" w:rsidP="00032F3B">
      <w:pPr>
        <w:spacing w:before="120" w:after="120"/>
        <w:ind w:left="440" w:right="-1" w:hanging="14"/>
        <w:jc w:val="center"/>
        <w:rPr>
          <w:rFonts w:ascii="Calibri Light" w:hAnsi="Calibri Light" w:cs="Calibri Light"/>
          <w:i/>
          <w:iCs/>
          <w:sz w:val="24"/>
          <w:szCs w:val="24"/>
        </w:rPr>
      </w:pPr>
      <w:r w:rsidRPr="00032F3B">
        <w:rPr>
          <w:rFonts w:ascii="Calibri Light" w:hAnsi="Calibri Light" w:cs="Calibri Light"/>
          <w:b/>
          <w:bCs/>
          <w:i/>
          <w:iCs/>
          <w:sz w:val="24"/>
          <w:szCs w:val="24"/>
        </w:rPr>
        <w:t>Figure 2.</w:t>
      </w:r>
      <w:r w:rsidRPr="00032F3B">
        <w:rPr>
          <w:rFonts w:ascii="Calibri Light" w:hAnsi="Calibri Light" w:cs="Calibri Light"/>
          <w:i/>
          <w:iCs/>
          <w:sz w:val="24"/>
          <w:szCs w:val="24"/>
        </w:rPr>
        <w:t xml:space="preserve"> Distribution by year</w:t>
      </w:r>
    </w:p>
    <w:p w:rsidR="00032F3B" w:rsidRPr="00032F3B" w:rsidRDefault="00032F3B" w:rsidP="00032F3B">
      <w:pPr>
        <w:spacing w:before="120" w:after="120"/>
        <w:ind w:left="440" w:right="-1" w:hanging="14"/>
        <w:jc w:val="both"/>
        <w:rPr>
          <w:rFonts w:ascii="Calibri Light" w:hAnsi="Calibri Light" w:cs="Calibri Light"/>
          <w:sz w:val="24"/>
          <w:szCs w:val="24"/>
        </w:rPr>
      </w:pPr>
      <w:r w:rsidRPr="00032F3B">
        <w:rPr>
          <w:rFonts w:ascii="Calibri Light" w:hAnsi="Calibri Light" w:cs="Calibri Light"/>
          <w:sz w:val="24"/>
          <w:szCs w:val="24"/>
        </w:rPr>
        <w:t xml:space="preserve">The data shows that the number of publications has consistently risen, reflecting growing scholarly interest in the field. The highest increase occurred in 2020 (151 publications), followed by 2022 (147) and 2021 (113). This surge could be linked to developments in Basel III regulations, risk management, and the increasing role of Islamic banking in the global financial system </w:t>
      </w:r>
      <w:r w:rsidR="003A66C6">
        <w:rPr>
          <w:rFonts w:ascii="Calibri Light" w:hAnsi="Calibri Light" w:cs="Calibri Light"/>
          <w:sz w:val="24"/>
          <w:szCs w:val="24"/>
        </w:rPr>
        <w:fldChar w:fldCharType="begin" w:fldLock="1"/>
      </w:r>
      <w:r w:rsidR="003A66C6">
        <w:rPr>
          <w:rFonts w:ascii="Calibri Light" w:hAnsi="Calibri Light" w:cs="Calibri Light"/>
          <w:sz w:val="24"/>
          <w:szCs w:val="24"/>
        </w:rPr>
        <w:instrText>ADDIN CSL_CITATION {"citationItems":[{"id":"ITEM-1","itemData":{"DOI":"10.1142/S0217590819500620","ISSN":"02175908 (ISSN)","abstract":"Participatory financing schemes, including Musharakah and Mudarabah, are theoretically claimed to be the ideal modes of Islamic financing, but their practice is restrained by several factors. That is why Islamic banks have a consistent tendency to avoid participatory financing on the assets side throughout the world. However, recently this trend has started changing in Pakistan and Indonesia where the share of participatory finance has raised significantly in the financing portfolio of Islamic banks. The present paper explores this recent spur of participatory finance in Pakistan in terms of its domains of applications and the responsible factors. The findings lead to a novel posteriori framework which shows that the shift toward participatory financing is primarily characterized by increase in working capital financing and commodity operations financing through Musharakah mode Islamic banks. Moreover, five factors contribute to the spur of participatory financing including: (i) introducing varieties in Musharakah, (ii) enhanced applicability, (iii) high volume projects, (iv) government interventions, and (v) regulator's role. The framework can significantly advance understanding with respect to the implementation theory of participation financing within Islamic banking and related Shariah compliance and regulation. © 2022 World Scientific Publishing Company.","author":[{"dropping-particle":"","family":"Nouman","given":"M","non-dropping-particle":"","parse-names":false,"suffix":""},{"dropping-particle":"","family":"Ullah","given":"K","non-dropping-particle":"","parse-names":false,"suffix":""},{"dropping-particle":"","family":"Jan","given":"S","non-dropping-particle":"","parse-names":false,"suffix":""}],"container-title":"Singapore Economic Review","id":"ITEM-1","issue":"1","issued":{"date-parts":[["2022"]]},"language":"English","page":"381-409","publisher":"World Scientific","publisher-place":"Institute of Business and Management Sciences (IBMS), The University of Agriculture Peshawar, Pakistan","title":"Domains and motives of musharakah spur in the islamic banking industry of pakistan","type":"article-journal","volume":"67"},"uris":["http://www.mendeley.com/documents/?uuid=c6bb936c-83ff-4dce-80b6-db451ebd8167"]}],"mendeley":{"formattedCitation":"(Nouman et al., 2022)","plainTextFormattedCitation":"(Nouman et al., 2022)","previouslyFormattedCitation":"(Nouman et al., 2022)"},"properties":{"noteIndex":0},"schema":"https://github.com/citation-style-language/schema/raw/master/csl-citation.json"}</w:instrText>
      </w:r>
      <w:r w:rsidR="003A66C6">
        <w:rPr>
          <w:rFonts w:ascii="Calibri Light" w:hAnsi="Calibri Light" w:cs="Calibri Light"/>
          <w:sz w:val="24"/>
          <w:szCs w:val="24"/>
        </w:rPr>
        <w:fldChar w:fldCharType="separate"/>
      </w:r>
      <w:r w:rsidR="003A66C6" w:rsidRPr="003A66C6">
        <w:rPr>
          <w:rFonts w:ascii="Calibri Light" w:hAnsi="Calibri Light" w:cs="Calibri Light"/>
          <w:noProof/>
          <w:sz w:val="24"/>
          <w:szCs w:val="24"/>
        </w:rPr>
        <w:t>(</w:t>
      </w:r>
      <w:hyperlink w:anchor="Nouman" w:history="1">
        <w:r w:rsidR="003A66C6" w:rsidRPr="00A47ADB">
          <w:rPr>
            <w:rStyle w:val="Hyperlink"/>
            <w:rFonts w:ascii="Calibri Light" w:hAnsi="Calibri Light" w:cs="Calibri Light"/>
            <w:noProof/>
            <w:sz w:val="24"/>
            <w:szCs w:val="24"/>
          </w:rPr>
          <w:t>Nouman et al.</w:t>
        </w:r>
      </w:hyperlink>
      <w:r w:rsidR="003A66C6" w:rsidRPr="003A66C6">
        <w:rPr>
          <w:rFonts w:ascii="Calibri Light" w:hAnsi="Calibri Light" w:cs="Calibri Light"/>
          <w:noProof/>
          <w:sz w:val="24"/>
          <w:szCs w:val="24"/>
        </w:rPr>
        <w:t>, 2022)</w:t>
      </w:r>
      <w:r w:rsidR="003A66C6">
        <w:rPr>
          <w:rFonts w:ascii="Calibri Light" w:hAnsi="Calibri Light" w:cs="Calibri Light"/>
          <w:sz w:val="24"/>
          <w:szCs w:val="24"/>
        </w:rPr>
        <w:fldChar w:fldCharType="end"/>
      </w:r>
      <w:r w:rsidRPr="00032F3B">
        <w:rPr>
          <w:rFonts w:ascii="Calibri Light" w:hAnsi="Calibri Light" w:cs="Calibri Light"/>
          <w:sz w:val="24"/>
          <w:szCs w:val="24"/>
        </w:rPr>
        <w:t>.</w:t>
      </w:r>
    </w:p>
    <w:p w:rsidR="00032F3B" w:rsidRPr="00032F3B" w:rsidRDefault="00032F3B" w:rsidP="00032F3B">
      <w:pPr>
        <w:spacing w:before="120" w:after="120"/>
        <w:ind w:left="440" w:right="-1" w:hanging="14"/>
        <w:jc w:val="both"/>
        <w:rPr>
          <w:rFonts w:ascii="Calibri Light" w:hAnsi="Calibri Light" w:cs="Calibri Light"/>
          <w:sz w:val="24"/>
          <w:szCs w:val="24"/>
        </w:rPr>
      </w:pPr>
      <w:r w:rsidRPr="00032F3B">
        <w:rPr>
          <w:rFonts w:ascii="Calibri Light" w:hAnsi="Calibri Light" w:cs="Calibri Light"/>
          <w:sz w:val="24"/>
          <w:szCs w:val="24"/>
        </w:rPr>
        <w:t xml:space="preserve">In contrast, the lowest recorded growth was in 2015 (65 publications), suggesting that research in this area was still in its early stages. This figure appears relatively modest compared to other multidisciplinary fields—such as fintech or regulatory compliance—highlighting a previously limited scholarly focus. Over the years, the consistent rise in publications indicates that Islamic finance and Basel regulations have evolved into prominent academic and industry discourse topics, with increasing contributions from scholars worldwide </w:t>
      </w:r>
      <w:r w:rsidR="00216D84">
        <w:rPr>
          <w:rFonts w:ascii="Calibri Light" w:hAnsi="Calibri Light" w:cs="Calibri Light"/>
          <w:sz w:val="24"/>
          <w:szCs w:val="24"/>
        </w:rPr>
        <w:fldChar w:fldCharType="begin" w:fldLock="1"/>
      </w:r>
      <w:r w:rsidR="009E6AF8">
        <w:rPr>
          <w:rFonts w:ascii="Calibri Light" w:hAnsi="Calibri Light" w:cs="Calibri Light"/>
          <w:sz w:val="24"/>
          <w:szCs w:val="24"/>
        </w:rPr>
        <w:instrText>ADDIN CSL_CITATION {"citationItems":[{"id":"ITEM-1","itemData":{"DOI":"10.1504/ijmef.2022.126888","ISSN":"17520479 (ISSN)","abstract":"In Indonesia, the Islamic banking industry has been experiencing growth since its establishment in 1992. Although its profitability has declined slightly due to Covid-19, Islamic banks have recorded higher profitability than the average banking industry nationwide. Motivated to identify the factors that determine the banking profitability, this research empirically tests the contribution of intellectual capital (measured by VAICTM), banks’ liquidity (financing-to-deposit ratio), and financing ineffectiveness (non-performing financing or NPF) to the profitability (return on assets or ROA) of Islamic banks in Indonesia. We gathered data from the published financial information comprising a total of 130 observation years. The result shows that intellectual capital, banks’ liquidity, and financing ineffectiveness impacted the profitability of Islamic banks in Indonesia. The findings of this study provide policy implications for Indonesia’s Islamic banks to apply prudential banking principles in their financing activities. Copyright © 2022 Inderscience Enterprises Ltd.","author":[{"dropping-particle":"","family":"Fitri","given":"F A","non-dropping-particle":"","parse-names":false,"suffix":""},{"dropping-particle":"","family":"Syukur","given":"M","non-dropping-particle":"","parse-names":false,"suffix":""},{"dropping-particle":"","family":"Majid","given":"M S A","non-dropping-particle":"","parse-names":false,"suffix":""},{"dropping-particle":"","family":"Farhana","given":"I","non-dropping-particle":"","parse-names":false,"suffix":""},{"dropping-particle":"","family":"Hatta","given":"F","non-dropping-particle":"","parse-names":false,"suffix":""}],"container-title":"International Journal of Monetary Economics and Finance","id":"ITEM-1","issue":"3","issued":{"date-parts":[["2022"]]},"language":"English","page":"293-308","publisher":"Inderscience Publishers","publisher-place":"Department of Accounting, Faculty of Economics and Business, Universitas Syiah Kuala (USK), Jl. Teuku Nyak Arief No. 441, Banda Aceh, 23111, Indonesia","title":"Do intellectual capital and financing matter for the profitability of the Islamic banking industry in Indonesia?","type":"article-journal","volume":"15"},"uris":["http://www.mendeley.com/documents/?uuid=ced5c4c6-2f77-41c1-902b-0157ba5c08c4"]}],"mendeley":{"formattedCitation":"(Fitri et al., 2022)","plainTextFormattedCitation":"(Fitri et al., 2022)","previouslyFormattedCitation":"(Fitri et al., 2022)"},"properties":{"noteIndex":0},"schema":"https://github.com/citation-style-language/schema/raw/master/csl-citation.json"}</w:instrText>
      </w:r>
      <w:r w:rsidR="00216D84">
        <w:rPr>
          <w:rFonts w:ascii="Calibri Light" w:hAnsi="Calibri Light" w:cs="Calibri Light"/>
          <w:sz w:val="24"/>
          <w:szCs w:val="24"/>
        </w:rPr>
        <w:fldChar w:fldCharType="separate"/>
      </w:r>
      <w:r w:rsidR="00216D84" w:rsidRPr="00216D84">
        <w:rPr>
          <w:rFonts w:ascii="Calibri Light" w:hAnsi="Calibri Light" w:cs="Calibri Light"/>
          <w:noProof/>
          <w:sz w:val="24"/>
          <w:szCs w:val="24"/>
        </w:rPr>
        <w:t>(</w:t>
      </w:r>
      <w:hyperlink w:anchor="Fitri" w:history="1">
        <w:r w:rsidR="00216D84" w:rsidRPr="004231BE">
          <w:rPr>
            <w:rStyle w:val="Hyperlink"/>
            <w:rFonts w:ascii="Calibri Light" w:hAnsi="Calibri Light" w:cs="Calibri Light"/>
            <w:noProof/>
            <w:sz w:val="24"/>
            <w:szCs w:val="24"/>
          </w:rPr>
          <w:t>Fitri et al.</w:t>
        </w:r>
      </w:hyperlink>
      <w:r w:rsidR="00216D84" w:rsidRPr="00216D84">
        <w:rPr>
          <w:rFonts w:ascii="Calibri Light" w:hAnsi="Calibri Light" w:cs="Calibri Light"/>
          <w:noProof/>
          <w:sz w:val="24"/>
          <w:szCs w:val="24"/>
        </w:rPr>
        <w:t>, 2022)</w:t>
      </w:r>
      <w:r w:rsidR="00216D84">
        <w:rPr>
          <w:rFonts w:ascii="Calibri Light" w:hAnsi="Calibri Light" w:cs="Calibri Light"/>
          <w:sz w:val="24"/>
          <w:szCs w:val="24"/>
        </w:rPr>
        <w:fldChar w:fldCharType="end"/>
      </w:r>
      <w:r w:rsidRPr="00032F3B">
        <w:rPr>
          <w:rFonts w:ascii="Calibri Light" w:hAnsi="Calibri Light" w:cs="Calibri Light"/>
          <w:sz w:val="24"/>
          <w:szCs w:val="24"/>
        </w:rPr>
        <w:t>.</w:t>
      </w:r>
    </w:p>
    <w:p w:rsidR="00EB4BB6" w:rsidRDefault="00032F3B" w:rsidP="00032F3B">
      <w:pPr>
        <w:spacing w:before="120" w:after="120"/>
        <w:ind w:left="440" w:right="-1" w:hanging="14"/>
        <w:jc w:val="both"/>
        <w:rPr>
          <w:rFonts w:ascii="Calibri Light" w:hAnsi="Calibri Light" w:cs="Calibri Light"/>
          <w:sz w:val="24"/>
          <w:szCs w:val="24"/>
        </w:rPr>
      </w:pPr>
      <w:r w:rsidRPr="00032F3B">
        <w:rPr>
          <w:rFonts w:ascii="Calibri Light" w:hAnsi="Calibri Light" w:cs="Calibri Light"/>
          <w:sz w:val="24"/>
          <w:szCs w:val="24"/>
        </w:rPr>
        <w:t>This upward trend highlights the increasing global emphasis on financial stability, risk management, and regulatory frameworks. The data suggests that research in Islamic banking and financial regulations is maturing, with more institutions and scholars recognizing its significance in shaping the economic landscape.</w:t>
      </w:r>
    </w:p>
    <w:p w:rsidR="00032F3B" w:rsidRPr="00032F3B" w:rsidRDefault="00032F3B" w:rsidP="00032F3B">
      <w:pPr>
        <w:spacing w:before="120" w:after="120"/>
        <w:ind w:left="440" w:right="-1" w:hanging="14"/>
        <w:jc w:val="center"/>
        <w:rPr>
          <w:rFonts w:ascii="Calibri Light" w:hAnsi="Calibri Light" w:cs="Calibri Light"/>
          <w:b/>
          <w:bCs/>
          <w:sz w:val="24"/>
          <w:szCs w:val="24"/>
        </w:rPr>
      </w:pPr>
      <w:r w:rsidRPr="00032F3B">
        <w:rPr>
          <w:rFonts w:ascii="Calibri Light" w:hAnsi="Calibri Light" w:cs="Calibri Light"/>
          <w:b/>
          <w:bCs/>
          <w:sz w:val="24"/>
          <w:szCs w:val="24"/>
        </w:rPr>
        <w:t>Table 2. Average citation per year in selected publications using R-studio</w:t>
      </w:r>
    </w:p>
    <w:tbl>
      <w:tblPr>
        <w:tblW w:w="5158" w:type="dxa"/>
        <w:tblInd w:w="2376" w:type="dxa"/>
        <w:tblBorders>
          <w:top w:val="single" w:sz="4" w:space="0" w:color="000000"/>
          <w:bottom w:val="single" w:sz="4" w:space="0" w:color="000000"/>
          <w:insideH w:val="single" w:sz="4" w:space="0" w:color="000000"/>
        </w:tblBorders>
        <w:tblLook w:val="04A0" w:firstRow="1" w:lastRow="0" w:firstColumn="1" w:lastColumn="0" w:noHBand="0" w:noVBand="1"/>
      </w:tblPr>
      <w:tblGrid>
        <w:gridCol w:w="897"/>
        <w:gridCol w:w="1166"/>
        <w:gridCol w:w="790"/>
        <w:gridCol w:w="1198"/>
        <w:gridCol w:w="1107"/>
      </w:tblGrid>
      <w:tr w:rsidR="00032F3B" w:rsidRPr="00032F3B" w:rsidTr="009D7404">
        <w:tc>
          <w:tcPr>
            <w:tcW w:w="897" w:type="dxa"/>
            <w:shd w:val="clear" w:color="auto" w:fill="D9D9D9"/>
            <w:vAlign w:val="center"/>
          </w:tcPr>
          <w:p w:rsidR="00032F3B" w:rsidRPr="00032F3B" w:rsidRDefault="00032F3B" w:rsidP="009D7404">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032F3B">
              <w:rPr>
                <w:rFonts w:ascii="Calibri Light" w:hAnsi="Calibri Light" w:cs="Calibri Light"/>
                <w:b/>
                <w:bCs/>
                <w:szCs w:val="24"/>
              </w:rPr>
              <w:t>Year</w:t>
            </w:r>
          </w:p>
        </w:tc>
        <w:tc>
          <w:tcPr>
            <w:tcW w:w="1166" w:type="dxa"/>
            <w:shd w:val="clear" w:color="auto" w:fill="D9D9D9"/>
            <w:vAlign w:val="center"/>
          </w:tcPr>
          <w:p w:rsidR="00032F3B" w:rsidRPr="00032F3B" w:rsidRDefault="00032F3B" w:rsidP="009D7404">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032F3B">
              <w:rPr>
                <w:rFonts w:ascii="Calibri Light" w:hAnsi="Calibri Light" w:cs="Calibri Light"/>
                <w:b/>
                <w:bCs/>
                <w:szCs w:val="24"/>
              </w:rPr>
              <w:t>Mean TC</w:t>
            </w:r>
            <w:r w:rsidR="000C38EC">
              <w:rPr>
                <w:rFonts w:ascii="Calibri Light" w:hAnsi="Calibri Light" w:cs="Calibri Light"/>
                <w:b/>
                <w:bCs/>
                <w:szCs w:val="24"/>
              </w:rPr>
              <w:t xml:space="preserve"> </w:t>
            </w:r>
            <w:r w:rsidRPr="00032F3B">
              <w:rPr>
                <w:rFonts w:ascii="Calibri Light" w:hAnsi="Calibri Light" w:cs="Calibri Light"/>
                <w:b/>
                <w:bCs/>
                <w:szCs w:val="24"/>
              </w:rPr>
              <w:t>per Art</w:t>
            </w:r>
          </w:p>
        </w:tc>
        <w:tc>
          <w:tcPr>
            <w:tcW w:w="790" w:type="dxa"/>
            <w:shd w:val="clear" w:color="auto" w:fill="D9D9D9"/>
            <w:vAlign w:val="center"/>
          </w:tcPr>
          <w:p w:rsidR="00032F3B" w:rsidRPr="00032F3B" w:rsidRDefault="00032F3B" w:rsidP="009D7404">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032F3B">
              <w:rPr>
                <w:rFonts w:ascii="Calibri Light" w:hAnsi="Calibri Light" w:cs="Calibri Light"/>
                <w:b/>
                <w:bCs/>
                <w:szCs w:val="24"/>
              </w:rPr>
              <w:t>N</w:t>
            </w:r>
          </w:p>
        </w:tc>
        <w:tc>
          <w:tcPr>
            <w:tcW w:w="1198" w:type="dxa"/>
            <w:shd w:val="clear" w:color="auto" w:fill="D9D9D9"/>
            <w:vAlign w:val="center"/>
          </w:tcPr>
          <w:p w:rsidR="00032F3B" w:rsidRPr="00032F3B" w:rsidRDefault="00032F3B" w:rsidP="009D7404">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032F3B">
              <w:rPr>
                <w:rFonts w:ascii="Calibri Light" w:hAnsi="Calibri Light" w:cs="Calibri Light"/>
                <w:b/>
                <w:bCs/>
                <w:szCs w:val="24"/>
              </w:rPr>
              <w:t>Mean TC</w:t>
            </w:r>
            <w:r w:rsidR="000C38EC">
              <w:rPr>
                <w:rFonts w:ascii="Calibri Light" w:hAnsi="Calibri Light" w:cs="Calibri Light"/>
                <w:b/>
                <w:bCs/>
                <w:szCs w:val="24"/>
              </w:rPr>
              <w:t xml:space="preserve"> </w:t>
            </w:r>
            <w:r w:rsidRPr="00032F3B">
              <w:rPr>
                <w:rFonts w:ascii="Calibri Light" w:hAnsi="Calibri Light" w:cs="Calibri Light"/>
                <w:b/>
                <w:bCs/>
                <w:szCs w:val="24"/>
              </w:rPr>
              <w:t>per Year</w:t>
            </w:r>
          </w:p>
        </w:tc>
        <w:tc>
          <w:tcPr>
            <w:tcW w:w="1107" w:type="dxa"/>
            <w:shd w:val="clear" w:color="auto" w:fill="D9D9D9"/>
            <w:vAlign w:val="center"/>
          </w:tcPr>
          <w:p w:rsidR="00032F3B" w:rsidRPr="00032F3B" w:rsidRDefault="00032F3B" w:rsidP="009D7404">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032F3B">
              <w:rPr>
                <w:rFonts w:ascii="Calibri Light" w:hAnsi="Calibri Light" w:cs="Calibri Light"/>
                <w:b/>
                <w:bCs/>
                <w:szCs w:val="24"/>
              </w:rPr>
              <w:t>Citable Years</w:t>
            </w:r>
          </w:p>
        </w:tc>
      </w:tr>
      <w:tr w:rsidR="00032F3B" w:rsidRPr="00032F3B" w:rsidTr="009D7404">
        <w:tc>
          <w:tcPr>
            <w:tcW w:w="897" w:type="dxa"/>
          </w:tcPr>
          <w:p w:rsidR="00032F3B" w:rsidRPr="00032F3B" w:rsidRDefault="00032F3B" w:rsidP="00032F3B">
            <w:pPr>
              <w:rPr>
                <w:rFonts w:ascii="Calibri Light" w:hAnsi="Calibri Light" w:cs="Calibri Light"/>
              </w:rPr>
            </w:pPr>
            <w:r w:rsidRPr="00032F3B">
              <w:rPr>
                <w:rFonts w:ascii="Calibri Light" w:hAnsi="Calibri Light" w:cs="Calibri Light"/>
              </w:rPr>
              <w:t>2015</w:t>
            </w:r>
          </w:p>
        </w:tc>
        <w:tc>
          <w:tcPr>
            <w:tcW w:w="1166" w:type="dxa"/>
          </w:tcPr>
          <w:p w:rsidR="00032F3B" w:rsidRPr="00032F3B" w:rsidRDefault="00032F3B" w:rsidP="009D7404">
            <w:pPr>
              <w:jc w:val="right"/>
              <w:rPr>
                <w:rFonts w:ascii="Calibri Light" w:hAnsi="Calibri Light" w:cs="Calibri Light"/>
              </w:rPr>
            </w:pPr>
            <w:r w:rsidRPr="00032F3B">
              <w:rPr>
                <w:rFonts w:ascii="Calibri Light" w:hAnsi="Calibri Light" w:cs="Calibri Light"/>
              </w:rPr>
              <w:t>27.55</w:t>
            </w:r>
          </w:p>
        </w:tc>
        <w:tc>
          <w:tcPr>
            <w:tcW w:w="790" w:type="dxa"/>
          </w:tcPr>
          <w:p w:rsidR="00032F3B" w:rsidRPr="00032F3B" w:rsidRDefault="00032F3B" w:rsidP="009D7404">
            <w:pPr>
              <w:jc w:val="center"/>
              <w:rPr>
                <w:rFonts w:ascii="Calibri Light" w:hAnsi="Calibri Light" w:cs="Calibri Light"/>
              </w:rPr>
            </w:pPr>
            <w:r w:rsidRPr="00032F3B">
              <w:rPr>
                <w:rFonts w:ascii="Calibri Light" w:hAnsi="Calibri Light" w:cs="Calibri Light"/>
              </w:rPr>
              <w:t>44</w:t>
            </w:r>
          </w:p>
        </w:tc>
        <w:tc>
          <w:tcPr>
            <w:tcW w:w="1198" w:type="dxa"/>
          </w:tcPr>
          <w:p w:rsidR="00032F3B" w:rsidRPr="00032F3B" w:rsidRDefault="00032F3B" w:rsidP="009D7404">
            <w:pPr>
              <w:jc w:val="right"/>
              <w:rPr>
                <w:rFonts w:ascii="Calibri Light" w:hAnsi="Calibri Light" w:cs="Calibri Light"/>
              </w:rPr>
            </w:pPr>
            <w:r w:rsidRPr="00032F3B">
              <w:rPr>
                <w:rFonts w:ascii="Calibri Light" w:hAnsi="Calibri Light" w:cs="Calibri Light"/>
              </w:rPr>
              <w:t>2.76</w:t>
            </w:r>
          </w:p>
        </w:tc>
        <w:tc>
          <w:tcPr>
            <w:tcW w:w="1107" w:type="dxa"/>
          </w:tcPr>
          <w:p w:rsidR="00032F3B" w:rsidRPr="00032F3B" w:rsidRDefault="00032F3B" w:rsidP="009D7404">
            <w:pPr>
              <w:jc w:val="center"/>
              <w:rPr>
                <w:rFonts w:ascii="Calibri Light" w:hAnsi="Calibri Light" w:cs="Calibri Light"/>
              </w:rPr>
            </w:pPr>
            <w:r w:rsidRPr="00032F3B">
              <w:rPr>
                <w:rFonts w:ascii="Calibri Light" w:hAnsi="Calibri Light" w:cs="Calibri Light"/>
              </w:rPr>
              <w:t>10</w:t>
            </w:r>
          </w:p>
        </w:tc>
      </w:tr>
      <w:tr w:rsidR="00032F3B" w:rsidRPr="00032F3B" w:rsidTr="009D7404">
        <w:tc>
          <w:tcPr>
            <w:tcW w:w="897" w:type="dxa"/>
          </w:tcPr>
          <w:p w:rsidR="00032F3B" w:rsidRPr="00032F3B" w:rsidRDefault="00032F3B" w:rsidP="00032F3B">
            <w:pPr>
              <w:rPr>
                <w:rFonts w:ascii="Calibri Light" w:hAnsi="Calibri Light" w:cs="Calibri Light"/>
              </w:rPr>
            </w:pPr>
            <w:r w:rsidRPr="00032F3B">
              <w:rPr>
                <w:rFonts w:ascii="Calibri Light" w:hAnsi="Calibri Light" w:cs="Calibri Light"/>
              </w:rPr>
              <w:t>2016</w:t>
            </w:r>
          </w:p>
        </w:tc>
        <w:tc>
          <w:tcPr>
            <w:tcW w:w="1166" w:type="dxa"/>
          </w:tcPr>
          <w:p w:rsidR="00032F3B" w:rsidRPr="00032F3B" w:rsidRDefault="00032F3B" w:rsidP="009D7404">
            <w:pPr>
              <w:jc w:val="right"/>
              <w:rPr>
                <w:rFonts w:ascii="Calibri Light" w:hAnsi="Calibri Light" w:cs="Calibri Light"/>
              </w:rPr>
            </w:pPr>
            <w:r w:rsidRPr="00032F3B">
              <w:rPr>
                <w:rFonts w:ascii="Calibri Light" w:hAnsi="Calibri Light" w:cs="Calibri Light"/>
              </w:rPr>
              <w:t>20.31</w:t>
            </w:r>
          </w:p>
        </w:tc>
        <w:tc>
          <w:tcPr>
            <w:tcW w:w="790" w:type="dxa"/>
          </w:tcPr>
          <w:p w:rsidR="00032F3B" w:rsidRPr="00032F3B" w:rsidRDefault="00032F3B" w:rsidP="009D7404">
            <w:pPr>
              <w:jc w:val="center"/>
              <w:rPr>
                <w:rFonts w:ascii="Calibri Light" w:hAnsi="Calibri Light" w:cs="Calibri Light"/>
              </w:rPr>
            </w:pPr>
            <w:r w:rsidRPr="00032F3B">
              <w:rPr>
                <w:rFonts w:ascii="Calibri Light" w:hAnsi="Calibri Light" w:cs="Calibri Light"/>
              </w:rPr>
              <w:t>45</w:t>
            </w:r>
          </w:p>
        </w:tc>
        <w:tc>
          <w:tcPr>
            <w:tcW w:w="1198" w:type="dxa"/>
          </w:tcPr>
          <w:p w:rsidR="00032F3B" w:rsidRPr="00032F3B" w:rsidRDefault="00032F3B" w:rsidP="009D7404">
            <w:pPr>
              <w:jc w:val="right"/>
              <w:rPr>
                <w:rFonts w:ascii="Calibri Light" w:hAnsi="Calibri Light" w:cs="Calibri Light"/>
              </w:rPr>
            </w:pPr>
            <w:r w:rsidRPr="00032F3B">
              <w:rPr>
                <w:rFonts w:ascii="Calibri Light" w:hAnsi="Calibri Light" w:cs="Calibri Light"/>
              </w:rPr>
              <w:t>2.26</w:t>
            </w:r>
          </w:p>
        </w:tc>
        <w:tc>
          <w:tcPr>
            <w:tcW w:w="1107" w:type="dxa"/>
          </w:tcPr>
          <w:p w:rsidR="00032F3B" w:rsidRPr="00032F3B" w:rsidRDefault="00032F3B" w:rsidP="009D7404">
            <w:pPr>
              <w:jc w:val="center"/>
              <w:rPr>
                <w:rFonts w:ascii="Calibri Light" w:hAnsi="Calibri Light" w:cs="Calibri Light"/>
              </w:rPr>
            </w:pPr>
            <w:r w:rsidRPr="00032F3B">
              <w:rPr>
                <w:rFonts w:ascii="Calibri Light" w:hAnsi="Calibri Light" w:cs="Calibri Light"/>
              </w:rPr>
              <w:t>9</w:t>
            </w:r>
          </w:p>
        </w:tc>
      </w:tr>
      <w:tr w:rsidR="00032F3B" w:rsidRPr="00032F3B" w:rsidTr="009D7404">
        <w:tc>
          <w:tcPr>
            <w:tcW w:w="897" w:type="dxa"/>
          </w:tcPr>
          <w:p w:rsidR="00032F3B" w:rsidRPr="00032F3B" w:rsidRDefault="00032F3B" w:rsidP="00032F3B">
            <w:pPr>
              <w:rPr>
                <w:rFonts w:ascii="Calibri Light" w:hAnsi="Calibri Light" w:cs="Calibri Light"/>
              </w:rPr>
            </w:pPr>
            <w:r w:rsidRPr="00032F3B">
              <w:rPr>
                <w:rFonts w:ascii="Calibri Light" w:hAnsi="Calibri Light" w:cs="Calibri Light"/>
              </w:rPr>
              <w:t>2017</w:t>
            </w:r>
          </w:p>
        </w:tc>
        <w:tc>
          <w:tcPr>
            <w:tcW w:w="1166" w:type="dxa"/>
          </w:tcPr>
          <w:p w:rsidR="00032F3B" w:rsidRPr="00032F3B" w:rsidRDefault="00032F3B" w:rsidP="009D7404">
            <w:pPr>
              <w:jc w:val="right"/>
              <w:rPr>
                <w:rFonts w:ascii="Calibri Light" w:hAnsi="Calibri Light" w:cs="Calibri Light"/>
              </w:rPr>
            </w:pPr>
            <w:r w:rsidRPr="00032F3B">
              <w:rPr>
                <w:rFonts w:ascii="Calibri Light" w:hAnsi="Calibri Light" w:cs="Calibri Light"/>
              </w:rPr>
              <w:t>37.79</w:t>
            </w:r>
          </w:p>
        </w:tc>
        <w:tc>
          <w:tcPr>
            <w:tcW w:w="790" w:type="dxa"/>
          </w:tcPr>
          <w:p w:rsidR="00032F3B" w:rsidRPr="00032F3B" w:rsidRDefault="00032F3B" w:rsidP="009D7404">
            <w:pPr>
              <w:jc w:val="center"/>
              <w:rPr>
                <w:rFonts w:ascii="Calibri Light" w:hAnsi="Calibri Light" w:cs="Calibri Light"/>
              </w:rPr>
            </w:pPr>
            <w:r w:rsidRPr="00032F3B">
              <w:rPr>
                <w:rFonts w:ascii="Calibri Light" w:hAnsi="Calibri Light" w:cs="Calibri Light"/>
              </w:rPr>
              <w:t>48</w:t>
            </w:r>
          </w:p>
        </w:tc>
        <w:tc>
          <w:tcPr>
            <w:tcW w:w="1198" w:type="dxa"/>
          </w:tcPr>
          <w:p w:rsidR="00032F3B" w:rsidRPr="00032F3B" w:rsidRDefault="00032F3B" w:rsidP="009D7404">
            <w:pPr>
              <w:jc w:val="right"/>
              <w:rPr>
                <w:rFonts w:ascii="Calibri Light" w:hAnsi="Calibri Light" w:cs="Calibri Light"/>
              </w:rPr>
            </w:pPr>
            <w:r w:rsidRPr="00032F3B">
              <w:rPr>
                <w:rFonts w:ascii="Calibri Light" w:hAnsi="Calibri Light" w:cs="Calibri Light"/>
              </w:rPr>
              <w:t>4.72</w:t>
            </w:r>
          </w:p>
        </w:tc>
        <w:tc>
          <w:tcPr>
            <w:tcW w:w="1107" w:type="dxa"/>
          </w:tcPr>
          <w:p w:rsidR="00032F3B" w:rsidRPr="00032F3B" w:rsidRDefault="00032F3B" w:rsidP="009D7404">
            <w:pPr>
              <w:jc w:val="center"/>
              <w:rPr>
                <w:rFonts w:ascii="Calibri Light" w:hAnsi="Calibri Light" w:cs="Calibri Light"/>
              </w:rPr>
            </w:pPr>
            <w:r w:rsidRPr="00032F3B">
              <w:rPr>
                <w:rFonts w:ascii="Calibri Light" w:hAnsi="Calibri Light" w:cs="Calibri Light"/>
              </w:rPr>
              <w:t>8</w:t>
            </w:r>
          </w:p>
        </w:tc>
      </w:tr>
      <w:tr w:rsidR="00032F3B" w:rsidRPr="00032F3B" w:rsidTr="009D7404">
        <w:tc>
          <w:tcPr>
            <w:tcW w:w="897" w:type="dxa"/>
          </w:tcPr>
          <w:p w:rsidR="00032F3B" w:rsidRPr="00032F3B" w:rsidRDefault="00032F3B" w:rsidP="00032F3B">
            <w:pPr>
              <w:rPr>
                <w:rFonts w:ascii="Calibri Light" w:hAnsi="Calibri Light" w:cs="Calibri Light"/>
              </w:rPr>
            </w:pPr>
            <w:r w:rsidRPr="00032F3B">
              <w:rPr>
                <w:rFonts w:ascii="Calibri Light" w:hAnsi="Calibri Light" w:cs="Calibri Light"/>
              </w:rPr>
              <w:t>2018</w:t>
            </w:r>
          </w:p>
        </w:tc>
        <w:tc>
          <w:tcPr>
            <w:tcW w:w="1166" w:type="dxa"/>
          </w:tcPr>
          <w:p w:rsidR="00032F3B" w:rsidRPr="00032F3B" w:rsidRDefault="00032F3B" w:rsidP="009D7404">
            <w:pPr>
              <w:jc w:val="right"/>
              <w:rPr>
                <w:rFonts w:ascii="Calibri Light" w:hAnsi="Calibri Light" w:cs="Calibri Light"/>
              </w:rPr>
            </w:pPr>
            <w:r w:rsidRPr="00032F3B">
              <w:rPr>
                <w:rFonts w:ascii="Calibri Light" w:hAnsi="Calibri Light" w:cs="Calibri Light"/>
              </w:rPr>
              <w:t>35.27</w:t>
            </w:r>
          </w:p>
        </w:tc>
        <w:tc>
          <w:tcPr>
            <w:tcW w:w="790" w:type="dxa"/>
          </w:tcPr>
          <w:p w:rsidR="00032F3B" w:rsidRPr="00032F3B" w:rsidRDefault="00032F3B" w:rsidP="009D7404">
            <w:pPr>
              <w:jc w:val="center"/>
              <w:rPr>
                <w:rFonts w:ascii="Calibri Light" w:hAnsi="Calibri Light" w:cs="Calibri Light"/>
              </w:rPr>
            </w:pPr>
            <w:r w:rsidRPr="00032F3B">
              <w:rPr>
                <w:rFonts w:ascii="Calibri Light" w:hAnsi="Calibri Light" w:cs="Calibri Light"/>
              </w:rPr>
              <w:t>70</w:t>
            </w:r>
          </w:p>
        </w:tc>
        <w:tc>
          <w:tcPr>
            <w:tcW w:w="1198" w:type="dxa"/>
          </w:tcPr>
          <w:p w:rsidR="00032F3B" w:rsidRPr="00032F3B" w:rsidRDefault="00032F3B" w:rsidP="009D7404">
            <w:pPr>
              <w:jc w:val="right"/>
              <w:rPr>
                <w:rFonts w:ascii="Calibri Light" w:hAnsi="Calibri Light" w:cs="Calibri Light"/>
              </w:rPr>
            </w:pPr>
            <w:r w:rsidRPr="00032F3B">
              <w:rPr>
                <w:rFonts w:ascii="Calibri Light" w:hAnsi="Calibri Light" w:cs="Calibri Light"/>
              </w:rPr>
              <w:t>5.04</w:t>
            </w:r>
          </w:p>
        </w:tc>
        <w:tc>
          <w:tcPr>
            <w:tcW w:w="1107" w:type="dxa"/>
          </w:tcPr>
          <w:p w:rsidR="00032F3B" w:rsidRPr="00032F3B" w:rsidRDefault="00032F3B" w:rsidP="009D7404">
            <w:pPr>
              <w:jc w:val="center"/>
              <w:rPr>
                <w:rFonts w:ascii="Calibri Light" w:hAnsi="Calibri Light" w:cs="Calibri Light"/>
              </w:rPr>
            </w:pPr>
            <w:r w:rsidRPr="00032F3B">
              <w:rPr>
                <w:rFonts w:ascii="Calibri Light" w:hAnsi="Calibri Light" w:cs="Calibri Light"/>
              </w:rPr>
              <w:t>7</w:t>
            </w:r>
          </w:p>
        </w:tc>
      </w:tr>
      <w:tr w:rsidR="00032F3B" w:rsidRPr="00032F3B" w:rsidTr="009D7404">
        <w:tc>
          <w:tcPr>
            <w:tcW w:w="897" w:type="dxa"/>
          </w:tcPr>
          <w:p w:rsidR="00032F3B" w:rsidRPr="00032F3B" w:rsidRDefault="00032F3B" w:rsidP="00032F3B">
            <w:pPr>
              <w:rPr>
                <w:rFonts w:ascii="Calibri Light" w:hAnsi="Calibri Light" w:cs="Calibri Light"/>
              </w:rPr>
            </w:pPr>
            <w:r w:rsidRPr="00032F3B">
              <w:rPr>
                <w:rFonts w:ascii="Calibri Light" w:hAnsi="Calibri Light" w:cs="Calibri Light"/>
              </w:rPr>
              <w:t>2019</w:t>
            </w:r>
          </w:p>
        </w:tc>
        <w:tc>
          <w:tcPr>
            <w:tcW w:w="1166" w:type="dxa"/>
          </w:tcPr>
          <w:p w:rsidR="00032F3B" w:rsidRPr="00032F3B" w:rsidRDefault="00032F3B" w:rsidP="009D7404">
            <w:pPr>
              <w:jc w:val="right"/>
              <w:rPr>
                <w:rFonts w:ascii="Calibri Light" w:hAnsi="Calibri Light" w:cs="Calibri Light"/>
              </w:rPr>
            </w:pPr>
            <w:r w:rsidRPr="00032F3B">
              <w:rPr>
                <w:rFonts w:ascii="Calibri Light" w:hAnsi="Calibri Light" w:cs="Calibri Light"/>
              </w:rPr>
              <w:t>20.43</w:t>
            </w:r>
          </w:p>
        </w:tc>
        <w:tc>
          <w:tcPr>
            <w:tcW w:w="790" w:type="dxa"/>
          </w:tcPr>
          <w:p w:rsidR="00032F3B" w:rsidRPr="00032F3B" w:rsidRDefault="00032F3B" w:rsidP="009D7404">
            <w:pPr>
              <w:jc w:val="center"/>
              <w:rPr>
                <w:rFonts w:ascii="Calibri Light" w:hAnsi="Calibri Light" w:cs="Calibri Light"/>
              </w:rPr>
            </w:pPr>
            <w:r w:rsidRPr="00032F3B">
              <w:rPr>
                <w:rFonts w:ascii="Calibri Light" w:hAnsi="Calibri Light" w:cs="Calibri Light"/>
              </w:rPr>
              <w:t>77</w:t>
            </w:r>
          </w:p>
        </w:tc>
        <w:tc>
          <w:tcPr>
            <w:tcW w:w="1198" w:type="dxa"/>
          </w:tcPr>
          <w:p w:rsidR="00032F3B" w:rsidRPr="00032F3B" w:rsidRDefault="00032F3B" w:rsidP="009D7404">
            <w:pPr>
              <w:jc w:val="right"/>
              <w:rPr>
                <w:rFonts w:ascii="Calibri Light" w:hAnsi="Calibri Light" w:cs="Calibri Light"/>
              </w:rPr>
            </w:pPr>
            <w:r w:rsidRPr="00032F3B">
              <w:rPr>
                <w:rFonts w:ascii="Calibri Light" w:hAnsi="Calibri Light" w:cs="Calibri Light"/>
              </w:rPr>
              <w:t>3.40</w:t>
            </w:r>
          </w:p>
        </w:tc>
        <w:tc>
          <w:tcPr>
            <w:tcW w:w="1107" w:type="dxa"/>
          </w:tcPr>
          <w:p w:rsidR="00032F3B" w:rsidRPr="00032F3B" w:rsidRDefault="00032F3B" w:rsidP="009D7404">
            <w:pPr>
              <w:jc w:val="center"/>
              <w:rPr>
                <w:rFonts w:ascii="Calibri Light" w:hAnsi="Calibri Light" w:cs="Calibri Light"/>
              </w:rPr>
            </w:pPr>
            <w:r w:rsidRPr="00032F3B">
              <w:rPr>
                <w:rFonts w:ascii="Calibri Light" w:hAnsi="Calibri Light" w:cs="Calibri Light"/>
              </w:rPr>
              <w:t>6</w:t>
            </w:r>
          </w:p>
        </w:tc>
      </w:tr>
      <w:tr w:rsidR="00032F3B" w:rsidRPr="00032F3B" w:rsidTr="009D7404">
        <w:tc>
          <w:tcPr>
            <w:tcW w:w="897" w:type="dxa"/>
          </w:tcPr>
          <w:p w:rsidR="00032F3B" w:rsidRPr="00032F3B" w:rsidRDefault="00032F3B" w:rsidP="00032F3B">
            <w:pPr>
              <w:rPr>
                <w:rFonts w:ascii="Calibri Light" w:hAnsi="Calibri Light" w:cs="Calibri Light"/>
              </w:rPr>
            </w:pPr>
            <w:r w:rsidRPr="00032F3B">
              <w:rPr>
                <w:rFonts w:ascii="Calibri Light" w:hAnsi="Calibri Light" w:cs="Calibri Light"/>
              </w:rPr>
              <w:t>2020</w:t>
            </w:r>
          </w:p>
        </w:tc>
        <w:tc>
          <w:tcPr>
            <w:tcW w:w="1166" w:type="dxa"/>
          </w:tcPr>
          <w:p w:rsidR="00032F3B" w:rsidRPr="00032F3B" w:rsidRDefault="00032F3B" w:rsidP="009D7404">
            <w:pPr>
              <w:jc w:val="right"/>
              <w:rPr>
                <w:rFonts w:ascii="Calibri Light" w:hAnsi="Calibri Light" w:cs="Calibri Light"/>
              </w:rPr>
            </w:pPr>
            <w:r w:rsidRPr="00032F3B">
              <w:rPr>
                <w:rFonts w:ascii="Calibri Light" w:hAnsi="Calibri Light" w:cs="Calibri Light"/>
              </w:rPr>
              <w:t>18.31</w:t>
            </w:r>
          </w:p>
        </w:tc>
        <w:tc>
          <w:tcPr>
            <w:tcW w:w="790" w:type="dxa"/>
          </w:tcPr>
          <w:p w:rsidR="00032F3B" w:rsidRPr="00032F3B" w:rsidRDefault="00032F3B" w:rsidP="009D7404">
            <w:pPr>
              <w:jc w:val="center"/>
              <w:rPr>
                <w:rFonts w:ascii="Calibri Light" w:hAnsi="Calibri Light" w:cs="Calibri Light"/>
              </w:rPr>
            </w:pPr>
            <w:r w:rsidRPr="00032F3B">
              <w:rPr>
                <w:rFonts w:ascii="Calibri Light" w:hAnsi="Calibri Light" w:cs="Calibri Light"/>
              </w:rPr>
              <w:t>74</w:t>
            </w:r>
          </w:p>
        </w:tc>
        <w:tc>
          <w:tcPr>
            <w:tcW w:w="1198" w:type="dxa"/>
          </w:tcPr>
          <w:p w:rsidR="00032F3B" w:rsidRPr="00032F3B" w:rsidRDefault="00032F3B" w:rsidP="009D7404">
            <w:pPr>
              <w:jc w:val="right"/>
              <w:rPr>
                <w:rFonts w:ascii="Calibri Light" w:hAnsi="Calibri Light" w:cs="Calibri Light"/>
              </w:rPr>
            </w:pPr>
            <w:r w:rsidRPr="00032F3B">
              <w:rPr>
                <w:rFonts w:ascii="Calibri Light" w:hAnsi="Calibri Light" w:cs="Calibri Light"/>
              </w:rPr>
              <w:t>3.66</w:t>
            </w:r>
          </w:p>
        </w:tc>
        <w:tc>
          <w:tcPr>
            <w:tcW w:w="1107" w:type="dxa"/>
          </w:tcPr>
          <w:p w:rsidR="00032F3B" w:rsidRPr="00032F3B" w:rsidRDefault="00032F3B" w:rsidP="009D7404">
            <w:pPr>
              <w:jc w:val="center"/>
              <w:rPr>
                <w:rFonts w:ascii="Calibri Light" w:hAnsi="Calibri Light" w:cs="Calibri Light"/>
              </w:rPr>
            </w:pPr>
            <w:r w:rsidRPr="00032F3B">
              <w:rPr>
                <w:rFonts w:ascii="Calibri Light" w:hAnsi="Calibri Light" w:cs="Calibri Light"/>
              </w:rPr>
              <w:t>5</w:t>
            </w:r>
          </w:p>
        </w:tc>
      </w:tr>
      <w:tr w:rsidR="00032F3B" w:rsidRPr="00032F3B" w:rsidTr="009D7404">
        <w:tc>
          <w:tcPr>
            <w:tcW w:w="897" w:type="dxa"/>
          </w:tcPr>
          <w:p w:rsidR="00032F3B" w:rsidRPr="00032F3B" w:rsidRDefault="00032F3B" w:rsidP="00032F3B">
            <w:pPr>
              <w:rPr>
                <w:rFonts w:ascii="Calibri Light" w:hAnsi="Calibri Light" w:cs="Calibri Light"/>
              </w:rPr>
            </w:pPr>
            <w:r w:rsidRPr="00032F3B">
              <w:rPr>
                <w:rFonts w:ascii="Calibri Light" w:hAnsi="Calibri Light" w:cs="Calibri Light"/>
              </w:rPr>
              <w:t>2021</w:t>
            </w:r>
          </w:p>
        </w:tc>
        <w:tc>
          <w:tcPr>
            <w:tcW w:w="1166" w:type="dxa"/>
          </w:tcPr>
          <w:p w:rsidR="00032F3B" w:rsidRPr="00032F3B" w:rsidRDefault="00032F3B" w:rsidP="009D7404">
            <w:pPr>
              <w:jc w:val="right"/>
              <w:rPr>
                <w:rFonts w:ascii="Calibri Light" w:hAnsi="Calibri Light" w:cs="Calibri Light"/>
              </w:rPr>
            </w:pPr>
            <w:r w:rsidRPr="00032F3B">
              <w:rPr>
                <w:rFonts w:ascii="Calibri Light" w:hAnsi="Calibri Light" w:cs="Calibri Light"/>
              </w:rPr>
              <w:t>15.18</w:t>
            </w:r>
          </w:p>
        </w:tc>
        <w:tc>
          <w:tcPr>
            <w:tcW w:w="790" w:type="dxa"/>
          </w:tcPr>
          <w:p w:rsidR="00032F3B" w:rsidRPr="00032F3B" w:rsidRDefault="00032F3B" w:rsidP="009D7404">
            <w:pPr>
              <w:jc w:val="center"/>
              <w:rPr>
                <w:rFonts w:ascii="Calibri Light" w:hAnsi="Calibri Light" w:cs="Calibri Light"/>
              </w:rPr>
            </w:pPr>
            <w:r w:rsidRPr="00032F3B">
              <w:rPr>
                <w:rFonts w:ascii="Calibri Light" w:hAnsi="Calibri Light" w:cs="Calibri Light"/>
              </w:rPr>
              <w:t>73</w:t>
            </w:r>
          </w:p>
        </w:tc>
        <w:tc>
          <w:tcPr>
            <w:tcW w:w="1198" w:type="dxa"/>
          </w:tcPr>
          <w:p w:rsidR="00032F3B" w:rsidRPr="00032F3B" w:rsidRDefault="00032F3B" w:rsidP="009D7404">
            <w:pPr>
              <w:jc w:val="right"/>
              <w:rPr>
                <w:rFonts w:ascii="Calibri Light" w:hAnsi="Calibri Light" w:cs="Calibri Light"/>
              </w:rPr>
            </w:pPr>
            <w:r w:rsidRPr="00032F3B">
              <w:rPr>
                <w:rFonts w:ascii="Calibri Light" w:hAnsi="Calibri Light" w:cs="Calibri Light"/>
              </w:rPr>
              <w:t>3.45</w:t>
            </w:r>
          </w:p>
        </w:tc>
        <w:tc>
          <w:tcPr>
            <w:tcW w:w="1107" w:type="dxa"/>
          </w:tcPr>
          <w:p w:rsidR="00032F3B" w:rsidRPr="00032F3B" w:rsidRDefault="00032F3B" w:rsidP="009D7404">
            <w:pPr>
              <w:jc w:val="center"/>
              <w:rPr>
                <w:rFonts w:ascii="Calibri Light" w:hAnsi="Calibri Light" w:cs="Calibri Light"/>
              </w:rPr>
            </w:pPr>
            <w:r w:rsidRPr="00032F3B">
              <w:rPr>
                <w:rFonts w:ascii="Calibri Light" w:hAnsi="Calibri Light" w:cs="Calibri Light"/>
              </w:rPr>
              <w:t>4</w:t>
            </w:r>
          </w:p>
        </w:tc>
      </w:tr>
      <w:tr w:rsidR="00032F3B" w:rsidRPr="00032F3B" w:rsidTr="009D7404">
        <w:tc>
          <w:tcPr>
            <w:tcW w:w="897" w:type="dxa"/>
          </w:tcPr>
          <w:p w:rsidR="00032F3B" w:rsidRPr="00032F3B" w:rsidRDefault="00032F3B" w:rsidP="00032F3B">
            <w:pPr>
              <w:rPr>
                <w:rFonts w:ascii="Calibri Light" w:hAnsi="Calibri Light" w:cs="Calibri Light"/>
              </w:rPr>
            </w:pPr>
            <w:r w:rsidRPr="00032F3B">
              <w:rPr>
                <w:rFonts w:ascii="Calibri Light" w:hAnsi="Calibri Light" w:cs="Calibri Light"/>
              </w:rPr>
              <w:t>2022</w:t>
            </w:r>
          </w:p>
        </w:tc>
        <w:tc>
          <w:tcPr>
            <w:tcW w:w="1166" w:type="dxa"/>
          </w:tcPr>
          <w:p w:rsidR="00032F3B" w:rsidRPr="00032F3B" w:rsidRDefault="00032F3B" w:rsidP="009D7404">
            <w:pPr>
              <w:jc w:val="right"/>
              <w:rPr>
                <w:rFonts w:ascii="Calibri Light" w:hAnsi="Calibri Light" w:cs="Calibri Light"/>
              </w:rPr>
            </w:pPr>
            <w:r w:rsidRPr="00032F3B">
              <w:rPr>
                <w:rFonts w:ascii="Calibri Light" w:hAnsi="Calibri Light" w:cs="Calibri Light"/>
              </w:rPr>
              <w:t>9.59</w:t>
            </w:r>
          </w:p>
        </w:tc>
        <w:tc>
          <w:tcPr>
            <w:tcW w:w="790" w:type="dxa"/>
          </w:tcPr>
          <w:p w:rsidR="00032F3B" w:rsidRPr="00032F3B" w:rsidRDefault="00032F3B" w:rsidP="009D7404">
            <w:pPr>
              <w:jc w:val="center"/>
              <w:rPr>
                <w:rFonts w:ascii="Calibri Light" w:hAnsi="Calibri Light" w:cs="Calibri Light"/>
              </w:rPr>
            </w:pPr>
            <w:r w:rsidRPr="00032F3B">
              <w:rPr>
                <w:rFonts w:ascii="Calibri Light" w:hAnsi="Calibri Light" w:cs="Calibri Light"/>
              </w:rPr>
              <w:t>80</w:t>
            </w:r>
          </w:p>
        </w:tc>
        <w:tc>
          <w:tcPr>
            <w:tcW w:w="1198" w:type="dxa"/>
          </w:tcPr>
          <w:p w:rsidR="00032F3B" w:rsidRPr="00032F3B" w:rsidRDefault="00032F3B" w:rsidP="009D7404">
            <w:pPr>
              <w:jc w:val="right"/>
              <w:rPr>
                <w:rFonts w:ascii="Calibri Light" w:hAnsi="Calibri Light" w:cs="Calibri Light"/>
              </w:rPr>
            </w:pPr>
            <w:r w:rsidRPr="00032F3B">
              <w:rPr>
                <w:rFonts w:ascii="Calibri Light" w:hAnsi="Calibri Light" w:cs="Calibri Light"/>
              </w:rPr>
              <w:t>3.20</w:t>
            </w:r>
          </w:p>
        </w:tc>
        <w:tc>
          <w:tcPr>
            <w:tcW w:w="1107" w:type="dxa"/>
          </w:tcPr>
          <w:p w:rsidR="00032F3B" w:rsidRPr="00032F3B" w:rsidRDefault="00032F3B" w:rsidP="009D7404">
            <w:pPr>
              <w:jc w:val="center"/>
              <w:rPr>
                <w:rFonts w:ascii="Calibri Light" w:hAnsi="Calibri Light" w:cs="Calibri Light"/>
              </w:rPr>
            </w:pPr>
            <w:r w:rsidRPr="00032F3B">
              <w:rPr>
                <w:rFonts w:ascii="Calibri Light" w:hAnsi="Calibri Light" w:cs="Calibri Light"/>
              </w:rPr>
              <w:t>3</w:t>
            </w:r>
          </w:p>
        </w:tc>
      </w:tr>
      <w:tr w:rsidR="00032F3B" w:rsidRPr="00032F3B" w:rsidTr="009D7404">
        <w:tc>
          <w:tcPr>
            <w:tcW w:w="897" w:type="dxa"/>
          </w:tcPr>
          <w:p w:rsidR="00032F3B" w:rsidRPr="00032F3B" w:rsidRDefault="00032F3B" w:rsidP="00032F3B">
            <w:pPr>
              <w:rPr>
                <w:rFonts w:ascii="Calibri Light" w:hAnsi="Calibri Light" w:cs="Calibri Light"/>
              </w:rPr>
            </w:pPr>
            <w:r w:rsidRPr="00032F3B">
              <w:rPr>
                <w:rFonts w:ascii="Calibri Light" w:hAnsi="Calibri Light" w:cs="Calibri Light"/>
              </w:rPr>
              <w:t>2023</w:t>
            </w:r>
          </w:p>
        </w:tc>
        <w:tc>
          <w:tcPr>
            <w:tcW w:w="1166" w:type="dxa"/>
          </w:tcPr>
          <w:p w:rsidR="00032F3B" w:rsidRPr="00032F3B" w:rsidRDefault="00032F3B" w:rsidP="009D7404">
            <w:pPr>
              <w:jc w:val="right"/>
              <w:rPr>
                <w:rFonts w:ascii="Calibri Light" w:hAnsi="Calibri Light" w:cs="Calibri Light"/>
              </w:rPr>
            </w:pPr>
            <w:r w:rsidRPr="00032F3B">
              <w:rPr>
                <w:rFonts w:ascii="Calibri Light" w:hAnsi="Calibri Light" w:cs="Calibri Light"/>
              </w:rPr>
              <w:t>2.40</w:t>
            </w:r>
          </w:p>
        </w:tc>
        <w:tc>
          <w:tcPr>
            <w:tcW w:w="790" w:type="dxa"/>
          </w:tcPr>
          <w:p w:rsidR="00032F3B" w:rsidRPr="00032F3B" w:rsidRDefault="00032F3B" w:rsidP="009D7404">
            <w:pPr>
              <w:jc w:val="center"/>
              <w:rPr>
                <w:rFonts w:ascii="Calibri Light" w:hAnsi="Calibri Light" w:cs="Calibri Light"/>
              </w:rPr>
            </w:pPr>
            <w:r w:rsidRPr="00032F3B">
              <w:rPr>
                <w:rFonts w:ascii="Calibri Light" w:hAnsi="Calibri Light" w:cs="Calibri Light"/>
              </w:rPr>
              <w:t>97</w:t>
            </w:r>
          </w:p>
        </w:tc>
        <w:tc>
          <w:tcPr>
            <w:tcW w:w="1198" w:type="dxa"/>
          </w:tcPr>
          <w:p w:rsidR="00032F3B" w:rsidRPr="00032F3B" w:rsidRDefault="00032F3B" w:rsidP="009D7404">
            <w:pPr>
              <w:jc w:val="right"/>
              <w:rPr>
                <w:rFonts w:ascii="Calibri Light" w:hAnsi="Calibri Light" w:cs="Calibri Light"/>
              </w:rPr>
            </w:pPr>
            <w:r w:rsidRPr="00032F3B">
              <w:rPr>
                <w:rFonts w:ascii="Calibri Light" w:hAnsi="Calibri Light" w:cs="Calibri Light"/>
              </w:rPr>
              <w:t>1.20</w:t>
            </w:r>
          </w:p>
        </w:tc>
        <w:tc>
          <w:tcPr>
            <w:tcW w:w="1107" w:type="dxa"/>
          </w:tcPr>
          <w:p w:rsidR="00032F3B" w:rsidRPr="00032F3B" w:rsidRDefault="00032F3B" w:rsidP="009D7404">
            <w:pPr>
              <w:jc w:val="center"/>
              <w:rPr>
                <w:rFonts w:ascii="Calibri Light" w:hAnsi="Calibri Light" w:cs="Calibri Light"/>
              </w:rPr>
            </w:pPr>
            <w:r w:rsidRPr="00032F3B">
              <w:rPr>
                <w:rFonts w:ascii="Calibri Light" w:hAnsi="Calibri Light" w:cs="Calibri Light"/>
              </w:rPr>
              <w:t>2</w:t>
            </w:r>
          </w:p>
        </w:tc>
      </w:tr>
    </w:tbl>
    <w:p w:rsidR="00032F3B" w:rsidRPr="00032F3B" w:rsidRDefault="00032F3B" w:rsidP="00032F3B">
      <w:pPr>
        <w:spacing w:before="120" w:after="120"/>
        <w:ind w:left="440" w:right="-1" w:hanging="14"/>
        <w:jc w:val="both"/>
        <w:rPr>
          <w:rFonts w:ascii="Calibri Light" w:hAnsi="Calibri Light" w:cs="Calibri Light"/>
          <w:sz w:val="24"/>
          <w:szCs w:val="24"/>
        </w:rPr>
      </w:pPr>
      <w:r w:rsidRPr="00032F3B">
        <w:rPr>
          <w:rFonts w:ascii="Calibri Light" w:hAnsi="Calibri Light" w:cs="Calibri Light"/>
          <w:sz w:val="24"/>
          <w:szCs w:val="24"/>
        </w:rPr>
        <w:lastRenderedPageBreak/>
        <w:t>This table presents the average citation per year in selected research publications. It includes key metrics such as Mean Total Citations per Article (Mean</w:t>
      </w:r>
      <w:r w:rsidR="000C38EC">
        <w:rPr>
          <w:rFonts w:ascii="Calibri Light" w:hAnsi="Calibri Light" w:cs="Calibri Light"/>
          <w:sz w:val="24"/>
          <w:szCs w:val="24"/>
        </w:rPr>
        <w:t xml:space="preserve"> </w:t>
      </w:r>
      <w:r w:rsidRPr="00032F3B">
        <w:rPr>
          <w:rFonts w:ascii="Calibri Light" w:hAnsi="Calibri Light" w:cs="Calibri Light"/>
          <w:sz w:val="24"/>
          <w:szCs w:val="24"/>
        </w:rPr>
        <w:t>TC</w:t>
      </w:r>
      <w:r w:rsidR="000C38EC">
        <w:rPr>
          <w:rFonts w:ascii="Calibri Light" w:hAnsi="Calibri Light" w:cs="Calibri Light"/>
          <w:sz w:val="24"/>
          <w:szCs w:val="24"/>
        </w:rPr>
        <w:t xml:space="preserve"> </w:t>
      </w:r>
      <w:r w:rsidRPr="00032F3B">
        <w:rPr>
          <w:rFonts w:ascii="Calibri Light" w:hAnsi="Calibri Light" w:cs="Calibri Light"/>
          <w:sz w:val="24"/>
          <w:szCs w:val="24"/>
        </w:rPr>
        <w:t>per</w:t>
      </w:r>
      <w:r w:rsidR="000C38EC">
        <w:rPr>
          <w:rFonts w:ascii="Calibri Light" w:hAnsi="Calibri Light" w:cs="Calibri Light"/>
          <w:sz w:val="24"/>
          <w:szCs w:val="24"/>
        </w:rPr>
        <w:t xml:space="preserve"> </w:t>
      </w:r>
      <w:r w:rsidRPr="00032F3B">
        <w:rPr>
          <w:rFonts w:ascii="Calibri Light" w:hAnsi="Calibri Light" w:cs="Calibri Light"/>
          <w:sz w:val="24"/>
          <w:szCs w:val="24"/>
        </w:rPr>
        <w:t>Art), the number of articles published (N), the Mean Total Citations per Year (Mean</w:t>
      </w:r>
      <w:r w:rsidR="000C38EC">
        <w:rPr>
          <w:rFonts w:ascii="Calibri Light" w:hAnsi="Calibri Light" w:cs="Calibri Light"/>
          <w:sz w:val="24"/>
          <w:szCs w:val="24"/>
        </w:rPr>
        <w:t xml:space="preserve"> </w:t>
      </w:r>
      <w:r w:rsidRPr="00032F3B">
        <w:rPr>
          <w:rFonts w:ascii="Calibri Light" w:hAnsi="Calibri Light" w:cs="Calibri Light"/>
          <w:sz w:val="24"/>
          <w:szCs w:val="24"/>
        </w:rPr>
        <w:t>TC</w:t>
      </w:r>
      <w:r w:rsidR="000C38EC">
        <w:rPr>
          <w:rFonts w:ascii="Calibri Light" w:hAnsi="Calibri Light" w:cs="Calibri Light"/>
          <w:sz w:val="24"/>
          <w:szCs w:val="24"/>
        </w:rPr>
        <w:t xml:space="preserve"> </w:t>
      </w:r>
      <w:r w:rsidRPr="00032F3B">
        <w:rPr>
          <w:rFonts w:ascii="Calibri Light" w:hAnsi="Calibri Light" w:cs="Calibri Light"/>
          <w:sz w:val="24"/>
          <w:szCs w:val="24"/>
        </w:rPr>
        <w:t>per</w:t>
      </w:r>
      <w:r w:rsidR="000C38EC">
        <w:rPr>
          <w:rFonts w:ascii="Calibri Light" w:hAnsi="Calibri Light" w:cs="Calibri Light"/>
          <w:sz w:val="24"/>
          <w:szCs w:val="24"/>
        </w:rPr>
        <w:t xml:space="preserve"> </w:t>
      </w:r>
      <w:r w:rsidRPr="00032F3B">
        <w:rPr>
          <w:rFonts w:ascii="Calibri Light" w:hAnsi="Calibri Light" w:cs="Calibri Light"/>
          <w:sz w:val="24"/>
          <w:szCs w:val="24"/>
        </w:rPr>
        <w:t>Year), and the number of citable years for each publication period. The data reflects the citation trends over time, showing research impact and relevance variations. The citation analysis in Table 2. Average Citation Per Year in Selected Publications provides insights into citation trends across years. The data indicate that older publications have had more time to accumulate citations, while recent ones, particularly 2022 and 2023, show lower citation counts due to their limited exposure time. The highest Mean Total Citations per Article (Mean TC per Art) is observed in 2017, reaching 37.79 with 48 articles. However, the highest Mean Total Citations per Year (Mean TC per Year) is recorded in 2018, at 5.04, over 7 citable years.</w:t>
      </w:r>
    </w:p>
    <w:p w:rsidR="00032F3B" w:rsidRPr="00032F3B" w:rsidRDefault="00032F3B" w:rsidP="00032F3B">
      <w:pPr>
        <w:spacing w:before="120" w:after="120"/>
        <w:ind w:left="440" w:right="-1" w:hanging="14"/>
        <w:jc w:val="both"/>
        <w:rPr>
          <w:rFonts w:ascii="Calibri Light" w:hAnsi="Calibri Light" w:cs="Calibri Light"/>
          <w:sz w:val="24"/>
          <w:szCs w:val="24"/>
        </w:rPr>
      </w:pPr>
      <w:r w:rsidRPr="00032F3B">
        <w:rPr>
          <w:rFonts w:ascii="Calibri Light" w:hAnsi="Calibri Light" w:cs="Calibri Light"/>
          <w:sz w:val="24"/>
          <w:szCs w:val="24"/>
        </w:rPr>
        <w:t xml:space="preserve">In contrast, research published in 2023 has the lowest Mean TC per Art of 2.40 and a Mean TC per Year of 1.20, reflecting its recent publication status and limited citation accumulation. Between 2015 and 2020, the Mean TC per Year fluctuated, peaking in 2018 and declining afterward. The Mean TC per Art also shows variation, declining from 2017 (37.79) to 2021 (15.18) and further decreasing in subsequent years. This trend indicates that earlier studies receive more citations over time, reinforcing their impact, while newer research still gains academic recognition </w:t>
      </w:r>
      <w:r w:rsidR="009E6AF8">
        <w:rPr>
          <w:rFonts w:ascii="Calibri Light" w:hAnsi="Calibri Light" w:cs="Calibri Light"/>
          <w:sz w:val="24"/>
          <w:szCs w:val="24"/>
        </w:rPr>
        <w:fldChar w:fldCharType="begin" w:fldLock="1"/>
      </w:r>
      <w:r w:rsidR="009E6AF8">
        <w:rPr>
          <w:rFonts w:ascii="Calibri Light" w:hAnsi="Calibri Light" w:cs="Calibri Light"/>
          <w:sz w:val="24"/>
          <w:szCs w:val="24"/>
        </w:rPr>
        <w:instrText>ADDIN CSL_CITATION {"citationItems":[{"id":"ITEM-1","itemData":{"DOI":"10.1108/IJLMA-11-2023-0250","ISSN":"1754243X (ISSN)","abstract":"Purpose: The primary aim of this study is to explore challenges and prospects of Islamic banking system in non-Muslim states to foster regulatory frameworks of the system. Design/methodology/approach: Content analysis as an integral part of qualitative research was used. Secondary data through the exploration of cursory literature was taken into consideration. Findings: The findings identified three prime challenges, namely, regulatory, operational and institutional, which are impeding the smooth activities and performances of Islamic banks in using innovative Islamic products and services that can favourably compete with products and services of conventional banking system in non-Muslim states. In addition, strengthening the adoption and performance of Islamic banking in non-Muslim states can efficiently and effectively address the identified and multifarious regulatory, operational and institutional challenges to achieve financial inclusion and overall economic growth. Research limitations/implications: Challenges encountered and prodigies or potentials of operating Islamic banking system by most of non-Muslim countries remains a pivotal aspect that needs research attention in the recent. Practical implications: Nonetheless, the limitation of this study is that the study relies on the use of secondary data. However, it has provided a substantial direction for future studies in empirically exploring the variables of this study. Social implications: Indeed, 19th century was a remarkable turning point in the development and expansion of Islamic banking system in the Muslim world. Many predominant Muslim countries such as Malaysia, Indonesia, Saudi Arabia, Bangladesh, Pakistan, among others have been efficiently and effectively operating Islamic banking system within the framework of Islamic legal provisions. Many non-Muslim countries such as Australia, the UK, USA, etc., have also adopted Islamic banking system. Originality/value: It is noted that policy directions of the study among others should address the regulatory frameworks that is Shari’ah-compliant in the operation of Islamic banking system in non-Muslim states. It is therefore suggested that the policymakers, Islamic financial experts and regulators should use the innovation that could bring competitiveness into the operation of Islamic banking system in non-Muslim states. © 2024, Emerald Publishing Limited.","author":[{"dropping-particle":"","family":"Amuda","given":"Y J","non-dropping-particle":"","parse-names":false,"suffix":""},{"dropping-particle":"","family":"Al-Nasser","given":"S A","non-dropping-particle":"","parse-names":false,"suffix":""}],"container-title":"International Journal of Law and Management","id":"ITEM-1","issued":{"date-parts":[["2024"]]},"language":"English","publisher":"Emerald Publishing","publisher-place":"College of Law, Prince Sultan University, Riyadh, Saudi Arabia","title":"Exploring encounters and prodigies of Islamic banks in non-Muslim states: towards enhancing regulatory frameworks of Islamic banking system","type":"article-journal"},"uris":["http://www.mendeley.com/documents/?uuid=8974c594-a7b1-4d66-aac2-fb2fce790c2e"]}],"mendeley":{"formattedCitation":"(Amuda &amp; Al-Nasser, 2024)","plainTextFormattedCitation":"(Amuda &amp; Al-Nasser, 2024)","previouslyFormattedCitation":"(Amuda &amp; Al-Nasser, 2024)"},"properties":{"noteIndex":0},"schema":"https://github.com/citation-style-language/schema/raw/master/csl-citation.json"}</w:instrText>
      </w:r>
      <w:r w:rsidR="009E6AF8">
        <w:rPr>
          <w:rFonts w:ascii="Calibri Light" w:hAnsi="Calibri Light" w:cs="Calibri Light"/>
          <w:sz w:val="24"/>
          <w:szCs w:val="24"/>
        </w:rPr>
        <w:fldChar w:fldCharType="separate"/>
      </w:r>
      <w:r w:rsidR="009E6AF8" w:rsidRPr="009E6AF8">
        <w:rPr>
          <w:rFonts w:ascii="Calibri Light" w:hAnsi="Calibri Light" w:cs="Calibri Light"/>
          <w:noProof/>
          <w:sz w:val="24"/>
          <w:szCs w:val="24"/>
        </w:rPr>
        <w:t>(Amuda &amp; Al-Nasser, 2024)</w:t>
      </w:r>
      <w:r w:rsidR="009E6AF8">
        <w:rPr>
          <w:rFonts w:ascii="Calibri Light" w:hAnsi="Calibri Light" w:cs="Calibri Light"/>
          <w:sz w:val="24"/>
          <w:szCs w:val="24"/>
        </w:rPr>
        <w:fldChar w:fldCharType="end"/>
      </w:r>
      <w:r w:rsidRPr="00032F3B">
        <w:rPr>
          <w:rFonts w:ascii="Calibri Light" w:hAnsi="Calibri Light" w:cs="Calibri Light"/>
          <w:sz w:val="24"/>
          <w:szCs w:val="24"/>
        </w:rPr>
        <w:t>.</w:t>
      </w:r>
    </w:p>
    <w:p w:rsidR="00EB4BB6" w:rsidRDefault="00032F3B" w:rsidP="00032F3B">
      <w:pPr>
        <w:spacing w:before="120" w:after="120"/>
        <w:ind w:left="440" w:right="-1" w:hanging="14"/>
        <w:jc w:val="both"/>
        <w:rPr>
          <w:rFonts w:ascii="Calibri Light" w:hAnsi="Calibri Light" w:cs="Calibri Light"/>
          <w:sz w:val="24"/>
          <w:szCs w:val="24"/>
        </w:rPr>
      </w:pPr>
      <w:r w:rsidRPr="00032F3B">
        <w:rPr>
          <w:rFonts w:ascii="Calibri Light" w:hAnsi="Calibri Light" w:cs="Calibri Light"/>
          <w:sz w:val="24"/>
          <w:szCs w:val="24"/>
        </w:rPr>
        <w:t>Overall, the data suggest that citation patterns align with publication recency, with older studies accumulating more citations due to their longer availability. However, the steady number of publications in recent years highlights continued research interest in the field.</w:t>
      </w:r>
    </w:p>
    <w:p w:rsidR="00032F3B" w:rsidRPr="00032F3B" w:rsidRDefault="00032F3B" w:rsidP="00032F3B">
      <w:pPr>
        <w:spacing w:before="120" w:after="120"/>
        <w:ind w:left="440" w:right="-1" w:hanging="14"/>
        <w:jc w:val="both"/>
        <w:rPr>
          <w:rFonts w:ascii="Calibri Light" w:hAnsi="Calibri Light" w:cs="Calibri Light"/>
          <w:b/>
          <w:bCs/>
          <w:i/>
          <w:iCs/>
          <w:sz w:val="24"/>
          <w:szCs w:val="24"/>
        </w:rPr>
      </w:pPr>
      <w:r w:rsidRPr="00032F3B">
        <w:rPr>
          <w:rFonts w:ascii="Calibri Light" w:hAnsi="Calibri Light" w:cs="Calibri Light"/>
          <w:b/>
          <w:bCs/>
          <w:i/>
          <w:iCs/>
          <w:sz w:val="24"/>
          <w:szCs w:val="24"/>
        </w:rPr>
        <w:t>Influential Authors and Journals Analysis</w:t>
      </w:r>
    </w:p>
    <w:p w:rsidR="0036474C" w:rsidRPr="0036474C" w:rsidRDefault="0036474C" w:rsidP="0036474C">
      <w:pPr>
        <w:spacing w:before="120" w:after="120"/>
        <w:ind w:left="440" w:right="-1" w:hanging="14"/>
        <w:jc w:val="both"/>
        <w:rPr>
          <w:rFonts w:ascii="Calibri Light" w:hAnsi="Calibri Light" w:cs="Calibri Light"/>
          <w:sz w:val="24"/>
          <w:szCs w:val="24"/>
        </w:rPr>
      </w:pPr>
      <w:r w:rsidRPr="0036474C">
        <w:rPr>
          <w:rFonts w:ascii="Calibri Light" w:hAnsi="Calibri Light" w:cs="Calibri Light"/>
          <w:sz w:val="24"/>
          <w:szCs w:val="24"/>
        </w:rPr>
        <w:t>The 2nd research question is: Which journals and authors are the most influential in Basel Accords and Islamic banking research?</w:t>
      </w:r>
    </w:p>
    <w:p w:rsidR="00EB4BB6" w:rsidRDefault="0036474C" w:rsidP="009E6AF8">
      <w:pPr>
        <w:spacing w:before="120" w:after="120"/>
        <w:ind w:left="440" w:right="-1" w:hanging="14"/>
        <w:jc w:val="both"/>
        <w:rPr>
          <w:rFonts w:ascii="Calibri Light" w:hAnsi="Calibri Light" w:cs="Calibri Light"/>
          <w:sz w:val="24"/>
          <w:szCs w:val="24"/>
        </w:rPr>
      </w:pPr>
      <w:r w:rsidRPr="0036474C">
        <w:rPr>
          <w:rFonts w:ascii="Calibri Light" w:hAnsi="Calibri Light" w:cs="Calibri Light"/>
          <w:sz w:val="24"/>
          <w:szCs w:val="24"/>
        </w:rPr>
        <w:t>Figure 3 presents an analysis of the most influential authors in the research field based on the number of publications and citations. The bar chart indicates that</w:t>
      </w:r>
      <w:r w:rsidR="00216D84">
        <w:rPr>
          <w:rFonts w:ascii="Calibri Light" w:hAnsi="Calibri Light" w:cs="Calibri Light"/>
          <w:sz w:val="24"/>
          <w:szCs w:val="24"/>
        </w:rPr>
        <w:t xml:space="preserve"> </w:t>
      </w:r>
      <w:r w:rsidR="00216D84">
        <w:rPr>
          <w:rFonts w:ascii="Calibri Light" w:hAnsi="Calibri Light" w:cs="Calibri Light"/>
          <w:sz w:val="24"/>
          <w:szCs w:val="24"/>
        </w:rPr>
        <w:fldChar w:fldCharType="begin" w:fldLock="1"/>
      </w:r>
      <w:r w:rsidR="00216D84">
        <w:rPr>
          <w:rFonts w:ascii="Calibri Light" w:hAnsi="Calibri Light" w:cs="Calibri Light"/>
          <w:sz w:val="24"/>
          <w:szCs w:val="24"/>
        </w:rPr>
        <w:instrText>ADDIN CSL_CITATION {"citationItems":[{"id":"ITEM-1","itemData":{"DOI":"10.1057/s41283-023-00135-z","ISSN":"14603799 (ISSN)","abstract":"This study employs a systematic review approach to examine the existing body of literature on risk management in Islamic banking. The focus of this work is to analyze published manuscripts to provide a comprehensive overview of the current state of research in this field. After conducting an extensive examination of eighty articles classified as Q1 and Q2, we have identified six prominent risk themes. These themes include stability and resilience, risk-taking behavior, credit risk, Shariah non-compliance risk, liquidity risk, and other pertinent concerns that span various disciplines. The assessment yielded four key themes pertaining to the risk management of the Islamic banking system, namely prudential regulation, environment and sustainability, cybersecurity, and risk-taking behavior. Two risk frameworks were provided based on the identified themes. The microframework encompasses internal and external risk elements that influence the bank's basic activities and risk feedback system. The macro-framework encompasses several elements that influence the risk management environment for Islamic banks (IB), including exogenous institutional factors, domestic endogenous factors, and global endogenous factors. Thematic discoveries are incorporated to identify potential avenues for future research and policy consequences. © 2023, The Author(s), under exclusive licence to Springer Nature Limited.","author":[{"dropping-particle":"","family":"Hassan","given":"M K","non-dropping-particle":"","parse-names":false,"suffix":""},{"dropping-particle":"","family":"Sohel","given":"M N I","non-dropping-particle":"","parse-names":false,"suffix":""},{"dropping-particle":"","family":"Choudhury","given":"T","non-dropping-particle":"","parse-names":false,"suffix":""},{"dropping-particle":"","family":"Rashid","given":"M","non-dropping-particle":"","parse-names":false,"suffix":""}],"container-title":"Risk Management","id":"ITEM-1","issue":"1","issued":{"date-parts":[["2024"]]},"language":"English","publisher":"Palgrave Macmillan","publisher-place":"University of New Orleans, New Orleans, United States","title":"A systematic literature review of risks in Islamic banking system: research agenda and future research directions","type":"article-journal","volume":"26"},"uris":["http://www.mendeley.com/documents/?uuid=57ce6673-7e90-4c52-9961-9f7b093f66af"]}],"mendeley":{"formattedCitation":"(Hassan et al., 2024)","plainTextFormattedCitation":"(Hassan et al., 2024)","previouslyFormattedCitation":"(Hassan et al., 2024)"},"properties":{"noteIndex":0},"schema":"https://github.com/citation-style-language/schema/raw/master/csl-citation.json"}</w:instrText>
      </w:r>
      <w:r w:rsidR="00216D84">
        <w:rPr>
          <w:rFonts w:ascii="Calibri Light" w:hAnsi="Calibri Light" w:cs="Calibri Light"/>
          <w:sz w:val="24"/>
          <w:szCs w:val="24"/>
        </w:rPr>
        <w:fldChar w:fldCharType="separate"/>
      </w:r>
      <w:r w:rsidR="00216D84" w:rsidRPr="00216D84">
        <w:rPr>
          <w:rFonts w:ascii="Calibri Light" w:hAnsi="Calibri Light" w:cs="Calibri Light"/>
          <w:noProof/>
          <w:sz w:val="24"/>
          <w:szCs w:val="24"/>
        </w:rPr>
        <w:t>(</w:t>
      </w:r>
      <w:hyperlink w:anchor="Hassan" w:history="1">
        <w:r w:rsidR="00216D84" w:rsidRPr="004231BE">
          <w:rPr>
            <w:rStyle w:val="Hyperlink"/>
            <w:rFonts w:ascii="Calibri Light" w:hAnsi="Calibri Light" w:cs="Calibri Light"/>
            <w:noProof/>
            <w:sz w:val="24"/>
            <w:szCs w:val="24"/>
          </w:rPr>
          <w:t>Hassan et al.</w:t>
        </w:r>
      </w:hyperlink>
      <w:r w:rsidR="00216D84" w:rsidRPr="00216D84">
        <w:rPr>
          <w:rFonts w:ascii="Calibri Light" w:hAnsi="Calibri Light" w:cs="Calibri Light"/>
          <w:noProof/>
          <w:sz w:val="24"/>
          <w:szCs w:val="24"/>
        </w:rPr>
        <w:t>, 2024)</w:t>
      </w:r>
      <w:r w:rsidR="00216D84">
        <w:rPr>
          <w:rFonts w:ascii="Calibri Light" w:hAnsi="Calibri Light" w:cs="Calibri Light"/>
          <w:sz w:val="24"/>
          <w:szCs w:val="24"/>
        </w:rPr>
        <w:fldChar w:fldCharType="end"/>
      </w:r>
      <w:r w:rsidRPr="0036474C">
        <w:rPr>
          <w:rFonts w:ascii="Calibri Light" w:hAnsi="Calibri Light" w:cs="Calibri Light"/>
          <w:sz w:val="24"/>
          <w:szCs w:val="24"/>
        </w:rPr>
        <w:t xml:space="preserve">, is the most influential author, significantly surpassing others regarding publication or citation count. Following him, researchers such as Ibrahim, M.H., Safiullah, M., and Kabir Hassan, M. have made notable contributions, albeit to a lesser extent. This distribution highlights that certain scholars substantially impact the field, reflecting their role in shaping research developments </w:t>
      </w:r>
      <w:r w:rsidR="009E6AF8">
        <w:rPr>
          <w:rFonts w:ascii="Calibri Light" w:hAnsi="Calibri Light" w:cs="Calibri Light"/>
          <w:sz w:val="24"/>
          <w:szCs w:val="24"/>
        </w:rPr>
        <w:fldChar w:fldCharType="begin" w:fldLock="1"/>
      </w:r>
      <w:r w:rsidR="009E6AF8">
        <w:rPr>
          <w:rFonts w:ascii="Calibri Light" w:hAnsi="Calibri Light" w:cs="Calibri Light"/>
          <w:sz w:val="24"/>
          <w:szCs w:val="24"/>
        </w:rPr>
        <w:instrText>ADDIN CSL_CITATION {"citationItems":[{"id":"ITEM-1","itemData":{"DOI":"10.1108/JIABR-02-2022-0047","ISSN":"17590817 (ISSN)","abstract":"Purpose: Bank lending is the major source of monetary expansion. Bank-led money creation is a key issue in both conventional and Islamic financial systems. The purpose of this paper is to examine the issues related to Islamic banking money creation. In this conceptual paper, the authors investigate the involvement of profit and loss sharing (PLS) in money creation and especially how can PLS limit money creation “out of nothing.” In this regard, the authors examine the potential of the PLS principle in tackling the excessive money creation phenomenon. Design/methodology/approach: This study uses a normative approach regarding Islamic bank money creation that fits Sharia directives. In fact, this study discusses “what ought to be,” that is, the values and norms of PLS money creation that impede excessive money creation. Findings: Overall, Islamic banks create money differently compared to conventional ones. Especially, by avoiding a purely financial intermediary, money creation under the PLS principle sustains a strong relationship with the real economy and leads to a lower money multiplier. Therefore, PLS mechanisms allow financing through real assets and not credit assets “out of nothing.” This could prevent excessive money creation from causing harmful effects on indebtedness and financial instability. Practical implications: PLS offers a valuable resolution for banking system money creation through the optimization of Islamic bank financing by facilitating the separation of the monetary function from the credit one. This reform thought reinforces the stability value of money allowing it to fully perform its functions with reference to the directives of Sharia. This especially allows the integrity and purchasing power of money, the reduction of the gap between the evolution of both real and financial economies and, consequently, the indebtedness and crisis. It is recommended to promote PLS financing by reforming institutional and regulatory constraints. Originality/value: This study addresses the contemporary issue of money creation by Islamic banks through the PLS approach. The conceptual framework of this paper highlights the reformist role of PLS in limiting money creation through Mudarabah approach within fractional reserve banking. © 2023, Emerald Publishing Limited.","author":[{"dropping-particle":"","family":"Jedidia","given":"K","non-dropping-particle":"Ben","parse-names":false,"suffix":""},{"dropping-particle":"","family":"Hamza","given":"H","non-dropping-particle":"","parse-names":false,"suffix":""}],"container-title":"Journal of Islamic Accounting and Business Research","id":"ITEM-1","issue":"3","issued":{"date-parts":[["2024"]]},"language":"English","page":"422-442","publisher":"Emerald Publishing","publisher-place":"Department of Economics and Quantitative Methods, ISCAE, Manouba University, Manouba, Tunisia","title":"Does PLS in Islamic banking limit excessive money creation?","type":"article-journal","volume":"15"},"uris":["http://www.mendeley.com/documents/?uuid=23e54aee-e124-4b18-a521-b53fe47746d0"]}],"mendeley":{"formattedCitation":"(Ben Jedidia &amp; Hamza, 2024)","plainTextFormattedCitation":"(Ben Jedidia &amp; Hamza, 2024)","previouslyFormattedCitation":"(Ben Jedidia &amp; Hamza, 2024)"},"properties":{"noteIndex":0},"schema":"https://github.com/citation-style-language/schema/raw/master/csl-citation.json"}</w:instrText>
      </w:r>
      <w:r w:rsidR="009E6AF8">
        <w:rPr>
          <w:rFonts w:ascii="Calibri Light" w:hAnsi="Calibri Light" w:cs="Calibri Light"/>
          <w:sz w:val="24"/>
          <w:szCs w:val="24"/>
        </w:rPr>
        <w:fldChar w:fldCharType="separate"/>
      </w:r>
      <w:r w:rsidR="009E6AF8" w:rsidRPr="009E6AF8">
        <w:rPr>
          <w:rFonts w:ascii="Calibri Light" w:hAnsi="Calibri Light" w:cs="Calibri Light"/>
          <w:noProof/>
          <w:sz w:val="24"/>
          <w:szCs w:val="24"/>
        </w:rPr>
        <w:t>(</w:t>
      </w:r>
      <w:hyperlink w:anchor="BenJedidia" w:history="1">
        <w:r w:rsidR="009E6AF8" w:rsidRPr="00434A6A">
          <w:rPr>
            <w:rStyle w:val="Hyperlink"/>
            <w:rFonts w:ascii="Calibri Light" w:hAnsi="Calibri Light" w:cs="Calibri Light"/>
            <w:noProof/>
            <w:sz w:val="24"/>
            <w:szCs w:val="24"/>
          </w:rPr>
          <w:t>Ben Jedidia &amp; Hamza</w:t>
        </w:r>
      </w:hyperlink>
      <w:r w:rsidR="009E6AF8" w:rsidRPr="009E6AF8">
        <w:rPr>
          <w:rFonts w:ascii="Calibri Light" w:hAnsi="Calibri Light" w:cs="Calibri Light"/>
          <w:noProof/>
          <w:sz w:val="24"/>
          <w:szCs w:val="24"/>
        </w:rPr>
        <w:t>, 2024)</w:t>
      </w:r>
      <w:r w:rsidR="009E6AF8">
        <w:rPr>
          <w:rFonts w:ascii="Calibri Light" w:hAnsi="Calibri Light" w:cs="Calibri Light"/>
          <w:sz w:val="24"/>
          <w:szCs w:val="24"/>
        </w:rPr>
        <w:fldChar w:fldCharType="end"/>
      </w:r>
      <w:r w:rsidRPr="0036474C">
        <w:rPr>
          <w:rFonts w:ascii="Calibri Light" w:hAnsi="Calibri Light" w:cs="Calibri Light"/>
          <w:sz w:val="24"/>
          <w:szCs w:val="24"/>
        </w:rPr>
        <w:t>. Such an analysis can be valuable for identifying key authors whose works serve as foundational literature references and guide future research directions.</w:t>
      </w:r>
    </w:p>
    <w:p w:rsidR="0036474C" w:rsidRDefault="0036474C" w:rsidP="0036474C">
      <w:pPr>
        <w:spacing w:before="120" w:after="120"/>
        <w:ind w:left="440" w:right="-1" w:hanging="14"/>
        <w:jc w:val="center"/>
        <w:rPr>
          <w:rFonts w:ascii="Calibri Light" w:hAnsi="Calibri Light" w:cs="Calibri Light"/>
          <w:sz w:val="24"/>
          <w:szCs w:val="24"/>
        </w:rPr>
      </w:pPr>
      <w:r w:rsidRPr="00AD05B1">
        <w:rPr>
          <w:rFonts w:eastAsia="Calibri" w:cs="Traditional Arabic"/>
          <w:noProof/>
          <w:sz w:val="24"/>
          <w:szCs w:val="24"/>
          <w:lang w:val="en-ID" w:eastAsia="en-US"/>
        </w:rPr>
        <w:lastRenderedPageBreak/>
        <w:drawing>
          <wp:inline distT="0" distB="0" distL="0" distR="0" wp14:anchorId="0CF80446">
            <wp:extent cx="3672840" cy="1700371"/>
            <wp:effectExtent l="0" t="0" r="3810" b="0"/>
            <wp:docPr id="190269078"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3" cstate="print">
                      <a:extLst>
                        <a:ext uri="{BEBA8EAE-BF5A-486C-A8C5-ECC9F3942E4B}">
                          <a14:imgProps xmlns:a14="http://schemas.microsoft.com/office/drawing/2010/main">
                            <a14:imgLayer r:embed="rId1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673868" cy="1700847"/>
                    </a:xfrm>
                    <a:prstGeom prst="rect">
                      <a:avLst/>
                    </a:prstGeom>
                    <a:noFill/>
                    <a:ln>
                      <a:noFill/>
                    </a:ln>
                  </pic:spPr>
                </pic:pic>
              </a:graphicData>
            </a:graphic>
          </wp:inline>
        </w:drawing>
      </w:r>
    </w:p>
    <w:p w:rsidR="0036474C" w:rsidRPr="0036474C" w:rsidRDefault="0036474C" w:rsidP="0036474C">
      <w:pPr>
        <w:spacing w:before="120" w:after="120"/>
        <w:ind w:left="440" w:right="-1" w:hanging="14"/>
        <w:jc w:val="center"/>
        <w:rPr>
          <w:rFonts w:ascii="Calibri Light" w:hAnsi="Calibri Light" w:cs="Calibri Light"/>
          <w:i/>
          <w:iCs/>
          <w:sz w:val="24"/>
          <w:szCs w:val="24"/>
        </w:rPr>
      </w:pPr>
      <w:r w:rsidRPr="0036474C">
        <w:rPr>
          <w:rFonts w:ascii="Calibri Light" w:hAnsi="Calibri Light" w:cs="Calibri Light"/>
          <w:b/>
          <w:bCs/>
          <w:i/>
          <w:iCs/>
          <w:sz w:val="24"/>
          <w:szCs w:val="24"/>
        </w:rPr>
        <w:t>Figure 3.</w:t>
      </w:r>
      <w:r w:rsidRPr="0036474C">
        <w:rPr>
          <w:rFonts w:ascii="Calibri Light" w:hAnsi="Calibri Light" w:cs="Calibri Light"/>
          <w:i/>
          <w:iCs/>
          <w:sz w:val="24"/>
          <w:szCs w:val="24"/>
        </w:rPr>
        <w:t xml:space="preserve"> Most productive authors by number of publications</w:t>
      </w:r>
    </w:p>
    <w:p w:rsidR="00EB4BB6" w:rsidRDefault="0036474C" w:rsidP="00B25EDF">
      <w:pPr>
        <w:spacing w:before="120" w:after="120"/>
        <w:ind w:left="440" w:right="-1" w:hanging="14"/>
        <w:jc w:val="both"/>
        <w:rPr>
          <w:rFonts w:ascii="Calibri Light" w:hAnsi="Calibri Light" w:cs="Calibri Light"/>
          <w:sz w:val="24"/>
          <w:szCs w:val="24"/>
        </w:rPr>
      </w:pPr>
      <w:r w:rsidRPr="0036474C">
        <w:rPr>
          <w:rFonts w:ascii="Calibri Light" w:hAnsi="Calibri Light" w:cs="Calibri Light"/>
          <w:sz w:val="24"/>
          <w:szCs w:val="24"/>
        </w:rPr>
        <w:t xml:space="preserve">Figure 4. The co-authorship network visualization provides insights into the collaborative research structure on Basel Accords and Islamic banking. The analysis highlights Hassan, M. Kabir as a central figure, with extensive academic collaborations spanning multiple researchers. His strong presence in the network suggests a significant influence in shaping the discourse on risk management, Islamic finance, and regulatory frameworks. The arrangement of nodes and their interconnections reveals the presence of distinct research clusters, indicating that scholars tend to collaborate within specific thematic domains while still maintaining intellectual linkages with the wider academic network </w:t>
      </w:r>
      <w:r w:rsidR="003A66C6">
        <w:rPr>
          <w:rFonts w:ascii="Calibri Light" w:hAnsi="Calibri Light" w:cs="Calibri Light"/>
          <w:sz w:val="24"/>
          <w:szCs w:val="24"/>
        </w:rPr>
        <w:fldChar w:fldCharType="begin" w:fldLock="1"/>
      </w:r>
      <w:r w:rsidR="003A66C6">
        <w:rPr>
          <w:rFonts w:ascii="Calibri Light" w:hAnsi="Calibri Light" w:cs="Calibri Light"/>
          <w:sz w:val="24"/>
          <w:szCs w:val="24"/>
        </w:rPr>
        <w:instrText>ADDIN CSL_CITATION {"citationItems":[{"id":"ITEM-1","itemData":{"DOI":"10.61455/sicopus.v3i02.344","ISSN":"2988-3512","author":[{"dropping-particle":"","family":"Noviani","given":"Dwi","non-dropping-particle":"","parse-names":false,"suffix":""},{"dropping-particle":"","family":"Ishaq","given":"Dwinda Fatimah","non-dropping-particle":"","parse-names":false,"suffix":""},{"dropping-particle":"","family":"Madami","given":"Usamarn","non-dropping-particle":"","parse-names":false,"suffix":""}],"container-title":"Solo International Collaboration and Publication of Social Sciences and Humanities","id":"ITEM-1","issue":"2","issued":{"date-parts":[["2025"]]},"page":"359-370","title":"Implementation and Challenges of Wadi'ah Contracts in Islamic Banking with a View to Future Prospects","type":"article-journal","volume":"3"},"uris":["http://www.mendeley.com/documents/?uuid=be6c1a39-a9fa-4606-b31a-f33be8c1d449"]}],"mendeley":{"formattedCitation":"(Noviani et al., 2025)","plainTextFormattedCitation":"(Noviani et al., 2025)","previouslyFormattedCitation":"(Noviani et al., 2025)"},"properties":{"noteIndex":0},"schema":"https://github.com/citation-style-language/schema/raw/master/csl-citation.json"}</w:instrText>
      </w:r>
      <w:r w:rsidR="003A66C6">
        <w:rPr>
          <w:rFonts w:ascii="Calibri Light" w:hAnsi="Calibri Light" w:cs="Calibri Light"/>
          <w:sz w:val="24"/>
          <w:szCs w:val="24"/>
        </w:rPr>
        <w:fldChar w:fldCharType="separate"/>
      </w:r>
      <w:r w:rsidR="003A66C6" w:rsidRPr="003A66C6">
        <w:rPr>
          <w:rFonts w:ascii="Calibri Light" w:hAnsi="Calibri Light" w:cs="Calibri Light"/>
          <w:noProof/>
          <w:sz w:val="24"/>
          <w:szCs w:val="24"/>
        </w:rPr>
        <w:t>(</w:t>
      </w:r>
      <w:hyperlink w:anchor="Noviani" w:history="1">
        <w:r w:rsidR="003A66C6" w:rsidRPr="00A47ADB">
          <w:rPr>
            <w:rStyle w:val="Hyperlink"/>
            <w:rFonts w:ascii="Calibri Light" w:hAnsi="Calibri Light" w:cs="Calibri Light"/>
            <w:noProof/>
            <w:sz w:val="24"/>
            <w:szCs w:val="24"/>
          </w:rPr>
          <w:t>Noviani et al.</w:t>
        </w:r>
      </w:hyperlink>
      <w:r w:rsidR="003A66C6" w:rsidRPr="003A66C6">
        <w:rPr>
          <w:rFonts w:ascii="Calibri Light" w:hAnsi="Calibri Light" w:cs="Calibri Light"/>
          <w:noProof/>
          <w:sz w:val="24"/>
          <w:szCs w:val="24"/>
        </w:rPr>
        <w:t>, 2025)</w:t>
      </w:r>
      <w:r w:rsidR="003A66C6">
        <w:rPr>
          <w:rFonts w:ascii="Calibri Light" w:hAnsi="Calibri Light" w:cs="Calibri Light"/>
          <w:sz w:val="24"/>
          <w:szCs w:val="24"/>
        </w:rPr>
        <w:fldChar w:fldCharType="end"/>
      </w:r>
      <w:r w:rsidR="003A66C6">
        <w:rPr>
          <w:rFonts w:ascii="Calibri Light" w:hAnsi="Calibri Light" w:cs="Calibri Light"/>
          <w:sz w:val="24"/>
          <w:szCs w:val="24"/>
        </w:rPr>
        <w:t>.</w:t>
      </w:r>
    </w:p>
    <w:p w:rsidR="0036474C" w:rsidRDefault="0036474C" w:rsidP="0036474C">
      <w:pPr>
        <w:spacing w:before="120" w:after="120"/>
        <w:ind w:left="440" w:right="-1" w:hanging="14"/>
        <w:jc w:val="center"/>
        <w:rPr>
          <w:rFonts w:ascii="Calibri Light" w:hAnsi="Calibri Light" w:cs="Calibri Light"/>
          <w:sz w:val="24"/>
          <w:szCs w:val="24"/>
        </w:rPr>
      </w:pPr>
      <w:r w:rsidRPr="00AD05B1">
        <w:rPr>
          <w:rFonts w:eastAsia="Calibri" w:cs="Traditional Arabic"/>
          <w:noProof/>
          <w:sz w:val="24"/>
          <w:szCs w:val="24"/>
          <w:lang w:val="en-ID" w:eastAsia="en-US"/>
        </w:rPr>
        <w:drawing>
          <wp:inline distT="0" distB="0" distL="0" distR="0" wp14:anchorId="7096C3A6">
            <wp:extent cx="3286819" cy="1985010"/>
            <wp:effectExtent l="57150" t="57150" r="46990" b="53340"/>
            <wp:docPr id="915734713"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5" cstate="print">
                      <a:extLst>
                        <a:ext uri="{BEBA8EAE-BF5A-486C-A8C5-ECC9F3942E4B}">
                          <a14:imgProps xmlns:a14="http://schemas.microsoft.com/office/drawing/2010/main">
                            <a14:imgLayer r:embed="rId16">
                              <a14:imgEffect>
                                <a14:saturation sat="400000"/>
                              </a14:imgEffect>
                            </a14:imgLayer>
                          </a14:imgProps>
                        </a:ext>
                        <a:ext uri="{28A0092B-C50C-407E-A947-70E740481C1C}">
                          <a14:useLocalDpi xmlns:a14="http://schemas.microsoft.com/office/drawing/2010/main" val="0"/>
                        </a:ext>
                      </a:extLst>
                    </a:blip>
                    <a:srcRect t="3976" r="596"/>
                    <a:stretch/>
                  </pic:blipFill>
                  <pic:spPr bwMode="auto">
                    <a:xfrm>
                      <a:off x="0" y="0"/>
                      <a:ext cx="3289571" cy="1986672"/>
                    </a:xfrm>
                    <a:prstGeom prst="rect">
                      <a:avLst/>
                    </a:prstGeom>
                    <a:ln>
                      <a:solidFill>
                        <a:sysClr val="windowText" lastClr="000000">
                          <a:lumMod val="95000"/>
                          <a:lumOff val="5000"/>
                        </a:sysClr>
                      </a:solidFill>
                    </a:ln>
                    <a:effectLst>
                      <a:innerShdw blurRad="63500" dist="50800" dir="13500000">
                        <a:prstClr val="black">
                          <a:alpha val="50000"/>
                        </a:prstClr>
                      </a:innerShdw>
                      <a:softEdge rad="112500"/>
                    </a:effectLst>
                    <a:scene3d>
                      <a:camera prst="orthographicFront">
                        <a:rot lat="0" lon="0" rev="0"/>
                      </a:camera>
                      <a:lightRig rig="brightRoom" dir="t">
                        <a:rot lat="0" lon="0" rev="600000"/>
                      </a:lightRig>
                    </a:scene3d>
                    <a:sp3d prstMaterial="metal">
                      <a:bevelT w="38100" h="57150" prst="angle"/>
                    </a:sp3d>
                    <a:extLst>
                      <a:ext uri="{53640926-AAD7-44D8-BBD7-CCE9431645EC}">
                        <a14:shadowObscured xmlns:a14="http://schemas.microsoft.com/office/drawing/2010/main"/>
                      </a:ext>
                    </a:extLst>
                  </pic:spPr>
                </pic:pic>
              </a:graphicData>
            </a:graphic>
          </wp:inline>
        </w:drawing>
      </w:r>
    </w:p>
    <w:p w:rsidR="0036474C" w:rsidRPr="0036474C" w:rsidRDefault="0036474C" w:rsidP="0036474C">
      <w:pPr>
        <w:spacing w:before="120" w:after="120"/>
        <w:ind w:left="440" w:right="-1" w:hanging="14"/>
        <w:jc w:val="center"/>
        <w:rPr>
          <w:rFonts w:ascii="Calibri Light" w:hAnsi="Calibri Light" w:cs="Calibri Light"/>
          <w:i/>
          <w:iCs/>
          <w:sz w:val="24"/>
          <w:szCs w:val="24"/>
        </w:rPr>
      </w:pPr>
      <w:r w:rsidRPr="0036474C">
        <w:rPr>
          <w:rFonts w:ascii="Calibri Light" w:hAnsi="Calibri Light" w:cs="Calibri Light"/>
          <w:b/>
          <w:bCs/>
          <w:i/>
          <w:iCs/>
          <w:sz w:val="24"/>
          <w:szCs w:val="24"/>
        </w:rPr>
        <w:t>Figure 4.</w:t>
      </w:r>
      <w:r w:rsidRPr="0036474C">
        <w:rPr>
          <w:rFonts w:ascii="Calibri Light" w:hAnsi="Calibri Light" w:cs="Calibri Light"/>
          <w:i/>
          <w:iCs/>
          <w:sz w:val="24"/>
          <w:szCs w:val="24"/>
        </w:rPr>
        <w:t xml:space="preserve"> Bibliographic coupling with authors</w:t>
      </w:r>
    </w:p>
    <w:p w:rsidR="00EB4BB6" w:rsidRDefault="0036474C" w:rsidP="00B25EDF">
      <w:pPr>
        <w:spacing w:before="120" w:after="120"/>
        <w:ind w:left="440" w:right="-1" w:hanging="14"/>
        <w:jc w:val="both"/>
        <w:rPr>
          <w:rFonts w:ascii="Calibri Light" w:hAnsi="Calibri Light" w:cs="Calibri Light"/>
          <w:sz w:val="24"/>
          <w:szCs w:val="24"/>
        </w:rPr>
      </w:pPr>
      <w:r w:rsidRPr="0036474C">
        <w:rPr>
          <w:rFonts w:ascii="Calibri Light" w:hAnsi="Calibri Light" w:cs="Calibri Light"/>
          <w:sz w:val="24"/>
          <w:szCs w:val="24"/>
        </w:rPr>
        <w:t xml:space="preserve">The color gradient from blue (2018) to yellow (2024) reveals the temporal evolution of research collaborations. Recent contributions appear around Ali, Muhammad and Ismail, Abdul Ghafar, signaling emerging research directions. In contrast, well-established collaborations, particularly those linked to Kabir Hassan, M., reflect sustained contributions over time. Multiple independent clusters suggest diversity in research perspectives, with some groups focusing on regulatory frameworks and others on Islamic financial stability. This network structure underscores academic discourse's dynamic and evolving nature in this field </w:t>
      </w:r>
      <w:r w:rsidR="00216D84">
        <w:rPr>
          <w:rFonts w:ascii="Calibri Light" w:hAnsi="Calibri Light" w:cs="Calibri Light"/>
          <w:sz w:val="24"/>
          <w:szCs w:val="24"/>
        </w:rPr>
        <w:fldChar w:fldCharType="begin" w:fldLock="1"/>
      </w:r>
      <w:r w:rsidR="00216D84">
        <w:rPr>
          <w:rFonts w:ascii="Calibri Light" w:hAnsi="Calibri Light" w:cs="Calibri Light"/>
          <w:sz w:val="24"/>
          <w:szCs w:val="24"/>
        </w:rPr>
        <w:instrText>ADDIN CSL_CITATION {"citationItems":[{"id":"ITEM-1","itemData":{"DOI":"10.1108/IJPPM-06-2020-0331","ISSN":"17410401 (ISSN)","abstract":"Purpose: The purpose of this paper is to examine whether and how Islamic banks' financing affects corporate investment efficiency. Design/methodology/approach: To achieve the research purpose, an empirical model was constructed to describe the relationship between Islamic banks' financing and corporate investment efficiency. The empirical model was tested through generalized method of moments (GMM) estimation technique using a panel data of 163 Malaysian listed firms for the period 2007–2017. Findings: This study provides evidence that Islamic banks' financing plays an important role in enhancing investment efficiency and that this positive effect comes mainly from non-PLS contracts. Moreover, the results show that the effect of Islamic banks' financing in preventing suboptimal investments is stronger in the financial crisis period. The results also reveal that the contribution of Islamic banks' financing in reducing suboptimal investments is more prominent when firms face over-investment problems. Research limitations/implications: This research contributes to the debate on the financial implications of Islamic banks' financing modes by exploring their effect on corporate investment efficiency. Practical implications: From a managerial perspective, the research findings are beneficial to Islamic bank managers to the extent that they highlight the role of Islamic financial contracts in improving corporate investment efficiency. In addition, the lower effect of PLS contracts on investment efficiency implies that policymakers in Malaysia should multiply their efforts to further expand the PLS financing. Originality/value: This paper offers some insights on the role of Islamic banks' financing in mitigating agency conflicts and reducing asymmetric information problems. It is the first attempt focusing on the role of Islamic financing in fostering corporate investment decisions. © 2020, Emerald Publishing Limited.","author":[{"dropping-particle":"","family":"Guizani","given":"M","non-dropping-particle":"","parse-names":false,"suffix":""},{"dropping-particle":"","family":"Ajmi","given":"A N","non-dropping-particle":"","parse-names":false,"suffix":""}],"container-title":"International Journal of Productivity and Performance Management","id":"ITEM-1","issue":"5","issued":{"date-parts":[["2022"]]},"language":"English","page":"1854-1871","publisher":"Emerald Group Holdings Ltd.","publisher-place":"Department of Accounting and Finance, High Institute of Computer Science and Management in Kairouan, University of Kairouan, Kairouan, Tunisia","title":"Islamic banking and corporate investment efficiency: empirical evidence from Malaysia","type":"article-journal","volume":"71"},"uris":["http://www.mendeley.com/documents/?uuid=549cacb2-66c4-466a-a74b-38b4675740f3"]}],"mendeley":{"formattedCitation":"(Guizani &amp; Ajmi, 2022)","plainTextFormattedCitation":"(Guizani &amp; Ajmi, 2022)","previouslyFormattedCitation":"(Guizani &amp; Ajmi, 2022)"},"properties":{"noteIndex":0},"schema":"https://github.com/citation-style-language/schema/raw/master/csl-citation.json"}</w:instrText>
      </w:r>
      <w:r w:rsidR="00216D84">
        <w:rPr>
          <w:rFonts w:ascii="Calibri Light" w:hAnsi="Calibri Light" w:cs="Calibri Light"/>
          <w:sz w:val="24"/>
          <w:szCs w:val="24"/>
        </w:rPr>
        <w:fldChar w:fldCharType="separate"/>
      </w:r>
      <w:r w:rsidR="00216D84" w:rsidRPr="00216D84">
        <w:rPr>
          <w:rFonts w:ascii="Calibri Light" w:hAnsi="Calibri Light" w:cs="Calibri Light"/>
          <w:noProof/>
          <w:sz w:val="24"/>
          <w:szCs w:val="24"/>
        </w:rPr>
        <w:t>(</w:t>
      </w:r>
      <w:hyperlink w:anchor="Guizani" w:history="1">
        <w:r w:rsidR="00216D84" w:rsidRPr="004231BE">
          <w:rPr>
            <w:rStyle w:val="Hyperlink"/>
            <w:rFonts w:ascii="Calibri Light" w:hAnsi="Calibri Light" w:cs="Calibri Light"/>
            <w:noProof/>
            <w:sz w:val="24"/>
            <w:szCs w:val="24"/>
          </w:rPr>
          <w:t>Guizani &amp; Ajmi</w:t>
        </w:r>
      </w:hyperlink>
      <w:r w:rsidR="00216D84" w:rsidRPr="00216D84">
        <w:rPr>
          <w:rFonts w:ascii="Calibri Light" w:hAnsi="Calibri Light" w:cs="Calibri Light"/>
          <w:noProof/>
          <w:sz w:val="24"/>
          <w:szCs w:val="24"/>
        </w:rPr>
        <w:t>, 2022)</w:t>
      </w:r>
      <w:r w:rsidR="00216D84">
        <w:rPr>
          <w:rFonts w:ascii="Calibri Light" w:hAnsi="Calibri Light" w:cs="Calibri Light"/>
          <w:sz w:val="24"/>
          <w:szCs w:val="24"/>
        </w:rPr>
        <w:fldChar w:fldCharType="end"/>
      </w:r>
      <w:r w:rsidRPr="0036474C">
        <w:rPr>
          <w:rFonts w:ascii="Calibri Light" w:hAnsi="Calibri Light" w:cs="Calibri Light"/>
          <w:sz w:val="24"/>
          <w:szCs w:val="24"/>
        </w:rPr>
        <w:t>.</w:t>
      </w:r>
    </w:p>
    <w:p w:rsidR="008B0741" w:rsidRPr="008B0741" w:rsidRDefault="008B0741" w:rsidP="00B25EDF">
      <w:pPr>
        <w:spacing w:before="120" w:after="120"/>
        <w:ind w:left="440" w:right="-1" w:hanging="14"/>
        <w:jc w:val="both"/>
        <w:rPr>
          <w:rFonts w:ascii="Calibri Light" w:hAnsi="Calibri Light" w:cs="Calibri Light"/>
          <w:b/>
          <w:bCs/>
          <w:i/>
          <w:iCs/>
          <w:sz w:val="24"/>
          <w:szCs w:val="24"/>
        </w:rPr>
      </w:pPr>
      <w:r w:rsidRPr="008B0741">
        <w:rPr>
          <w:rFonts w:ascii="Calibri Light" w:hAnsi="Calibri Light" w:cs="Calibri Light"/>
          <w:b/>
          <w:bCs/>
          <w:i/>
          <w:iCs/>
          <w:sz w:val="24"/>
          <w:szCs w:val="24"/>
        </w:rPr>
        <w:t>Country Wise Publication and Citation</w:t>
      </w:r>
    </w:p>
    <w:p w:rsidR="00D1757B" w:rsidRPr="00D1757B" w:rsidRDefault="00D1757B" w:rsidP="00D1757B">
      <w:pPr>
        <w:spacing w:before="120" w:after="120"/>
        <w:ind w:left="440" w:right="-1" w:hanging="14"/>
        <w:jc w:val="both"/>
        <w:rPr>
          <w:rFonts w:ascii="Calibri Light" w:hAnsi="Calibri Light" w:cs="Calibri Light"/>
          <w:sz w:val="24"/>
          <w:szCs w:val="24"/>
        </w:rPr>
      </w:pPr>
      <w:r w:rsidRPr="00D1757B">
        <w:rPr>
          <w:rFonts w:ascii="Calibri Light" w:hAnsi="Calibri Light" w:cs="Calibri Light"/>
          <w:sz w:val="24"/>
          <w:szCs w:val="24"/>
        </w:rPr>
        <w:t>The 3rd research question is: What countries have contributed most significantly to the Basel Accords and Islamic banking research, and how has their scholarly output evolved?</w:t>
      </w:r>
    </w:p>
    <w:p w:rsidR="00D1757B" w:rsidRPr="00D1757B" w:rsidRDefault="00D1757B" w:rsidP="00D1757B">
      <w:pPr>
        <w:spacing w:before="120" w:after="120"/>
        <w:ind w:left="440" w:right="-1" w:hanging="14"/>
        <w:jc w:val="both"/>
        <w:rPr>
          <w:rFonts w:ascii="Calibri Light" w:hAnsi="Calibri Light" w:cs="Calibri Light"/>
          <w:sz w:val="24"/>
          <w:szCs w:val="24"/>
        </w:rPr>
      </w:pPr>
      <w:r w:rsidRPr="00D1757B">
        <w:rPr>
          <w:rFonts w:ascii="Calibri Light" w:hAnsi="Calibri Light" w:cs="Calibri Light"/>
          <w:sz w:val="24"/>
          <w:szCs w:val="24"/>
        </w:rPr>
        <w:lastRenderedPageBreak/>
        <w:t xml:space="preserve">Figure 5 presents a global map illustrating the geographical distribution of academic publications related to the topic "The Legal Evolution of Basel Accords and Their Impact on Islamic Banking Regulations" from 2015 to 2024. The colour gradient ranges from light blue to dark blue, with darker shades indicating higher research output </w:t>
      </w:r>
      <w:r w:rsidR="00216D84">
        <w:rPr>
          <w:rFonts w:ascii="Calibri Light" w:hAnsi="Calibri Light" w:cs="Calibri Light"/>
          <w:sz w:val="24"/>
          <w:szCs w:val="24"/>
        </w:rPr>
        <w:fldChar w:fldCharType="begin" w:fldLock="1"/>
      </w:r>
      <w:r w:rsidR="00216D84">
        <w:rPr>
          <w:rFonts w:ascii="Calibri Light" w:hAnsi="Calibri Light" w:cs="Calibri Light"/>
          <w:sz w:val="24"/>
          <w:szCs w:val="24"/>
        </w:rPr>
        <w:instrText>ADDIN CSL_CITATION {"citationItems":[{"id":"ITEM-1","itemData":{"ISSN":"15441458 (ISSN)","abstract":"The purpose of this research is to measure the impact of consumer attitude, social norms and perceived behavior on the intention to adopt Islamic banking by freelancers in Pakistan. The sample of the study is taken from the young freelance professionals that are currently working it the city of Mirpur Azad Kashmir. The number of respondents is limited to 150. Correlation, reliability, regression and ANOVA tests are performed to check the accuracy and association of the data variables. The results showed that the variables of religiosity and subjective norms has a positive impact on the behavioral intention to adopt Islamic banking. There for the research team can conclude that religiosity has an impact on the intention of the free lancers of the city of Mirpur to adopt to Islamic banking and subjective norms also has an impact on the intention of the free lancers of the city of Mirpur to adopt to Islamic banking. The study also notes that subjective norms also have an effect the intention to adopt there for allowing customers to know of the ethical and socially responsible practices can also help them to adopt. For any future researchers the study recommends that they can apply the same model in another area to see the results of add or remove variables to see the difference it can make. © 2021, Academy of Strategic Management Journal. All Rights Reserved.","author":[{"dropping-particle":"","family":"Hermawati","given":"A","non-dropping-particle":"","parse-names":false,"suffix":""},{"dropping-particle":"","family":"Ali","given":"S","non-dropping-particle":"","parse-names":false,"suffix":""},{"dropping-particle":"","family":"Fettry","given":"S","non-dropping-particle":"","parse-names":false,"suffix":""},{"dropping-particle":"","family":"Hendarto","given":"T","non-dropping-particle":"","parse-names":false,"suffix":""},{"dropping-particle":"","family":"Husin","given":"H","non-dropping-particle":"","parse-names":false,"suffix":""}],"container-title":"Academy of Strategic Management Journal","id":"ITEM-1","issue":"2","issued":{"date-parts":[["2021"]]},"language":"English","page":"1-16","publisher":"Allied Business Academies","publisher-place":"Universitas Widyagama Malang, Indonesia","title":"Freelancers Intentions Towards Adoption Of Islamic Banking","type":"article-journal","volume":"20"},"uris":["http://www.mendeley.com/documents/?uuid=caced59d-e876-436c-8f4c-f340b5b33a12"]}],"mendeley":{"formattedCitation":"(Hermawati et al., 2021)","plainTextFormattedCitation":"(Hermawati et al., 2021)","previouslyFormattedCitation":"(Hermawati et al., 2021)"},"properties":{"noteIndex":0},"schema":"https://github.com/citation-style-language/schema/raw/master/csl-citation.json"}</w:instrText>
      </w:r>
      <w:r w:rsidR="00216D84">
        <w:rPr>
          <w:rFonts w:ascii="Calibri Light" w:hAnsi="Calibri Light" w:cs="Calibri Light"/>
          <w:sz w:val="24"/>
          <w:szCs w:val="24"/>
        </w:rPr>
        <w:fldChar w:fldCharType="separate"/>
      </w:r>
      <w:r w:rsidR="00216D84" w:rsidRPr="00216D84">
        <w:rPr>
          <w:rFonts w:ascii="Calibri Light" w:hAnsi="Calibri Light" w:cs="Calibri Light"/>
          <w:noProof/>
          <w:sz w:val="24"/>
          <w:szCs w:val="24"/>
        </w:rPr>
        <w:t>(</w:t>
      </w:r>
      <w:hyperlink w:anchor="Hermawati" w:history="1">
        <w:r w:rsidR="00216D84" w:rsidRPr="004231BE">
          <w:rPr>
            <w:rStyle w:val="Hyperlink"/>
            <w:rFonts w:ascii="Calibri Light" w:hAnsi="Calibri Light" w:cs="Calibri Light"/>
            <w:noProof/>
            <w:sz w:val="24"/>
            <w:szCs w:val="24"/>
          </w:rPr>
          <w:t>Hermawati et al.</w:t>
        </w:r>
      </w:hyperlink>
      <w:r w:rsidR="00216D84" w:rsidRPr="00216D84">
        <w:rPr>
          <w:rFonts w:ascii="Calibri Light" w:hAnsi="Calibri Light" w:cs="Calibri Light"/>
          <w:noProof/>
          <w:sz w:val="24"/>
          <w:szCs w:val="24"/>
        </w:rPr>
        <w:t>, 2021)</w:t>
      </w:r>
      <w:r w:rsidR="00216D84">
        <w:rPr>
          <w:rFonts w:ascii="Calibri Light" w:hAnsi="Calibri Light" w:cs="Calibri Light"/>
          <w:sz w:val="24"/>
          <w:szCs w:val="24"/>
        </w:rPr>
        <w:fldChar w:fldCharType="end"/>
      </w:r>
      <w:r w:rsidRPr="00D1757B">
        <w:rPr>
          <w:rFonts w:ascii="Calibri Light" w:hAnsi="Calibri Light" w:cs="Calibri Light"/>
          <w:sz w:val="24"/>
          <w:szCs w:val="24"/>
        </w:rPr>
        <w:t>.</w:t>
      </w:r>
    </w:p>
    <w:p w:rsidR="00D1757B" w:rsidRPr="00D1757B" w:rsidRDefault="00D1757B" w:rsidP="00D1757B">
      <w:pPr>
        <w:spacing w:before="120" w:after="120"/>
        <w:ind w:left="440" w:right="-1" w:hanging="14"/>
        <w:jc w:val="both"/>
        <w:rPr>
          <w:rFonts w:ascii="Calibri Light" w:hAnsi="Calibri Light" w:cs="Calibri Light"/>
          <w:sz w:val="24"/>
          <w:szCs w:val="24"/>
        </w:rPr>
      </w:pPr>
      <w:r w:rsidRPr="00D1757B">
        <w:rPr>
          <w:rFonts w:ascii="Calibri Light" w:hAnsi="Calibri Light" w:cs="Calibri Light"/>
          <w:sz w:val="24"/>
          <w:szCs w:val="24"/>
        </w:rPr>
        <w:t xml:space="preserve">Malaysia and Indonesia emerge as the most prolific contributors, marked by darker hues, reflecting their strong institutional and scholarly engagement in aligning Islamic banking regulations with the Basel regulatory framework. Saudi Arabia, the United Arab Emirates, and Bahrain also demonstrate significant involvement, suggesting growing academic interest in legal harmonisation between international financial standards and Shariah-compliant banking </w:t>
      </w:r>
      <w:r w:rsidR="009E6AF8">
        <w:rPr>
          <w:rFonts w:ascii="Calibri Light" w:hAnsi="Calibri Light" w:cs="Calibri Light"/>
          <w:sz w:val="24"/>
          <w:szCs w:val="24"/>
        </w:rPr>
        <w:fldChar w:fldCharType="begin" w:fldLock="1"/>
      </w:r>
      <w:r w:rsidR="009E6AF8">
        <w:rPr>
          <w:rFonts w:ascii="Calibri Light" w:hAnsi="Calibri Light" w:cs="Calibri Light"/>
          <w:sz w:val="24"/>
          <w:szCs w:val="24"/>
        </w:rPr>
        <w:instrText>ADDIN CSL_CITATION {"citationItems":[{"id":"ITEM-1","itemData":{"DOI":"10.61455/sicopus.v2i01.98","abstract":"… financial sector and the comparison between Bank Syariah Indonesia Tbk (BRIS) and Bank Mandiri Persero Tbk (BMRI) on the investment climate in Indonesia. This research method …","author":[{"dropping-particle":"","family":"Amri","given":"Ary Dean","non-dropping-particle":"","parse-names":false,"suffix":""},{"dropping-particle":"","family":"Anjelinah","given":"Dea","non-dropping-particle":"","parse-names":false,"suffix":""},{"dropping-particle":"","family":"Safitri","given":"Fidyah","non-dropping-particle":"","parse-names":false,"suffix":""},{"dropping-particle":"","family":"Puspita","given":"Duwi","non-dropping-particle":"","parse-names":false,"suffix":""},{"dropping-particle":"","family":"Yuana","given":"Neni","non-dropping-particle":"","parse-names":false,"suffix":""},{"dropping-particle":"","family":"Aulia","given":"Andini Destri","non-dropping-particle":"","parse-names":false,"suffix":""},{"dropping-particle":"","family":"Mustafa","given":"Asraf","non-dropping-particle":"","parse-names":false,"suffix":""}],"container-title":"Solo International Collaboration and Publication of Social Sciences and Humanities","id":"ITEM-1","issue":"1","issued":{"date-parts":[["2024"]]},"page":"11-24","title":"Development and Growth of Financial Sector Stock Market on Investment Climate : Study on Bank Syariah Indonesia and Bank Mandiri","type":"article-journal","volume":"2"},"uris":["http://www.mendeley.com/documents/?uuid=b4c03b36-cc08-4a6b-ae57-c7a93ce730df"]}],"mendeley":{"formattedCitation":"(Amri et al., 2024)","plainTextFormattedCitation":"(Amri et al., 2024)","previouslyFormattedCitation":"(Amri et al., 2024)"},"properties":{"noteIndex":0},"schema":"https://github.com/citation-style-language/schema/raw/master/csl-citation.json"}</w:instrText>
      </w:r>
      <w:r w:rsidR="009E6AF8">
        <w:rPr>
          <w:rFonts w:ascii="Calibri Light" w:hAnsi="Calibri Light" w:cs="Calibri Light"/>
          <w:sz w:val="24"/>
          <w:szCs w:val="24"/>
        </w:rPr>
        <w:fldChar w:fldCharType="separate"/>
      </w:r>
      <w:r w:rsidR="009E6AF8" w:rsidRPr="009E6AF8">
        <w:rPr>
          <w:rFonts w:ascii="Calibri Light" w:hAnsi="Calibri Light" w:cs="Calibri Light"/>
          <w:noProof/>
          <w:sz w:val="24"/>
          <w:szCs w:val="24"/>
        </w:rPr>
        <w:t>(</w:t>
      </w:r>
      <w:hyperlink w:anchor="Amri" w:history="1">
        <w:r w:rsidR="009E6AF8" w:rsidRPr="00080E27">
          <w:rPr>
            <w:rStyle w:val="Hyperlink"/>
            <w:rFonts w:ascii="Calibri Light" w:hAnsi="Calibri Light" w:cs="Calibri Light"/>
            <w:noProof/>
            <w:sz w:val="24"/>
            <w:szCs w:val="24"/>
          </w:rPr>
          <w:t>Amri et al.</w:t>
        </w:r>
      </w:hyperlink>
      <w:r w:rsidR="009E6AF8" w:rsidRPr="009E6AF8">
        <w:rPr>
          <w:rFonts w:ascii="Calibri Light" w:hAnsi="Calibri Light" w:cs="Calibri Light"/>
          <w:noProof/>
          <w:sz w:val="24"/>
          <w:szCs w:val="24"/>
        </w:rPr>
        <w:t>, 2024)</w:t>
      </w:r>
      <w:r w:rsidR="009E6AF8">
        <w:rPr>
          <w:rFonts w:ascii="Calibri Light" w:hAnsi="Calibri Light" w:cs="Calibri Light"/>
          <w:sz w:val="24"/>
          <w:szCs w:val="24"/>
        </w:rPr>
        <w:fldChar w:fldCharType="end"/>
      </w:r>
      <w:r w:rsidRPr="00D1757B">
        <w:rPr>
          <w:rFonts w:ascii="Calibri Light" w:hAnsi="Calibri Light" w:cs="Calibri Light"/>
          <w:sz w:val="24"/>
          <w:szCs w:val="24"/>
        </w:rPr>
        <w:t>.</w:t>
      </w:r>
    </w:p>
    <w:p w:rsidR="00D1757B" w:rsidRPr="00D1757B" w:rsidRDefault="00D1757B" w:rsidP="00D1757B">
      <w:pPr>
        <w:spacing w:before="120" w:after="120"/>
        <w:ind w:left="440" w:right="-1" w:hanging="14"/>
        <w:jc w:val="both"/>
        <w:rPr>
          <w:rFonts w:ascii="Calibri Light" w:hAnsi="Calibri Light" w:cs="Calibri Light"/>
          <w:sz w:val="24"/>
          <w:szCs w:val="24"/>
        </w:rPr>
      </w:pPr>
      <w:r w:rsidRPr="00D1757B">
        <w:rPr>
          <w:rFonts w:ascii="Calibri Light" w:hAnsi="Calibri Light" w:cs="Calibri Light"/>
          <w:sz w:val="24"/>
          <w:szCs w:val="24"/>
        </w:rPr>
        <w:t xml:space="preserve">In contrast, countries like the United States, the United Kingdom, and Australia show moderate research activity. Although Islamic banking is not the dominant financial system in these regions, the academic focus indicates a cross-cultural and comparative interest in the legal dimensions of Islamic finance within global regulatory paradigms </w:t>
      </w:r>
      <w:r w:rsidR="004F79D4">
        <w:rPr>
          <w:rFonts w:ascii="Calibri Light" w:hAnsi="Calibri Light" w:cs="Calibri Light"/>
          <w:sz w:val="24"/>
          <w:szCs w:val="24"/>
        </w:rPr>
        <w:fldChar w:fldCharType="begin" w:fldLock="1"/>
      </w:r>
      <w:r w:rsidR="00F737F3">
        <w:rPr>
          <w:rFonts w:ascii="Calibri Light" w:hAnsi="Calibri Light" w:cs="Calibri Light"/>
          <w:sz w:val="24"/>
          <w:szCs w:val="24"/>
        </w:rPr>
        <w:instrText>ADDIN CSL_CITATION {"citationItems":[{"id":"ITEM-1","itemData":{"DOI":"10.21098/jimf.v7i3.1376","ISSN":"24606146 (ISSN)","abstract":"This paper examines the market discipline of Islamic banks, as manifested by the responses of depositors with regard to their deposits and profit-sharing ratio to the fundamentals of the banks in the case of Indonesia. We analyse the supply and demand function of deposits using panel data from 10 Islamic banks from 2010 Q1 to 2019 Q4. We empirically find that market discipline in Indonesian Islamic banks is relatively weak, and conjecture that this is for two reasons. First, religious depositors have driven the unusual behaviour of Islamic banks, as we find that they stay with the same bank, even if it has poor fundamental conditions. Second, the profit and loss sharing mechanism means that Islamic bank depositors do not have great flexibility in demanding a higher rate relevant to the risk they must bear. This is because depositors’ actual return is set to be consistent with the actual profit obtained from the banks’ lending activities. Our results lead to the call for policymakers to effectively monitor the fundamental conditions of Islamic banks and to collaborate with agencies and organisations that promote Islamic bank development in Indonesia. © 2019 Bank Indonesia Institute. All rights reserved.","author":[{"dropping-particle":"","family":"Suliyono","given":"J","non-dropping-particle":"","parse-names":false,"suffix":""},{"dropping-particle":"","family":"Risfandy","given":"T","non-dropping-particle":"","parse-names":false,"suffix":""}],"container-title":"Journal of Islamic Monetary Economics and Finance","id":"ITEM-1","issue":"3","issued":{"date-parts":[["2021"]]},"language":"English","page":"457-472","publisher":"Bank Indonesia Institute","publisher-place":"Faculty of Economics and Business, Universitas Sebelas Maret, Indonesia","title":"Islamic Banking Market Discipline In Indonesia","type":"article-journal","volume":"7"},"uris":["http://www.mendeley.com/documents/?uuid=e656fdd2-95fc-4d1c-a100-19415185c9e4"]}],"mendeley":{"formattedCitation":"(Suliyono &amp; Risfandy, 2021)","plainTextFormattedCitation":"(Suliyono &amp; Risfandy, 2021)","previouslyFormattedCitation":"(Suliyono &amp; Risfandy, 2021)"},"properties":{"noteIndex":0},"schema":"https://github.com/citation-style-language/schema/raw/master/csl-citation.json"}</w:instrText>
      </w:r>
      <w:r w:rsidR="004F79D4">
        <w:rPr>
          <w:rFonts w:ascii="Calibri Light" w:hAnsi="Calibri Light" w:cs="Calibri Light"/>
          <w:sz w:val="24"/>
          <w:szCs w:val="24"/>
        </w:rPr>
        <w:fldChar w:fldCharType="separate"/>
      </w:r>
      <w:r w:rsidR="004F79D4" w:rsidRPr="004F79D4">
        <w:rPr>
          <w:rFonts w:ascii="Calibri Light" w:hAnsi="Calibri Light" w:cs="Calibri Light"/>
          <w:noProof/>
          <w:sz w:val="24"/>
          <w:szCs w:val="24"/>
        </w:rPr>
        <w:t>(</w:t>
      </w:r>
      <w:hyperlink w:anchor="Suliyono" w:history="1">
        <w:r w:rsidR="004F79D4" w:rsidRPr="00A47ADB">
          <w:rPr>
            <w:rStyle w:val="Hyperlink"/>
            <w:rFonts w:ascii="Calibri Light" w:hAnsi="Calibri Light" w:cs="Calibri Light"/>
            <w:noProof/>
            <w:sz w:val="24"/>
            <w:szCs w:val="24"/>
          </w:rPr>
          <w:t>Suliyono &amp; Risfandy</w:t>
        </w:r>
      </w:hyperlink>
      <w:r w:rsidR="004F79D4" w:rsidRPr="004F79D4">
        <w:rPr>
          <w:rFonts w:ascii="Calibri Light" w:hAnsi="Calibri Light" w:cs="Calibri Light"/>
          <w:noProof/>
          <w:sz w:val="24"/>
          <w:szCs w:val="24"/>
        </w:rPr>
        <w:t>, 2021)</w:t>
      </w:r>
      <w:r w:rsidR="004F79D4">
        <w:rPr>
          <w:rFonts w:ascii="Calibri Light" w:hAnsi="Calibri Light" w:cs="Calibri Light"/>
          <w:sz w:val="24"/>
          <w:szCs w:val="24"/>
        </w:rPr>
        <w:fldChar w:fldCharType="end"/>
      </w:r>
      <w:r w:rsidRPr="00D1757B">
        <w:rPr>
          <w:rFonts w:ascii="Calibri Light" w:hAnsi="Calibri Light" w:cs="Calibri Light"/>
          <w:sz w:val="24"/>
          <w:szCs w:val="24"/>
        </w:rPr>
        <w:t>.</w:t>
      </w:r>
    </w:p>
    <w:p w:rsidR="00EB4BB6" w:rsidRDefault="00D1757B" w:rsidP="00D1757B">
      <w:pPr>
        <w:spacing w:before="120" w:after="120"/>
        <w:ind w:left="440" w:right="-1" w:hanging="14"/>
        <w:jc w:val="both"/>
        <w:rPr>
          <w:rFonts w:ascii="Calibri Light" w:hAnsi="Calibri Light" w:cs="Calibri Light"/>
          <w:sz w:val="24"/>
          <w:szCs w:val="24"/>
        </w:rPr>
      </w:pPr>
      <w:r w:rsidRPr="00D1757B">
        <w:rPr>
          <w:rFonts w:ascii="Calibri Light" w:hAnsi="Calibri Light" w:cs="Calibri Light"/>
          <w:sz w:val="24"/>
          <w:szCs w:val="24"/>
        </w:rPr>
        <w:t xml:space="preserve">This distribution highlights the increasing global recognition of the importance of regulatory convergence between Islamic banking systems and Basel Accords, especially in countries with dual banking systems or in the process of financial regulatory reform. Future research contributions are expected to expand, particularly in emerging economies seeking to balance international compliance with faith-based financial practices </w:t>
      </w:r>
      <w:r w:rsidR="00155EC2">
        <w:rPr>
          <w:rFonts w:ascii="Calibri Light" w:hAnsi="Calibri Light" w:cs="Calibri Light"/>
          <w:sz w:val="24"/>
          <w:szCs w:val="24"/>
        </w:rPr>
        <w:fldChar w:fldCharType="begin" w:fldLock="1"/>
      </w:r>
      <w:r w:rsidR="00155EC2">
        <w:rPr>
          <w:rFonts w:ascii="Calibri Light" w:hAnsi="Calibri Light" w:cs="Calibri Light"/>
          <w:sz w:val="24"/>
          <w:szCs w:val="24"/>
        </w:rPr>
        <w:instrText>ADDIN CSL_CITATION {"citationItems":[{"id":"ITEM-1","itemData":{"DOI":"10.5267/j.uscm.2023.9.022","ISSN":"22916822 (ISSN)","abstract":"This research delves into the intricate nexus between integrated reporting, corporate governance, and financial sustainability in Islamic banking. The study scrutinized a collection of research spanning diverse geographies and periods, emphasizing factors like board dynamics, audit committee proficiency, sustainability disclosures, and the implementation of value-centric strategies. The distillation of insights from an initial pool of 173 studies, which was meticulously narrowed down to 30 through rigorous criteria, indicates a prevalent positive association between these determinants and the financial robustness of Islamic banks. Such findings accentuate the pivotal role of syncing banking operations with the intrinsically sustainable tenets of Islamic finance. This harmony can notably spur sustainable development, potentially drawing more investors and boosting the stature of the Islamic banking domain. Furthermore, this study sheds light on potential avenues for upcoming research, including the analysis of managerial competencies' influence on varying Corporate Social Responsibility (CSR) classifications and the examination of the ramifications of sustainability benchmarks, cultural variances, legal structures, and Islamic statutes in diverse nations. This investigation provides critical insights for professionals and decision-makers in Islamic banking, facilitating a deeper understanding of practices that strengthen financial sustainability. © 2024 by the authors; licensee Growing Science, Canada.","author":[{"dropping-particle":"","family":"Yusuf","given":"M","non-dropping-particle":"","parse-names":false,"suffix":""},{"dropping-particle":"","family":"Dasawaty","given":"E S","non-dropping-particle":"","parse-names":false,"suffix":""},{"dropping-particle":"","family":"Esra","given":"M A","non-dropping-particle":"","parse-names":false,"suffix":""},{"dropping-particle":"","family":"Apriwenni","given":"P","non-dropping-particle":"","parse-names":false,"suffix":""},{"dropping-particle":"","family":"Meiden","given":"C","non-dropping-particle":"","parse-names":false,"suffix":""},{"dropping-particle":"","family":"Fahlevi","given":"M","non-dropping-particle":"","parse-names":false,"suffix":""}],"container-title":"Uncertain Supply Chain Management","id":"ITEM-1","issue":"1","issued":{"date-parts":[["2024"]]},"language":"English","page":"273-290","publisher":"Growing Science","publisher-place":"Institut Teknologi dan Bisnis Bank Rakyat Indonesia, Jakarta, Indonesia","title":"Integrated reporting, corporate governance, and financial sustainability in Islamic banking","type":"article-journal","volume":"12"},"uris":["http://www.mendeley.com/documents/?uuid=dbf855a9-6459-4808-98c5-1ffaa89a1275"]}],"mendeley":{"formattedCitation":"(Yusuf et al., 2024)","plainTextFormattedCitation":"(Yusuf et al., 2024)","previouslyFormattedCitation":"(Yusuf et al., 2024)"},"properties":{"noteIndex":0},"schema":"https://github.com/citation-style-language/schema/raw/master/csl-citation.json"}</w:instrText>
      </w:r>
      <w:r w:rsidR="00155EC2">
        <w:rPr>
          <w:rFonts w:ascii="Calibri Light" w:hAnsi="Calibri Light" w:cs="Calibri Light"/>
          <w:sz w:val="24"/>
          <w:szCs w:val="24"/>
        </w:rPr>
        <w:fldChar w:fldCharType="separate"/>
      </w:r>
      <w:r w:rsidR="00155EC2" w:rsidRPr="00155EC2">
        <w:rPr>
          <w:rFonts w:ascii="Calibri Light" w:hAnsi="Calibri Light" w:cs="Calibri Light"/>
          <w:noProof/>
          <w:sz w:val="24"/>
          <w:szCs w:val="24"/>
        </w:rPr>
        <w:t>(</w:t>
      </w:r>
      <w:hyperlink w:anchor="Yusuf" w:history="1">
        <w:r w:rsidR="00155EC2" w:rsidRPr="00A47ADB">
          <w:rPr>
            <w:rStyle w:val="Hyperlink"/>
            <w:rFonts w:ascii="Calibri Light" w:hAnsi="Calibri Light" w:cs="Calibri Light"/>
            <w:noProof/>
            <w:sz w:val="24"/>
            <w:szCs w:val="24"/>
          </w:rPr>
          <w:t>Yusuf et al.</w:t>
        </w:r>
      </w:hyperlink>
      <w:r w:rsidR="00155EC2" w:rsidRPr="00155EC2">
        <w:rPr>
          <w:rFonts w:ascii="Calibri Light" w:hAnsi="Calibri Light" w:cs="Calibri Light"/>
          <w:noProof/>
          <w:sz w:val="24"/>
          <w:szCs w:val="24"/>
        </w:rPr>
        <w:t>, 2024)</w:t>
      </w:r>
      <w:r w:rsidR="00155EC2">
        <w:rPr>
          <w:rFonts w:ascii="Calibri Light" w:hAnsi="Calibri Light" w:cs="Calibri Light"/>
          <w:sz w:val="24"/>
          <w:szCs w:val="24"/>
        </w:rPr>
        <w:fldChar w:fldCharType="end"/>
      </w:r>
      <w:r w:rsidRPr="00D1757B">
        <w:rPr>
          <w:rFonts w:ascii="Calibri Light" w:hAnsi="Calibri Light" w:cs="Calibri Light"/>
          <w:sz w:val="24"/>
          <w:szCs w:val="24"/>
        </w:rPr>
        <w:t>.</w:t>
      </w:r>
    </w:p>
    <w:p w:rsidR="00D1757B" w:rsidRDefault="00D1757B" w:rsidP="00D1757B">
      <w:pPr>
        <w:spacing w:before="120" w:after="120"/>
        <w:ind w:left="440" w:right="-1" w:hanging="14"/>
        <w:jc w:val="center"/>
        <w:rPr>
          <w:rFonts w:ascii="Calibri Light" w:hAnsi="Calibri Light" w:cs="Calibri Light"/>
          <w:sz w:val="24"/>
          <w:szCs w:val="24"/>
        </w:rPr>
      </w:pPr>
      <w:r w:rsidRPr="00D46384">
        <w:rPr>
          <w:rFonts w:eastAsia="Calibri" w:cs="Traditional Arabic"/>
          <w:noProof/>
          <w:sz w:val="24"/>
          <w:szCs w:val="24"/>
          <w:lang w:val="en-ID" w:eastAsia="en-US"/>
        </w:rPr>
        <w:drawing>
          <wp:inline distT="0" distB="0" distL="0" distR="0" wp14:anchorId="28C7529E" wp14:editId="01B93751">
            <wp:extent cx="4015740" cy="2040527"/>
            <wp:effectExtent l="0" t="0" r="3810" b="0"/>
            <wp:docPr id="93925615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098842" cy="2082754"/>
                    </a:xfrm>
                    <a:prstGeom prst="rect">
                      <a:avLst/>
                    </a:prstGeom>
                    <a:noFill/>
                    <a:ln>
                      <a:noFill/>
                    </a:ln>
                  </pic:spPr>
                </pic:pic>
              </a:graphicData>
            </a:graphic>
          </wp:inline>
        </w:drawing>
      </w:r>
    </w:p>
    <w:p w:rsidR="00D1757B" w:rsidRDefault="00D1757B" w:rsidP="00D1757B">
      <w:pPr>
        <w:spacing w:before="120" w:after="120"/>
        <w:ind w:left="440" w:right="-1" w:hanging="14"/>
        <w:jc w:val="center"/>
        <w:rPr>
          <w:rFonts w:ascii="Calibri Light" w:hAnsi="Calibri Light" w:cs="Calibri Light"/>
          <w:sz w:val="24"/>
          <w:szCs w:val="24"/>
        </w:rPr>
      </w:pPr>
      <w:r w:rsidRPr="00D1757B">
        <w:rPr>
          <w:rFonts w:ascii="Calibri Light" w:hAnsi="Calibri Light" w:cs="Calibri Light"/>
          <w:b/>
          <w:bCs/>
          <w:i/>
          <w:iCs/>
          <w:sz w:val="24"/>
          <w:szCs w:val="24"/>
        </w:rPr>
        <w:t>Figure 5.</w:t>
      </w:r>
      <w:r w:rsidRPr="00D1757B">
        <w:rPr>
          <w:rFonts w:ascii="Calibri Light" w:hAnsi="Calibri Light" w:cs="Calibri Light"/>
          <w:i/>
          <w:iCs/>
          <w:sz w:val="24"/>
          <w:szCs w:val="24"/>
        </w:rPr>
        <w:t xml:space="preserve"> Global distribution of research on basel accords and islamic banking regulations</w:t>
      </w:r>
      <w:r w:rsidRPr="00D1757B">
        <w:rPr>
          <w:rFonts w:ascii="Calibri Light" w:hAnsi="Calibri Light" w:cs="Calibri Light"/>
          <w:sz w:val="24"/>
          <w:szCs w:val="24"/>
        </w:rPr>
        <w:t xml:space="preserve"> (2015–2024)</w:t>
      </w:r>
    </w:p>
    <w:p w:rsidR="00D1757B" w:rsidRPr="00D1757B" w:rsidRDefault="00D1757B" w:rsidP="00D1757B">
      <w:pPr>
        <w:spacing w:before="120" w:after="120"/>
        <w:ind w:left="440" w:right="-1" w:hanging="14"/>
        <w:jc w:val="both"/>
        <w:rPr>
          <w:rFonts w:ascii="Calibri Light" w:hAnsi="Calibri Light" w:cs="Calibri Light"/>
          <w:sz w:val="24"/>
          <w:szCs w:val="24"/>
        </w:rPr>
      </w:pPr>
      <w:r w:rsidRPr="00D1757B">
        <w:rPr>
          <w:rFonts w:ascii="Calibri Light" w:hAnsi="Calibri Light" w:cs="Calibri Light"/>
          <w:sz w:val="24"/>
          <w:szCs w:val="24"/>
        </w:rPr>
        <w:t xml:space="preserve">Figure 6 presents a bibliometric overview of selected countries that have contributed significantly to the scholarly discourse from 2015 to 2024. The table captures three core indicators: number of documents, total citations, and total link strength (which reflects the extent of international collaboration) </w:t>
      </w:r>
      <w:r w:rsidR="009E6AF8">
        <w:rPr>
          <w:rFonts w:ascii="Calibri Light" w:hAnsi="Calibri Light" w:cs="Calibri Light"/>
          <w:sz w:val="24"/>
          <w:szCs w:val="24"/>
        </w:rPr>
        <w:fldChar w:fldCharType="begin" w:fldLock="1"/>
      </w:r>
      <w:r w:rsidR="009E6AF8">
        <w:rPr>
          <w:rFonts w:ascii="Calibri Light" w:hAnsi="Calibri Light" w:cs="Calibri Light"/>
          <w:sz w:val="24"/>
          <w:szCs w:val="24"/>
        </w:rPr>
        <w:instrText>ADDIN CSL_CITATION {"citationItems":[{"id":"ITEM-1","itemData":{"DOI":"10.1080/23322039.2024.2378961","ISSN":"23322039 (ISSN)","abstract":"Sharia product development in Indonesia faces unique challenges in terms of strategy and innovation compared with conventional products. Islamic banking managers must adhere to Sharia principles to maintain customer trust and comply with Islamic law. Compliance with Sharia principles is not only a religious obligation but also the foundation of the business model. This study used qualitative methods, specifically semi-structured interviews, to validate the Sharia product development practices in Indonesia. Seven experts from diverse backgrounds were interviewed, and their responses were thematically analysed using NVivo version 12. The findings confirm that the Sharia supervisory board and Islamic banking management play crucial roles in developing Sharia products. They collaborate to ensure that Sharia products adhere to the principles, meet customer needs, and comply with relevant regulations and standards. This collaboration enables efficient development of Sharia products that align with values and meet market demands. Moreover, their involvement goes beyond their compliance. They also contribute to the ethical and responsible growth of Islamic banking by fostering customer trust and confidence. Their commitment to upholding the core principles of Islamic banking establishes a solid foundation for the sustainable development of Sharia-compliant products in the global market. © 2024 The Author(s). Published by Informa UK Limited, trading as Taylor &amp; Francis Group.","author":[{"dropping-particle":"","family":"Faizi","given":"F","non-dropping-particle":"","parse-names":false,"suffix":""}],"container-title":"Cogent Economics and Finance","id":"ITEM-1","issue":"1","issued":{"date-parts":[["2024"]]},"language":"English","publisher":"Cogent OA","publisher-place":"Department of Islamic Economics, Faculty of Economics and Business, Universitas Pembangunan Nasional Veteran Jakarta, Depok, Indonesia","title":"How are Islamic banking products developed? Evidence from emerging country","type":"article-journal","volume":"12"},"uris":["http://www.mendeley.com/documents/?uuid=fa13ecb9-b99e-484f-a610-7b2dcac6c2cb"]}],"mendeley":{"formattedCitation":"(Faizi, 2024)","plainTextFormattedCitation":"(Faizi, 2024)","previouslyFormattedCitation":"(Faizi, 2024)"},"properties":{"noteIndex":0},"schema":"https://github.com/citation-style-language/schema/raw/master/csl-citation.json"}</w:instrText>
      </w:r>
      <w:r w:rsidR="009E6AF8">
        <w:rPr>
          <w:rFonts w:ascii="Calibri Light" w:hAnsi="Calibri Light" w:cs="Calibri Light"/>
          <w:sz w:val="24"/>
          <w:szCs w:val="24"/>
        </w:rPr>
        <w:fldChar w:fldCharType="separate"/>
      </w:r>
      <w:r w:rsidR="009E6AF8" w:rsidRPr="009E6AF8">
        <w:rPr>
          <w:rFonts w:ascii="Calibri Light" w:hAnsi="Calibri Light" w:cs="Calibri Light"/>
          <w:noProof/>
          <w:sz w:val="24"/>
          <w:szCs w:val="24"/>
        </w:rPr>
        <w:t>(</w:t>
      </w:r>
      <w:hyperlink w:anchor="Faizi" w:history="1">
        <w:r w:rsidR="009E6AF8" w:rsidRPr="00434A6A">
          <w:rPr>
            <w:rStyle w:val="Hyperlink"/>
            <w:rFonts w:ascii="Calibri Light" w:hAnsi="Calibri Light" w:cs="Calibri Light"/>
            <w:noProof/>
            <w:sz w:val="24"/>
            <w:szCs w:val="24"/>
          </w:rPr>
          <w:t>Faizi</w:t>
        </w:r>
      </w:hyperlink>
      <w:r w:rsidR="009E6AF8" w:rsidRPr="009E6AF8">
        <w:rPr>
          <w:rFonts w:ascii="Calibri Light" w:hAnsi="Calibri Light" w:cs="Calibri Light"/>
          <w:noProof/>
          <w:sz w:val="24"/>
          <w:szCs w:val="24"/>
        </w:rPr>
        <w:t>, 2024)</w:t>
      </w:r>
      <w:r w:rsidR="009E6AF8">
        <w:rPr>
          <w:rFonts w:ascii="Calibri Light" w:hAnsi="Calibri Light" w:cs="Calibri Light"/>
          <w:sz w:val="24"/>
          <w:szCs w:val="24"/>
        </w:rPr>
        <w:fldChar w:fldCharType="end"/>
      </w:r>
      <w:r w:rsidRPr="00D1757B">
        <w:rPr>
          <w:rFonts w:ascii="Calibri Light" w:hAnsi="Calibri Light" w:cs="Calibri Light"/>
          <w:sz w:val="24"/>
          <w:szCs w:val="24"/>
        </w:rPr>
        <w:t>.</w:t>
      </w:r>
    </w:p>
    <w:p w:rsidR="00D1757B" w:rsidRPr="00D1757B" w:rsidRDefault="00D1757B" w:rsidP="00D1757B">
      <w:pPr>
        <w:spacing w:before="120" w:after="120"/>
        <w:ind w:left="440" w:right="-1" w:hanging="14"/>
        <w:jc w:val="both"/>
        <w:rPr>
          <w:rFonts w:ascii="Calibri Light" w:hAnsi="Calibri Light" w:cs="Calibri Light"/>
          <w:sz w:val="24"/>
          <w:szCs w:val="24"/>
        </w:rPr>
      </w:pPr>
      <w:r w:rsidRPr="00D1757B">
        <w:rPr>
          <w:rFonts w:ascii="Calibri Light" w:hAnsi="Calibri Light" w:cs="Calibri Light"/>
          <w:sz w:val="24"/>
          <w:szCs w:val="24"/>
        </w:rPr>
        <w:t xml:space="preserve">Malaysia leads with 347 publications, a striking 5,411 citations, and the highest total link strength (1,206), underlining its central role as a global hub in the research domain. This evidences Malaysia's leadership in both output and influence within Islamic banking and </w:t>
      </w:r>
      <w:r w:rsidRPr="00D1757B">
        <w:rPr>
          <w:rFonts w:ascii="Calibri Light" w:hAnsi="Calibri Light" w:cs="Calibri Light"/>
          <w:sz w:val="24"/>
          <w:szCs w:val="24"/>
        </w:rPr>
        <w:lastRenderedPageBreak/>
        <w:t xml:space="preserve">Basel-related regulatory studies, likely supported by its strong institutional commitment to Islamic finance. Pakistan follows with 114 documents and 1,936 citations, showing robust academic engagement. The United States, despite having only 70 papers, shows high efficiency with 1,776 citations and notable international collaboration (704 link strength), highlighting its scholarly influence despite fewer contributions </w:t>
      </w:r>
      <w:r w:rsidR="003A66C6">
        <w:rPr>
          <w:rFonts w:ascii="Calibri Light" w:hAnsi="Calibri Light" w:cs="Calibri Light"/>
          <w:sz w:val="24"/>
          <w:szCs w:val="24"/>
        </w:rPr>
        <w:fldChar w:fldCharType="begin" w:fldLock="1"/>
      </w:r>
      <w:r w:rsidR="003A66C6">
        <w:rPr>
          <w:rFonts w:ascii="Calibri Light" w:hAnsi="Calibri Light" w:cs="Calibri Light"/>
          <w:sz w:val="24"/>
          <w:szCs w:val="24"/>
        </w:rPr>
        <w:instrText>ADDIN CSL_CITATION {"citationItems":[{"id":"ITEM-1","itemData":{"DOI":"10.61455/deujis.v2i03.194","author":[{"dropping-particle":"","family":"Nasrullah","given":"Muthoifin","non-dropping-particle":"","parse-names":false,"suffix":""}],"container-title":"Demak Universal Journal of Islam and Sharia","id":"ITEM-1","issue":"3","issued":{"date-parts":[["2024"]]},"page":"347-360","title":"Implementation of Fiqh Rules in Economic Transactions in Islamic Financial Institutions : A Literature Review Study","type":"article-journal","volume":"2"},"uris":["http://www.mendeley.com/documents/?uuid=c48f832a-cffb-4d73-9d00-dea63790d2e7"]}],"mendeley":{"formattedCitation":"(Nasrullah, 2024)","plainTextFormattedCitation":"(Nasrullah, 2024)","previouslyFormattedCitation":"(Nasrullah, 2024)"},"properties":{"noteIndex":0},"schema":"https://github.com/citation-style-language/schema/raw/master/csl-citation.json"}</w:instrText>
      </w:r>
      <w:r w:rsidR="003A66C6">
        <w:rPr>
          <w:rFonts w:ascii="Calibri Light" w:hAnsi="Calibri Light" w:cs="Calibri Light"/>
          <w:sz w:val="24"/>
          <w:szCs w:val="24"/>
        </w:rPr>
        <w:fldChar w:fldCharType="separate"/>
      </w:r>
      <w:r w:rsidR="003A66C6" w:rsidRPr="003A66C6">
        <w:rPr>
          <w:rFonts w:ascii="Calibri Light" w:hAnsi="Calibri Light" w:cs="Calibri Light"/>
          <w:noProof/>
          <w:sz w:val="24"/>
          <w:szCs w:val="24"/>
        </w:rPr>
        <w:t>(</w:t>
      </w:r>
      <w:hyperlink w:anchor="Nasrullah" w:history="1">
        <w:r w:rsidR="003A66C6" w:rsidRPr="004231BE">
          <w:rPr>
            <w:rStyle w:val="Hyperlink"/>
            <w:rFonts w:ascii="Calibri Light" w:hAnsi="Calibri Light" w:cs="Calibri Light"/>
            <w:noProof/>
            <w:sz w:val="24"/>
            <w:szCs w:val="24"/>
          </w:rPr>
          <w:t>Nasrullah</w:t>
        </w:r>
      </w:hyperlink>
      <w:r w:rsidR="003A66C6" w:rsidRPr="003A66C6">
        <w:rPr>
          <w:rFonts w:ascii="Calibri Light" w:hAnsi="Calibri Light" w:cs="Calibri Light"/>
          <w:noProof/>
          <w:sz w:val="24"/>
          <w:szCs w:val="24"/>
        </w:rPr>
        <w:t>, 2024)</w:t>
      </w:r>
      <w:r w:rsidR="003A66C6">
        <w:rPr>
          <w:rFonts w:ascii="Calibri Light" w:hAnsi="Calibri Light" w:cs="Calibri Light"/>
          <w:sz w:val="24"/>
          <w:szCs w:val="24"/>
        </w:rPr>
        <w:fldChar w:fldCharType="end"/>
      </w:r>
      <w:r w:rsidRPr="00D1757B">
        <w:rPr>
          <w:rFonts w:ascii="Calibri Light" w:hAnsi="Calibri Light" w:cs="Calibri Light"/>
          <w:sz w:val="24"/>
          <w:szCs w:val="24"/>
        </w:rPr>
        <w:t>.</w:t>
      </w:r>
    </w:p>
    <w:p w:rsidR="00D1757B" w:rsidRPr="00D1757B" w:rsidRDefault="00D1757B" w:rsidP="00D1757B">
      <w:pPr>
        <w:spacing w:before="120" w:after="120"/>
        <w:ind w:left="440" w:right="-1" w:hanging="14"/>
        <w:jc w:val="both"/>
        <w:rPr>
          <w:rFonts w:ascii="Calibri Light" w:hAnsi="Calibri Light" w:cs="Calibri Light"/>
          <w:sz w:val="24"/>
          <w:szCs w:val="24"/>
        </w:rPr>
      </w:pPr>
      <w:r w:rsidRPr="00D1757B">
        <w:rPr>
          <w:rFonts w:ascii="Calibri Light" w:hAnsi="Calibri Light" w:cs="Calibri Light"/>
          <w:sz w:val="24"/>
          <w:szCs w:val="24"/>
        </w:rPr>
        <w:t xml:space="preserve">Other notable contributors include Indonesia (201 documents, 1,876 citations), the United Kingdom (100 documents, 1,966 citations), and Saudi Arabia (85 documents, 1,330 citations), each demonstrating meaningful contributions in terms of quantity and impact. Meanwhile, France, Australia, Tunisia, and Bangladesh show varying levels of engagement. Although their total outputs and link strengths are comparatively lower, countries like Australia (1,520 citations from 53 documents) demonstrate relatively high citation-to-document ratios, indicating influential publications </w:t>
      </w:r>
      <w:r w:rsidR="003A66C6">
        <w:rPr>
          <w:rFonts w:ascii="Calibri Light" w:hAnsi="Calibri Light" w:cs="Calibri Light"/>
          <w:sz w:val="24"/>
          <w:szCs w:val="24"/>
        </w:rPr>
        <w:fldChar w:fldCharType="begin" w:fldLock="1"/>
      </w:r>
      <w:r w:rsidR="003A66C6">
        <w:rPr>
          <w:rFonts w:ascii="Calibri Light" w:hAnsi="Calibri Light" w:cs="Calibri Light"/>
          <w:sz w:val="24"/>
          <w:szCs w:val="24"/>
        </w:rPr>
        <w:instrText>ADDIN CSL_CITATION {"citationItems":[{"id":"ITEM-1","itemData":{"DOI":"10.61455/sicopus.v2i01.119","author":[{"dropping-particle":"","family":"Jabbar","given":"Aisyah Abdul","non-dropping-particle":"","parse-names":false,"suffix":""},{"dropping-particle":"","family":"Achour","given":"Meguellati","non-dropping-particle":"","parse-names":false,"suffix":""},{"dropping-particle":"","family":"Geraldine","given":"Edwards","non-dropping-particle":"","parse-names":false,"suffix":""},{"dropping-particle":"","family":"Afiyah","given":"Ishmah","non-dropping-particle":"","parse-names":false,"suffix":""}],"container-title":"Solo International Colaboration and Publication of Social Sciences and Humanitieslaboration and Publication of Social Sciences and Humanities","id":"ITEM-1","issue":"1","issued":{"date-parts":[["2024"]]},"page":"47-60","title":"The Relevance and Dynamics of Muamalat Transactions in the Context of Modern Economics : A Holistic Review","type":"article-journal","volume":"2"},"uris":["http://www.mendeley.com/documents/?uuid=68f265a0-9075-4107-9a3d-f733c9cd9260"]}],"mendeley":{"formattedCitation":"(Jabbar et al., 2024)","plainTextFormattedCitation":"(Jabbar et al., 2024)","previouslyFormattedCitation":"(Jabbar et al., 2024)"},"properties":{"noteIndex":0},"schema":"https://github.com/citation-style-language/schema/raw/master/csl-citation.json"}</w:instrText>
      </w:r>
      <w:r w:rsidR="003A66C6">
        <w:rPr>
          <w:rFonts w:ascii="Calibri Light" w:hAnsi="Calibri Light" w:cs="Calibri Light"/>
          <w:sz w:val="24"/>
          <w:szCs w:val="24"/>
        </w:rPr>
        <w:fldChar w:fldCharType="separate"/>
      </w:r>
      <w:r w:rsidR="003A66C6" w:rsidRPr="003A66C6">
        <w:rPr>
          <w:rFonts w:ascii="Calibri Light" w:hAnsi="Calibri Light" w:cs="Calibri Light"/>
          <w:noProof/>
          <w:sz w:val="24"/>
          <w:szCs w:val="24"/>
        </w:rPr>
        <w:t>(</w:t>
      </w:r>
      <w:hyperlink w:anchor="Jabbar" w:history="1">
        <w:r w:rsidR="003A66C6" w:rsidRPr="004231BE">
          <w:rPr>
            <w:rStyle w:val="Hyperlink"/>
            <w:rFonts w:ascii="Calibri Light" w:hAnsi="Calibri Light" w:cs="Calibri Light"/>
            <w:noProof/>
            <w:sz w:val="24"/>
            <w:szCs w:val="24"/>
          </w:rPr>
          <w:t>Jabbar et al.</w:t>
        </w:r>
      </w:hyperlink>
      <w:r w:rsidR="003A66C6" w:rsidRPr="003A66C6">
        <w:rPr>
          <w:rFonts w:ascii="Calibri Light" w:hAnsi="Calibri Light" w:cs="Calibri Light"/>
          <w:noProof/>
          <w:sz w:val="24"/>
          <w:szCs w:val="24"/>
        </w:rPr>
        <w:t>, 2024)</w:t>
      </w:r>
      <w:r w:rsidR="003A66C6">
        <w:rPr>
          <w:rFonts w:ascii="Calibri Light" w:hAnsi="Calibri Light" w:cs="Calibri Light"/>
          <w:sz w:val="24"/>
          <w:szCs w:val="24"/>
        </w:rPr>
        <w:fldChar w:fldCharType="end"/>
      </w:r>
      <w:r w:rsidRPr="00D1757B">
        <w:rPr>
          <w:rFonts w:ascii="Calibri Light" w:hAnsi="Calibri Light" w:cs="Calibri Light"/>
          <w:sz w:val="24"/>
          <w:szCs w:val="24"/>
        </w:rPr>
        <w:t>.</w:t>
      </w:r>
    </w:p>
    <w:p w:rsidR="00EB4BB6" w:rsidRDefault="00D1757B" w:rsidP="00D1757B">
      <w:pPr>
        <w:spacing w:before="120" w:after="120"/>
        <w:ind w:left="440" w:right="-1" w:hanging="14"/>
        <w:jc w:val="both"/>
        <w:rPr>
          <w:rFonts w:ascii="Calibri Light" w:hAnsi="Calibri Light" w:cs="Calibri Light"/>
          <w:sz w:val="24"/>
          <w:szCs w:val="24"/>
        </w:rPr>
      </w:pPr>
      <w:r w:rsidRPr="00D1757B">
        <w:rPr>
          <w:rFonts w:ascii="Calibri Light" w:hAnsi="Calibri Light" w:cs="Calibri Light"/>
          <w:sz w:val="24"/>
          <w:szCs w:val="24"/>
        </w:rPr>
        <w:t>The total link strength metric further enriches this analysis by highlighting the depth of collaboration. Countries with higher link strength are more embedded in international research networks, which is crucial for knowledge exchange and mutual development of regulatory frameworks in Islamic finance. Overall, this bibliometric mapping underscores the pivotal role of Southeast Asian and selected Western nations in shaping the academic trajectory of Basel compliance in the Islamic banking sector</w:t>
      </w:r>
      <w:r w:rsidR="002E383A">
        <w:rPr>
          <w:rFonts w:ascii="Calibri Light" w:hAnsi="Calibri Light" w:cs="Calibri Light"/>
          <w:sz w:val="24"/>
          <w:szCs w:val="24"/>
        </w:rPr>
        <w:t xml:space="preserve"> </w:t>
      </w:r>
      <w:r w:rsidR="002E383A">
        <w:rPr>
          <w:rFonts w:ascii="Calibri Light" w:hAnsi="Calibri Light" w:cs="Calibri Light"/>
          <w:sz w:val="24"/>
          <w:szCs w:val="24"/>
        </w:rPr>
        <w:fldChar w:fldCharType="begin" w:fldLock="1"/>
      </w:r>
      <w:r w:rsidR="002E383A">
        <w:rPr>
          <w:rFonts w:ascii="Calibri Light" w:hAnsi="Calibri Light" w:cs="Calibri Light"/>
          <w:sz w:val="24"/>
          <w:szCs w:val="24"/>
        </w:rPr>
        <w:instrText>ADDIN CSL_CITATION {"citationItems":[{"id":"ITEM-1","itemData":{"DOI":"10.1504/IJBAAF.2020.104479","ISSN":"17553830 (ISSN)","abstract":"Following the implementation of Basel III, the Basel committee has embarked on a thorough review of its market risk directives and enacted new proposals generically called Basel 3.5. They involve a radical transformation of the standardised approach (SA) into a risk-sensitive method and a complete overhaul of the internal models approach (IMA) through the replacement of VaR for ES, amid stringent validation standards. The study analyses Basel's recent regulations for commodities exposures, finding a substantial rise in capital levels for SA and IMA and the relatively disadvantageous position in which IMA is placed, arising from the higher SA's capital requirements and the tougher evaluation criteria only attained by schemes featuring extremes theory. This, in turn, provokes accuracy disincentives and unnecessary immobilisation of funds. Consequently, the paper introduces a straightforward solution designed to level SA and IMA and provide substantial protection against huge market slumps with more reasonable capital levels and reduced implied costs. © 2020 Inderscience Enterprises Ltd.","author":[{"dropping-particle":"","family":"Rossignolo","given":"A F","non-dropping-particle":"","parse-names":false,"suffix":""}],"container-title":"International Journal of Banking, Accounting and Finance","id":"ITEM-1","issue":"1","issued":{"date-parts":[["2020"]]},"language":"English","page":"1-34","publisher":"Inderscience Enterprises Ltd.","publisher-place":"School of Business, University of Leicester, Santo Tome 2870, Buenos Aires, C1417GFL, Argentina","title":"Basel 3.5 vs. Basel III: A radical overhaul of the capital requirements pillar. The case of commodity exposures","type":"article-journal","volume":"11"},"uris":["http://www.mendeley.com/documents/?uuid=c0511cad-65e8-408e-8d64-4daa90b7ade1"]}],"mendeley":{"formattedCitation":"(Rossignolo, 2020)","plainTextFormattedCitation":"(Rossignolo, 2020)","previouslyFormattedCitation":"(Rossignolo, 2020)"},"properties":{"noteIndex":0},"schema":"https://github.com/citation-style-language/schema/raw/master/csl-citation.json"}</w:instrText>
      </w:r>
      <w:r w:rsidR="002E383A">
        <w:rPr>
          <w:rFonts w:ascii="Calibri Light" w:hAnsi="Calibri Light" w:cs="Calibri Light"/>
          <w:sz w:val="24"/>
          <w:szCs w:val="24"/>
        </w:rPr>
        <w:fldChar w:fldCharType="separate"/>
      </w:r>
      <w:r w:rsidR="002E383A" w:rsidRPr="002E383A">
        <w:rPr>
          <w:rFonts w:ascii="Calibri Light" w:hAnsi="Calibri Light" w:cs="Calibri Light"/>
          <w:noProof/>
          <w:sz w:val="24"/>
          <w:szCs w:val="24"/>
        </w:rPr>
        <w:t>(</w:t>
      </w:r>
      <w:hyperlink w:anchor="Rossignolo" w:history="1">
        <w:r w:rsidR="002E383A" w:rsidRPr="00A47ADB">
          <w:rPr>
            <w:rStyle w:val="Hyperlink"/>
            <w:rFonts w:ascii="Calibri Light" w:hAnsi="Calibri Light" w:cs="Calibri Light"/>
            <w:noProof/>
            <w:sz w:val="24"/>
            <w:szCs w:val="24"/>
          </w:rPr>
          <w:t>Rossignolo</w:t>
        </w:r>
      </w:hyperlink>
      <w:r w:rsidR="002E383A" w:rsidRPr="002E383A">
        <w:rPr>
          <w:rFonts w:ascii="Calibri Light" w:hAnsi="Calibri Light" w:cs="Calibri Light"/>
          <w:noProof/>
          <w:sz w:val="24"/>
          <w:szCs w:val="24"/>
        </w:rPr>
        <w:t>, 2020)</w:t>
      </w:r>
      <w:r w:rsidR="002E383A">
        <w:rPr>
          <w:rFonts w:ascii="Calibri Light" w:hAnsi="Calibri Light" w:cs="Calibri Light"/>
          <w:sz w:val="24"/>
          <w:szCs w:val="24"/>
        </w:rPr>
        <w:fldChar w:fldCharType="end"/>
      </w:r>
      <w:r w:rsidRPr="00D1757B">
        <w:rPr>
          <w:rFonts w:ascii="Calibri Light" w:hAnsi="Calibri Light" w:cs="Calibri Light"/>
          <w:sz w:val="24"/>
          <w:szCs w:val="24"/>
        </w:rPr>
        <w:t>. The observed trends suggest a growing convergence of international scholarly efforts to address the regulatory challenges and opportunities inherent in aligning Islamic financial principles with global banking standards.</w:t>
      </w:r>
    </w:p>
    <w:p w:rsidR="00D1757B" w:rsidRDefault="00D1757B" w:rsidP="00D1757B">
      <w:pPr>
        <w:spacing w:before="120" w:after="120"/>
        <w:ind w:left="440" w:right="-1" w:hanging="14"/>
        <w:jc w:val="center"/>
        <w:rPr>
          <w:rFonts w:ascii="Calibri Light" w:hAnsi="Calibri Light" w:cs="Calibri Light"/>
          <w:sz w:val="24"/>
          <w:szCs w:val="24"/>
        </w:rPr>
      </w:pPr>
      <w:r w:rsidRPr="00B06D1D">
        <w:rPr>
          <w:rFonts w:eastAsia="Calibri" w:cs="Traditional Arabic"/>
          <w:b/>
          <w:bCs/>
          <w:noProof/>
          <w:sz w:val="24"/>
          <w:szCs w:val="24"/>
          <w:lang w:val="en-ID" w:eastAsia="en-US"/>
        </w:rPr>
        <w:drawing>
          <wp:inline distT="0" distB="0" distL="0" distR="0" wp14:anchorId="4AEEC642" wp14:editId="4538AFC9">
            <wp:extent cx="4602480" cy="1958285"/>
            <wp:effectExtent l="0" t="0" r="7620" b="4445"/>
            <wp:docPr id="1109403752"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608249" cy="1960740"/>
                    </a:xfrm>
                    <a:prstGeom prst="rect">
                      <a:avLst/>
                    </a:prstGeom>
                    <a:noFill/>
                  </pic:spPr>
                </pic:pic>
              </a:graphicData>
            </a:graphic>
          </wp:inline>
        </w:drawing>
      </w:r>
    </w:p>
    <w:p w:rsidR="00D1757B" w:rsidRPr="000C38EC" w:rsidRDefault="00D1757B" w:rsidP="00D1757B">
      <w:pPr>
        <w:spacing w:before="120" w:after="120"/>
        <w:ind w:left="440" w:right="-1" w:hanging="14"/>
        <w:jc w:val="center"/>
        <w:rPr>
          <w:rFonts w:ascii="Calibri Light" w:hAnsi="Calibri Light" w:cs="Calibri Light"/>
          <w:i/>
          <w:iCs/>
          <w:sz w:val="24"/>
          <w:szCs w:val="24"/>
        </w:rPr>
      </w:pPr>
      <w:r w:rsidRPr="000C38EC">
        <w:rPr>
          <w:rFonts w:ascii="Calibri Light" w:hAnsi="Calibri Light" w:cs="Calibri Light"/>
          <w:b/>
          <w:bCs/>
          <w:i/>
          <w:iCs/>
          <w:sz w:val="24"/>
          <w:szCs w:val="24"/>
        </w:rPr>
        <w:t>Figure 6.</w:t>
      </w:r>
      <w:r w:rsidRPr="000C38EC">
        <w:rPr>
          <w:rFonts w:ascii="Calibri Light" w:hAnsi="Calibri Light" w:cs="Calibri Light"/>
          <w:i/>
          <w:iCs/>
          <w:sz w:val="24"/>
          <w:szCs w:val="24"/>
        </w:rPr>
        <w:t xml:space="preserve"> Bibliometric comparison of leading countries in basel and </w:t>
      </w:r>
      <w:r w:rsidR="000C38EC" w:rsidRPr="000C38EC">
        <w:rPr>
          <w:rFonts w:ascii="Calibri Light" w:hAnsi="Calibri Light" w:cs="Calibri Light"/>
          <w:i/>
          <w:iCs/>
          <w:sz w:val="24"/>
          <w:szCs w:val="24"/>
        </w:rPr>
        <w:t xml:space="preserve">Islamic </w:t>
      </w:r>
      <w:r w:rsidRPr="000C38EC">
        <w:rPr>
          <w:rFonts w:ascii="Calibri Light" w:hAnsi="Calibri Light" w:cs="Calibri Light"/>
          <w:i/>
          <w:iCs/>
          <w:sz w:val="24"/>
          <w:szCs w:val="24"/>
        </w:rPr>
        <w:t>banking research</w:t>
      </w:r>
    </w:p>
    <w:p w:rsidR="00EB4BB6" w:rsidRDefault="00747162" w:rsidP="00B25EDF">
      <w:pPr>
        <w:spacing w:before="120" w:after="120"/>
        <w:ind w:left="440" w:right="-1" w:hanging="14"/>
        <w:jc w:val="both"/>
        <w:rPr>
          <w:rFonts w:ascii="Calibri Light" w:hAnsi="Calibri Light" w:cs="Calibri Light"/>
          <w:sz w:val="24"/>
          <w:szCs w:val="24"/>
        </w:rPr>
      </w:pPr>
      <w:r w:rsidRPr="00747162">
        <w:rPr>
          <w:rFonts w:ascii="Calibri Light" w:hAnsi="Calibri Light" w:cs="Calibri Light"/>
          <w:sz w:val="24"/>
          <w:szCs w:val="24"/>
        </w:rPr>
        <w:t xml:space="preserve">VOSviewer was utilised to visualise the bibliographic relationships and linkages among countries contributing to the literature on the Basel Accords and their impact on Islamic banking regulations, as illustrated in the figure above. The minimum threshold for inclusion in the analysis was set at five publications per country, resulting in 45 countries being classified into nine colour-coded clusters based on the strength of their bibliographic connections. Malaysia appears as the central node in the red cluster, representing the most influential and highly cited country in this field </w:t>
      </w:r>
      <w:r w:rsidR="00216D84">
        <w:rPr>
          <w:rFonts w:ascii="Calibri Light" w:hAnsi="Calibri Light" w:cs="Calibri Light"/>
          <w:sz w:val="24"/>
          <w:szCs w:val="24"/>
        </w:rPr>
        <w:fldChar w:fldCharType="begin" w:fldLock="1"/>
      </w:r>
      <w:r w:rsidR="00216D84">
        <w:rPr>
          <w:rFonts w:ascii="Calibri Light" w:hAnsi="Calibri Light" w:cs="Calibri Light"/>
          <w:sz w:val="24"/>
          <w:szCs w:val="24"/>
        </w:rPr>
        <w:instrText>ADDIN CSL_CITATION {"citationItems":[{"id":"ITEM-1","itemData":{"DOI":"10.1057/s41283-023-00135-z","ISSN":"14603799 (ISSN)","abstract":"This study employs a systematic review approach to examine the existing body of literature on risk management in Islamic banking. The focus of this work is to analyze published manuscripts to provide a comprehensive overview of the current state of research in this field. After conducting an extensive examination of eighty articles classified as Q1 and Q2, we have identified six prominent risk themes. These themes include stability and resilience, risk-taking behavior, credit risk, Shariah non-compliance risk, liquidity risk, and other pertinent concerns that span various disciplines. The assessment yielded four key themes pertaining to the risk management of the Islamic banking system, namely prudential regulation, environment and sustainability, cybersecurity, and risk-taking behavior. Two risk frameworks were provided based on the identified themes. The microframework encompasses internal and external risk elements that influence the bank's basic activities and risk feedback system. The macro-framework encompasses several elements that influence the risk management environment for Islamic banks (IB), including exogenous institutional factors, domestic endogenous factors, and global endogenous factors. Thematic discoveries are incorporated to identify potential avenues for future research and policy consequences. © 2023, The Author(s), under exclusive licence to Springer Nature Limited.","author":[{"dropping-particle":"","family":"Hassan","given":"M K","non-dropping-particle":"","parse-names":false,"suffix":""},{"dropping-particle":"","family":"Sohel","given":"M N I","non-dropping-particle":"","parse-names":false,"suffix":""},{"dropping-particle":"","family":"Choudhury","given":"T","non-dropping-particle":"","parse-names":false,"suffix":""},{"dropping-particle":"","family":"Rashid","given":"M","non-dropping-particle":"","parse-names":false,"suffix":""}],"container-title":"Risk Management","id":"ITEM-1","issue":"1","issued":{"date-parts":[["2024"]]},"language":"English","publisher":"Palgrave Macmillan","publisher-place":"University of New Orleans, New Orleans, United States","title":"A systematic literature review of risks in Islamic banking system: research agenda and future research directions","type":"article-journal","volume":"26"},"uris":["http://www.mendeley.com/documents/?uuid=57ce6673-7e90-4c52-9961-9f7b093f66af"]}],"mendeley":{"formattedCitation":"(Hassan et al., 2024)","plainTextFormattedCitation":"(Hassan et al., 2024)","previouslyFormattedCitation":"(Hassan et al., 2024)"},"properties":{"noteIndex":0},"schema":"https://github.com/citation-style-language/schema/raw/master/csl-citation.json"}</w:instrText>
      </w:r>
      <w:r w:rsidR="00216D84">
        <w:rPr>
          <w:rFonts w:ascii="Calibri Light" w:hAnsi="Calibri Light" w:cs="Calibri Light"/>
          <w:sz w:val="24"/>
          <w:szCs w:val="24"/>
        </w:rPr>
        <w:fldChar w:fldCharType="separate"/>
      </w:r>
      <w:r w:rsidR="00216D84" w:rsidRPr="00216D84">
        <w:rPr>
          <w:rFonts w:ascii="Calibri Light" w:hAnsi="Calibri Light" w:cs="Calibri Light"/>
          <w:noProof/>
          <w:sz w:val="24"/>
          <w:szCs w:val="24"/>
        </w:rPr>
        <w:t>(</w:t>
      </w:r>
      <w:hyperlink w:anchor="Hassan" w:history="1">
        <w:r w:rsidR="00216D84" w:rsidRPr="004231BE">
          <w:rPr>
            <w:rStyle w:val="Hyperlink"/>
            <w:rFonts w:ascii="Calibri Light" w:hAnsi="Calibri Light" w:cs="Calibri Light"/>
            <w:noProof/>
            <w:sz w:val="24"/>
            <w:szCs w:val="24"/>
          </w:rPr>
          <w:t>Hassan et al.</w:t>
        </w:r>
      </w:hyperlink>
      <w:r w:rsidR="00216D84" w:rsidRPr="00216D84">
        <w:rPr>
          <w:rFonts w:ascii="Calibri Light" w:hAnsi="Calibri Light" w:cs="Calibri Light"/>
          <w:noProof/>
          <w:sz w:val="24"/>
          <w:szCs w:val="24"/>
        </w:rPr>
        <w:t>, 2024)</w:t>
      </w:r>
      <w:r w:rsidR="00216D84">
        <w:rPr>
          <w:rFonts w:ascii="Calibri Light" w:hAnsi="Calibri Light" w:cs="Calibri Light"/>
          <w:sz w:val="24"/>
          <w:szCs w:val="24"/>
        </w:rPr>
        <w:fldChar w:fldCharType="end"/>
      </w:r>
      <w:r w:rsidRPr="00747162">
        <w:rPr>
          <w:rFonts w:ascii="Calibri Light" w:hAnsi="Calibri Light" w:cs="Calibri Light"/>
          <w:sz w:val="24"/>
          <w:szCs w:val="24"/>
        </w:rPr>
        <w:t xml:space="preserve">. Indonesia serves as the core of the pink cluster, indicating a relatively </w:t>
      </w:r>
      <w:r w:rsidRPr="00747162">
        <w:rPr>
          <w:rFonts w:ascii="Calibri Light" w:hAnsi="Calibri Light" w:cs="Calibri Light"/>
          <w:sz w:val="24"/>
          <w:szCs w:val="24"/>
        </w:rPr>
        <w:lastRenderedPageBreak/>
        <w:t xml:space="preserve">independent yet connected research pathway, particularly with countries like Iraq and Switzerland. Saudi Arabia and Pakistan are also key nodes within their respective clusters, with strong linkages to countries such as the United Kingdom, Jordan, and China, reflecting a diverse and collaborative research landscape. The thickness of the lines connecting countries represents the strength of their bibliographic coupling—thicker lines indicate stronger co-citation ties—while the size of each node corresponds to the number of citations received, making this map a powerful tool to highlight active research hubs and regional collaborations in the evolving academic discourse on Basel regulations and Islamic banking </w:t>
      </w:r>
      <w:r w:rsidR="004F79D4">
        <w:rPr>
          <w:rFonts w:ascii="Calibri Light" w:hAnsi="Calibri Light" w:cs="Calibri Light"/>
          <w:sz w:val="24"/>
          <w:szCs w:val="24"/>
        </w:rPr>
        <w:fldChar w:fldCharType="begin" w:fldLock="1"/>
      </w:r>
      <w:r w:rsidR="004F79D4">
        <w:rPr>
          <w:rFonts w:ascii="Calibri Light" w:hAnsi="Calibri Light" w:cs="Calibri Light"/>
          <w:sz w:val="24"/>
          <w:szCs w:val="24"/>
        </w:rPr>
        <w:instrText>ADDIN CSL_CITATION {"citationItems":[{"id":"ITEM-1","itemData":{"DOI":"10.48161/qaj.v4n1a198","ISSN":"27098206 (ISSN)","abstract":"Sharia Banking is a business entity that carries out the function of collecting funds from parties with a surplus of funds and then channeling them to parties with a deficit of funds and providing other financial services based on Islamic sharia principles. This article analyzes. This type of research uses normative legal research, using a conceptual approach and a statutory approach as well as the Koran and hadith, primary and secondary. Legal materials obtained and analyzed qualitatively and then presented descriptively. The article aims to explain in general, the principles of sharia financing business activities include justice ('adl), balance (tawazun), kemashlahatan (maslahah), universalism (alamiyah), and do not contain gharar, maisir, usury, zhulm, risywah, and other haram objects. Financing or financing is funding provided by one party to another to support planned investments, both carried out by themselves and institutions. In other words, financing is funding issued to support planned investments. Law Number 10 of 1998 states that financing based on sharia principles is the provision of money or bills that are equated with it based on an agreement or agreement between a bank and another party that requires the financed party to return the money or bill after a certain period of time in return or profit sharing. © 2024, Qubahan. All rights reserved.","author":[{"dropping-particle":"","family":"Syah","given":"D","non-dropping-particle":"","parse-names":false,"suffix":""},{"dropping-particle":"","family":"Rahmadani","given":"G","non-dropping-particle":"","parse-names":false,"suffix":""}],"container-title":"Qubahan Academic Journal ","id":"ITEM-1","issue":"1","issued":{"date-parts":[["2024"]]},"language":"English","page":"300-309","publisher":"Qubahan","publisher-place":"Department of Law, Faculty of Law, Universitas Islam Sumatera Utara, Indonesia","title":"The Profit-Sharing System in Financing Islamic Banking","type":"article-journal","volume":"4"},"uris":["http://www.mendeley.com/documents/?uuid=ad3e5e2e-b3d5-4013-9de3-063401a36201"]}],"mendeley":{"formattedCitation":"(Syah &amp; Rahmadani, 2024)","plainTextFormattedCitation":"(Syah &amp; Rahmadani, 2024)","previouslyFormattedCitation":"(Syah &amp; Rahmadani, 2024)"},"properties":{"noteIndex":0},"schema":"https://github.com/citation-style-language/schema/raw/master/csl-citation.json"}</w:instrText>
      </w:r>
      <w:r w:rsidR="004F79D4">
        <w:rPr>
          <w:rFonts w:ascii="Calibri Light" w:hAnsi="Calibri Light" w:cs="Calibri Light"/>
          <w:sz w:val="24"/>
          <w:szCs w:val="24"/>
        </w:rPr>
        <w:fldChar w:fldCharType="separate"/>
      </w:r>
      <w:r w:rsidR="004F79D4" w:rsidRPr="004F79D4">
        <w:rPr>
          <w:rFonts w:ascii="Calibri Light" w:hAnsi="Calibri Light" w:cs="Calibri Light"/>
          <w:noProof/>
          <w:sz w:val="24"/>
          <w:szCs w:val="24"/>
        </w:rPr>
        <w:t>(</w:t>
      </w:r>
      <w:hyperlink w:anchor="Syah" w:history="1">
        <w:r w:rsidR="004F79D4" w:rsidRPr="00A47ADB">
          <w:rPr>
            <w:rStyle w:val="Hyperlink"/>
            <w:rFonts w:ascii="Calibri Light" w:hAnsi="Calibri Light" w:cs="Calibri Light"/>
            <w:noProof/>
            <w:sz w:val="24"/>
            <w:szCs w:val="24"/>
          </w:rPr>
          <w:t>Syah &amp; Rahmadani</w:t>
        </w:r>
      </w:hyperlink>
      <w:r w:rsidR="004F79D4" w:rsidRPr="004F79D4">
        <w:rPr>
          <w:rFonts w:ascii="Calibri Light" w:hAnsi="Calibri Light" w:cs="Calibri Light"/>
          <w:noProof/>
          <w:sz w:val="24"/>
          <w:szCs w:val="24"/>
        </w:rPr>
        <w:t>, 2024)</w:t>
      </w:r>
      <w:r w:rsidR="004F79D4">
        <w:rPr>
          <w:rFonts w:ascii="Calibri Light" w:hAnsi="Calibri Light" w:cs="Calibri Light"/>
          <w:sz w:val="24"/>
          <w:szCs w:val="24"/>
        </w:rPr>
        <w:fldChar w:fldCharType="end"/>
      </w:r>
      <w:r w:rsidRPr="00747162">
        <w:rPr>
          <w:rFonts w:ascii="Calibri Light" w:hAnsi="Calibri Light" w:cs="Calibri Light"/>
          <w:sz w:val="24"/>
          <w:szCs w:val="24"/>
        </w:rPr>
        <w:t>.</w:t>
      </w:r>
    </w:p>
    <w:p w:rsidR="00747162" w:rsidRDefault="00747162" w:rsidP="00747162">
      <w:pPr>
        <w:spacing w:before="120" w:after="120"/>
        <w:ind w:left="440" w:right="-1" w:hanging="14"/>
        <w:jc w:val="center"/>
        <w:rPr>
          <w:rFonts w:ascii="Calibri Light" w:hAnsi="Calibri Light" w:cs="Calibri Light"/>
          <w:sz w:val="24"/>
          <w:szCs w:val="24"/>
        </w:rPr>
      </w:pPr>
      <w:r w:rsidRPr="008F1989">
        <w:rPr>
          <w:rFonts w:eastAsia="Calibri" w:cs="Traditional Arabic"/>
          <w:noProof/>
          <w:sz w:val="24"/>
          <w:szCs w:val="24"/>
          <w:lang w:val="en-ID" w:eastAsia="en-US"/>
        </w:rPr>
        <w:drawing>
          <wp:inline distT="0" distB="0" distL="0" distR="0" wp14:anchorId="56672055">
            <wp:extent cx="4114800" cy="2000885"/>
            <wp:effectExtent l="0" t="0" r="0" b="0"/>
            <wp:docPr id="54156102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9">
                      <a:extLst>
                        <a:ext uri="{28A0092B-C50C-407E-A947-70E740481C1C}">
                          <a14:useLocalDpi xmlns:a14="http://schemas.microsoft.com/office/drawing/2010/main" val="0"/>
                        </a:ext>
                      </a:extLst>
                    </a:blip>
                    <a:srcRect r="8303"/>
                    <a:stretch/>
                  </pic:blipFill>
                  <pic:spPr bwMode="auto">
                    <a:xfrm>
                      <a:off x="0" y="0"/>
                      <a:ext cx="4118528" cy="2002698"/>
                    </a:xfrm>
                    <a:prstGeom prst="rect">
                      <a:avLst/>
                    </a:prstGeom>
                    <a:noFill/>
                    <a:ln>
                      <a:noFill/>
                    </a:ln>
                    <a:extLst>
                      <a:ext uri="{53640926-AAD7-44D8-BBD7-CCE9431645EC}">
                        <a14:shadowObscured xmlns:a14="http://schemas.microsoft.com/office/drawing/2010/main"/>
                      </a:ext>
                    </a:extLst>
                  </pic:spPr>
                </pic:pic>
              </a:graphicData>
            </a:graphic>
          </wp:inline>
        </w:drawing>
      </w:r>
    </w:p>
    <w:p w:rsidR="00747162" w:rsidRPr="00747162" w:rsidRDefault="00747162" w:rsidP="00747162">
      <w:pPr>
        <w:spacing w:before="120" w:after="120"/>
        <w:ind w:left="440" w:right="-1" w:hanging="14"/>
        <w:jc w:val="center"/>
        <w:rPr>
          <w:rFonts w:ascii="Calibri Light" w:hAnsi="Calibri Light" w:cs="Calibri Light"/>
          <w:i/>
          <w:iCs/>
          <w:sz w:val="24"/>
          <w:szCs w:val="24"/>
        </w:rPr>
      </w:pPr>
      <w:r w:rsidRPr="00747162">
        <w:rPr>
          <w:rFonts w:ascii="Calibri Light" w:hAnsi="Calibri Light" w:cs="Calibri Light"/>
          <w:b/>
          <w:bCs/>
          <w:i/>
          <w:iCs/>
          <w:sz w:val="24"/>
          <w:szCs w:val="24"/>
        </w:rPr>
        <w:t>Figure 7.</w:t>
      </w:r>
      <w:r w:rsidRPr="00747162">
        <w:rPr>
          <w:rFonts w:ascii="Calibri Light" w:hAnsi="Calibri Light" w:cs="Calibri Light"/>
          <w:i/>
          <w:iCs/>
          <w:sz w:val="24"/>
          <w:szCs w:val="24"/>
        </w:rPr>
        <w:t xml:space="preserve"> Bibliographic coupling network of countries</w:t>
      </w:r>
    </w:p>
    <w:p w:rsidR="00EB4BB6" w:rsidRPr="00747162" w:rsidRDefault="00747162" w:rsidP="00B25EDF">
      <w:pPr>
        <w:spacing w:before="120" w:after="120"/>
        <w:ind w:left="440" w:right="-1" w:hanging="14"/>
        <w:jc w:val="both"/>
        <w:rPr>
          <w:rFonts w:ascii="Calibri Light" w:hAnsi="Calibri Light" w:cs="Calibri Light"/>
          <w:b/>
          <w:bCs/>
          <w:i/>
          <w:iCs/>
          <w:sz w:val="24"/>
          <w:szCs w:val="24"/>
        </w:rPr>
      </w:pPr>
      <w:r w:rsidRPr="00747162">
        <w:rPr>
          <w:rFonts w:ascii="Calibri Light" w:hAnsi="Calibri Light" w:cs="Calibri Light"/>
          <w:b/>
          <w:bCs/>
          <w:i/>
          <w:iCs/>
          <w:sz w:val="24"/>
          <w:szCs w:val="24"/>
        </w:rPr>
        <w:t>Top Sources and Institutions in Islamic Banking Research</w:t>
      </w:r>
    </w:p>
    <w:p w:rsidR="003915B9" w:rsidRPr="003915B9" w:rsidRDefault="003915B9" w:rsidP="003915B9">
      <w:pPr>
        <w:spacing w:before="120" w:after="120"/>
        <w:ind w:left="440" w:right="-1" w:hanging="14"/>
        <w:jc w:val="both"/>
        <w:rPr>
          <w:rFonts w:ascii="Calibri Light" w:hAnsi="Calibri Light" w:cs="Calibri Light"/>
          <w:sz w:val="24"/>
          <w:szCs w:val="24"/>
        </w:rPr>
      </w:pPr>
      <w:r w:rsidRPr="003915B9">
        <w:rPr>
          <w:rFonts w:ascii="Calibri Light" w:hAnsi="Calibri Light" w:cs="Calibri Light"/>
          <w:sz w:val="24"/>
          <w:szCs w:val="24"/>
        </w:rPr>
        <w:t>The 4th research question is: Which sources and institutions have influenced Islamic banking research and its development?</w:t>
      </w:r>
    </w:p>
    <w:p w:rsidR="00EB4BB6" w:rsidRDefault="003915B9" w:rsidP="003915B9">
      <w:pPr>
        <w:spacing w:before="120" w:after="120"/>
        <w:ind w:left="440" w:right="-1" w:hanging="14"/>
        <w:jc w:val="both"/>
        <w:rPr>
          <w:rFonts w:ascii="Calibri Light" w:hAnsi="Calibri Light" w:cs="Calibri Light"/>
          <w:sz w:val="24"/>
          <w:szCs w:val="24"/>
        </w:rPr>
      </w:pPr>
      <w:r w:rsidRPr="003915B9">
        <w:rPr>
          <w:rFonts w:ascii="Calibri Light" w:hAnsi="Calibri Light" w:cs="Calibri Light"/>
          <w:sz w:val="24"/>
          <w:szCs w:val="24"/>
        </w:rPr>
        <w:t xml:space="preserve"> Figure 8 presents an analysis of the most influential academic institutions in Islamic banking research, based on the number of publications indexed in the Scopus database. The International Islamic University Malaysia (IIUM) ranks first with 78 publications, followed by Universiti Malaya (44 publications) and INCEIF University (42 publications), reflecting the leading role of Malaysian institutions in this area </w:t>
      </w:r>
      <w:r w:rsidR="009E6AF8">
        <w:rPr>
          <w:rFonts w:ascii="Calibri Light" w:hAnsi="Calibri Light" w:cs="Calibri Light"/>
          <w:sz w:val="24"/>
          <w:szCs w:val="24"/>
        </w:rPr>
        <w:fldChar w:fldCharType="begin" w:fldLock="1"/>
      </w:r>
      <w:r w:rsidR="009E6AF8">
        <w:rPr>
          <w:rFonts w:ascii="Calibri Light" w:hAnsi="Calibri Light" w:cs="Calibri Light"/>
          <w:sz w:val="24"/>
          <w:szCs w:val="24"/>
        </w:rPr>
        <w:instrText>ADDIN CSL_CITATION {"citationItems":[{"id":"ITEM-1","itemData":{"DOI":"10.1108/IJOES-03-2021-0053","ISSN":"25149369 (ISSN)","abstract":"Purpose: Islamic banking industry with all of its exponential growth and global recognition has been under criticism for the past two decades. However, the problem signifies further when such criticism is made from within the organization and is well supported by outside (the customers). The purpose of this study is to provide a coherent exploration to investigate the factors that polarize its employees and customers across many parts of the world. Design/methodology/approach: To investigate the phenomenon, a total of 30 responses were taken through interviews 15 each from customers and employees. Afterwards, the data was analysed and summarized into two categories. In doing so, the top five Malaysia’s Islamic banks were shortlisted to collect data from employees and customers. Findings: A detailed thematic analysis resulted in six themes (Contradiction between theory and practice, Islamic banking knowledge and awareness, inadequate Shariah training, employees’ background, Shariah compliance, Islamic banking benefits) for employees and five (Islamic banking benefits, applying Shariah in Islamic banking, knowledge of Islamic banking, Islamic banking promotion, Islamic banking employees’ behaviour) for customers, respectively. Research limitations/implications: The results have stronger implications for both practice and theory as organizations can assess stakeholders and their perceptions about Islamic banking. Another implication is the comparative examination of employees and customers which can potentially affect decision and policy making in Islamic banks. Islamic banks can also address employment-related issues related to employees’ behaviour vis-à-vis marketing-related problems faced by its customers that will ultimately improve its global market share and strategic positioning. Originality/value: The study is based on the importance of Islamic banking in Malaysia and explores the factors that potentially create a positive or negative insight into Islamic banking – both in employees and customers. © 2021, Emerald Publishing Limited.","author":[{"dropping-particle":"","family":"Ali","given":"S A","non-dropping-particle":"","parse-names":false,"suffix":""},{"dropping-particle":"","family":"Loussaief","given":"A","non-dropping-particle":"","parse-names":false,"suffix":""},{"dropping-particle":"","family":"Ahmed","given":"M","non-dropping-particle":"","parse-names":false,"suffix":""}],"container-title":"International Journal of Ethics and Systems","id":"ITEM-1","issue":"2","issued":{"date-parts":[["2022"]]},"language":"English","page":"209-234","publisher":"Emerald Group Holdings Ltd.","publisher-place":"University of Management and Technology, Main Campus, Lahore, Pakistan","title":"A comparative analysis of employees’ and customers’ attitude towards Islamic banking","type":"article-journal","volume":"38"},"uris":["http://www.mendeley.com/documents/?uuid=544ccc35-f604-4654-bef2-8f3d0709c6f6"]}],"mendeley":{"formattedCitation":"(Ali et al., 2022)","plainTextFormattedCitation":"(Ali et al., 2022)","previouslyFormattedCitation":"(Ali et al., 2022)"},"properties":{"noteIndex":0},"schema":"https://github.com/citation-style-language/schema/raw/master/csl-citation.json"}</w:instrText>
      </w:r>
      <w:r w:rsidR="009E6AF8">
        <w:rPr>
          <w:rFonts w:ascii="Calibri Light" w:hAnsi="Calibri Light" w:cs="Calibri Light"/>
          <w:sz w:val="24"/>
          <w:szCs w:val="24"/>
        </w:rPr>
        <w:fldChar w:fldCharType="separate"/>
      </w:r>
      <w:r w:rsidR="009E6AF8" w:rsidRPr="009E6AF8">
        <w:rPr>
          <w:rFonts w:ascii="Calibri Light" w:hAnsi="Calibri Light" w:cs="Calibri Light"/>
          <w:noProof/>
          <w:sz w:val="24"/>
          <w:szCs w:val="24"/>
        </w:rPr>
        <w:t>(</w:t>
      </w:r>
      <w:hyperlink w:anchor="Ali" w:history="1">
        <w:r w:rsidR="009E6AF8" w:rsidRPr="00080E27">
          <w:rPr>
            <w:rStyle w:val="Hyperlink"/>
            <w:rFonts w:ascii="Calibri Light" w:hAnsi="Calibri Light" w:cs="Calibri Light"/>
            <w:noProof/>
            <w:sz w:val="24"/>
            <w:szCs w:val="24"/>
          </w:rPr>
          <w:t>Ali et al.</w:t>
        </w:r>
      </w:hyperlink>
      <w:r w:rsidR="009E6AF8" w:rsidRPr="009E6AF8">
        <w:rPr>
          <w:rFonts w:ascii="Calibri Light" w:hAnsi="Calibri Light" w:cs="Calibri Light"/>
          <w:noProof/>
          <w:sz w:val="24"/>
          <w:szCs w:val="24"/>
        </w:rPr>
        <w:t>, 2022)</w:t>
      </w:r>
      <w:r w:rsidR="009E6AF8">
        <w:rPr>
          <w:rFonts w:ascii="Calibri Light" w:hAnsi="Calibri Light" w:cs="Calibri Light"/>
          <w:sz w:val="24"/>
          <w:szCs w:val="24"/>
        </w:rPr>
        <w:fldChar w:fldCharType="end"/>
      </w:r>
      <w:r w:rsidRPr="003915B9">
        <w:rPr>
          <w:rFonts w:ascii="Calibri Light" w:hAnsi="Calibri Light" w:cs="Calibri Light"/>
          <w:sz w:val="24"/>
          <w:szCs w:val="24"/>
        </w:rPr>
        <w:t xml:space="preserve">. The accompanying Pareto curve indicates that a substantial portion of research output is concentrated within a limited number of institutions, with the top three alone accounting for nearly half of the total publications. This concentration highlights Malaysia's position as an academic and intellectual hub in the development of Islamic banking studies, particularly in aligning Sharia principles with the regulatory requirements of the Basel Accords. This analysis underscores the importance of institutional contributions in shaping academic discourse on the legal and regulatory challenges facing Islamic banks within the framework of international financial regulation </w:t>
      </w:r>
      <w:r w:rsidR="009E6AF8">
        <w:rPr>
          <w:rFonts w:ascii="Calibri Light" w:hAnsi="Calibri Light" w:cs="Calibri Light"/>
          <w:sz w:val="24"/>
          <w:szCs w:val="24"/>
        </w:rPr>
        <w:fldChar w:fldCharType="begin" w:fldLock="1"/>
      </w:r>
      <w:r w:rsidR="009E6AF8">
        <w:rPr>
          <w:rFonts w:ascii="Calibri Light" w:hAnsi="Calibri Light" w:cs="Calibri Light"/>
          <w:sz w:val="24"/>
          <w:szCs w:val="24"/>
        </w:rPr>
        <w:instrText>ADDIN CSL_CITATION {"citationItems":[{"id":"ITEM-1","itemData":{"DOI":"10.1108/JPIF-07-2024-229","ISSN":"1463578X (ISSN)","author":[{"dropping-particle":"","family":"Crosby","given":"N","non-dropping-particle":"","parse-names":false,"suffix":""}],"container-title":"Journal of Property Investment and Finance","id":"ITEM-1","issue":"4","issued":{"date-parts":[["2024"]]},"language":"English","page":"321-322","publisher":"Emerald Publishing","publisher-place":"University of Reading, Reading, United Kingdom","title":"Editorial: Basel 3 prudently conservative value for loan origination and monitoring","type":"article-journal","volume":"42"},"uris":["http://www.mendeley.com/documents/?uuid=3e16e457-6dd3-4920-a959-4bc2e8959116"]}],"mendeley":{"formattedCitation":"(Crosby, 2024)","plainTextFormattedCitation":"(Crosby, 2024)","previouslyFormattedCitation":"(Crosby, 2024)"},"properties":{"noteIndex":0},"schema":"https://github.com/citation-style-language/schema/raw/master/csl-citation.json"}</w:instrText>
      </w:r>
      <w:r w:rsidR="009E6AF8">
        <w:rPr>
          <w:rFonts w:ascii="Calibri Light" w:hAnsi="Calibri Light" w:cs="Calibri Light"/>
          <w:sz w:val="24"/>
          <w:szCs w:val="24"/>
        </w:rPr>
        <w:fldChar w:fldCharType="separate"/>
      </w:r>
      <w:r w:rsidR="009E6AF8" w:rsidRPr="009E6AF8">
        <w:rPr>
          <w:rFonts w:ascii="Calibri Light" w:hAnsi="Calibri Light" w:cs="Calibri Light"/>
          <w:noProof/>
          <w:sz w:val="24"/>
          <w:szCs w:val="24"/>
        </w:rPr>
        <w:t>(</w:t>
      </w:r>
      <w:hyperlink w:anchor="Crosby" w:history="1">
        <w:r w:rsidR="009E6AF8" w:rsidRPr="00434A6A">
          <w:rPr>
            <w:rStyle w:val="Hyperlink"/>
            <w:rFonts w:ascii="Calibri Light" w:hAnsi="Calibri Light" w:cs="Calibri Light"/>
            <w:noProof/>
            <w:sz w:val="24"/>
            <w:szCs w:val="24"/>
          </w:rPr>
          <w:t>Crosby</w:t>
        </w:r>
      </w:hyperlink>
      <w:r w:rsidR="009E6AF8" w:rsidRPr="009E6AF8">
        <w:rPr>
          <w:rFonts w:ascii="Calibri Light" w:hAnsi="Calibri Light" w:cs="Calibri Light"/>
          <w:noProof/>
          <w:sz w:val="24"/>
          <w:szCs w:val="24"/>
        </w:rPr>
        <w:t>, 2024)</w:t>
      </w:r>
      <w:r w:rsidR="009E6AF8">
        <w:rPr>
          <w:rFonts w:ascii="Calibri Light" w:hAnsi="Calibri Light" w:cs="Calibri Light"/>
          <w:sz w:val="24"/>
          <w:szCs w:val="24"/>
        </w:rPr>
        <w:fldChar w:fldCharType="end"/>
      </w:r>
      <w:r w:rsidRPr="003915B9">
        <w:rPr>
          <w:rFonts w:ascii="Calibri Light" w:hAnsi="Calibri Light" w:cs="Calibri Light"/>
          <w:sz w:val="24"/>
          <w:szCs w:val="24"/>
        </w:rPr>
        <w:t>.</w:t>
      </w:r>
    </w:p>
    <w:p w:rsidR="003915B9" w:rsidRDefault="003915B9" w:rsidP="003915B9">
      <w:pPr>
        <w:spacing w:before="120" w:after="120"/>
        <w:ind w:left="440" w:right="-1" w:hanging="14"/>
        <w:jc w:val="center"/>
        <w:rPr>
          <w:rFonts w:ascii="Calibri Light" w:hAnsi="Calibri Light" w:cs="Calibri Light"/>
          <w:sz w:val="24"/>
          <w:szCs w:val="24"/>
        </w:rPr>
      </w:pPr>
      <w:r w:rsidRPr="00706053">
        <w:rPr>
          <w:rFonts w:eastAsia="Calibri" w:cs="Traditional Arabic"/>
          <w:noProof/>
          <w:sz w:val="24"/>
          <w:szCs w:val="24"/>
          <w:lang w:val="en-ID" w:eastAsia="en-US"/>
        </w:rPr>
        <w:lastRenderedPageBreak/>
        <w:drawing>
          <wp:inline distT="0" distB="0" distL="0" distR="0" wp14:anchorId="7415A686">
            <wp:extent cx="3921369" cy="1963928"/>
            <wp:effectExtent l="0" t="0" r="3175" b="0"/>
            <wp:docPr id="124755429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934191" cy="1970350"/>
                    </a:xfrm>
                    <a:prstGeom prst="rect">
                      <a:avLst/>
                    </a:prstGeom>
                    <a:noFill/>
                    <a:ln>
                      <a:noFill/>
                    </a:ln>
                  </pic:spPr>
                </pic:pic>
              </a:graphicData>
            </a:graphic>
          </wp:inline>
        </w:drawing>
      </w:r>
    </w:p>
    <w:p w:rsidR="003915B9" w:rsidRDefault="003915B9" w:rsidP="003915B9">
      <w:pPr>
        <w:spacing w:before="120" w:after="120"/>
        <w:ind w:left="440" w:right="-1" w:hanging="14"/>
        <w:jc w:val="center"/>
        <w:rPr>
          <w:rFonts w:ascii="Calibri Light" w:hAnsi="Calibri Light" w:cs="Calibri Light"/>
          <w:i/>
          <w:iCs/>
          <w:sz w:val="24"/>
          <w:szCs w:val="24"/>
        </w:rPr>
      </w:pPr>
      <w:r w:rsidRPr="003915B9">
        <w:rPr>
          <w:rFonts w:ascii="Calibri Light" w:hAnsi="Calibri Light" w:cs="Calibri Light"/>
          <w:b/>
          <w:bCs/>
          <w:i/>
          <w:iCs/>
          <w:sz w:val="24"/>
          <w:szCs w:val="24"/>
        </w:rPr>
        <w:t>Figure 8.</w:t>
      </w:r>
      <w:r w:rsidRPr="003915B9">
        <w:rPr>
          <w:rFonts w:ascii="Calibri Light" w:hAnsi="Calibri Light" w:cs="Calibri Light"/>
          <w:i/>
          <w:iCs/>
          <w:sz w:val="24"/>
          <w:szCs w:val="24"/>
        </w:rPr>
        <w:t xml:space="preserve"> Top contributing institutions in Islamic banking research</w:t>
      </w:r>
    </w:p>
    <w:p w:rsidR="003915B9" w:rsidRPr="003915B9" w:rsidRDefault="003915B9" w:rsidP="003915B9">
      <w:pPr>
        <w:spacing w:before="120" w:after="120"/>
        <w:ind w:left="440" w:right="-1" w:hanging="14"/>
        <w:jc w:val="center"/>
        <w:rPr>
          <w:rFonts w:ascii="Calibri Light" w:hAnsi="Calibri Light" w:cs="Calibri Light"/>
          <w:b/>
          <w:bCs/>
          <w:sz w:val="24"/>
          <w:szCs w:val="24"/>
        </w:rPr>
      </w:pPr>
      <w:r w:rsidRPr="003915B9">
        <w:rPr>
          <w:rFonts w:ascii="Calibri Light" w:hAnsi="Calibri Light" w:cs="Calibri Light"/>
          <w:b/>
          <w:bCs/>
          <w:sz w:val="24"/>
          <w:szCs w:val="24"/>
        </w:rPr>
        <w:t>Table 3. Summary of the most relevant journals</w:t>
      </w:r>
    </w:p>
    <w:tbl>
      <w:tblPr>
        <w:tblW w:w="8412" w:type="dxa"/>
        <w:tblInd w:w="675" w:type="dxa"/>
        <w:tblBorders>
          <w:top w:val="single" w:sz="4" w:space="0" w:color="000000"/>
          <w:bottom w:val="single" w:sz="4" w:space="0" w:color="000000"/>
          <w:insideH w:val="single" w:sz="4" w:space="0" w:color="000000"/>
        </w:tblBorders>
        <w:tblLook w:val="04A0" w:firstRow="1" w:lastRow="0" w:firstColumn="1" w:lastColumn="0" w:noHBand="0" w:noVBand="1"/>
      </w:tblPr>
      <w:tblGrid>
        <w:gridCol w:w="2056"/>
        <w:gridCol w:w="753"/>
        <w:gridCol w:w="750"/>
        <w:gridCol w:w="737"/>
        <w:gridCol w:w="2667"/>
        <w:gridCol w:w="1449"/>
      </w:tblGrid>
      <w:tr w:rsidR="00274E38" w:rsidRPr="00CA1439" w:rsidTr="00CA1439">
        <w:tc>
          <w:tcPr>
            <w:tcW w:w="2056" w:type="dxa"/>
            <w:shd w:val="clear" w:color="auto" w:fill="D9D9D9"/>
            <w:vAlign w:val="center"/>
          </w:tcPr>
          <w:p w:rsidR="00274E38" w:rsidRPr="00CA1439" w:rsidRDefault="00274E38" w:rsidP="00CA1439">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CA1439">
              <w:rPr>
                <w:rFonts w:ascii="Calibri Light" w:hAnsi="Calibri Light" w:cs="Calibri Light"/>
                <w:b/>
                <w:bCs/>
                <w:szCs w:val="24"/>
              </w:rPr>
              <w:t>Source/Journal</w:t>
            </w:r>
          </w:p>
        </w:tc>
        <w:tc>
          <w:tcPr>
            <w:tcW w:w="753" w:type="dxa"/>
            <w:shd w:val="clear" w:color="auto" w:fill="D9D9D9"/>
            <w:vAlign w:val="center"/>
          </w:tcPr>
          <w:p w:rsidR="00274E38" w:rsidRPr="00CA1439" w:rsidRDefault="00274E38" w:rsidP="00CA1439">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CA1439">
              <w:rPr>
                <w:rFonts w:ascii="Calibri Light" w:hAnsi="Calibri Light" w:cs="Calibri Light"/>
                <w:b/>
                <w:bCs/>
                <w:szCs w:val="24"/>
              </w:rPr>
              <w:t>TP</w:t>
            </w:r>
          </w:p>
        </w:tc>
        <w:tc>
          <w:tcPr>
            <w:tcW w:w="750" w:type="dxa"/>
            <w:shd w:val="clear" w:color="auto" w:fill="D9D9D9"/>
            <w:vAlign w:val="center"/>
          </w:tcPr>
          <w:p w:rsidR="00274E38" w:rsidRPr="00CA1439" w:rsidRDefault="00274E38" w:rsidP="00CA1439">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CA1439">
              <w:rPr>
                <w:rFonts w:ascii="Calibri Light" w:hAnsi="Calibri Light" w:cs="Calibri Light"/>
                <w:b/>
                <w:bCs/>
                <w:szCs w:val="24"/>
              </w:rPr>
              <w:t>TC</w:t>
            </w:r>
          </w:p>
        </w:tc>
        <w:tc>
          <w:tcPr>
            <w:tcW w:w="737" w:type="dxa"/>
            <w:shd w:val="clear" w:color="auto" w:fill="D9D9D9"/>
            <w:vAlign w:val="center"/>
          </w:tcPr>
          <w:p w:rsidR="00274E38" w:rsidRPr="00CA1439" w:rsidRDefault="00274E38" w:rsidP="00CA1439">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CA1439">
              <w:rPr>
                <w:rFonts w:ascii="Calibri Light" w:hAnsi="Calibri Light" w:cs="Calibri Light"/>
                <w:b/>
                <w:bCs/>
                <w:szCs w:val="24"/>
              </w:rPr>
              <w:t>Cite Score</w:t>
            </w:r>
          </w:p>
        </w:tc>
        <w:tc>
          <w:tcPr>
            <w:tcW w:w="2667" w:type="dxa"/>
            <w:shd w:val="clear" w:color="auto" w:fill="D9D9D9"/>
            <w:vAlign w:val="center"/>
          </w:tcPr>
          <w:p w:rsidR="00274E38" w:rsidRPr="00CA1439" w:rsidRDefault="00274E38" w:rsidP="00CA1439">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CA1439">
              <w:rPr>
                <w:rFonts w:ascii="Calibri Light" w:hAnsi="Calibri Light" w:cs="Calibri Light"/>
                <w:b/>
                <w:bCs/>
                <w:szCs w:val="24"/>
              </w:rPr>
              <w:t>The Most Cited Article</w:t>
            </w:r>
          </w:p>
        </w:tc>
        <w:tc>
          <w:tcPr>
            <w:tcW w:w="1449" w:type="dxa"/>
            <w:shd w:val="clear" w:color="auto" w:fill="D9D9D9"/>
            <w:vAlign w:val="center"/>
          </w:tcPr>
          <w:p w:rsidR="00274E38" w:rsidRPr="00CA1439" w:rsidRDefault="00274E38" w:rsidP="00CA1439">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CA1439">
              <w:rPr>
                <w:rFonts w:ascii="Calibri Light" w:hAnsi="Calibri Light" w:cs="Calibri Light"/>
                <w:b/>
                <w:bCs/>
                <w:szCs w:val="24"/>
              </w:rPr>
              <w:t>Publisher</w:t>
            </w:r>
          </w:p>
        </w:tc>
      </w:tr>
      <w:tr w:rsidR="00B215FF" w:rsidRPr="00CA1439" w:rsidTr="00CA1439">
        <w:tc>
          <w:tcPr>
            <w:tcW w:w="2056" w:type="dxa"/>
          </w:tcPr>
          <w:p w:rsidR="00B215FF" w:rsidRPr="00CA1439" w:rsidRDefault="00B215FF" w:rsidP="00B215FF">
            <w:pPr>
              <w:pStyle w:val="ListParagraph"/>
              <w:widowControl w:val="0"/>
              <w:tabs>
                <w:tab w:val="num" w:pos="851"/>
              </w:tabs>
              <w:suppressAutoHyphens/>
              <w:spacing w:after="0" w:line="240" w:lineRule="auto"/>
              <w:ind w:left="0"/>
              <w:contextualSpacing w:val="0"/>
              <w:rPr>
                <w:rFonts w:ascii="Calibri Light" w:hAnsi="Calibri Light" w:cs="Calibri Light"/>
                <w:szCs w:val="24"/>
              </w:rPr>
            </w:pPr>
            <w:r w:rsidRPr="00CA1439">
              <w:rPr>
                <w:rFonts w:ascii="Calibri Light" w:hAnsi="Calibri Light" w:cs="Calibri Light"/>
                <w:sz w:val="20"/>
                <w:szCs w:val="22"/>
              </w:rPr>
              <w:t>Journal of Islamic Accounting and Business Research</w:t>
            </w:r>
          </w:p>
        </w:tc>
        <w:tc>
          <w:tcPr>
            <w:tcW w:w="753" w:type="dxa"/>
          </w:tcPr>
          <w:p w:rsidR="00B215FF" w:rsidRPr="00CA1439" w:rsidRDefault="00B215FF" w:rsidP="00CA1439">
            <w:pPr>
              <w:jc w:val="right"/>
              <w:rPr>
                <w:rFonts w:ascii="Calibri Light" w:hAnsi="Calibri Light" w:cs="Calibri Light"/>
              </w:rPr>
            </w:pPr>
            <w:r w:rsidRPr="00CA1439">
              <w:rPr>
                <w:rFonts w:ascii="Calibri Light" w:hAnsi="Calibri Light" w:cs="Calibri Light"/>
              </w:rPr>
              <w:t>312</w:t>
            </w:r>
          </w:p>
        </w:tc>
        <w:tc>
          <w:tcPr>
            <w:tcW w:w="750" w:type="dxa"/>
          </w:tcPr>
          <w:p w:rsidR="00B215FF" w:rsidRPr="00CA1439" w:rsidRDefault="00B215FF" w:rsidP="00CA1439">
            <w:pPr>
              <w:jc w:val="right"/>
              <w:rPr>
                <w:rFonts w:ascii="Calibri Light" w:hAnsi="Calibri Light" w:cs="Calibri Light"/>
              </w:rPr>
            </w:pPr>
            <w:r w:rsidRPr="00CA1439">
              <w:rPr>
                <w:rFonts w:ascii="Calibri Light" w:hAnsi="Calibri Light" w:cs="Calibri Light"/>
              </w:rPr>
              <w:t>1.493</w:t>
            </w:r>
          </w:p>
        </w:tc>
        <w:tc>
          <w:tcPr>
            <w:tcW w:w="737" w:type="dxa"/>
          </w:tcPr>
          <w:p w:rsidR="00B215FF" w:rsidRPr="00CA1439" w:rsidRDefault="00B215FF" w:rsidP="00CA1439">
            <w:pPr>
              <w:jc w:val="right"/>
              <w:rPr>
                <w:rFonts w:ascii="Calibri Light" w:hAnsi="Calibri Light" w:cs="Calibri Light"/>
              </w:rPr>
            </w:pPr>
            <w:r w:rsidRPr="00CA1439">
              <w:rPr>
                <w:rFonts w:ascii="Calibri Light" w:hAnsi="Calibri Light" w:cs="Calibri Light"/>
              </w:rPr>
              <w:t>4.8</w:t>
            </w:r>
          </w:p>
        </w:tc>
        <w:tc>
          <w:tcPr>
            <w:tcW w:w="2667" w:type="dxa"/>
          </w:tcPr>
          <w:p w:rsidR="00B215FF" w:rsidRPr="00CA1439" w:rsidRDefault="00B215FF" w:rsidP="00B215FF">
            <w:pPr>
              <w:rPr>
                <w:rFonts w:ascii="Calibri Light" w:hAnsi="Calibri Light" w:cs="Calibri Light"/>
              </w:rPr>
            </w:pPr>
            <w:r w:rsidRPr="00CA1439">
              <w:rPr>
                <w:rFonts w:ascii="Calibri Light" w:hAnsi="Calibri Light" w:cs="Calibri Light"/>
              </w:rPr>
              <w:t xml:space="preserve">Corporate Social Performance </w:t>
            </w:r>
            <w:r w:rsidR="00CA1439" w:rsidRPr="00CA1439">
              <w:rPr>
                <w:rFonts w:ascii="Calibri Light" w:hAnsi="Calibri Light" w:cs="Calibri Light"/>
              </w:rPr>
              <w:t xml:space="preserve">and </w:t>
            </w:r>
            <w:r w:rsidRPr="00CA1439">
              <w:rPr>
                <w:rFonts w:ascii="Calibri Light" w:hAnsi="Calibri Light" w:cs="Calibri Light"/>
              </w:rPr>
              <w:t xml:space="preserve">Financial Stability: Evidence </w:t>
            </w:r>
            <w:r w:rsidR="00CA1439" w:rsidRPr="00CA1439">
              <w:rPr>
                <w:rFonts w:ascii="Calibri Light" w:hAnsi="Calibri Light" w:cs="Calibri Light"/>
              </w:rPr>
              <w:t xml:space="preserve">from </w:t>
            </w:r>
            <w:r w:rsidRPr="00CA1439">
              <w:rPr>
                <w:rFonts w:ascii="Calibri Light" w:hAnsi="Calibri Light" w:cs="Calibri Light"/>
              </w:rPr>
              <w:t xml:space="preserve">Islamic, Social </w:t>
            </w:r>
            <w:r w:rsidR="00CA1439" w:rsidRPr="00CA1439">
              <w:rPr>
                <w:rFonts w:ascii="Calibri Light" w:hAnsi="Calibri Light" w:cs="Calibri Light"/>
              </w:rPr>
              <w:t xml:space="preserve">and </w:t>
            </w:r>
            <w:r w:rsidRPr="00CA1439">
              <w:rPr>
                <w:rFonts w:ascii="Calibri Light" w:hAnsi="Calibri Light" w:cs="Calibri Light"/>
              </w:rPr>
              <w:t>Conventional Banking Models</w:t>
            </w:r>
          </w:p>
        </w:tc>
        <w:tc>
          <w:tcPr>
            <w:tcW w:w="1449" w:type="dxa"/>
          </w:tcPr>
          <w:p w:rsidR="00B215FF" w:rsidRPr="00CA1439" w:rsidRDefault="00B215FF" w:rsidP="00B215FF">
            <w:pPr>
              <w:rPr>
                <w:rFonts w:ascii="Calibri Light" w:hAnsi="Calibri Light" w:cs="Calibri Light"/>
              </w:rPr>
            </w:pPr>
            <w:r w:rsidRPr="00CA1439">
              <w:rPr>
                <w:rFonts w:ascii="Calibri Light" w:hAnsi="Calibri Light" w:cs="Calibri Light"/>
              </w:rPr>
              <w:t>Bank Indonesia Institute</w:t>
            </w:r>
          </w:p>
        </w:tc>
      </w:tr>
      <w:tr w:rsidR="00B215FF" w:rsidRPr="00CA1439" w:rsidTr="00CA1439">
        <w:tc>
          <w:tcPr>
            <w:tcW w:w="2056" w:type="dxa"/>
          </w:tcPr>
          <w:p w:rsidR="00B215FF" w:rsidRPr="00CA1439" w:rsidRDefault="00B215FF" w:rsidP="00B215FF">
            <w:pPr>
              <w:rPr>
                <w:rFonts w:ascii="Calibri Light" w:hAnsi="Calibri Light" w:cs="Calibri Light"/>
              </w:rPr>
            </w:pPr>
            <w:r w:rsidRPr="00CA1439">
              <w:rPr>
                <w:rFonts w:ascii="Calibri Light" w:hAnsi="Calibri Light" w:cs="Calibri Light"/>
              </w:rPr>
              <w:t xml:space="preserve">Journal </w:t>
            </w:r>
            <w:r w:rsidR="00CA1439" w:rsidRPr="00CA1439">
              <w:rPr>
                <w:rFonts w:ascii="Calibri Light" w:hAnsi="Calibri Light" w:cs="Calibri Light"/>
              </w:rPr>
              <w:t xml:space="preserve">of </w:t>
            </w:r>
            <w:r w:rsidRPr="00CA1439">
              <w:rPr>
                <w:rFonts w:ascii="Calibri Light" w:hAnsi="Calibri Light" w:cs="Calibri Light"/>
              </w:rPr>
              <w:t>Islamic Marketing</w:t>
            </w:r>
          </w:p>
        </w:tc>
        <w:tc>
          <w:tcPr>
            <w:tcW w:w="753" w:type="dxa"/>
          </w:tcPr>
          <w:p w:rsidR="00B215FF" w:rsidRPr="00CA1439" w:rsidRDefault="00B215FF" w:rsidP="00CA1439">
            <w:pPr>
              <w:jc w:val="right"/>
              <w:rPr>
                <w:rFonts w:ascii="Calibri Light" w:hAnsi="Calibri Light" w:cs="Calibri Light"/>
              </w:rPr>
            </w:pPr>
            <w:r w:rsidRPr="00CA1439">
              <w:rPr>
                <w:rFonts w:ascii="Calibri Light" w:hAnsi="Calibri Light" w:cs="Calibri Light"/>
              </w:rPr>
              <w:t>469</w:t>
            </w:r>
          </w:p>
        </w:tc>
        <w:tc>
          <w:tcPr>
            <w:tcW w:w="750" w:type="dxa"/>
          </w:tcPr>
          <w:p w:rsidR="00B215FF" w:rsidRPr="00CA1439" w:rsidRDefault="00B215FF" w:rsidP="00CA1439">
            <w:pPr>
              <w:jc w:val="right"/>
              <w:rPr>
                <w:rFonts w:ascii="Calibri Light" w:hAnsi="Calibri Light" w:cs="Calibri Light"/>
              </w:rPr>
            </w:pPr>
            <w:r w:rsidRPr="00CA1439">
              <w:rPr>
                <w:rFonts w:ascii="Calibri Light" w:hAnsi="Calibri Light" w:cs="Calibri Light"/>
              </w:rPr>
              <w:t>3.960</w:t>
            </w:r>
          </w:p>
        </w:tc>
        <w:tc>
          <w:tcPr>
            <w:tcW w:w="737" w:type="dxa"/>
          </w:tcPr>
          <w:p w:rsidR="00B215FF" w:rsidRPr="00CA1439" w:rsidRDefault="00B215FF" w:rsidP="00CA1439">
            <w:pPr>
              <w:jc w:val="right"/>
              <w:rPr>
                <w:rFonts w:ascii="Calibri Light" w:hAnsi="Calibri Light" w:cs="Calibri Light"/>
              </w:rPr>
            </w:pPr>
            <w:r w:rsidRPr="00CA1439">
              <w:rPr>
                <w:rFonts w:ascii="Calibri Light" w:hAnsi="Calibri Light" w:cs="Calibri Light"/>
              </w:rPr>
              <w:t>8.4</w:t>
            </w:r>
          </w:p>
        </w:tc>
        <w:tc>
          <w:tcPr>
            <w:tcW w:w="2667" w:type="dxa"/>
          </w:tcPr>
          <w:p w:rsidR="00B215FF" w:rsidRPr="00CA1439" w:rsidRDefault="00B215FF" w:rsidP="00B215FF">
            <w:pPr>
              <w:rPr>
                <w:rFonts w:ascii="Calibri Light" w:hAnsi="Calibri Light" w:cs="Calibri Light"/>
              </w:rPr>
            </w:pPr>
            <w:r w:rsidRPr="00CA1439">
              <w:rPr>
                <w:rFonts w:ascii="Calibri Light" w:hAnsi="Calibri Light" w:cs="Calibri Light"/>
              </w:rPr>
              <w:t>Readiness to change in Islamic banking: the significance of adaptability and Islamic work ethics</w:t>
            </w:r>
          </w:p>
        </w:tc>
        <w:tc>
          <w:tcPr>
            <w:tcW w:w="1449" w:type="dxa"/>
          </w:tcPr>
          <w:p w:rsidR="00B215FF" w:rsidRPr="00CA1439" w:rsidRDefault="00B215FF" w:rsidP="00B215FF">
            <w:pPr>
              <w:rPr>
                <w:rFonts w:ascii="Calibri Light" w:hAnsi="Calibri Light" w:cs="Calibri Light"/>
              </w:rPr>
            </w:pPr>
            <w:r w:rsidRPr="00CA1439">
              <w:rPr>
                <w:rFonts w:ascii="Calibri Light" w:hAnsi="Calibri Light" w:cs="Calibri Light"/>
              </w:rPr>
              <w:t>Emerald Publishing</w:t>
            </w:r>
          </w:p>
        </w:tc>
      </w:tr>
      <w:tr w:rsidR="00B215FF" w:rsidRPr="00CA1439" w:rsidTr="00CA1439">
        <w:tc>
          <w:tcPr>
            <w:tcW w:w="2056" w:type="dxa"/>
          </w:tcPr>
          <w:p w:rsidR="00B215FF" w:rsidRPr="00CA1439" w:rsidRDefault="00B215FF" w:rsidP="00B215FF">
            <w:pPr>
              <w:rPr>
                <w:rFonts w:ascii="Calibri Light" w:hAnsi="Calibri Light" w:cs="Calibri Light"/>
              </w:rPr>
            </w:pPr>
            <w:r w:rsidRPr="00CA1439">
              <w:rPr>
                <w:rFonts w:ascii="Calibri Light" w:hAnsi="Calibri Light" w:cs="Calibri Light"/>
              </w:rPr>
              <w:t xml:space="preserve">International Journal </w:t>
            </w:r>
            <w:r w:rsidR="00CA1439" w:rsidRPr="00CA1439">
              <w:rPr>
                <w:rFonts w:ascii="Calibri Light" w:hAnsi="Calibri Light" w:cs="Calibri Light"/>
              </w:rPr>
              <w:t xml:space="preserve">of </w:t>
            </w:r>
            <w:r w:rsidRPr="00CA1439">
              <w:rPr>
                <w:rFonts w:ascii="Calibri Light" w:hAnsi="Calibri Light" w:cs="Calibri Light"/>
              </w:rPr>
              <w:t xml:space="preserve">Islamic </w:t>
            </w:r>
            <w:r w:rsidR="00CA1439" w:rsidRPr="00CA1439">
              <w:rPr>
                <w:rFonts w:ascii="Calibri Light" w:hAnsi="Calibri Light" w:cs="Calibri Light"/>
              </w:rPr>
              <w:t xml:space="preserve">and </w:t>
            </w:r>
            <w:r w:rsidRPr="00CA1439">
              <w:rPr>
                <w:rFonts w:ascii="Calibri Light" w:hAnsi="Calibri Light" w:cs="Calibri Light"/>
              </w:rPr>
              <w:t xml:space="preserve">Middle Eastern Finance </w:t>
            </w:r>
            <w:r w:rsidR="00CA1439" w:rsidRPr="00CA1439">
              <w:rPr>
                <w:rFonts w:ascii="Calibri Light" w:hAnsi="Calibri Light" w:cs="Calibri Light"/>
              </w:rPr>
              <w:t xml:space="preserve">and </w:t>
            </w:r>
            <w:r w:rsidRPr="00CA1439">
              <w:rPr>
                <w:rFonts w:ascii="Calibri Light" w:hAnsi="Calibri Light" w:cs="Calibri Light"/>
              </w:rPr>
              <w:t>Management</w:t>
            </w:r>
          </w:p>
        </w:tc>
        <w:tc>
          <w:tcPr>
            <w:tcW w:w="753" w:type="dxa"/>
          </w:tcPr>
          <w:p w:rsidR="00B215FF" w:rsidRPr="00CA1439" w:rsidRDefault="00B215FF" w:rsidP="00CA1439">
            <w:pPr>
              <w:jc w:val="right"/>
              <w:rPr>
                <w:rFonts w:ascii="Calibri Light" w:hAnsi="Calibri Light" w:cs="Calibri Light"/>
              </w:rPr>
            </w:pPr>
            <w:r w:rsidRPr="00CA1439">
              <w:rPr>
                <w:rFonts w:ascii="Calibri Light" w:hAnsi="Calibri Light" w:cs="Calibri Light"/>
              </w:rPr>
              <w:t>224</w:t>
            </w:r>
          </w:p>
        </w:tc>
        <w:tc>
          <w:tcPr>
            <w:tcW w:w="750" w:type="dxa"/>
          </w:tcPr>
          <w:p w:rsidR="00B215FF" w:rsidRPr="00CA1439" w:rsidRDefault="00B215FF" w:rsidP="00CA1439">
            <w:pPr>
              <w:jc w:val="right"/>
              <w:rPr>
                <w:rFonts w:ascii="Calibri Light" w:hAnsi="Calibri Light" w:cs="Calibri Light"/>
              </w:rPr>
            </w:pPr>
            <w:r w:rsidRPr="00CA1439">
              <w:rPr>
                <w:rFonts w:ascii="Calibri Light" w:hAnsi="Calibri Light" w:cs="Calibri Light"/>
              </w:rPr>
              <w:t>1.208</w:t>
            </w:r>
          </w:p>
        </w:tc>
        <w:tc>
          <w:tcPr>
            <w:tcW w:w="737" w:type="dxa"/>
          </w:tcPr>
          <w:p w:rsidR="00B215FF" w:rsidRPr="00CA1439" w:rsidRDefault="00B215FF" w:rsidP="00CA1439">
            <w:pPr>
              <w:jc w:val="right"/>
              <w:rPr>
                <w:rFonts w:ascii="Calibri Light" w:hAnsi="Calibri Light" w:cs="Calibri Light"/>
              </w:rPr>
            </w:pPr>
            <w:r w:rsidRPr="00CA1439">
              <w:rPr>
                <w:rFonts w:ascii="Calibri Light" w:hAnsi="Calibri Light" w:cs="Calibri Light"/>
              </w:rPr>
              <w:t>5.4</w:t>
            </w:r>
          </w:p>
        </w:tc>
        <w:tc>
          <w:tcPr>
            <w:tcW w:w="2667" w:type="dxa"/>
          </w:tcPr>
          <w:p w:rsidR="00B215FF" w:rsidRPr="00CA1439" w:rsidRDefault="00B215FF" w:rsidP="00B215FF">
            <w:pPr>
              <w:rPr>
                <w:rFonts w:ascii="Calibri Light" w:hAnsi="Calibri Light" w:cs="Calibri Light"/>
              </w:rPr>
            </w:pPr>
            <w:r w:rsidRPr="00CA1439">
              <w:rPr>
                <w:rFonts w:ascii="Calibri Light" w:hAnsi="Calibri Light" w:cs="Calibri Light"/>
              </w:rPr>
              <w:t>Factors affecting SMEs’ choice of banks in Oman: an emphasis on Islamic banks</w:t>
            </w:r>
          </w:p>
        </w:tc>
        <w:tc>
          <w:tcPr>
            <w:tcW w:w="1449" w:type="dxa"/>
          </w:tcPr>
          <w:p w:rsidR="00B215FF" w:rsidRPr="00CA1439" w:rsidRDefault="00B215FF" w:rsidP="00B215FF">
            <w:pPr>
              <w:rPr>
                <w:rFonts w:ascii="Calibri Light" w:hAnsi="Calibri Light" w:cs="Calibri Light"/>
              </w:rPr>
            </w:pPr>
            <w:r w:rsidRPr="00CA1439">
              <w:rPr>
                <w:rFonts w:ascii="Calibri Light" w:hAnsi="Calibri Light" w:cs="Calibri Light"/>
              </w:rPr>
              <w:t>Emerald Publishing</w:t>
            </w:r>
          </w:p>
        </w:tc>
      </w:tr>
      <w:tr w:rsidR="00B215FF" w:rsidRPr="00CA1439" w:rsidTr="00CA1439">
        <w:tc>
          <w:tcPr>
            <w:tcW w:w="2056" w:type="dxa"/>
          </w:tcPr>
          <w:p w:rsidR="00B215FF" w:rsidRPr="00CA1439" w:rsidRDefault="00B215FF" w:rsidP="00B215FF">
            <w:pPr>
              <w:rPr>
                <w:rFonts w:ascii="Calibri Light" w:hAnsi="Calibri Light" w:cs="Calibri Light"/>
              </w:rPr>
            </w:pPr>
            <w:r w:rsidRPr="00CA1439">
              <w:rPr>
                <w:rFonts w:ascii="Calibri Light" w:hAnsi="Calibri Light" w:cs="Calibri Light"/>
              </w:rPr>
              <w:t xml:space="preserve">Journal </w:t>
            </w:r>
            <w:r w:rsidR="00CA1439" w:rsidRPr="00CA1439">
              <w:rPr>
                <w:rFonts w:ascii="Calibri Light" w:hAnsi="Calibri Light" w:cs="Calibri Light"/>
              </w:rPr>
              <w:t xml:space="preserve">of </w:t>
            </w:r>
            <w:r w:rsidRPr="00CA1439">
              <w:rPr>
                <w:rFonts w:ascii="Calibri Light" w:hAnsi="Calibri Light" w:cs="Calibri Light"/>
              </w:rPr>
              <w:t xml:space="preserve">Islamic Monetary Economics </w:t>
            </w:r>
            <w:r w:rsidR="00CA1439" w:rsidRPr="00CA1439">
              <w:rPr>
                <w:rFonts w:ascii="Calibri Light" w:hAnsi="Calibri Light" w:cs="Calibri Light"/>
              </w:rPr>
              <w:t xml:space="preserve">and </w:t>
            </w:r>
            <w:r w:rsidRPr="00CA1439">
              <w:rPr>
                <w:rFonts w:ascii="Calibri Light" w:hAnsi="Calibri Light" w:cs="Calibri Light"/>
              </w:rPr>
              <w:t>Finance</w:t>
            </w:r>
          </w:p>
        </w:tc>
        <w:tc>
          <w:tcPr>
            <w:tcW w:w="753" w:type="dxa"/>
          </w:tcPr>
          <w:p w:rsidR="00B215FF" w:rsidRPr="00CA1439" w:rsidRDefault="00B215FF" w:rsidP="00CA1439">
            <w:pPr>
              <w:jc w:val="right"/>
              <w:rPr>
                <w:rFonts w:ascii="Calibri Light" w:hAnsi="Calibri Light" w:cs="Calibri Light"/>
              </w:rPr>
            </w:pPr>
            <w:r w:rsidRPr="00CA1439">
              <w:rPr>
                <w:rFonts w:ascii="Calibri Light" w:hAnsi="Calibri Light" w:cs="Calibri Light"/>
              </w:rPr>
              <w:t>143</w:t>
            </w:r>
          </w:p>
        </w:tc>
        <w:tc>
          <w:tcPr>
            <w:tcW w:w="750" w:type="dxa"/>
          </w:tcPr>
          <w:p w:rsidR="00B215FF" w:rsidRPr="00CA1439" w:rsidRDefault="00B215FF" w:rsidP="00CA1439">
            <w:pPr>
              <w:jc w:val="right"/>
              <w:rPr>
                <w:rFonts w:ascii="Calibri Light" w:hAnsi="Calibri Light" w:cs="Calibri Light"/>
              </w:rPr>
            </w:pPr>
            <w:r w:rsidRPr="00CA1439">
              <w:rPr>
                <w:rFonts w:ascii="Calibri Light" w:hAnsi="Calibri Light" w:cs="Calibri Light"/>
              </w:rPr>
              <w:t>275</w:t>
            </w:r>
          </w:p>
        </w:tc>
        <w:tc>
          <w:tcPr>
            <w:tcW w:w="737" w:type="dxa"/>
          </w:tcPr>
          <w:p w:rsidR="00B215FF" w:rsidRPr="00CA1439" w:rsidRDefault="00B215FF" w:rsidP="00CA1439">
            <w:pPr>
              <w:jc w:val="right"/>
              <w:rPr>
                <w:rFonts w:ascii="Calibri Light" w:hAnsi="Calibri Light" w:cs="Calibri Light"/>
              </w:rPr>
            </w:pPr>
            <w:r w:rsidRPr="00CA1439">
              <w:rPr>
                <w:rFonts w:ascii="Calibri Light" w:hAnsi="Calibri Light" w:cs="Calibri Light"/>
              </w:rPr>
              <w:t>1.9</w:t>
            </w:r>
          </w:p>
        </w:tc>
        <w:tc>
          <w:tcPr>
            <w:tcW w:w="2667" w:type="dxa"/>
          </w:tcPr>
          <w:p w:rsidR="00B215FF" w:rsidRPr="00CA1439" w:rsidRDefault="00B215FF" w:rsidP="00B215FF">
            <w:pPr>
              <w:rPr>
                <w:rFonts w:ascii="Calibri Light" w:hAnsi="Calibri Light" w:cs="Calibri Light"/>
              </w:rPr>
            </w:pPr>
            <w:r w:rsidRPr="00CA1439">
              <w:rPr>
                <w:rFonts w:ascii="Calibri Light" w:hAnsi="Calibri Light" w:cs="Calibri Light"/>
              </w:rPr>
              <w:t>Corporate social performance and financial stability: evidence from Islamic, social and conventional banking models</w:t>
            </w:r>
          </w:p>
        </w:tc>
        <w:tc>
          <w:tcPr>
            <w:tcW w:w="1449" w:type="dxa"/>
          </w:tcPr>
          <w:p w:rsidR="00B215FF" w:rsidRPr="00CA1439" w:rsidRDefault="00B215FF" w:rsidP="00B215FF">
            <w:pPr>
              <w:rPr>
                <w:rFonts w:ascii="Calibri Light" w:hAnsi="Calibri Light" w:cs="Calibri Light"/>
              </w:rPr>
            </w:pPr>
            <w:r w:rsidRPr="00CA1439">
              <w:rPr>
                <w:rFonts w:ascii="Calibri Light" w:hAnsi="Calibri Light" w:cs="Calibri Light"/>
              </w:rPr>
              <w:t>Bank Indonesia Institute</w:t>
            </w:r>
          </w:p>
        </w:tc>
      </w:tr>
      <w:tr w:rsidR="00B215FF" w:rsidRPr="00CA1439" w:rsidTr="00CA1439">
        <w:tc>
          <w:tcPr>
            <w:tcW w:w="2056" w:type="dxa"/>
          </w:tcPr>
          <w:p w:rsidR="00B215FF" w:rsidRPr="00CA1439" w:rsidRDefault="00B215FF" w:rsidP="00B215FF">
            <w:pPr>
              <w:rPr>
                <w:rFonts w:ascii="Calibri Light" w:hAnsi="Calibri Light" w:cs="Calibri Light"/>
              </w:rPr>
            </w:pPr>
            <w:r w:rsidRPr="00CA1439">
              <w:rPr>
                <w:rFonts w:ascii="Calibri Light" w:hAnsi="Calibri Light" w:cs="Calibri Light"/>
              </w:rPr>
              <w:t xml:space="preserve">Banks </w:t>
            </w:r>
            <w:r w:rsidR="00CA1439" w:rsidRPr="00CA1439">
              <w:rPr>
                <w:rFonts w:ascii="Calibri Light" w:hAnsi="Calibri Light" w:cs="Calibri Light"/>
              </w:rPr>
              <w:t xml:space="preserve">and </w:t>
            </w:r>
            <w:r w:rsidRPr="00CA1439">
              <w:rPr>
                <w:rFonts w:ascii="Calibri Light" w:hAnsi="Calibri Light" w:cs="Calibri Light"/>
              </w:rPr>
              <w:t>Bank Systems</w:t>
            </w:r>
          </w:p>
        </w:tc>
        <w:tc>
          <w:tcPr>
            <w:tcW w:w="753" w:type="dxa"/>
          </w:tcPr>
          <w:p w:rsidR="00B215FF" w:rsidRPr="00CA1439" w:rsidRDefault="00B215FF" w:rsidP="00CA1439">
            <w:pPr>
              <w:jc w:val="right"/>
              <w:rPr>
                <w:rFonts w:ascii="Calibri Light" w:hAnsi="Calibri Light" w:cs="Calibri Light"/>
              </w:rPr>
            </w:pPr>
            <w:r w:rsidRPr="00CA1439">
              <w:rPr>
                <w:rFonts w:ascii="Calibri Light" w:hAnsi="Calibri Light" w:cs="Calibri Light"/>
              </w:rPr>
              <w:t>293</w:t>
            </w:r>
          </w:p>
        </w:tc>
        <w:tc>
          <w:tcPr>
            <w:tcW w:w="750" w:type="dxa"/>
          </w:tcPr>
          <w:p w:rsidR="00B215FF" w:rsidRPr="00CA1439" w:rsidRDefault="00B215FF" w:rsidP="00CA1439">
            <w:pPr>
              <w:jc w:val="right"/>
              <w:rPr>
                <w:rFonts w:ascii="Calibri Light" w:hAnsi="Calibri Light" w:cs="Calibri Light"/>
              </w:rPr>
            </w:pPr>
            <w:r w:rsidRPr="00CA1439">
              <w:rPr>
                <w:rFonts w:ascii="Calibri Light" w:hAnsi="Calibri Light" w:cs="Calibri Light"/>
              </w:rPr>
              <w:t>776</w:t>
            </w:r>
          </w:p>
        </w:tc>
        <w:tc>
          <w:tcPr>
            <w:tcW w:w="737" w:type="dxa"/>
          </w:tcPr>
          <w:p w:rsidR="00B215FF" w:rsidRPr="00CA1439" w:rsidRDefault="00B215FF" w:rsidP="00CA1439">
            <w:pPr>
              <w:jc w:val="right"/>
              <w:rPr>
                <w:rFonts w:ascii="Calibri Light" w:hAnsi="Calibri Light" w:cs="Calibri Light"/>
              </w:rPr>
            </w:pPr>
            <w:r w:rsidRPr="00CA1439">
              <w:rPr>
                <w:rFonts w:ascii="Calibri Light" w:hAnsi="Calibri Light" w:cs="Calibri Light"/>
              </w:rPr>
              <w:t>2.6</w:t>
            </w:r>
          </w:p>
        </w:tc>
        <w:tc>
          <w:tcPr>
            <w:tcW w:w="2667" w:type="dxa"/>
          </w:tcPr>
          <w:p w:rsidR="00B215FF" w:rsidRPr="00CA1439" w:rsidRDefault="00B215FF" w:rsidP="00B215FF">
            <w:pPr>
              <w:rPr>
                <w:rFonts w:ascii="Calibri Light" w:hAnsi="Calibri Light" w:cs="Calibri Light"/>
              </w:rPr>
            </w:pPr>
            <w:r w:rsidRPr="00CA1439">
              <w:rPr>
                <w:rFonts w:ascii="Calibri Light" w:hAnsi="Calibri Light" w:cs="Calibri Light"/>
              </w:rPr>
              <w:t>How does global economic policy uncertainty affect Islamic bank performance? An exploration from heterogeneous sample</w:t>
            </w:r>
          </w:p>
        </w:tc>
        <w:tc>
          <w:tcPr>
            <w:tcW w:w="1449" w:type="dxa"/>
          </w:tcPr>
          <w:p w:rsidR="00B215FF" w:rsidRPr="00CA1439" w:rsidRDefault="00B215FF" w:rsidP="00B215FF">
            <w:pPr>
              <w:rPr>
                <w:rFonts w:ascii="Calibri Light" w:hAnsi="Calibri Light" w:cs="Calibri Light"/>
              </w:rPr>
            </w:pPr>
            <w:r w:rsidRPr="00CA1439">
              <w:rPr>
                <w:rFonts w:ascii="Calibri Light" w:hAnsi="Calibri Light" w:cs="Calibri Light"/>
              </w:rPr>
              <w:t>Business Perspectives</w:t>
            </w:r>
          </w:p>
        </w:tc>
      </w:tr>
    </w:tbl>
    <w:p w:rsidR="00EB4BB6" w:rsidRDefault="009207CC" w:rsidP="00B25EDF">
      <w:pPr>
        <w:spacing w:before="120" w:after="120"/>
        <w:ind w:left="440" w:right="-1" w:hanging="14"/>
        <w:jc w:val="both"/>
        <w:rPr>
          <w:rFonts w:ascii="Calibri Light" w:hAnsi="Calibri Light" w:cs="Calibri Light"/>
          <w:sz w:val="24"/>
          <w:szCs w:val="24"/>
        </w:rPr>
      </w:pPr>
      <w:r w:rsidRPr="009207CC">
        <w:rPr>
          <w:rFonts w:ascii="Calibri Light" w:hAnsi="Calibri Light" w:cs="Calibri Light"/>
          <w:sz w:val="24"/>
          <w:szCs w:val="24"/>
        </w:rPr>
        <w:t>TP= Total publications, TC= total citations</w:t>
      </w:r>
    </w:p>
    <w:p w:rsidR="003915B9" w:rsidRDefault="009207CC" w:rsidP="00B25EDF">
      <w:pPr>
        <w:spacing w:before="120" w:after="120"/>
        <w:ind w:left="440" w:right="-1" w:hanging="14"/>
        <w:jc w:val="both"/>
        <w:rPr>
          <w:rFonts w:ascii="Calibri Light" w:hAnsi="Calibri Light" w:cs="Calibri Light"/>
          <w:sz w:val="24"/>
          <w:szCs w:val="24"/>
        </w:rPr>
      </w:pPr>
      <w:r w:rsidRPr="009207CC">
        <w:rPr>
          <w:rFonts w:ascii="Calibri Light" w:hAnsi="Calibri Light" w:cs="Calibri Light"/>
          <w:sz w:val="24"/>
          <w:szCs w:val="24"/>
        </w:rPr>
        <w:t xml:space="preserve">Table 3 presents a comparative analysis of the most prominent academic journals specializing in Islamic accounting, banking and finance, based on scientific productivity (total publications), academic impact (total citations), and research quality (CiteScore). The Journal of Islamic Marketing stands out as the most influential, with the most citations and CiteScore, reflecting its distinguished academic status. The significance of this analysis lies in its ability to guide toward the most credible and impactful sources in the discipline, particularly when constructing the theoretical framework or selecting relevant literature. In my research in Islamic economic law, referring to these journals is </w:t>
      </w:r>
      <w:r w:rsidRPr="009207CC">
        <w:rPr>
          <w:rFonts w:ascii="Calibri Light" w:hAnsi="Calibri Light" w:cs="Calibri Light"/>
          <w:sz w:val="24"/>
          <w:szCs w:val="24"/>
        </w:rPr>
        <w:lastRenderedPageBreak/>
        <w:t xml:space="preserve">essential to enhance the study's credibility and to rely on well-established and up-to-date scholarly literature in the field </w:t>
      </w:r>
      <w:r w:rsidR="00155EC2">
        <w:rPr>
          <w:rFonts w:ascii="Calibri Light" w:hAnsi="Calibri Light" w:cs="Calibri Light"/>
          <w:sz w:val="24"/>
          <w:szCs w:val="24"/>
        </w:rPr>
        <w:fldChar w:fldCharType="begin" w:fldLock="1"/>
      </w:r>
      <w:r w:rsidR="00155EC2">
        <w:rPr>
          <w:rFonts w:ascii="Calibri Light" w:hAnsi="Calibri Light" w:cs="Calibri Light"/>
          <w:sz w:val="24"/>
          <w:szCs w:val="24"/>
        </w:rPr>
        <w:instrText>ADDIN CSL_CITATION {"citationItems":[{"id":"ITEM-1","itemData":{"DOI":"10.1177/1350508420939245","ISSN":"13505084 (ISSN)","abstract":"In this article, we use the critical theory literature to describe the processes of co-optation by which capitalism engages with its radical alternatives in order to subvert their emancipatory potential. We chose the global Islamic banking industry as our empirical context, which represents bold efforts to build a radical alternative embedded in Islamic moral precepts. However, we observed that the performative intent of capitalist discourse, reflected in a strong preoccupation with effectiveness and efficiency, has come to dominate all economic claims in the Islamic banking industry. The oppositional ideas that were intended to disturb the economic status quo now reproduce it along with its privileges, despite the vaulted rhetoric about establishing a genuine alternative. The article ends by mapping out some implications of re-introducing co-optation in the critical theory literature. © The Author(s) 2020.","author":[{"dropping-particle":"","family":"Ul-Haq","given":"S","non-dropping-particle":"","parse-names":false,"suffix":""},{"dropping-particle":"","family":"Lone","given":"R A","non-dropping-particle":"","parse-names":false,"suffix":""},{"dropping-particle":"","family":"Ashraf","given":"N","non-dropping-particle":"","parse-names":false,"suffix":""}],"container-title":"Organization","id":"ITEM-1","issue":"1","issued":{"date-parts":[["2022"]]},"language":"English","page":"129-154","publisher":"SAGE Publications Ltd","publisher-place":"Karachi School of Business and Leadership, Pakistan","title":"A theory of capitalist co-optation of radical alternatives: The case of Islamic banking industry","type":"article-journal","volume":"29"},"uris":["http://www.mendeley.com/documents/?uuid=46157b0e-f17c-4545-b650-73af8381a290"]}],"mendeley":{"formattedCitation":"(Ul-Haq et al., 2022)","plainTextFormattedCitation":"(Ul-Haq et al., 2022)","previouslyFormattedCitation":"(Ul-Haq et al., 2022)"},"properties":{"noteIndex":0},"schema":"https://github.com/citation-style-language/schema/raw/master/csl-citation.json"}</w:instrText>
      </w:r>
      <w:r w:rsidR="00155EC2">
        <w:rPr>
          <w:rFonts w:ascii="Calibri Light" w:hAnsi="Calibri Light" w:cs="Calibri Light"/>
          <w:sz w:val="24"/>
          <w:szCs w:val="24"/>
        </w:rPr>
        <w:fldChar w:fldCharType="separate"/>
      </w:r>
      <w:r w:rsidR="00155EC2" w:rsidRPr="00155EC2">
        <w:rPr>
          <w:rFonts w:ascii="Calibri Light" w:hAnsi="Calibri Light" w:cs="Calibri Light"/>
          <w:noProof/>
          <w:sz w:val="24"/>
          <w:szCs w:val="24"/>
        </w:rPr>
        <w:t>(</w:t>
      </w:r>
      <w:hyperlink w:anchor="UlHaq" w:history="1">
        <w:r w:rsidR="00155EC2" w:rsidRPr="00A47ADB">
          <w:rPr>
            <w:rStyle w:val="Hyperlink"/>
            <w:rFonts w:ascii="Calibri Light" w:hAnsi="Calibri Light" w:cs="Calibri Light"/>
            <w:noProof/>
            <w:sz w:val="24"/>
            <w:szCs w:val="24"/>
          </w:rPr>
          <w:t>Ul-Haq et al.</w:t>
        </w:r>
      </w:hyperlink>
      <w:r w:rsidR="00155EC2" w:rsidRPr="00155EC2">
        <w:rPr>
          <w:rFonts w:ascii="Calibri Light" w:hAnsi="Calibri Light" w:cs="Calibri Light"/>
          <w:noProof/>
          <w:sz w:val="24"/>
          <w:szCs w:val="24"/>
        </w:rPr>
        <w:t>, 2022)</w:t>
      </w:r>
      <w:r w:rsidR="00155EC2">
        <w:rPr>
          <w:rFonts w:ascii="Calibri Light" w:hAnsi="Calibri Light" w:cs="Calibri Light"/>
          <w:sz w:val="24"/>
          <w:szCs w:val="24"/>
        </w:rPr>
        <w:fldChar w:fldCharType="end"/>
      </w:r>
      <w:r w:rsidRPr="009207CC">
        <w:rPr>
          <w:rFonts w:ascii="Calibri Light" w:hAnsi="Calibri Light" w:cs="Calibri Light"/>
          <w:sz w:val="24"/>
          <w:szCs w:val="24"/>
        </w:rPr>
        <w:t>.</w:t>
      </w:r>
    </w:p>
    <w:p w:rsidR="009207CC" w:rsidRDefault="009207CC" w:rsidP="009207CC">
      <w:pPr>
        <w:spacing w:before="120" w:after="120"/>
        <w:ind w:left="440" w:right="-1" w:hanging="14"/>
        <w:jc w:val="center"/>
        <w:rPr>
          <w:rFonts w:ascii="Calibri Light" w:hAnsi="Calibri Light" w:cs="Calibri Light"/>
          <w:sz w:val="24"/>
          <w:szCs w:val="24"/>
        </w:rPr>
      </w:pPr>
      <w:r>
        <w:rPr>
          <w:noProof/>
        </w:rPr>
        <w:drawing>
          <wp:inline distT="0" distB="0" distL="0" distR="0" wp14:anchorId="33F2BD3D" wp14:editId="0252A475">
            <wp:extent cx="3868615" cy="2227295"/>
            <wp:effectExtent l="0" t="0" r="0" b="1905"/>
            <wp:docPr id="906920719"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897678" cy="2244028"/>
                    </a:xfrm>
                    <a:prstGeom prst="rect">
                      <a:avLst/>
                    </a:prstGeom>
                    <a:noFill/>
                    <a:ln>
                      <a:noFill/>
                    </a:ln>
                  </pic:spPr>
                </pic:pic>
              </a:graphicData>
            </a:graphic>
          </wp:inline>
        </w:drawing>
      </w:r>
    </w:p>
    <w:p w:rsidR="009207CC" w:rsidRPr="009207CC" w:rsidRDefault="009207CC" w:rsidP="009207CC">
      <w:pPr>
        <w:spacing w:before="120" w:after="120"/>
        <w:ind w:left="440" w:right="-1" w:hanging="14"/>
        <w:jc w:val="center"/>
        <w:rPr>
          <w:rFonts w:ascii="Calibri Light" w:hAnsi="Calibri Light" w:cs="Calibri Light"/>
          <w:i/>
          <w:iCs/>
          <w:sz w:val="24"/>
          <w:szCs w:val="24"/>
        </w:rPr>
      </w:pPr>
      <w:r w:rsidRPr="009207CC">
        <w:rPr>
          <w:rFonts w:ascii="Calibri Light" w:hAnsi="Calibri Light" w:cs="Calibri Light"/>
          <w:b/>
          <w:bCs/>
          <w:i/>
          <w:iCs/>
          <w:sz w:val="24"/>
          <w:szCs w:val="24"/>
        </w:rPr>
        <w:t>Figure 9.</w:t>
      </w:r>
      <w:r w:rsidRPr="009207CC">
        <w:rPr>
          <w:rFonts w:ascii="Calibri Light" w:hAnsi="Calibri Light" w:cs="Calibri Light"/>
          <w:i/>
          <w:iCs/>
          <w:sz w:val="24"/>
          <w:szCs w:val="24"/>
        </w:rPr>
        <w:t xml:space="preserve"> The Top 10 Journals according to Scopus ranking</w:t>
      </w:r>
    </w:p>
    <w:p w:rsidR="003915B9" w:rsidRPr="009207CC" w:rsidRDefault="009207CC" w:rsidP="00B25EDF">
      <w:pPr>
        <w:spacing w:before="120" w:after="120"/>
        <w:ind w:left="440" w:right="-1" w:hanging="14"/>
        <w:jc w:val="both"/>
        <w:rPr>
          <w:rFonts w:ascii="Calibri Light" w:hAnsi="Calibri Light" w:cs="Calibri Light"/>
          <w:b/>
          <w:bCs/>
          <w:i/>
          <w:iCs/>
          <w:sz w:val="24"/>
          <w:szCs w:val="24"/>
        </w:rPr>
      </w:pPr>
      <w:r w:rsidRPr="009207CC">
        <w:rPr>
          <w:rFonts w:ascii="Calibri Light" w:hAnsi="Calibri Light" w:cs="Calibri Light"/>
          <w:b/>
          <w:bCs/>
          <w:i/>
          <w:iCs/>
          <w:sz w:val="24"/>
          <w:szCs w:val="24"/>
        </w:rPr>
        <w:t>Word Analysis using Most Frequent Words</w:t>
      </w:r>
    </w:p>
    <w:p w:rsidR="009207CC" w:rsidRPr="009207CC" w:rsidRDefault="009207CC" w:rsidP="009207CC">
      <w:pPr>
        <w:spacing w:before="120" w:after="120"/>
        <w:ind w:left="440" w:right="-1" w:hanging="14"/>
        <w:jc w:val="both"/>
        <w:rPr>
          <w:rFonts w:ascii="Calibri Light" w:hAnsi="Calibri Light" w:cs="Calibri Light"/>
          <w:sz w:val="24"/>
          <w:szCs w:val="24"/>
        </w:rPr>
      </w:pPr>
      <w:r w:rsidRPr="009207CC">
        <w:rPr>
          <w:rFonts w:ascii="Calibri Light" w:hAnsi="Calibri Light" w:cs="Calibri Light"/>
          <w:sz w:val="24"/>
          <w:szCs w:val="24"/>
        </w:rPr>
        <w:t xml:space="preserve">Figure 10 shows a keyword co-occurrence network generated using VOSviewer based on bibliometric data from 1,149   publications collected from the Scopus database </w:t>
      </w:r>
      <w:r w:rsidR="009E6AF8">
        <w:rPr>
          <w:rFonts w:ascii="Calibri Light" w:hAnsi="Calibri Light" w:cs="Calibri Light"/>
          <w:sz w:val="24"/>
          <w:szCs w:val="24"/>
        </w:rPr>
        <w:fldChar w:fldCharType="begin" w:fldLock="1"/>
      </w:r>
      <w:r w:rsidR="009E6AF8">
        <w:rPr>
          <w:rFonts w:ascii="Calibri Light" w:hAnsi="Calibri Light" w:cs="Calibri Light"/>
          <w:sz w:val="24"/>
          <w:szCs w:val="24"/>
        </w:rPr>
        <w:instrText>ADDIN CSL_CITATION {"citationItems":[{"id":"ITEM-1","itemData":{"DOI":"10.23917/qist.v4i1.7360","ISSN":"2828-2779","abstract":"This study aims to conduct a bibliometric analysis of research intersecting the Sustainable Development Goals (SDGs) and Maqasid Shariah Tafsir, with a focus on using VOSviewer software to visualize research patterns and trends. The analysis spans the last decade, exploring publication trends over time, influential journals, prolific authors, and the most productive countries and institutions in this field. The results show a significant growth in research integrating Maqasid Shariah principles, focusing on the preservation of religion, life, intellect, lineage, and wealth, with the 17 SDGs, such as poverty eradication, quality education, and environmental sustainability. The analysis also highlights key research keywords and emerging themes, such as ethical governance, social justice, and economic sustainability. Using VOSviewer helps create visual maps of research networks, providing insights into relationships between authors, institutions, and keywords. The analysis reveals the prominent role of specific countries and institutions that support research in this area, emphasizing the importance of interdisciplinary collaboration in advancing this discourse. The study provides a foundation for understanding the relationship between Shariah principles and the SDGs, opening avenues for future research aimed at enhancing the use of Islamic values to address global sustainability challenges. The findings assist policymakers and researchers in identifying research gaps and collaboration opportunities for greater impact.","author":[{"dropping-particle":"","family":"Elbanna","given":"Mariam","non-dropping-particle":"","parse-names":false,"suffix":""},{"dropping-particle":"","family":"Wadi","given":"Munshid Falih","non-dropping-particle":"","parse-names":false,"suffix":""},{"dropping-particle":"","family":"Radiamoda","given":"Anwar M.","non-dropping-particle":"","parse-names":false,"suffix":""},{"dropping-particle":"","family":"Matsuyama","given":"Yohei","non-dropping-particle":"","parse-names":false,"suffix":""},{"dropping-particle":"Bin","family":"Ishak","given":"Mohamad Haeqal","non-dropping-particle":"","parse-names":false,"suffix":""}],"container-title":"QiST: Journal of Quran and Tafseer Studies","id":"ITEM-1","issue":"1","issued":{"date-parts":[["2025","1"]]},"page":"1-22","title":"A Bibliometric Analysis of Sustainable Development Goals (SDGs) Through the Lens of Maqasid Shariah Tafsir","type":"article-journal","volume":"4"},"uris":["http://www.mendeley.com/documents/?uuid=d8aa7950-f3ff-400a-bed3-8decefac4945"]}],"mendeley":{"formattedCitation":"(Elbanna et al., 2025)","plainTextFormattedCitation":"(Elbanna et al., 2025)","previouslyFormattedCitation":"(Elbanna et al., 2025)"},"properties":{"noteIndex":0},"schema":"https://github.com/citation-style-language/schema/raw/master/csl-citation.json"}</w:instrText>
      </w:r>
      <w:r w:rsidR="009E6AF8">
        <w:rPr>
          <w:rFonts w:ascii="Calibri Light" w:hAnsi="Calibri Light" w:cs="Calibri Light"/>
          <w:sz w:val="24"/>
          <w:szCs w:val="24"/>
        </w:rPr>
        <w:fldChar w:fldCharType="separate"/>
      </w:r>
      <w:r w:rsidR="009E6AF8" w:rsidRPr="009E6AF8">
        <w:rPr>
          <w:rFonts w:ascii="Calibri Light" w:hAnsi="Calibri Light" w:cs="Calibri Light"/>
          <w:noProof/>
          <w:sz w:val="24"/>
          <w:szCs w:val="24"/>
        </w:rPr>
        <w:t>(</w:t>
      </w:r>
      <w:hyperlink w:anchor="Elbanna" w:history="1">
        <w:r w:rsidR="009E6AF8" w:rsidRPr="00434A6A">
          <w:rPr>
            <w:rStyle w:val="Hyperlink"/>
            <w:rFonts w:ascii="Calibri Light" w:hAnsi="Calibri Light" w:cs="Calibri Light"/>
            <w:noProof/>
            <w:sz w:val="24"/>
            <w:szCs w:val="24"/>
          </w:rPr>
          <w:t>Elbanna et al.</w:t>
        </w:r>
      </w:hyperlink>
      <w:r w:rsidR="009E6AF8" w:rsidRPr="009E6AF8">
        <w:rPr>
          <w:rFonts w:ascii="Calibri Light" w:hAnsi="Calibri Light" w:cs="Calibri Light"/>
          <w:noProof/>
          <w:sz w:val="24"/>
          <w:szCs w:val="24"/>
        </w:rPr>
        <w:t>, 2025)</w:t>
      </w:r>
      <w:r w:rsidR="009E6AF8">
        <w:rPr>
          <w:rFonts w:ascii="Calibri Light" w:hAnsi="Calibri Light" w:cs="Calibri Light"/>
          <w:sz w:val="24"/>
          <w:szCs w:val="24"/>
        </w:rPr>
        <w:fldChar w:fldCharType="end"/>
      </w:r>
      <w:r w:rsidRPr="009207CC">
        <w:rPr>
          <w:rFonts w:ascii="Calibri Light" w:hAnsi="Calibri Light" w:cs="Calibri Light"/>
          <w:sz w:val="24"/>
          <w:szCs w:val="24"/>
        </w:rPr>
        <w:t>. From this dataset, a total of 2,655 keywords were initially extracted. For clarity and analytical significance, a minimum co-occurrence threshold of five was applied, meaning only keywords that appeared at least five times across the dataset were included in the final analysis. As a result, 167 keywords met this criterion and were used to construct the visual network displayed.</w:t>
      </w:r>
    </w:p>
    <w:p w:rsidR="003915B9" w:rsidRDefault="009207CC" w:rsidP="009207CC">
      <w:pPr>
        <w:spacing w:before="120" w:after="120"/>
        <w:ind w:left="440" w:right="-1" w:hanging="14"/>
        <w:jc w:val="both"/>
        <w:rPr>
          <w:rFonts w:ascii="Calibri Light" w:hAnsi="Calibri Light" w:cs="Calibri Light"/>
          <w:sz w:val="24"/>
          <w:szCs w:val="24"/>
        </w:rPr>
      </w:pPr>
      <w:r w:rsidRPr="009207CC">
        <w:rPr>
          <w:rFonts w:ascii="Calibri Light" w:hAnsi="Calibri Light" w:cs="Calibri Light"/>
          <w:sz w:val="24"/>
          <w:szCs w:val="24"/>
        </w:rPr>
        <w:t>The network is visually organized into distinct clusters, each represented by a different color, to signify closely related keywords frequently appearing within the literature. The size of each keyword label reflects its frequency of occurrence. In contrast, the proximity and thickness of the lines (edges) between keywords indicate the strength of their co-occurrence relationships</w:t>
      </w:r>
      <w:r w:rsidR="003A66C6">
        <w:rPr>
          <w:rFonts w:ascii="Calibri Light" w:hAnsi="Calibri Light" w:cs="Calibri Light"/>
          <w:sz w:val="24"/>
          <w:szCs w:val="24"/>
        </w:rPr>
        <w:t xml:space="preserve"> </w:t>
      </w:r>
      <w:r w:rsidR="003A66C6">
        <w:rPr>
          <w:rFonts w:ascii="Calibri Light" w:hAnsi="Calibri Light" w:cs="Calibri Light"/>
          <w:sz w:val="24"/>
          <w:szCs w:val="24"/>
        </w:rPr>
        <w:fldChar w:fldCharType="begin" w:fldLock="1"/>
      </w:r>
      <w:r w:rsidR="003A66C6">
        <w:rPr>
          <w:rFonts w:ascii="Calibri Light" w:hAnsi="Calibri Light" w:cs="Calibri Light"/>
          <w:sz w:val="24"/>
          <w:szCs w:val="24"/>
        </w:rPr>
        <w:instrText>ADDIN CSL_CITATION {"citationItems":[{"id":"ITEM-1","itemData":{"DOI":"10.23917/profetika.v25i01.2470","author":[{"dropping-particle":"","family":"Rusli","given":"Moch.","non-dropping-particle":"","parse-names":false,"suffix":""}],"container-title":"Profetika Jurnal Studi Islam","id":"ITEM-1","issue":"1","issued":{"date-parts":[["2024"]]},"page":"195-210","title":"FINANCIAL PERFORMANCE ANALYSIS USING CAMELS AT PT. BANK SYARIAH INDONESIA BEFORE AND AFTER MERGER","type":"article-journal","volume":"25"},"uris":["http://www.mendeley.com/documents/?uuid=7ffa822f-c654-4931-901d-d91dcb77b51a"]}],"mendeley":{"formattedCitation":"(Rusli, 2024)","plainTextFormattedCitation":"(Rusli, 2024)","previouslyFormattedCitation":"(Rusli, 2024)"},"properties":{"noteIndex":0},"schema":"https://github.com/citation-style-language/schema/raw/master/csl-citation.json"}</w:instrText>
      </w:r>
      <w:r w:rsidR="003A66C6">
        <w:rPr>
          <w:rFonts w:ascii="Calibri Light" w:hAnsi="Calibri Light" w:cs="Calibri Light"/>
          <w:sz w:val="24"/>
          <w:szCs w:val="24"/>
        </w:rPr>
        <w:fldChar w:fldCharType="separate"/>
      </w:r>
      <w:r w:rsidR="003A66C6" w:rsidRPr="003A66C6">
        <w:rPr>
          <w:rFonts w:ascii="Calibri Light" w:hAnsi="Calibri Light" w:cs="Calibri Light"/>
          <w:noProof/>
          <w:sz w:val="24"/>
          <w:szCs w:val="24"/>
        </w:rPr>
        <w:t>(</w:t>
      </w:r>
      <w:hyperlink w:anchor="Rusli" w:history="1">
        <w:r w:rsidR="003A66C6" w:rsidRPr="00A47ADB">
          <w:rPr>
            <w:rStyle w:val="Hyperlink"/>
            <w:rFonts w:ascii="Calibri Light" w:hAnsi="Calibri Light" w:cs="Calibri Light"/>
            <w:noProof/>
            <w:sz w:val="24"/>
            <w:szCs w:val="24"/>
          </w:rPr>
          <w:t>Rusli</w:t>
        </w:r>
      </w:hyperlink>
      <w:r w:rsidR="003A66C6" w:rsidRPr="003A66C6">
        <w:rPr>
          <w:rFonts w:ascii="Calibri Light" w:hAnsi="Calibri Light" w:cs="Calibri Light"/>
          <w:noProof/>
          <w:sz w:val="24"/>
          <w:szCs w:val="24"/>
        </w:rPr>
        <w:t>, 2024)</w:t>
      </w:r>
      <w:r w:rsidR="003A66C6">
        <w:rPr>
          <w:rFonts w:ascii="Calibri Light" w:hAnsi="Calibri Light" w:cs="Calibri Light"/>
          <w:sz w:val="24"/>
          <w:szCs w:val="24"/>
        </w:rPr>
        <w:fldChar w:fldCharType="end"/>
      </w:r>
      <w:r w:rsidRPr="009207CC">
        <w:rPr>
          <w:rFonts w:ascii="Calibri Light" w:hAnsi="Calibri Light" w:cs="Calibri Light"/>
          <w:sz w:val="24"/>
          <w:szCs w:val="24"/>
        </w:rPr>
        <w:t xml:space="preserve">. At the center of the map, the term "Islamic banking" serves as the core node, surrounded by several overlapping thematic clusters, each distinguished by a unique color. The dark blue cluster represents core themes such as "corporate governance,” "financial development," and "Shariah", highlighting the structural and regulatory foundations of Islamic banking. In contrast, the red cluster focuses on terms such as "conventional banks,” "credit risk," and "Basel accord," reflecting comparative analyses between Islamic and conventional banking systems, particularly in the context of risk and regulation </w:t>
      </w:r>
      <w:r w:rsidR="00155EC2">
        <w:rPr>
          <w:rFonts w:ascii="Calibri Light" w:hAnsi="Calibri Light" w:cs="Calibri Light"/>
          <w:sz w:val="24"/>
          <w:szCs w:val="24"/>
        </w:rPr>
        <w:fldChar w:fldCharType="begin" w:fldLock="1"/>
      </w:r>
      <w:r w:rsidR="004F79D4">
        <w:rPr>
          <w:rFonts w:ascii="Calibri Light" w:hAnsi="Calibri Light" w:cs="Calibri Light"/>
          <w:sz w:val="24"/>
          <w:szCs w:val="24"/>
        </w:rPr>
        <w:instrText>ADDIN CSL_CITATION {"citationItems":[{"id":"ITEM-1","itemData":{"DOI":"10.22495/jgrv13i2siart3","ISSN":"22209352 (ISSN)","abstract":"This study investigates the pivotal role of robust legal instruments in driving the outstanding performance of Malaysia’s Islamic banking industry. Our primary objective is to discern the correlation between the regulatory framework’s legal strength and the industry’s achievements. To achieve this, we embark on a comprehensive exploration of the historical progression of Islamic banking in Malaysia. We scrutinize the dynamics and milestones that have shaped the industry, with particular emphasis on its impressive growth. We then delve into the development of the regulatory frameworks, analyzing how the availability of strong legal instruments has contributed to the sector’s triumph. This study finding the presence of robust legal instruments has been a catalyst for the ascension of Malaysia’s Islamic banking industry. Coupled with accommodating regulations and responsive regulatory institutions, these legal foundations have underpinned the sector’s remarkable success. This study underscores the critical importance of having sufficient legal instruments to nurture the Islamic banking industry. We recommend that governments aspiring to bolster Islamic banking’s performance consider the provision of such legal frameworks. Consequently, this research carries significant implications for policymakers and industry stakeholders alike, offering insights into the essential ingredients for fostering a thriving Islamic banking sector. © 2024 The Authors.","author":[{"dropping-particle":"","family":"Triyanta","given":"A","non-dropping-particle":"","parse-names":false,"suffix":""},{"dropping-particle":"","family":"Hassan","given":"R","non-dropping-particle":"","parse-names":false,"suffix":""}],"container-title":"Journal of Governance and Regulation","id":"ITEM-1","issue":"2","issued":{"date-parts":[["2024"]]},"language":"English","page":"267-274","publisher":"Virtus Interpress","publisher-place":"Universitas Islam Indonesia, Yogyakarta, Indonesia","title":"The Connection Between Robust Legal Instruments And The Exceptional Performance Of The Islamic Banking Industry","type":"article-journal","volume":"13"},"uris":["http://www.mendeley.com/documents/?uuid=06ba882d-db29-4450-8631-8446b25e133b"]}],"mendeley":{"formattedCitation":"(Triyanta &amp; Hassan, 2024)","plainTextFormattedCitation":"(Triyanta &amp; Hassan, 2024)","previouslyFormattedCitation":"(Triyanta &amp; Hassan, 2024)"},"properties":{"noteIndex":0},"schema":"https://github.com/citation-style-language/schema/raw/master/csl-citation.json"}</w:instrText>
      </w:r>
      <w:r w:rsidR="00155EC2">
        <w:rPr>
          <w:rFonts w:ascii="Calibri Light" w:hAnsi="Calibri Light" w:cs="Calibri Light"/>
          <w:sz w:val="24"/>
          <w:szCs w:val="24"/>
        </w:rPr>
        <w:fldChar w:fldCharType="separate"/>
      </w:r>
      <w:r w:rsidR="00155EC2" w:rsidRPr="00155EC2">
        <w:rPr>
          <w:rFonts w:ascii="Calibri Light" w:hAnsi="Calibri Light" w:cs="Calibri Light"/>
          <w:noProof/>
          <w:sz w:val="24"/>
          <w:szCs w:val="24"/>
        </w:rPr>
        <w:t>(</w:t>
      </w:r>
      <w:hyperlink w:anchor="Triyanta" w:history="1">
        <w:r w:rsidR="00155EC2" w:rsidRPr="00A47ADB">
          <w:rPr>
            <w:rStyle w:val="Hyperlink"/>
            <w:rFonts w:ascii="Calibri Light" w:hAnsi="Calibri Light" w:cs="Calibri Light"/>
            <w:noProof/>
            <w:sz w:val="24"/>
            <w:szCs w:val="24"/>
          </w:rPr>
          <w:t>Triyanta &amp; Hassan</w:t>
        </w:r>
      </w:hyperlink>
      <w:r w:rsidR="00155EC2" w:rsidRPr="00155EC2">
        <w:rPr>
          <w:rFonts w:ascii="Calibri Light" w:hAnsi="Calibri Light" w:cs="Calibri Light"/>
          <w:noProof/>
          <w:sz w:val="24"/>
          <w:szCs w:val="24"/>
        </w:rPr>
        <w:t>, 2024)</w:t>
      </w:r>
      <w:r w:rsidR="00155EC2">
        <w:rPr>
          <w:rFonts w:ascii="Calibri Light" w:hAnsi="Calibri Light" w:cs="Calibri Light"/>
          <w:sz w:val="24"/>
          <w:szCs w:val="24"/>
        </w:rPr>
        <w:fldChar w:fldCharType="end"/>
      </w:r>
      <w:r w:rsidRPr="009207CC">
        <w:rPr>
          <w:rFonts w:ascii="Calibri Light" w:hAnsi="Calibri Light" w:cs="Calibri Light"/>
          <w:sz w:val="24"/>
          <w:szCs w:val="24"/>
        </w:rPr>
        <w:t>.</w:t>
      </w:r>
    </w:p>
    <w:p w:rsidR="009207CC" w:rsidRDefault="009207CC" w:rsidP="009207CC">
      <w:pPr>
        <w:spacing w:before="120" w:after="120"/>
        <w:ind w:left="440" w:right="-1" w:hanging="14"/>
        <w:jc w:val="center"/>
        <w:rPr>
          <w:rFonts w:ascii="Calibri Light" w:hAnsi="Calibri Light" w:cs="Calibri Light"/>
          <w:sz w:val="24"/>
          <w:szCs w:val="24"/>
        </w:rPr>
      </w:pPr>
      <w:r w:rsidRPr="00E758FF">
        <w:rPr>
          <w:rFonts w:eastAsia="Calibri" w:cs="Traditional Arabic"/>
          <w:noProof/>
          <w:sz w:val="24"/>
          <w:szCs w:val="24"/>
          <w:lang w:val="en-ID" w:eastAsia="en-US"/>
        </w:rPr>
        <w:lastRenderedPageBreak/>
        <w:drawing>
          <wp:inline distT="0" distB="0" distL="0" distR="0" wp14:anchorId="2019DB49">
            <wp:extent cx="4636477" cy="3018155"/>
            <wp:effectExtent l="0" t="0" r="0" b="0"/>
            <wp:docPr id="213476263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22" cstate="print">
                      <a:extLst>
                        <a:ext uri="{28A0092B-C50C-407E-A947-70E740481C1C}">
                          <a14:useLocalDpi xmlns:a14="http://schemas.microsoft.com/office/drawing/2010/main" val="0"/>
                        </a:ext>
                      </a:extLst>
                    </a:blip>
                    <a:srcRect r="3927"/>
                    <a:stretch/>
                  </pic:blipFill>
                  <pic:spPr bwMode="auto">
                    <a:xfrm>
                      <a:off x="0" y="0"/>
                      <a:ext cx="4636477" cy="3018155"/>
                    </a:xfrm>
                    <a:prstGeom prst="rect">
                      <a:avLst/>
                    </a:prstGeom>
                    <a:noFill/>
                    <a:ln>
                      <a:noFill/>
                    </a:ln>
                    <a:extLst>
                      <a:ext uri="{53640926-AAD7-44D8-BBD7-CCE9431645EC}">
                        <a14:shadowObscured xmlns:a14="http://schemas.microsoft.com/office/drawing/2010/main"/>
                      </a:ext>
                    </a:extLst>
                  </pic:spPr>
                </pic:pic>
              </a:graphicData>
            </a:graphic>
          </wp:inline>
        </w:drawing>
      </w:r>
    </w:p>
    <w:p w:rsidR="003D1BD8" w:rsidRPr="003D1BD8" w:rsidRDefault="003D1BD8" w:rsidP="009207CC">
      <w:pPr>
        <w:spacing w:before="120" w:after="120"/>
        <w:ind w:left="440" w:right="-1" w:hanging="14"/>
        <w:jc w:val="center"/>
        <w:rPr>
          <w:rFonts w:ascii="Calibri Light" w:hAnsi="Calibri Light" w:cs="Calibri Light"/>
          <w:i/>
          <w:iCs/>
          <w:sz w:val="24"/>
          <w:szCs w:val="24"/>
        </w:rPr>
      </w:pPr>
      <w:r w:rsidRPr="003D1BD8">
        <w:rPr>
          <w:rFonts w:ascii="Calibri Light" w:hAnsi="Calibri Light" w:cs="Calibri Light"/>
          <w:b/>
          <w:bCs/>
          <w:i/>
          <w:iCs/>
          <w:sz w:val="24"/>
          <w:szCs w:val="24"/>
        </w:rPr>
        <w:t xml:space="preserve">Figure 10. </w:t>
      </w:r>
      <w:r w:rsidRPr="003D1BD8">
        <w:rPr>
          <w:rFonts w:ascii="Calibri Light" w:hAnsi="Calibri Light" w:cs="Calibri Light"/>
          <w:i/>
          <w:iCs/>
          <w:sz w:val="24"/>
          <w:szCs w:val="24"/>
        </w:rPr>
        <w:t>Keyword co-occurrence network</w:t>
      </w:r>
    </w:p>
    <w:p w:rsidR="003915B9" w:rsidRDefault="003D1BD8" w:rsidP="00B25EDF">
      <w:pPr>
        <w:spacing w:before="120" w:after="120"/>
        <w:ind w:left="440" w:right="-1" w:hanging="14"/>
        <w:jc w:val="both"/>
        <w:rPr>
          <w:rFonts w:ascii="Calibri Light" w:hAnsi="Calibri Light" w:cs="Calibri Light"/>
          <w:sz w:val="24"/>
          <w:szCs w:val="24"/>
        </w:rPr>
      </w:pPr>
      <w:r w:rsidRPr="003D1BD8">
        <w:rPr>
          <w:rFonts w:ascii="Calibri Light" w:hAnsi="Calibri Light" w:cs="Calibri Light"/>
          <w:sz w:val="24"/>
          <w:szCs w:val="24"/>
        </w:rPr>
        <w:t xml:space="preserve">The green cluster encompasses behavioral and social concepts like "trust," "service quality," and "religiosity," indicating a growing research interest in customer perception and satisfaction within Islamic finance. The orange cluster explores themes related to "corporate social responsibility" and "sustainable development," emphasizing the ethical and socially responsible dimensions of Islamic banking. On the other hand, the purple cluster reflects the geographical scope of the literature, with countries such as "Indonesia," "Pakistan," and "Malaysia" featuring prominently, as they represent key markets for Islamic financial services </w:t>
      </w:r>
      <w:r w:rsidR="00F737F3">
        <w:rPr>
          <w:rFonts w:ascii="Calibri Light" w:hAnsi="Calibri Light" w:cs="Calibri Light"/>
          <w:sz w:val="24"/>
          <w:szCs w:val="24"/>
        </w:rPr>
        <w:fldChar w:fldCharType="begin" w:fldLock="1"/>
      </w:r>
      <w:r w:rsidR="00E15343">
        <w:rPr>
          <w:rFonts w:ascii="Calibri Light" w:hAnsi="Calibri Light" w:cs="Calibri Light"/>
          <w:sz w:val="24"/>
          <w:szCs w:val="24"/>
        </w:rPr>
        <w:instrText>ADDIN CSL_CITATION {"citationItems":[{"id":"ITEM-1","itemData":{"DOI":"10.34291/BV2022/03/Strukelj","ISSN":"00065722 (ISSN)","abstract":"In the lecture for Hans Urs von Balthasar's memorial-day in Basel (July 3rd 2021) is presented the sorrowful lifepath of Henri de Lubac. Under the chief idea “Mediation as a common task” is described as the lasting friendship and cooperation of the two eminent theologians. In the genuine Ignatian “sentire cum Ecclesia” they were architects of bridges. They understood and performed their role of mediation as interpreters of precious treasures. “Two really great Jesuits of the 20th century” (Joseph Cardinal Ratzinger) constructed the Catholic symphony for a more radiant glorification of God. © 2022 Štrukelj, CC BY 4.0.","author":[{"dropping-particle":"","family":"Štrukelj","given":"A","non-dropping-particle":"","parse-names":false,"suffix":""}],"container-title":"Bogoslovni Vestnik","id":"ITEM-1","issue":"3","issued":{"date-parts":[["2022"]]},"language":"German","page":"737-759","publisher":"Univerza v Ljubljani","title":"Grateful Remembrance of Henri Cardinal de Lubac on the Occasion 30th Anniversary of His Death (Sept. 4, 1991): Lecture at the Hans Urs von Balthasar Memorial Day, in Basel, 3 July 2021","type":"article-journal","volume":"82"},"uris":["http://www.mendeley.com/documents/?uuid=a7ef26cc-9b19-4d41-8c8c-caa5ddd121a0"]}],"mendeley":{"formattedCitation":"(Štrukelj, 2022)","plainTextFormattedCitation":"(Štrukelj, 2022)","previouslyFormattedCitation":"(Štrukelj, 2022)"},"properties":{"noteIndex":0},"schema":"https://github.com/citation-style-language/schema/raw/master/csl-citation.json"}</w:instrText>
      </w:r>
      <w:r w:rsidR="00F737F3">
        <w:rPr>
          <w:rFonts w:ascii="Calibri Light" w:hAnsi="Calibri Light" w:cs="Calibri Light"/>
          <w:sz w:val="24"/>
          <w:szCs w:val="24"/>
        </w:rPr>
        <w:fldChar w:fldCharType="separate"/>
      </w:r>
      <w:r w:rsidR="00F737F3" w:rsidRPr="00F737F3">
        <w:rPr>
          <w:rFonts w:ascii="Calibri Light" w:hAnsi="Calibri Light" w:cs="Calibri Light"/>
          <w:noProof/>
          <w:sz w:val="24"/>
          <w:szCs w:val="24"/>
        </w:rPr>
        <w:t>(</w:t>
      </w:r>
      <w:hyperlink w:anchor="Štrukelj" w:history="1">
        <w:r w:rsidR="00F737F3" w:rsidRPr="00A47ADB">
          <w:rPr>
            <w:rStyle w:val="Hyperlink"/>
            <w:rFonts w:ascii="Calibri Light" w:hAnsi="Calibri Light" w:cs="Calibri Light"/>
            <w:noProof/>
            <w:sz w:val="24"/>
            <w:szCs w:val="24"/>
          </w:rPr>
          <w:t>Štrukelj</w:t>
        </w:r>
      </w:hyperlink>
      <w:r w:rsidR="00F737F3" w:rsidRPr="00F737F3">
        <w:rPr>
          <w:rFonts w:ascii="Calibri Light" w:hAnsi="Calibri Light" w:cs="Calibri Light"/>
          <w:noProof/>
          <w:sz w:val="24"/>
          <w:szCs w:val="24"/>
        </w:rPr>
        <w:t>, 2022)</w:t>
      </w:r>
      <w:r w:rsidR="00F737F3">
        <w:rPr>
          <w:rFonts w:ascii="Calibri Light" w:hAnsi="Calibri Light" w:cs="Calibri Light"/>
          <w:sz w:val="24"/>
          <w:szCs w:val="24"/>
        </w:rPr>
        <w:fldChar w:fldCharType="end"/>
      </w:r>
      <w:r w:rsidRPr="003D1BD8">
        <w:rPr>
          <w:rFonts w:ascii="Calibri Light" w:hAnsi="Calibri Light" w:cs="Calibri Light"/>
          <w:sz w:val="24"/>
          <w:szCs w:val="24"/>
        </w:rPr>
        <w:t xml:space="preserve">. The light blue cluster addresses technical and economic aspects, including "financial performance" and "regression analysis." Meanwhile, the yellow cluster highlights key Islamic finance instruments such as "Murabaha" and "Musharakah," shedding light on the operational mechanisms within Islamic banks </w:t>
      </w:r>
      <w:r w:rsidR="002E383A">
        <w:rPr>
          <w:rFonts w:ascii="Calibri Light" w:hAnsi="Calibri Light" w:cs="Calibri Light"/>
          <w:sz w:val="24"/>
          <w:szCs w:val="24"/>
        </w:rPr>
        <w:fldChar w:fldCharType="begin" w:fldLock="1"/>
      </w:r>
      <w:r w:rsidR="002E383A">
        <w:rPr>
          <w:rFonts w:ascii="Calibri Light" w:hAnsi="Calibri Light" w:cs="Calibri Light"/>
          <w:sz w:val="24"/>
          <w:szCs w:val="24"/>
        </w:rPr>
        <w:instrText>ADDIN CSL_CITATION {"citationItems":[{"id":"ITEM-1","itemData":{"DOI":"10.1016/j.cpa.2022.102449","ISSN":"10452354 (ISSN)","abstract":"This paper explores the manner in which a range of issues relating to emotional propensities – including ethics, trust, fear and institutional exploitation of these – shape perceptions about the Islamic banking industry in the UK. Much of the ethos and practice of Shariah that originally defined such activities have been lost amidst the hegemony of global capital(ism) and a lack of innovation, transparency and social concern have been cited as potential sources of alienation for consumers otherwise likely to be interested in Islamic financial services. However, understanding regarding the impact of emotion in this context is very limited, despite potentially representing motivations for a broad range of financial decision-making. A critical accounting framework is used here to interpret evidence from a series of 32 interviews conducted with UK-based Muslims. The analysis unmasks the hidden interests of Islamic banks and suggests that enhanced stakeholder participation might be transformational in terms of meeting societal needs provided that the complex, but powerful, impact of emotional propensities is recognised. © 2022 The Authors","author":[{"dropping-particle":"","family":"Riaz","given":"U","non-dropping-particle":"","parse-names":false,"suffix":""},{"dropping-particle":"","family":"Burton","given":"B","non-dropping-particle":"","parse-names":false,"suffix":""},{"dropping-particle":"","family":"Fearfull","given":"A","non-dropping-particle":"","parse-names":false,"suffix":""}],"container-title":"Critical Perspectives on Accounting","id":"ITEM-1","issued":{"date-parts":[["2023"]]},"language":"English","publisher":"Academic Press","publisher-place":"Aston Business School, Aston University, Aston Street, Birmingham, B4 7ET, United Kingdom","title":"Emotional propensities and the contemporary Islamic banking industry","type":"article-journal","volume":"94"},"uris":["http://www.mendeley.com/documents/?uuid=268eb3d3-3191-4ae2-867a-02f1668c8007"]}],"mendeley":{"formattedCitation":"(Riaz et al., 2023)","plainTextFormattedCitation":"(Riaz et al., 2023)","previouslyFormattedCitation":"(Riaz et al., 2023)"},"properties":{"noteIndex":0},"schema":"https://github.com/citation-style-language/schema/raw/master/csl-citation.json"}</w:instrText>
      </w:r>
      <w:r w:rsidR="002E383A">
        <w:rPr>
          <w:rFonts w:ascii="Calibri Light" w:hAnsi="Calibri Light" w:cs="Calibri Light"/>
          <w:sz w:val="24"/>
          <w:szCs w:val="24"/>
        </w:rPr>
        <w:fldChar w:fldCharType="separate"/>
      </w:r>
      <w:r w:rsidR="002E383A" w:rsidRPr="002E383A">
        <w:rPr>
          <w:rFonts w:ascii="Calibri Light" w:hAnsi="Calibri Light" w:cs="Calibri Light"/>
          <w:noProof/>
          <w:sz w:val="24"/>
          <w:szCs w:val="24"/>
        </w:rPr>
        <w:t>(</w:t>
      </w:r>
      <w:hyperlink w:anchor="Riaz" w:history="1">
        <w:r w:rsidR="002E383A" w:rsidRPr="00A47ADB">
          <w:rPr>
            <w:rStyle w:val="Hyperlink"/>
            <w:rFonts w:ascii="Calibri Light" w:hAnsi="Calibri Light" w:cs="Calibri Light"/>
            <w:noProof/>
            <w:sz w:val="24"/>
            <w:szCs w:val="24"/>
          </w:rPr>
          <w:t>Riaz et al.</w:t>
        </w:r>
      </w:hyperlink>
      <w:r w:rsidR="002E383A" w:rsidRPr="002E383A">
        <w:rPr>
          <w:rFonts w:ascii="Calibri Light" w:hAnsi="Calibri Light" w:cs="Calibri Light"/>
          <w:noProof/>
          <w:sz w:val="24"/>
          <w:szCs w:val="24"/>
        </w:rPr>
        <w:t>, 2023)</w:t>
      </w:r>
      <w:r w:rsidR="002E383A">
        <w:rPr>
          <w:rFonts w:ascii="Calibri Light" w:hAnsi="Calibri Light" w:cs="Calibri Light"/>
          <w:sz w:val="24"/>
          <w:szCs w:val="24"/>
        </w:rPr>
        <w:fldChar w:fldCharType="end"/>
      </w:r>
      <w:r w:rsidRPr="003D1BD8">
        <w:rPr>
          <w:rFonts w:ascii="Calibri Light" w:hAnsi="Calibri Light" w:cs="Calibri Light"/>
          <w:sz w:val="24"/>
          <w:szCs w:val="24"/>
        </w:rPr>
        <w:t>. This visualization provides a structured overview of the main research themes, subtopics, and interconnections within Islamic banking.</w:t>
      </w:r>
    </w:p>
    <w:p w:rsidR="003D1BD8" w:rsidRPr="003D1BD8" w:rsidRDefault="003D1BD8" w:rsidP="003D1BD8">
      <w:pPr>
        <w:spacing w:before="120" w:after="120"/>
        <w:ind w:left="440" w:right="-1" w:hanging="14"/>
        <w:jc w:val="center"/>
        <w:rPr>
          <w:rFonts w:ascii="Calibri Light" w:hAnsi="Calibri Light" w:cs="Calibri Light"/>
          <w:b/>
          <w:bCs/>
          <w:sz w:val="24"/>
          <w:szCs w:val="24"/>
        </w:rPr>
      </w:pPr>
      <w:r w:rsidRPr="003D1BD8">
        <w:rPr>
          <w:rFonts w:ascii="Calibri Light" w:hAnsi="Calibri Light" w:cs="Calibri Light"/>
          <w:b/>
          <w:bCs/>
          <w:sz w:val="24"/>
          <w:szCs w:val="24"/>
        </w:rPr>
        <w:t>Table 4.</w:t>
      </w:r>
      <w:r>
        <w:rPr>
          <w:rFonts w:ascii="Calibri Light" w:hAnsi="Calibri Light" w:cs="Calibri Light"/>
          <w:b/>
          <w:bCs/>
          <w:sz w:val="24"/>
          <w:szCs w:val="24"/>
        </w:rPr>
        <w:t xml:space="preserve"> </w:t>
      </w:r>
      <w:r w:rsidRPr="003D1BD8">
        <w:rPr>
          <w:rFonts w:ascii="Calibri Light" w:hAnsi="Calibri Light" w:cs="Calibri Light"/>
          <w:b/>
          <w:bCs/>
          <w:sz w:val="24"/>
          <w:szCs w:val="24"/>
        </w:rPr>
        <w:t>The top 10 keywords on occurrence</w:t>
      </w:r>
    </w:p>
    <w:tbl>
      <w:tblPr>
        <w:tblW w:w="5524" w:type="dxa"/>
        <w:jc w:val="center"/>
        <w:tblBorders>
          <w:top w:val="single" w:sz="4" w:space="0" w:color="000000"/>
          <w:bottom w:val="single" w:sz="4" w:space="0" w:color="000000"/>
          <w:insideH w:val="single" w:sz="4" w:space="0" w:color="000000"/>
        </w:tblBorders>
        <w:tblLook w:val="04A0" w:firstRow="1" w:lastRow="0" w:firstColumn="1" w:lastColumn="0" w:noHBand="0" w:noVBand="1"/>
      </w:tblPr>
      <w:tblGrid>
        <w:gridCol w:w="1670"/>
        <w:gridCol w:w="1049"/>
        <w:gridCol w:w="1361"/>
        <w:gridCol w:w="1444"/>
      </w:tblGrid>
      <w:tr w:rsidR="003D1BD8" w:rsidRPr="001C6AF3" w:rsidTr="001C6AF3">
        <w:trPr>
          <w:jc w:val="center"/>
        </w:trPr>
        <w:tc>
          <w:tcPr>
            <w:tcW w:w="1670" w:type="dxa"/>
            <w:shd w:val="clear" w:color="auto" w:fill="D9D9D9"/>
            <w:vAlign w:val="center"/>
          </w:tcPr>
          <w:p w:rsidR="003D1BD8" w:rsidRPr="001C6AF3" w:rsidRDefault="003D1BD8" w:rsidP="001C6AF3">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1C6AF3">
              <w:rPr>
                <w:rFonts w:ascii="Calibri Light" w:hAnsi="Calibri Light" w:cs="Calibri Light"/>
                <w:b/>
                <w:bCs/>
                <w:szCs w:val="24"/>
              </w:rPr>
              <w:t>keywords</w:t>
            </w:r>
          </w:p>
        </w:tc>
        <w:tc>
          <w:tcPr>
            <w:tcW w:w="1049" w:type="dxa"/>
            <w:shd w:val="clear" w:color="auto" w:fill="D9D9D9"/>
            <w:vAlign w:val="center"/>
          </w:tcPr>
          <w:p w:rsidR="003D1BD8" w:rsidRPr="001C6AF3" w:rsidRDefault="003D1BD8" w:rsidP="001C6AF3">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1C6AF3">
              <w:rPr>
                <w:rFonts w:ascii="Calibri Light" w:hAnsi="Calibri Light" w:cs="Calibri Light"/>
                <w:b/>
                <w:bCs/>
                <w:szCs w:val="24"/>
              </w:rPr>
              <w:t>Cluster</w:t>
            </w:r>
          </w:p>
        </w:tc>
        <w:tc>
          <w:tcPr>
            <w:tcW w:w="1361" w:type="dxa"/>
            <w:shd w:val="clear" w:color="auto" w:fill="D9D9D9"/>
            <w:vAlign w:val="center"/>
          </w:tcPr>
          <w:p w:rsidR="003D1BD8" w:rsidRPr="001C6AF3" w:rsidRDefault="003D1BD8" w:rsidP="001C6AF3">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1C6AF3">
              <w:rPr>
                <w:rFonts w:ascii="Calibri Light" w:hAnsi="Calibri Light" w:cs="Calibri Light"/>
                <w:b/>
                <w:bCs/>
                <w:szCs w:val="24"/>
              </w:rPr>
              <w:t>Occurrences</w:t>
            </w:r>
          </w:p>
        </w:tc>
        <w:tc>
          <w:tcPr>
            <w:tcW w:w="1444" w:type="dxa"/>
            <w:shd w:val="clear" w:color="auto" w:fill="D9D9D9"/>
            <w:vAlign w:val="center"/>
          </w:tcPr>
          <w:p w:rsidR="003D1BD8" w:rsidRPr="001C6AF3" w:rsidRDefault="003D1BD8" w:rsidP="001C6AF3">
            <w:pPr>
              <w:pStyle w:val="ListParagraph"/>
              <w:widowControl w:val="0"/>
              <w:tabs>
                <w:tab w:val="num" w:pos="851"/>
              </w:tabs>
              <w:suppressAutoHyphens/>
              <w:spacing w:after="0" w:line="240" w:lineRule="auto"/>
              <w:ind w:left="0"/>
              <w:contextualSpacing w:val="0"/>
              <w:jc w:val="center"/>
              <w:rPr>
                <w:rFonts w:ascii="Calibri Light" w:hAnsi="Calibri Light" w:cs="Calibri Light"/>
                <w:b/>
                <w:bCs/>
                <w:szCs w:val="24"/>
              </w:rPr>
            </w:pPr>
            <w:r w:rsidRPr="001C6AF3">
              <w:rPr>
                <w:rFonts w:ascii="Calibri Light" w:hAnsi="Calibri Light" w:cs="Calibri Light"/>
                <w:b/>
                <w:bCs/>
                <w:szCs w:val="24"/>
              </w:rPr>
              <w:t>Total link Strength</w:t>
            </w:r>
          </w:p>
        </w:tc>
      </w:tr>
      <w:tr w:rsidR="003D1BD8" w:rsidRPr="001C6AF3" w:rsidTr="001C6AF3">
        <w:trPr>
          <w:jc w:val="center"/>
        </w:trPr>
        <w:tc>
          <w:tcPr>
            <w:tcW w:w="1670" w:type="dxa"/>
          </w:tcPr>
          <w:p w:rsidR="003D1BD8" w:rsidRPr="001C6AF3" w:rsidRDefault="003D1BD8" w:rsidP="003D1BD8">
            <w:pPr>
              <w:rPr>
                <w:rFonts w:ascii="Calibri Light" w:hAnsi="Calibri Light" w:cs="Calibri Light"/>
              </w:rPr>
            </w:pPr>
            <w:r w:rsidRPr="001C6AF3">
              <w:rPr>
                <w:rFonts w:ascii="Calibri Light" w:hAnsi="Calibri Light" w:cs="Calibri Light"/>
              </w:rPr>
              <w:t>Islamic banking</w:t>
            </w:r>
          </w:p>
        </w:tc>
        <w:tc>
          <w:tcPr>
            <w:tcW w:w="1049"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3</w:t>
            </w:r>
          </w:p>
        </w:tc>
        <w:tc>
          <w:tcPr>
            <w:tcW w:w="1361"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559</w:t>
            </w:r>
          </w:p>
        </w:tc>
        <w:tc>
          <w:tcPr>
            <w:tcW w:w="1444"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818</w:t>
            </w:r>
          </w:p>
        </w:tc>
      </w:tr>
      <w:tr w:rsidR="003D1BD8" w:rsidRPr="001C6AF3" w:rsidTr="001C6AF3">
        <w:trPr>
          <w:jc w:val="center"/>
        </w:trPr>
        <w:tc>
          <w:tcPr>
            <w:tcW w:w="1670" w:type="dxa"/>
          </w:tcPr>
          <w:p w:rsidR="003D1BD8" w:rsidRPr="001C6AF3" w:rsidRDefault="003D1BD8" w:rsidP="003D1BD8">
            <w:pPr>
              <w:rPr>
                <w:rFonts w:ascii="Calibri Light" w:hAnsi="Calibri Light" w:cs="Calibri Light"/>
              </w:rPr>
            </w:pPr>
            <w:r w:rsidRPr="001C6AF3">
              <w:rPr>
                <w:rFonts w:ascii="Calibri Light" w:hAnsi="Calibri Light" w:cs="Calibri Light"/>
              </w:rPr>
              <w:t xml:space="preserve">Basel accord </w:t>
            </w:r>
          </w:p>
        </w:tc>
        <w:tc>
          <w:tcPr>
            <w:tcW w:w="1049"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2</w:t>
            </w:r>
          </w:p>
        </w:tc>
        <w:tc>
          <w:tcPr>
            <w:tcW w:w="1361"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30</w:t>
            </w:r>
          </w:p>
        </w:tc>
        <w:tc>
          <w:tcPr>
            <w:tcW w:w="1444"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41</w:t>
            </w:r>
          </w:p>
        </w:tc>
      </w:tr>
      <w:tr w:rsidR="003D1BD8" w:rsidRPr="001C6AF3" w:rsidTr="001C6AF3">
        <w:trPr>
          <w:jc w:val="center"/>
        </w:trPr>
        <w:tc>
          <w:tcPr>
            <w:tcW w:w="1670" w:type="dxa"/>
          </w:tcPr>
          <w:p w:rsidR="003D1BD8" w:rsidRPr="001C6AF3" w:rsidRDefault="003D1BD8" w:rsidP="003D1BD8">
            <w:pPr>
              <w:rPr>
                <w:rFonts w:ascii="Calibri Light" w:hAnsi="Calibri Light" w:cs="Calibri Light"/>
              </w:rPr>
            </w:pPr>
            <w:r w:rsidRPr="001C6AF3">
              <w:rPr>
                <w:rFonts w:ascii="Calibri Light" w:hAnsi="Calibri Light" w:cs="Calibri Light"/>
              </w:rPr>
              <w:t xml:space="preserve">Islamic finance </w:t>
            </w:r>
          </w:p>
        </w:tc>
        <w:tc>
          <w:tcPr>
            <w:tcW w:w="1049"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3</w:t>
            </w:r>
          </w:p>
        </w:tc>
        <w:tc>
          <w:tcPr>
            <w:tcW w:w="1361"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104</w:t>
            </w:r>
          </w:p>
        </w:tc>
        <w:tc>
          <w:tcPr>
            <w:tcW w:w="1444"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166</w:t>
            </w:r>
          </w:p>
        </w:tc>
      </w:tr>
      <w:tr w:rsidR="003D1BD8" w:rsidRPr="001C6AF3" w:rsidTr="001C6AF3">
        <w:trPr>
          <w:jc w:val="center"/>
        </w:trPr>
        <w:tc>
          <w:tcPr>
            <w:tcW w:w="1670" w:type="dxa"/>
          </w:tcPr>
          <w:p w:rsidR="003D1BD8" w:rsidRPr="001C6AF3" w:rsidRDefault="003D1BD8" w:rsidP="003D1BD8">
            <w:pPr>
              <w:rPr>
                <w:rFonts w:ascii="Calibri Light" w:hAnsi="Calibri Light" w:cs="Calibri Light"/>
              </w:rPr>
            </w:pPr>
            <w:r w:rsidRPr="001C6AF3">
              <w:rPr>
                <w:rFonts w:ascii="Calibri Light" w:hAnsi="Calibri Light" w:cs="Calibri Light"/>
              </w:rPr>
              <w:t xml:space="preserve">Banking </w:t>
            </w:r>
          </w:p>
        </w:tc>
        <w:tc>
          <w:tcPr>
            <w:tcW w:w="1049"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5</w:t>
            </w:r>
          </w:p>
        </w:tc>
        <w:tc>
          <w:tcPr>
            <w:tcW w:w="1361"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90</w:t>
            </w:r>
          </w:p>
        </w:tc>
        <w:tc>
          <w:tcPr>
            <w:tcW w:w="1444"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342</w:t>
            </w:r>
          </w:p>
        </w:tc>
      </w:tr>
      <w:tr w:rsidR="003D1BD8" w:rsidRPr="001C6AF3" w:rsidTr="001C6AF3">
        <w:trPr>
          <w:jc w:val="center"/>
        </w:trPr>
        <w:tc>
          <w:tcPr>
            <w:tcW w:w="1670" w:type="dxa"/>
          </w:tcPr>
          <w:p w:rsidR="003D1BD8" w:rsidRPr="001C6AF3" w:rsidRDefault="003D1BD8" w:rsidP="003D1BD8">
            <w:pPr>
              <w:rPr>
                <w:rFonts w:ascii="Calibri Light" w:hAnsi="Calibri Light" w:cs="Calibri Light"/>
              </w:rPr>
            </w:pPr>
            <w:r w:rsidRPr="001C6AF3">
              <w:rPr>
                <w:rFonts w:ascii="Calibri Light" w:hAnsi="Calibri Light" w:cs="Calibri Light"/>
              </w:rPr>
              <w:t xml:space="preserve">Islamic Marketing </w:t>
            </w:r>
          </w:p>
        </w:tc>
        <w:tc>
          <w:tcPr>
            <w:tcW w:w="1049"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7</w:t>
            </w:r>
          </w:p>
        </w:tc>
        <w:tc>
          <w:tcPr>
            <w:tcW w:w="1361"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14</w:t>
            </w:r>
          </w:p>
        </w:tc>
        <w:tc>
          <w:tcPr>
            <w:tcW w:w="1444"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21</w:t>
            </w:r>
          </w:p>
        </w:tc>
      </w:tr>
      <w:tr w:rsidR="003D1BD8" w:rsidRPr="001C6AF3" w:rsidTr="001C6AF3">
        <w:trPr>
          <w:jc w:val="center"/>
        </w:trPr>
        <w:tc>
          <w:tcPr>
            <w:tcW w:w="1670" w:type="dxa"/>
          </w:tcPr>
          <w:p w:rsidR="003D1BD8" w:rsidRPr="001C6AF3" w:rsidRDefault="003D1BD8" w:rsidP="003D1BD8">
            <w:pPr>
              <w:rPr>
                <w:rFonts w:ascii="Calibri Light" w:hAnsi="Calibri Light" w:cs="Calibri Light"/>
              </w:rPr>
            </w:pPr>
            <w:r w:rsidRPr="001C6AF3">
              <w:rPr>
                <w:rFonts w:ascii="Calibri Light" w:hAnsi="Calibri Light" w:cs="Calibri Light"/>
              </w:rPr>
              <w:t>Islamic Economics</w:t>
            </w:r>
          </w:p>
        </w:tc>
        <w:tc>
          <w:tcPr>
            <w:tcW w:w="1049"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1</w:t>
            </w:r>
          </w:p>
        </w:tc>
        <w:tc>
          <w:tcPr>
            <w:tcW w:w="1361"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11</w:t>
            </w:r>
          </w:p>
        </w:tc>
        <w:tc>
          <w:tcPr>
            <w:tcW w:w="1444"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10</w:t>
            </w:r>
          </w:p>
        </w:tc>
      </w:tr>
      <w:tr w:rsidR="003D1BD8" w:rsidRPr="001C6AF3" w:rsidTr="001C6AF3">
        <w:trPr>
          <w:jc w:val="center"/>
        </w:trPr>
        <w:tc>
          <w:tcPr>
            <w:tcW w:w="1670" w:type="dxa"/>
          </w:tcPr>
          <w:p w:rsidR="003D1BD8" w:rsidRPr="001C6AF3" w:rsidRDefault="003D1BD8" w:rsidP="003D1BD8">
            <w:pPr>
              <w:rPr>
                <w:rFonts w:ascii="Calibri Light" w:hAnsi="Calibri Light" w:cs="Calibri Light"/>
              </w:rPr>
            </w:pPr>
            <w:r w:rsidRPr="001C6AF3">
              <w:rPr>
                <w:rFonts w:ascii="Calibri Light" w:hAnsi="Calibri Light" w:cs="Calibri Light"/>
              </w:rPr>
              <w:t>Financial crisis</w:t>
            </w:r>
          </w:p>
        </w:tc>
        <w:tc>
          <w:tcPr>
            <w:tcW w:w="1049"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1</w:t>
            </w:r>
          </w:p>
        </w:tc>
        <w:tc>
          <w:tcPr>
            <w:tcW w:w="1361"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29</w:t>
            </w:r>
          </w:p>
        </w:tc>
        <w:tc>
          <w:tcPr>
            <w:tcW w:w="1444"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83</w:t>
            </w:r>
          </w:p>
        </w:tc>
      </w:tr>
      <w:tr w:rsidR="003D1BD8" w:rsidRPr="001C6AF3" w:rsidTr="001C6AF3">
        <w:trPr>
          <w:jc w:val="center"/>
        </w:trPr>
        <w:tc>
          <w:tcPr>
            <w:tcW w:w="1670" w:type="dxa"/>
          </w:tcPr>
          <w:p w:rsidR="003D1BD8" w:rsidRPr="001C6AF3" w:rsidRDefault="003D1BD8" w:rsidP="003D1BD8">
            <w:pPr>
              <w:rPr>
                <w:rFonts w:ascii="Calibri Light" w:hAnsi="Calibri Light" w:cs="Calibri Light"/>
              </w:rPr>
            </w:pPr>
            <w:r w:rsidRPr="001C6AF3">
              <w:rPr>
                <w:rFonts w:ascii="Calibri Light" w:hAnsi="Calibri Light" w:cs="Calibri Light"/>
              </w:rPr>
              <w:t>Basal iii</w:t>
            </w:r>
          </w:p>
        </w:tc>
        <w:tc>
          <w:tcPr>
            <w:tcW w:w="1049"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1</w:t>
            </w:r>
          </w:p>
        </w:tc>
        <w:tc>
          <w:tcPr>
            <w:tcW w:w="1361"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16</w:t>
            </w:r>
          </w:p>
        </w:tc>
        <w:tc>
          <w:tcPr>
            <w:tcW w:w="1444"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31</w:t>
            </w:r>
          </w:p>
        </w:tc>
      </w:tr>
      <w:tr w:rsidR="003D1BD8" w:rsidRPr="001C6AF3" w:rsidTr="001C6AF3">
        <w:trPr>
          <w:jc w:val="center"/>
        </w:trPr>
        <w:tc>
          <w:tcPr>
            <w:tcW w:w="1670" w:type="dxa"/>
          </w:tcPr>
          <w:p w:rsidR="003D1BD8" w:rsidRPr="001C6AF3" w:rsidRDefault="003D1BD8" w:rsidP="003D1BD8">
            <w:pPr>
              <w:rPr>
                <w:rFonts w:ascii="Calibri Light" w:hAnsi="Calibri Light" w:cs="Calibri Light"/>
              </w:rPr>
            </w:pPr>
            <w:r w:rsidRPr="001C6AF3">
              <w:rPr>
                <w:rFonts w:ascii="Calibri Light" w:hAnsi="Calibri Light" w:cs="Calibri Light"/>
              </w:rPr>
              <w:t>fintech</w:t>
            </w:r>
          </w:p>
        </w:tc>
        <w:tc>
          <w:tcPr>
            <w:tcW w:w="1049"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3</w:t>
            </w:r>
          </w:p>
        </w:tc>
        <w:tc>
          <w:tcPr>
            <w:tcW w:w="1361"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10</w:t>
            </w:r>
          </w:p>
        </w:tc>
        <w:tc>
          <w:tcPr>
            <w:tcW w:w="1444"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24</w:t>
            </w:r>
          </w:p>
        </w:tc>
      </w:tr>
      <w:tr w:rsidR="003D1BD8" w:rsidRPr="001C6AF3" w:rsidTr="001C6AF3">
        <w:trPr>
          <w:jc w:val="center"/>
        </w:trPr>
        <w:tc>
          <w:tcPr>
            <w:tcW w:w="1670" w:type="dxa"/>
          </w:tcPr>
          <w:p w:rsidR="003D1BD8" w:rsidRPr="001C6AF3" w:rsidRDefault="003D1BD8" w:rsidP="003D1BD8">
            <w:pPr>
              <w:rPr>
                <w:rFonts w:ascii="Calibri Light" w:hAnsi="Calibri Light" w:cs="Calibri Light"/>
              </w:rPr>
            </w:pPr>
            <w:r w:rsidRPr="001C6AF3">
              <w:rPr>
                <w:rFonts w:ascii="Calibri Light" w:hAnsi="Calibri Light" w:cs="Calibri Light"/>
              </w:rPr>
              <w:t>sharia</w:t>
            </w:r>
          </w:p>
        </w:tc>
        <w:tc>
          <w:tcPr>
            <w:tcW w:w="1049"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3</w:t>
            </w:r>
          </w:p>
        </w:tc>
        <w:tc>
          <w:tcPr>
            <w:tcW w:w="1361"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12</w:t>
            </w:r>
          </w:p>
        </w:tc>
        <w:tc>
          <w:tcPr>
            <w:tcW w:w="1444" w:type="dxa"/>
          </w:tcPr>
          <w:p w:rsidR="003D1BD8" w:rsidRPr="001C6AF3" w:rsidRDefault="003D1BD8" w:rsidP="001C6AF3">
            <w:pPr>
              <w:jc w:val="center"/>
              <w:rPr>
                <w:rFonts w:ascii="Calibri Light" w:hAnsi="Calibri Light" w:cs="Calibri Light"/>
              </w:rPr>
            </w:pPr>
            <w:r w:rsidRPr="001C6AF3">
              <w:rPr>
                <w:rFonts w:ascii="Calibri Light" w:hAnsi="Calibri Light" w:cs="Calibri Light"/>
              </w:rPr>
              <w:t>25</w:t>
            </w:r>
          </w:p>
        </w:tc>
      </w:tr>
    </w:tbl>
    <w:p w:rsidR="003915B9" w:rsidRDefault="003D1BD8" w:rsidP="003460F1">
      <w:pPr>
        <w:spacing w:before="120" w:after="120"/>
        <w:ind w:left="440" w:right="-1" w:hanging="14"/>
        <w:jc w:val="both"/>
        <w:rPr>
          <w:rFonts w:ascii="Calibri Light" w:hAnsi="Calibri Light" w:cs="Calibri Light"/>
          <w:sz w:val="24"/>
          <w:szCs w:val="24"/>
        </w:rPr>
      </w:pPr>
      <w:r w:rsidRPr="003D1BD8">
        <w:rPr>
          <w:rFonts w:ascii="Calibri Light" w:hAnsi="Calibri Light" w:cs="Calibri Light"/>
          <w:sz w:val="24"/>
          <w:szCs w:val="24"/>
        </w:rPr>
        <w:lastRenderedPageBreak/>
        <w:tab/>
        <w:t xml:space="preserve">Table 4 presents key terms frequently appearing in the literature on Islamic banking, distributed across different conceptual clusters. "Islamic banking" ranks highest in both frequency (559) and total link strength (818), followed by "Islamic finance" and "Banking", highlighting their central role in the field. Terms such as "Basel accord" and "Basel III" appear in separate clusters, indicating a research focus on risk and financial regulation. Meanwhile, "Fintech" and "Islamic Marketing" reflect a shift toward technology and Islamic consumer behavior. Concepts like "Sharia" and "Islamic economics" emphasize the field's ethical and jurisprudential dimensions, showcasing the thematic diversity and interdisciplinary nature of Islamic banking research </w:t>
      </w:r>
      <w:r w:rsidR="003A66C6">
        <w:rPr>
          <w:rFonts w:ascii="Calibri Light" w:hAnsi="Calibri Light" w:cs="Calibri Light"/>
          <w:sz w:val="24"/>
          <w:szCs w:val="24"/>
        </w:rPr>
        <w:fldChar w:fldCharType="begin" w:fldLock="1"/>
      </w:r>
      <w:r w:rsidR="003A66C6">
        <w:rPr>
          <w:rFonts w:ascii="Calibri Light" w:hAnsi="Calibri Light" w:cs="Calibri Light"/>
          <w:sz w:val="24"/>
          <w:szCs w:val="24"/>
        </w:rPr>
        <w:instrText>ADDIN CSL_CITATION {"citationItems":[{"id":"ITEM-1","itemData":{"DOI":"10.1108/JM2-10-2020-0256","ISSN":"17465664 (ISSN)","abstract":"Purpose: This paper aims to compare perceptions of Islamic bank customers concerning FinTech services in Malaysia and Saudi Arabia. It also investigates the level to which customers are willing to adapt FinTech services. Design/methodology/approach: Primary data was collected from May to September 2019 using a questionnaire to survey 102 Islamic bank customers in Malaysia and 147 in Saudi Arabia. The data are analyzed based on Structural Equation Modelling using the partial least squares approach. Findings: The findings show that knowledge, attitude and subjective norms are the highly significant determining factors that influence customers’ opinions on adapting to new technology, but awareness demonstrates only a moderately positive effect. Moreover, the impact of these factors on the intention to adopt FinTech services significantly differs between Malaysian and Saudi Arabian customers. Originality/value: This is an original study based on primary data on customers of Islamic banking in Malaysia and Saudi Arabia. It provides some novel insights into how the banking industry can boost customers’ confidence and enhance their patronage by adopting FinTech in their business operation model. These findings should be of value to senior management, policymakers and regulators in the banking industry in both Muslim and non-Muslim countries. © 2021, Emerald Publishing Limited.","author":[{"dropping-particle":"","family":"Oladapo","given":"I A","non-dropping-particle":"","parse-names":false,"suffix":""},{"dropping-particle":"","family":"Hamoudah","given":"M M","non-dropping-particle":"","parse-names":false,"suffix":""},{"dropping-particle":"","family":"Alam","given":"M M","non-dropping-particle":"","parse-names":false,"suffix":""},{"dropping-particle":"","family":"Olaopa","given":"O R","non-dropping-particle":"","parse-names":false,"suffix":""},{"dropping-particle":"","family":"Muda","given":"R","non-dropping-particle":"","parse-names":false,"suffix":""}],"container-title":"Journal of Modelling in Management","id":"ITEM-1","issue":"4","issued":{"date-parts":[["2022"]]},"language":"English","page":"1241-1261","publisher":"Emerald Publishing","publisher-place":"Department of Economics, College of Business Administration, Imam Abdulrahman Bin Faisal University, Dammam, Saudi Arabia","title":"Customers’ perceptions of FinTech adaptability in the Islamic banking sector: comparative study on Malaysia and Saudi Arabia","type":"article-journal","volume":"17"},"uris":["http://www.mendeley.com/documents/?uuid=8581a9d8-8bb6-4f14-8724-b4523c74ec70"]}],"mendeley":{"formattedCitation":"(Oladapo et al., 2022)","plainTextFormattedCitation":"(Oladapo et al., 2022)","previouslyFormattedCitation":"(Oladapo et al., 2022)"},"properties":{"noteIndex":0},"schema":"https://github.com/citation-style-language/schema/raw/master/csl-citation.json"}</w:instrText>
      </w:r>
      <w:r w:rsidR="003A66C6">
        <w:rPr>
          <w:rFonts w:ascii="Calibri Light" w:hAnsi="Calibri Light" w:cs="Calibri Light"/>
          <w:sz w:val="24"/>
          <w:szCs w:val="24"/>
        </w:rPr>
        <w:fldChar w:fldCharType="separate"/>
      </w:r>
      <w:r w:rsidR="003A66C6" w:rsidRPr="003A66C6">
        <w:rPr>
          <w:rFonts w:ascii="Calibri Light" w:hAnsi="Calibri Light" w:cs="Calibri Light"/>
          <w:noProof/>
          <w:sz w:val="24"/>
          <w:szCs w:val="24"/>
        </w:rPr>
        <w:t>(</w:t>
      </w:r>
      <w:hyperlink w:anchor="Oladapo" w:history="1">
        <w:r w:rsidR="003A66C6" w:rsidRPr="00A47ADB">
          <w:rPr>
            <w:rStyle w:val="Hyperlink"/>
            <w:rFonts w:ascii="Calibri Light" w:hAnsi="Calibri Light" w:cs="Calibri Light"/>
            <w:noProof/>
            <w:sz w:val="24"/>
            <w:szCs w:val="24"/>
          </w:rPr>
          <w:t>Oladapo et al.</w:t>
        </w:r>
      </w:hyperlink>
      <w:r w:rsidR="003A66C6" w:rsidRPr="003A66C6">
        <w:rPr>
          <w:rFonts w:ascii="Calibri Light" w:hAnsi="Calibri Light" w:cs="Calibri Light"/>
          <w:noProof/>
          <w:sz w:val="24"/>
          <w:szCs w:val="24"/>
        </w:rPr>
        <w:t>, 2022)</w:t>
      </w:r>
      <w:r w:rsidR="003A66C6">
        <w:rPr>
          <w:rFonts w:ascii="Calibri Light" w:hAnsi="Calibri Light" w:cs="Calibri Light"/>
          <w:sz w:val="24"/>
          <w:szCs w:val="24"/>
        </w:rPr>
        <w:fldChar w:fldCharType="end"/>
      </w:r>
      <w:r w:rsidRPr="003D1BD8">
        <w:rPr>
          <w:rFonts w:ascii="Calibri Light" w:hAnsi="Calibri Light" w:cs="Calibri Light"/>
          <w:sz w:val="24"/>
          <w:szCs w:val="24"/>
        </w:rPr>
        <w:t>.</w:t>
      </w:r>
    </w:p>
    <w:p w:rsidR="003D1BD8" w:rsidRDefault="003D1BD8" w:rsidP="003D1BD8">
      <w:pPr>
        <w:spacing w:before="120" w:after="120"/>
        <w:ind w:left="440" w:right="-1" w:hanging="14"/>
        <w:jc w:val="center"/>
        <w:rPr>
          <w:rFonts w:ascii="Calibri Light" w:hAnsi="Calibri Light" w:cs="Calibri Light"/>
          <w:sz w:val="24"/>
          <w:szCs w:val="24"/>
        </w:rPr>
      </w:pPr>
      <w:r w:rsidRPr="00415A81">
        <w:rPr>
          <w:rFonts w:eastAsia="Calibri" w:cs="Traditional Arabic"/>
          <w:noProof/>
          <w:sz w:val="24"/>
          <w:szCs w:val="24"/>
          <w:lang w:val="en-ID" w:eastAsia="en-US"/>
        </w:rPr>
        <w:drawing>
          <wp:inline distT="0" distB="0" distL="0" distR="0" wp14:anchorId="5E5B824B">
            <wp:extent cx="4015740" cy="1677809"/>
            <wp:effectExtent l="0" t="0" r="3810" b="0"/>
            <wp:docPr id="467653790"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020956" cy="1679988"/>
                    </a:xfrm>
                    <a:prstGeom prst="rect">
                      <a:avLst/>
                    </a:prstGeom>
                    <a:noFill/>
                    <a:ln>
                      <a:noFill/>
                    </a:ln>
                  </pic:spPr>
                </pic:pic>
              </a:graphicData>
            </a:graphic>
          </wp:inline>
        </w:drawing>
      </w:r>
    </w:p>
    <w:p w:rsidR="003D1BD8" w:rsidRPr="003D1BD8" w:rsidRDefault="003D1BD8" w:rsidP="003D1BD8">
      <w:pPr>
        <w:spacing w:before="120" w:after="120"/>
        <w:ind w:left="440" w:right="-1" w:hanging="14"/>
        <w:jc w:val="center"/>
        <w:rPr>
          <w:rFonts w:ascii="Calibri Light" w:hAnsi="Calibri Light" w:cs="Calibri Light"/>
          <w:i/>
          <w:iCs/>
          <w:sz w:val="24"/>
          <w:szCs w:val="24"/>
        </w:rPr>
      </w:pPr>
      <w:r w:rsidRPr="003D1BD8">
        <w:rPr>
          <w:rFonts w:ascii="Calibri Light" w:hAnsi="Calibri Light" w:cs="Calibri Light"/>
          <w:b/>
          <w:bCs/>
          <w:i/>
          <w:iCs/>
          <w:sz w:val="24"/>
          <w:szCs w:val="24"/>
        </w:rPr>
        <w:t>Figure 11.</w:t>
      </w:r>
      <w:r w:rsidRPr="003D1BD8">
        <w:rPr>
          <w:rFonts w:ascii="Calibri Light" w:hAnsi="Calibri Light" w:cs="Calibri Light"/>
          <w:i/>
          <w:iCs/>
          <w:sz w:val="24"/>
          <w:szCs w:val="24"/>
        </w:rPr>
        <w:t xml:space="preserve"> The word cloud of strategic Basel and Islamic Banking research</w:t>
      </w:r>
    </w:p>
    <w:p w:rsidR="003915B9" w:rsidRDefault="00B86838" w:rsidP="00B25EDF">
      <w:pPr>
        <w:spacing w:before="120" w:after="120"/>
        <w:ind w:left="440" w:right="-1" w:hanging="14"/>
        <w:jc w:val="both"/>
        <w:rPr>
          <w:rFonts w:ascii="Calibri Light" w:hAnsi="Calibri Light" w:cs="Calibri Light"/>
          <w:sz w:val="24"/>
          <w:szCs w:val="24"/>
        </w:rPr>
      </w:pPr>
      <w:r w:rsidRPr="00B86838">
        <w:rPr>
          <w:rFonts w:ascii="Calibri Light" w:hAnsi="Calibri Light" w:cs="Calibri Light"/>
          <w:sz w:val="24"/>
          <w:szCs w:val="24"/>
        </w:rPr>
        <w:t xml:space="preserve">Figure 11 presents a word cloud in the image above that highlights the central focus on Basel Accords and Islamic Banking topics, with frequent associations to key economic and financial concepts. The prominence of terms such as Basel Accords, Islamic Banking, economy, Islam, and bank reflects the dominant themes within this research field. Regulatory frameworks and Sharia-compliant financial practices form the core of scholarly interest </w:t>
      </w:r>
      <w:r w:rsidR="009E6AF8">
        <w:rPr>
          <w:rFonts w:ascii="Calibri Light" w:hAnsi="Calibri Light" w:cs="Calibri Light"/>
          <w:sz w:val="24"/>
          <w:szCs w:val="24"/>
        </w:rPr>
        <w:fldChar w:fldCharType="begin" w:fldLock="1"/>
      </w:r>
      <w:r w:rsidR="009B4597">
        <w:rPr>
          <w:rFonts w:ascii="Calibri Light" w:hAnsi="Calibri Light" w:cs="Calibri Light"/>
          <w:sz w:val="24"/>
          <w:szCs w:val="24"/>
        </w:rPr>
        <w:instrText>ADDIN CSL_CITATION {"citationItems":[{"id":"ITEM-1","itemData":{"DOI":"10.1504/IJBIR.2024.141616","ISSN":"17510252 (ISSN)","abstract":"Through banking supervision, the Basel 3 reports strengthen the solidity of financial stability and compatibility among national supervisory systems and practices. This study examines the role of Basel 3 under core requirement using regulatory capital, capital adequacy ratio, and financial gearing ratio to improve internal audit quality. The methodology used involved a quantitative method using questionnaires distributed among internal audit, risk management and credit staff in 20 banks, after which 79 from the distributed 90 questionnaires were deemed valid for analysis. The software used for processing and analysing data was smart PLS. After data analysis, the study results showed that there is a statistically significant positive moderating role of Basel 3 Committee in improving internal audit quality under corporate governance in Jordanian commercial banks. © 2024 Inderscience Enterprises Ltd.","author":[{"dropping-particle":"","family":"Al-Olaimat","given":"N H","non-dropping-particle":"","parse-names":false,"suffix":""},{"dropping-particle":"","family":"Hamdan","given":"M N","non-dropping-particle":"","parse-names":false,"suffix":""},{"dropping-particle":"","family":"Al-Deen Al-Sraheen","given":"D","non-dropping-particle":"","parse-names":false,"suffix":""},{"dropping-particle":"","family":"Alali","given":"H A","non-dropping-particle":"","parse-names":false,"suffix":""}],"container-title":"International Journal of Business Innovation and Research","id":"ITEM-1","issue":"2","issued":{"date-parts":[["2024"]]},"language":"English","page":"157-172","publisher":"Inderscience Publishers","publisher-place":"Accounting Department, Al-Bayt University, Jordan","title":"The role of the core requirements of Basel 3 Committee’s decisions in improving internal audit quality under corporate governance in Jordanian commercial banks","type":"article-journal","volume":"35"},"uris":["http://www.mendeley.com/documents/?uuid=9b000495-b4b5-4015-85fc-b1ba0f0a6ba9"]}],"mendeley":{"formattedCitation":"(Al-Olaimat et al., 2024)","plainTextFormattedCitation":"(Al-Olaimat et al., 2024)","previouslyFormattedCitation":"(Al-Olaimat et al., 2024)"},"properties":{"noteIndex":0},"schema":"https://github.com/citation-style-language/schema/raw/master/csl-citation.json"}</w:instrText>
      </w:r>
      <w:r w:rsidR="009E6AF8">
        <w:rPr>
          <w:rFonts w:ascii="Calibri Light" w:hAnsi="Calibri Light" w:cs="Calibri Light"/>
          <w:sz w:val="24"/>
          <w:szCs w:val="24"/>
        </w:rPr>
        <w:fldChar w:fldCharType="separate"/>
      </w:r>
      <w:r w:rsidR="009E6AF8" w:rsidRPr="009E6AF8">
        <w:rPr>
          <w:rFonts w:ascii="Calibri Light" w:hAnsi="Calibri Light" w:cs="Calibri Light"/>
          <w:noProof/>
          <w:sz w:val="24"/>
          <w:szCs w:val="24"/>
        </w:rPr>
        <w:t>(</w:t>
      </w:r>
      <w:hyperlink w:anchor="AlOlaimat" w:history="1">
        <w:r w:rsidR="009E6AF8" w:rsidRPr="00080E27">
          <w:rPr>
            <w:rStyle w:val="Hyperlink"/>
            <w:rFonts w:ascii="Calibri Light" w:hAnsi="Calibri Light" w:cs="Calibri Light"/>
            <w:noProof/>
            <w:sz w:val="24"/>
            <w:szCs w:val="24"/>
          </w:rPr>
          <w:t>Al-Olaimat et al.</w:t>
        </w:r>
      </w:hyperlink>
      <w:r w:rsidR="009E6AF8" w:rsidRPr="009E6AF8">
        <w:rPr>
          <w:rFonts w:ascii="Calibri Light" w:hAnsi="Calibri Light" w:cs="Calibri Light"/>
          <w:noProof/>
          <w:sz w:val="24"/>
          <w:szCs w:val="24"/>
        </w:rPr>
        <w:t>, 2024)</w:t>
      </w:r>
      <w:r w:rsidR="009E6AF8">
        <w:rPr>
          <w:rFonts w:ascii="Calibri Light" w:hAnsi="Calibri Light" w:cs="Calibri Light"/>
          <w:sz w:val="24"/>
          <w:szCs w:val="24"/>
        </w:rPr>
        <w:fldChar w:fldCharType="end"/>
      </w:r>
      <w:r w:rsidRPr="00B86838">
        <w:rPr>
          <w:rFonts w:ascii="Calibri Light" w:hAnsi="Calibri Light" w:cs="Calibri Light"/>
          <w:sz w:val="24"/>
          <w:szCs w:val="24"/>
        </w:rPr>
        <w:t xml:space="preserve">. Including words like finance, regulation, risk, and compliance strongly emphasizes the legal and economic dimensions of banking operations. Furthermore, terms such as development, stability, and growth suggest a broader concern with the macroeconomic implications and the evolving role of Islamic finance within global financial systems </w:t>
      </w:r>
      <w:r w:rsidR="009E6AF8">
        <w:rPr>
          <w:rFonts w:ascii="Calibri Light" w:hAnsi="Calibri Light" w:cs="Calibri Light"/>
          <w:sz w:val="24"/>
          <w:szCs w:val="24"/>
        </w:rPr>
        <w:fldChar w:fldCharType="begin" w:fldLock="1"/>
      </w:r>
      <w:r w:rsidR="009E6AF8">
        <w:rPr>
          <w:rFonts w:ascii="Calibri Light" w:hAnsi="Calibri Light" w:cs="Calibri Light"/>
          <w:sz w:val="24"/>
          <w:szCs w:val="24"/>
        </w:rPr>
        <w:instrText>ADDIN CSL_CITATION {"citationItems":[{"id":"ITEM-1","itemData":{"DOI":"10.1080/13501763.2020.1725096","ISSN":"13501763 (ISSN)","abstract":"This article examines to what extent regulatory import (RI), a common, but understudied mode of governance in regime complexes, was a separate factor of the global financial crisis in 2008. RI describes a specific mode of governance that occurs when regulators explicitly incorporate functionally important governance from an external forum to their own regulations, thus making their own performance dependent on external agency. While RI is associated with benefits, such as specialisation, it could cause unintended consequences. The one-sided dependence on external authority could result in the import of non-complementary governance or regulatory failures and undermine the regulator’s performance. We illustrate our argument with the Basel Committee on Banking Supervision that imported governance authority from the International Accounting Standards Board and credit rating agencies. The paper finds two negative consequences of RI for the Basel Committee’s regulatory performance in the 2008 financial crisis. First, uncoordinated changes of accounting rules increased pro-cyclical effects that exacerbated the banking crisis. Second, import of credit risk measurement from credit rating agencies led to misjudgement of risk exposure. © 2020 Informa UK Limited, trading as Taylor &amp; Francis Group.","author":[{"dropping-particle":"","family":"Becker","given":"M","non-dropping-particle":"","parse-names":false,"suffix":""},{"dropping-particle":"","family":"Linder","given":"S","non-dropping-particle":"","parse-names":false,"suffix":""}],"container-title":"Journal of European Public Policy","id":"ITEM-1","issue":"2","issued":{"date-parts":[["2021"]]},"language":"English","page":"248-267","publisher":"Routledge","publisher-place":"Institute for Political Science, Otto-Friedrich-University of Bamberg, Bamberg, Germany","title":"The unintended consequences of regulatory import: the Basel Accord’s failure during the financial crisis","type":"article-journal","volume":"28"},"uris":["http://www.mendeley.com/documents/?uuid=2985e9fc-f8bf-4289-9c7f-46e41de13f90"]}],"mendeley":{"formattedCitation":"(Becker &amp; Linder, 2021)","plainTextFormattedCitation":"(Becker &amp; Linder, 2021)","previouslyFormattedCitation":"(Becker &amp; Linder, 2021)"},"properties":{"noteIndex":0},"schema":"https://github.com/citation-style-language/schema/raw/master/csl-citation.json"}</w:instrText>
      </w:r>
      <w:r w:rsidR="009E6AF8">
        <w:rPr>
          <w:rFonts w:ascii="Calibri Light" w:hAnsi="Calibri Light" w:cs="Calibri Light"/>
          <w:sz w:val="24"/>
          <w:szCs w:val="24"/>
        </w:rPr>
        <w:fldChar w:fldCharType="separate"/>
      </w:r>
      <w:r w:rsidR="009E6AF8" w:rsidRPr="009E6AF8">
        <w:rPr>
          <w:rFonts w:ascii="Calibri Light" w:hAnsi="Calibri Light" w:cs="Calibri Light"/>
          <w:noProof/>
          <w:sz w:val="24"/>
          <w:szCs w:val="24"/>
        </w:rPr>
        <w:t>(</w:t>
      </w:r>
      <w:hyperlink w:anchor="Becker" w:history="1">
        <w:r w:rsidR="009E6AF8" w:rsidRPr="00434A6A">
          <w:rPr>
            <w:rStyle w:val="Hyperlink"/>
            <w:rFonts w:ascii="Calibri Light" w:hAnsi="Calibri Light" w:cs="Calibri Light"/>
            <w:noProof/>
            <w:sz w:val="24"/>
            <w:szCs w:val="24"/>
          </w:rPr>
          <w:t>Becker &amp; Linder</w:t>
        </w:r>
      </w:hyperlink>
      <w:r w:rsidR="009E6AF8" w:rsidRPr="009E6AF8">
        <w:rPr>
          <w:rFonts w:ascii="Calibri Light" w:hAnsi="Calibri Light" w:cs="Calibri Light"/>
          <w:noProof/>
          <w:sz w:val="24"/>
          <w:szCs w:val="24"/>
        </w:rPr>
        <w:t>, 2021)</w:t>
      </w:r>
      <w:r w:rsidR="009E6AF8">
        <w:rPr>
          <w:rFonts w:ascii="Calibri Light" w:hAnsi="Calibri Light" w:cs="Calibri Light"/>
          <w:sz w:val="24"/>
          <w:szCs w:val="24"/>
        </w:rPr>
        <w:fldChar w:fldCharType="end"/>
      </w:r>
      <w:r w:rsidRPr="00B86838">
        <w:rPr>
          <w:rFonts w:ascii="Calibri Light" w:hAnsi="Calibri Light" w:cs="Calibri Light"/>
          <w:sz w:val="24"/>
          <w:szCs w:val="24"/>
        </w:rPr>
        <w:t>.</w:t>
      </w:r>
    </w:p>
    <w:p w:rsidR="00B86838" w:rsidRPr="00B86838" w:rsidRDefault="00D25C5E" w:rsidP="00B25EDF">
      <w:pPr>
        <w:spacing w:before="120" w:after="120"/>
        <w:ind w:left="440" w:right="-1" w:hanging="14"/>
        <w:jc w:val="both"/>
        <w:rPr>
          <w:rFonts w:ascii="Calibri Light" w:hAnsi="Calibri Light" w:cs="Calibri Light"/>
          <w:b/>
          <w:bCs/>
          <w:sz w:val="24"/>
          <w:szCs w:val="24"/>
        </w:rPr>
      </w:pPr>
      <w:r w:rsidRPr="00B86838">
        <w:rPr>
          <w:rFonts w:ascii="Calibri Light" w:hAnsi="Calibri Light" w:cs="Calibri Light"/>
          <w:b/>
          <w:bCs/>
          <w:sz w:val="24"/>
          <w:szCs w:val="24"/>
        </w:rPr>
        <w:t>Discussion</w:t>
      </w:r>
    </w:p>
    <w:p w:rsidR="00B86838" w:rsidRPr="00B86838" w:rsidRDefault="00B86838" w:rsidP="00B86838">
      <w:pPr>
        <w:spacing w:before="120" w:after="120"/>
        <w:ind w:left="440" w:right="-1" w:hanging="14"/>
        <w:jc w:val="both"/>
        <w:rPr>
          <w:rFonts w:ascii="Calibri Light" w:hAnsi="Calibri Light" w:cs="Calibri Light"/>
          <w:sz w:val="24"/>
          <w:szCs w:val="24"/>
        </w:rPr>
      </w:pPr>
      <w:r w:rsidRPr="00B86838">
        <w:rPr>
          <w:rFonts w:ascii="Calibri Light" w:hAnsi="Calibri Light" w:cs="Calibri Light"/>
          <w:sz w:val="24"/>
          <w:szCs w:val="24"/>
        </w:rPr>
        <w:t xml:space="preserve">The bibliometric analysis in this study shows a significant growth in research related to the Basel Accords and Islamic banking, reflecting the increasing interest in this dynamic academic field. Since 2015, there has been a steady rise in publications addressing the impact of Basel regulations on Islamic banking systems, with notable peaks in 2020 and 2022. This upward trend is influenced not only by the implementation timeline of Basel III but also by external factors such as the COVID-19 pandemic, which amplified concerns about financial stability and liquidity management in both conventional and Islamic financial institutions </w:t>
      </w:r>
      <w:r w:rsidR="00216D84">
        <w:rPr>
          <w:rFonts w:ascii="Calibri Light" w:hAnsi="Calibri Light" w:cs="Calibri Light"/>
          <w:sz w:val="24"/>
          <w:szCs w:val="24"/>
        </w:rPr>
        <w:fldChar w:fldCharType="begin" w:fldLock="1"/>
      </w:r>
      <w:r w:rsidR="00216D84">
        <w:rPr>
          <w:rFonts w:ascii="Calibri Light" w:hAnsi="Calibri Light" w:cs="Calibri Light"/>
          <w:sz w:val="24"/>
          <w:szCs w:val="24"/>
        </w:rPr>
        <w:instrText>ADDIN CSL_CITATION {"citationItems":[{"id":"ITEM-1","itemData":{"DOI":"10.1108/JIABR-09-2020-0298","ISSN":"17590817 (ISSN)","abstract":"Purpose: The purpose of this paper is to investigate the impact of basel accord on the Bangladeshi bank performance including Islamic banks and the role of subordinated debt (sub-debt) as basel regulatory capital (BRC). Design/methodology/approach: The authors conducted the empirical investigation by adopting a quantitative approach and using the secondary data available in the annual reports of the sample banks between 2009 and 2018. This paper develops an econometric model to compare and analyze the regression result under two states of capital-to-risk adjusted assets ratio (CRAR) with sub-debt and CRAR without sub-debt. This paper analyzes the impact of sub-debt in the largest Islamic bank for the year 2007 as a case study for endorsing the findings. Findings: This paper finds that CRAR has positive alignments with return on equity (ROE) and cash dividend when sub-debt is considered as Tier 2 capital. This paper observes that the huge bad loan write-off supports to downsize the asset size thus temporarily enhance the return on assets (ROA). In a nutshell, sub-debt gives banks an ill incentive to disburse steady cash dividends instead of injecting genuine equity capital, encouraging them to take more credit risk. In fact, more private commercial banks (PCBs) issued huge sub-debts between 2009 and 2018 under a unique arrangement, which the authors termed as the “sub-debt trap.” Research limitations/implications: This paper draws policy implications for the banking regulator to identify and rectify a systemic problem of the “sub-debt trap” which hinders the regulatory purpose from the implementation of basel accord II and III. A limitation of this study is the authors shed analytical light on Bangladeshi banks, i.e. it a single country analysis which may not be generalized to other developing countries except matching with a similar context. Originality/value: The paper contributes to accumulating empirical studies on the effectiveness of basel accord implementation in developing countries. In most of the developing countries, where institutional loopholes are a major concern, the research provides evidence that how weak institutional settings are largely responsible for harvesting the potential benefit from micro-prudential regulation such as the basel accord. To shed analytical light on developing country context, the study document that sub-debt has been instrumentalized to maintain minimum capital ratio and banks managers tends more focus on improvi…","author":[{"dropping-particle":"","family":"Hasan","given":"A.K.M.K.","non-dropping-particle":"","parse-names":false,"suffix":""},{"dropping-particle":"","family":"Suzuki","given":"Y","non-dropping-particle":"","parse-names":false,"suffix":""}],"container-title":"Journal of Islamic Accounting and Business Research","id":"ITEM-1","issue":"8","issued":{"date-parts":[["2021"]]},"language":"English","page":"1124-1145","publisher":"Emerald Group Holdings Ltd.","publisher-place":"University of Science and Technology Chittagong, Chittagong, Bangladesh","title":"“Sub-debt trap”: a real effect of an ill-design adoption of basel accord in the Bangladeshi banking industry","type":"article-journal","volume":"12"},"uris":["http://www.mendeley.com/documents/?uuid=0c08a2ac-792c-46d5-bf00-50e053aff9ce"]}],"mendeley":{"formattedCitation":"(Hasan &amp; Suzuki, 2021)","plainTextFormattedCitation":"(Hasan &amp; Suzuki, 2021)","previouslyFormattedCitation":"(Hasan &amp; Suzuki, 2021)"},"properties":{"noteIndex":0},"schema":"https://github.com/citation-style-language/schema/raw/master/csl-citation.json"}</w:instrText>
      </w:r>
      <w:r w:rsidR="00216D84">
        <w:rPr>
          <w:rFonts w:ascii="Calibri Light" w:hAnsi="Calibri Light" w:cs="Calibri Light"/>
          <w:sz w:val="24"/>
          <w:szCs w:val="24"/>
        </w:rPr>
        <w:fldChar w:fldCharType="separate"/>
      </w:r>
      <w:r w:rsidR="00216D84" w:rsidRPr="00216D84">
        <w:rPr>
          <w:rFonts w:ascii="Calibri Light" w:hAnsi="Calibri Light" w:cs="Calibri Light"/>
          <w:noProof/>
          <w:sz w:val="24"/>
          <w:szCs w:val="24"/>
        </w:rPr>
        <w:t>(</w:t>
      </w:r>
      <w:hyperlink w:anchor="Hasan" w:history="1">
        <w:r w:rsidR="00216D84" w:rsidRPr="004231BE">
          <w:rPr>
            <w:rStyle w:val="Hyperlink"/>
            <w:rFonts w:ascii="Calibri Light" w:hAnsi="Calibri Light" w:cs="Calibri Light"/>
            <w:noProof/>
            <w:sz w:val="24"/>
            <w:szCs w:val="24"/>
          </w:rPr>
          <w:t>Hasan &amp; Suzuki</w:t>
        </w:r>
      </w:hyperlink>
      <w:r w:rsidR="00216D84" w:rsidRPr="00216D84">
        <w:rPr>
          <w:rFonts w:ascii="Calibri Light" w:hAnsi="Calibri Light" w:cs="Calibri Light"/>
          <w:noProof/>
          <w:sz w:val="24"/>
          <w:szCs w:val="24"/>
        </w:rPr>
        <w:t>, 2021)</w:t>
      </w:r>
      <w:r w:rsidR="00216D84">
        <w:rPr>
          <w:rFonts w:ascii="Calibri Light" w:hAnsi="Calibri Light" w:cs="Calibri Light"/>
          <w:sz w:val="24"/>
          <w:szCs w:val="24"/>
        </w:rPr>
        <w:fldChar w:fldCharType="end"/>
      </w:r>
      <w:r w:rsidRPr="00B86838">
        <w:rPr>
          <w:rFonts w:ascii="Calibri Light" w:hAnsi="Calibri Light" w:cs="Calibri Light"/>
          <w:sz w:val="24"/>
          <w:szCs w:val="24"/>
        </w:rPr>
        <w:t xml:space="preserve">. Among Basel III components, the Liquidity Coverage Ratio (LCR) and the Net Stable Funding Ratio (NSFR) have received the most academic attention, as they directly affect Islamic banks' ability to maintain Sharia-compliant short-term and long-term funding structures. These requirements have posed challenges for Islamic financial institutions, which rely on asset-backed instruments and </w:t>
      </w:r>
      <w:r w:rsidRPr="00B86838">
        <w:rPr>
          <w:rFonts w:ascii="Calibri Light" w:hAnsi="Calibri Light" w:cs="Calibri Light"/>
          <w:sz w:val="24"/>
          <w:szCs w:val="24"/>
        </w:rPr>
        <w:lastRenderedPageBreak/>
        <w:t xml:space="preserve">avoid interest-based liquidity tools. Consequently, the Basel III and Islamic finance intersection has become a focal point for academic discourse during this period </w:t>
      </w:r>
      <w:r w:rsidR="003A66C6">
        <w:rPr>
          <w:rFonts w:ascii="Calibri Light" w:hAnsi="Calibri Light" w:cs="Calibri Light"/>
          <w:sz w:val="24"/>
          <w:szCs w:val="24"/>
        </w:rPr>
        <w:fldChar w:fldCharType="begin" w:fldLock="1"/>
      </w:r>
      <w:r w:rsidR="003A66C6">
        <w:rPr>
          <w:rFonts w:ascii="Calibri Light" w:hAnsi="Calibri Light" w:cs="Calibri Light"/>
          <w:sz w:val="24"/>
          <w:szCs w:val="24"/>
        </w:rPr>
        <w:instrText>ADDIN CSL_CITATION {"citationItems":[{"id":"ITEM-1","itemData":{"DOI":"10.1016/j.jretconser.2021.102558","ISSN":"09696989 (ISSN)","abstract":"Increased support from customers for Islamic financial services is very important to create resilience and competitiveness in the Islamic banking industry. By highlighting certain social activities, this paper estimates the role of Islamic banks’ CSR in influencing customer loyalty, both individually and through the integrated roles of image, trust, satisfaction, and reputation. These paths explore how CSR makes customers impressed, convinced, satisfied, amazed, and ultimately loyal to Islamic banks. The empirical analysis of partial least square structural equation modeling (n = 283) has shown that CSR directly and positively impacts loyalty. Indirectly, these two aspects have an insignificant relationship through the serial roles of image-reputation and satisfaction-reputation, but significant through the single role of reputation and the serial role of trust-reputation. This study has resulted in an updated prediction model of Islamic banking customer loyalty. The practical implication lies in the importance of developing CSR to generate trust and reputation which ultimately increase customer loyalty toward Islamic banks. © 2021 Elsevier Ltd","author":[{"dropping-particle":"","family":"Muflih","given":"M","non-dropping-particle":"","parse-names":false,"suffix":""}],"container-title":"Journal of Retailing and Consumer Services","id":"ITEM-1","issued":{"date-parts":[["2021"]]},"language":"English","publisher":"Elsevier Ltd","publisher-place":"Accounting Department, Politeknik Negeri Bandung, Indonesia","title":"The link between corporate social responsibility and customer loyalty: Empirical evidence from the Islamic banking industry","type":"article-journal","volume":"61"},"uris":["http://www.mendeley.com/documents/?uuid=7358261b-3c53-4757-b631-0991e5abf39d"]}],"mendeley":{"formattedCitation":"(Muflih, 2021)","plainTextFormattedCitation":"(Muflih, 2021)","previouslyFormattedCitation":"(Muflih, 2021)"},"properties":{"noteIndex":0},"schema":"https://github.com/citation-style-language/schema/raw/master/csl-citation.json"}</w:instrText>
      </w:r>
      <w:r w:rsidR="003A66C6">
        <w:rPr>
          <w:rFonts w:ascii="Calibri Light" w:hAnsi="Calibri Light" w:cs="Calibri Light"/>
          <w:sz w:val="24"/>
          <w:szCs w:val="24"/>
        </w:rPr>
        <w:fldChar w:fldCharType="separate"/>
      </w:r>
      <w:r w:rsidR="003A66C6" w:rsidRPr="003A66C6">
        <w:rPr>
          <w:rFonts w:ascii="Calibri Light" w:hAnsi="Calibri Light" w:cs="Calibri Light"/>
          <w:noProof/>
          <w:sz w:val="24"/>
          <w:szCs w:val="24"/>
        </w:rPr>
        <w:t>(</w:t>
      </w:r>
      <w:hyperlink w:anchor="Muflih" w:history="1">
        <w:r w:rsidR="003A66C6" w:rsidRPr="004231BE">
          <w:rPr>
            <w:rStyle w:val="Hyperlink"/>
            <w:rFonts w:ascii="Calibri Light" w:hAnsi="Calibri Light" w:cs="Calibri Light"/>
            <w:noProof/>
            <w:sz w:val="24"/>
            <w:szCs w:val="24"/>
          </w:rPr>
          <w:t>Muflih</w:t>
        </w:r>
      </w:hyperlink>
      <w:r w:rsidR="003A66C6" w:rsidRPr="003A66C6">
        <w:rPr>
          <w:rFonts w:ascii="Calibri Light" w:hAnsi="Calibri Light" w:cs="Calibri Light"/>
          <w:noProof/>
          <w:sz w:val="24"/>
          <w:szCs w:val="24"/>
        </w:rPr>
        <w:t>, 2021)</w:t>
      </w:r>
      <w:r w:rsidR="003A66C6">
        <w:rPr>
          <w:rFonts w:ascii="Calibri Light" w:hAnsi="Calibri Light" w:cs="Calibri Light"/>
          <w:sz w:val="24"/>
          <w:szCs w:val="24"/>
        </w:rPr>
        <w:fldChar w:fldCharType="end"/>
      </w:r>
      <w:r w:rsidRPr="00B86838">
        <w:rPr>
          <w:rFonts w:ascii="Calibri Light" w:hAnsi="Calibri Light" w:cs="Calibri Light"/>
          <w:sz w:val="24"/>
          <w:szCs w:val="24"/>
        </w:rPr>
        <w:t>.</w:t>
      </w:r>
    </w:p>
    <w:p w:rsidR="003915B9" w:rsidRDefault="00B86838" w:rsidP="00B86838">
      <w:pPr>
        <w:spacing w:before="120" w:after="120"/>
        <w:ind w:left="440" w:right="-1" w:hanging="14"/>
        <w:jc w:val="both"/>
        <w:rPr>
          <w:rFonts w:ascii="Calibri Light" w:hAnsi="Calibri Light" w:cs="Calibri Light"/>
          <w:sz w:val="24"/>
          <w:szCs w:val="24"/>
        </w:rPr>
      </w:pPr>
      <w:r w:rsidRPr="00B86838">
        <w:rPr>
          <w:rFonts w:ascii="Calibri Light" w:hAnsi="Calibri Light" w:cs="Calibri Light"/>
          <w:sz w:val="24"/>
          <w:szCs w:val="24"/>
        </w:rPr>
        <w:t xml:space="preserve">The analysis of influential authors highlights Dr. M.K. Hassan as a key figure, whose contributions have significantly shaped research in this area. These contributions serve as foundational references in understanding the research trends, reflecting the importance of in-depth studies to develop regulatory frameworks for Islamic banking and guide academic discourse on aligning global financial standards with Sharia-compliant practices. This role is crucial in ensuring Islamic banking systems adhere to international standards while addressing the unique challenges they face in global financial markets </w:t>
      </w:r>
      <w:r w:rsidR="003A66C6">
        <w:rPr>
          <w:rFonts w:ascii="Calibri Light" w:hAnsi="Calibri Light" w:cs="Calibri Light"/>
          <w:sz w:val="24"/>
          <w:szCs w:val="24"/>
        </w:rPr>
        <w:fldChar w:fldCharType="begin" w:fldLock="1"/>
      </w:r>
      <w:r w:rsidR="00216D84">
        <w:rPr>
          <w:rFonts w:ascii="Calibri Light" w:hAnsi="Calibri Light" w:cs="Calibri Light"/>
          <w:sz w:val="24"/>
          <w:szCs w:val="24"/>
        </w:rPr>
        <w:instrText>ADDIN CSL_CITATION {"citationItems":[{"id":"ITEM-1","itemData":{"DOI":"10.1016/j.iref.2022.02.014","ISSN":"10590560 (ISSN)","abstract":"In this paper, we examine the use of book-to-market equity (BE/ME) as a determinant of asset correlations in the Basel Accord on regulatory capital requirements. Utilizing an international sample from 38 countries during 1989–2017, we discover that asset correlations, controlling for firm size and default probability, are negatively associated with BE/ME. We further decompose BE/ME according to Daniel and Titman (2006) and Penman et al. (2007) to explore why BE/ME can capture variations in asset correlations. The former method demonstrates that obligors with higher assets-in-place (higher BE/ME) exhibit lower asset correlations, and the latter approach reveals that obligors with higher operating risk have lower asset correlations. These findings suggest that BE/ME is potentially a crucial factor in improving estimates of asset correlations and reducing bank regulatory capital arbitrage. © 2022 Elsevier Inc.","author":[{"dropping-particle":"","family":"Ho","given":"K.-C.","non-dropping-particle":"","parse-names":false,"suffix":""},{"dropping-particle":"","family":"Lee","given":"S.-C.","non-dropping-particle":"","parse-names":false,"suffix":""},{"dropping-particle":"","family":"Chen","given":"J.-L.","non-dropping-particle":"","parse-names":false,"suffix":""}],"container-title":"International Review of Economics and Finance","id":"ITEM-1","issued":{"date-parts":[["2022"]]},"language":"English","page":"258-274","publisher":"Elsevier Inc.","publisher-place":"School of Finance, Fuzhou University of International Studies and Trade, China","title":"Book-to-market equity and asset correlations—An international study","type":"article-journal","volume":"79"},"uris":["http://www.mendeley.com/documents/?uuid=603b181d-dc67-4f28-b928-e611a2dd6ac4"]}],"mendeley":{"formattedCitation":"(Ho et al., 2022)","plainTextFormattedCitation":"(Ho et al., 2022)","previouslyFormattedCitation":"(Ho et al., 2022)"},"properties":{"noteIndex":0},"schema":"https://github.com/citation-style-language/schema/raw/master/csl-citation.json"}</w:instrText>
      </w:r>
      <w:r w:rsidR="003A66C6">
        <w:rPr>
          <w:rFonts w:ascii="Calibri Light" w:hAnsi="Calibri Light" w:cs="Calibri Light"/>
          <w:sz w:val="24"/>
          <w:szCs w:val="24"/>
        </w:rPr>
        <w:fldChar w:fldCharType="separate"/>
      </w:r>
      <w:r w:rsidR="003A66C6" w:rsidRPr="003A66C6">
        <w:rPr>
          <w:rFonts w:ascii="Calibri Light" w:hAnsi="Calibri Light" w:cs="Calibri Light"/>
          <w:noProof/>
          <w:sz w:val="24"/>
          <w:szCs w:val="24"/>
        </w:rPr>
        <w:t>(</w:t>
      </w:r>
      <w:hyperlink w:anchor="Ho" w:history="1">
        <w:r w:rsidR="003A66C6" w:rsidRPr="004231BE">
          <w:rPr>
            <w:rStyle w:val="Hyperlink"/>
            <w:rFonts w:ascii="Calibri Light" w:hAnsi="Calibri Light" w:cs="Calibri Light"/>
            <w:noProof/>
            <w:sz w:val="24"/>
            <w:szCs w:val="24"/>
          </w:rPr>
          <w:t>Ho et al.</w:t>
        </w:r>
      </w:hyperlink>
      <w:r w:rsidR="003A66C6" w:rsidRPr="003A66C6">
        <w:rPr>
          <w:rFonts w:ascii="Calibri Light" w:hAnsi="Calibri Light" w:cs="Calibri Light"/>
          <w:noProof/>
          <w:sz w:val="24"/>
          <w:szCs w:val="24"/>
        </w:rPr>
        <w:t>, 2022)</w:t>
      </w:r>
      <w:r w:rsidR="003A66C6">
        <w:rPr>
          <w:rFonts w:ascii="Calibri Light" w:hAnsi="Calibri Light" w:cs="Calibri Light"/>
          <w:sz w:val="24"/>
          <w:szCs w:val="24"/>
        </w:rPr>
        <w:fldChar w:fldCharType="end"/>
      </w:r>
      <w:r w:rsidRPr="00B86838">
        <w:rPr>
          <w:rFonts w:ascii="Calibri Light" w:hAnsi="Calibri Light" w:cs="Calibri Light"/>
          <w:sz w:val="24"/>
          <w:szCs w:val="24"/>
        </w:rPr>
        <w:t>.</w:t>
      </w:r>
    </w:p>
    <w:p w:rsidR="00206C41" w:rsidRPr="00206C41" w:rsidRDefault="00206C41" w:rsidP="00206C41">
      <w:pPr>
        <w:spacing w:before="120" w:after="120"/>
        <w:ind w:left="440" w:right="-1" w:hanging="14"/>
        <w:jc w:val="both"/>
        <w:rPr>
          <w:rFonts w:ascii="Calibri Light" w:hAnsi="Calibri Light" w:cs="Calibri Light"/>
          <w:sz w:val="24"/>
          <w:szCs w:val="24"/>
        </w:rPr>
      </w:pPr>
      <w:r w:rsidRPr="00206C41">
        <w:rPr>
          <w:rFonts w:ascii="Calibri Light" w:hAnsi="Calibri Light" w:cs="Calibri Light"/>
          <w:sz w:val="24"/>
          <w:szCs w:val="24"/>
        </w:rPr>
        <w:t xml:space="preserve">Geographical analysis reveals that Islamic countries, especially Malaysia and Indonesia, have been central in academic research on the Basel Accords and Islamic banking. This can be attributed to their advanced institutional frameworks for Islamic finance, positioning them as leading research hubs in this field </w:t>
      </w:r>
      <w:r w:rsidR="003A66C6">
        <w:rPr>
          <w:rFonts w:ascii="Calibri Light" w:hAnsi="Calibri Light" w:cs="Calibri Light"/>
          <w:sz w:val="24"/>
          <w:szCs w:val="24"/>
        </w:rPr>
        <w:fldChar w:fldCharType="begin" w:fldLock="1"/>
      </w:r>
      <w:r w:rsidR="003A66C6">
        <w:rPr>
          <w:rFonts w:ascii="Calibri Light" w:hAnsi="Calibri Light" w:cs="Calibri Light"/>
          <w:sz w:val="24"/>
          <w:szCs w:val="24"/>
        </w:rPr>
        <w:instrText>ADDIN CSL_CITATION {"citationItems":[{"id":"ITEM-1","itemData":{"DOI":"10.1017/bap.2021.16","ISSN":"13695258 (ISSN)","abstract":"Recent developments in the international banking system, especially the 2007-9 crisis and subsequent wave of postcrisis regulation, have drawn increasing attention to the structural power of banks and banking systems. States need a functioning financial system to ensure the overall health of their economies, so states must shape policy to protect their financial firms. National financial systems may be dominated either by banks or by capital markets. In states where banks dominate provision of capital, states must shape policy to protect their banks because of their structural importance, independent of any lobbying or other direct action on the part of banks to exercise instrumental power. The entangling of structural and instrumental power means studying differences in structural power requires either careful case-study work or cross-national comparison of responses to a common shock. The implementation of the 2011 Basel III Accords provides just such an opportunity. This article offers a quantitative analysis of a new dataset of implementation of Basel III components in the Basel Committee on Banking Stability member states from 2011 to 2019 and demonstrates the structural power of banks in bank-based systems to accelerate implementation of favorable policies and slow implementation of unfavorable ones.  © The Author(s), 2021.","author":[{"dropping-particle":"","family":"Mitchell","given":"C","non-dropping-particle":"","parse-names":false,"suffix":""}],"container-title":"Business and Politics","id":"ITEM-1","issue":"1","issued":{"date-parts":[["2022"]]},"language":"English","page":"1-17","publisher":"Cambridge University Press","publisher-place":"Mount Holyoke College, South Hadley, 01075, MA, United States","title":"The Power of Delay: Banking System Structure and Implementation of the Basel Accords","type":"article-journal","volume":"24"},"uris":["http://www.mendeley.com/documents/?uuid=4f15959f-0bcc-42f0-8097-e03a767bd893"]}],"mendeley":{"formattedCitation":"(Mitchell, 2022)","plainTextFormattedCitation":"(Mitchell, 2022)","previouslyFormattedCitation":"(Mitchell, 2022)"},"properties":{"noteIndex":0},"schema":"https://github.com/citation-style-language/schema/raw/master/csl-citation.json"}</w:instrText>
      </w:r>
      <w:r w:rsidR="003A66C6">
        <w:rPr>
          <w:rFonts w:ascii="Calibri Light" w:hAnsi="Calibri Light" w:cs="Calibri Light"/>
          <w:sz w:val="24"/>
          <w:szCs w:val="24"/>
        </w:rPr>
        <w:fldChar w:fldCharType="separate"/>
      </w:r>
      <w:r w:rsidR="003A66C6" w:rsidRPr="003A66C6">
        <w:rPr>
          <w:rFonts w:ascii="Calibri Light" w:hAnsi="Calibri Light" w:cs="Calibri Light"/>
          <w:noProof/>
          <w:sz w:val="24"/>
          <w:szCs w:val="24"/>
        </w:rPr>
        <w:t>(</w:t>
      </w:r>
      <w:hyperlink w:anchor="Mitchell" w:history="1">
        <w:r w:rsidR="003A66C6" w:rsidRPr="004231BE">
          <w:rPr>
            <w:rStyle w:val="Hyperlink"/>
            <w:rFonts w:ascii="Calibri Light" w:hAnsi="Calibri Light" w:cs="Calibri Light"/>
            <w:noProof/>
            <w:sz w:val="24"/>
            <w:szCs w:val="24"/>
          </w:rPr>
          <w:t>Mitchell</w:t>
        </w:r>
      </w:hyperlink>
      <w:r w:rsidR="003A66C6" w:rsidRPr="003A66C6">
        <w:rPr>
          <w:rFonts w:ascii="Calibri Light" w:hAnsi="Calibri Light" w:cs="Calibri Light"/>
          <w:noProof/>
          <w:sz w:val="24"/>
          <w:szCs w:val="24"/>
        </w:rPr>
        <w:t>, 2022)</w:t>
      </w:r>
      <w:r w:rsidR="003A66C6">
        <w:rPr>
          <w:rFonts w:ascii="Calibri Light" w:hAnsi="Calibri Light" w:cs="Calibri Light"/>
          <w:sz w:val="24"/>
          <w:szCs w:val="24"/>
        </w:rPr>
        <w:fldChar w:fldCharType="end"/>
      </w:r>
      <w:r w:rsidRPr="00206C41">
        <w:rPr>
          <w:rFonts w:ascii="Calibri Light" w:hAnsi="Calibri Light" w:cs="Calibri Light"/>
          <w:sz w:val="24"/>
          <w:szCs w:val="24"/>
        </w:rPr>
        <w:t xml:space="preserve">. On the other hand, countries like the United Kingdom and the United States, while not dominant in Islamic banking, still contribute to comparative studies between conventional and Islamic banking systems, reflecting a cross-cultural interest in regulatory alignment. This dynamic points to an increasing need for international collaboration between Western and Islamic countries in developing regulatory frameworks that integrate global financial practices with Islamic economic principles </w:t>
      </w:r>
      <w:r w:rsidR="009E6AF8">
        <w:rPr>
          <w:rFonts w:ascii="Calibri Light" w:hAnsi="Calibri Light" w:cs="Calibri Light"/>
          <w:sz w:val="24"/>
          <w:szCs w:val="24"/>
        </w:rPr>
        <w:fldChar w:fldCharType="begin" w:fldLock="1"/>
      </w:r>
      <w:r w:rsidR="009E6AF8">
        <w:rPr>
          <w:rFonts w:ascii="Calibri Light" w:hAnsi="Calibri Light" w:cs="Calibri Light"/>
          <w:sz w:val="24"/>
          <w:szCs w:val="24"/>
        </w:rPr>
        <w:instrText>ADDIN CSL_CITATION {"citationItems":[{"id":"ITEM-1","itemData":{"ISSN":"09703772 (ISSN)","abstract":"Scheduled commercial banks do plays a great roles in the country's overall economic growth. But increased declining performance of banks has remained a cause of concern all the time. The level of capital of individual banks is an important indicator that impacts the banks' performance. The extent and nature of liabilities an individual bank holds in its balance sheet, quality of assets, level of profits, net interest margin, nature of operational risks, marketing risks and unexpected financial crisis all are integrated components and have impact on performance of a bank. The study has covered the factors responsible for the assessment of banks performance, their relationship and impact on measurement of banks' performance. The study has also focused on the factors which are more related to the level of capital level. The Basel 3 accord has certain provisions for additional capital to cover financial crisis and unexpected financial market movements. © Indian Institute of Finance","author":[{"dropping-particle":"","family":"Bawa","given":"R","non-dropping-particle":"","parse-names":false,"suffix":""},{"dropping-particle":"","family":"Singh","given":"K","non-dropping-particle":"","parse-names":false,"suffix":""}],"container-title":"Finance India","id":"ITEM-1","issue":"3","issued":{"date-parts":[["2023"]]},"language":"English","page":"849-880","publisher":"Indian Institute of Finance","publisher-place":"GLA University, Uttar Pradesh, Mathura, 281406, India","title":"Implementation of Basel Accords and its impact on Asset-Liability Management Banks : A Literature Review1","type":"article-journal","volume":"37"},"uris":["http://www.mendeley.com/documents/?uuid=9c079898-d86f-4aef-a47b-2503c715c709"]}],"mendeley":{"formattedCitation":"(Bawa &amp; Singh, 2023)","plainTextFormattedCitation":"(Bawa &amp; Singh, 2023)","previouslyFormattedCitation":"(Bawa &amp; Singh, 2023)"},"properties":{"noteIndex":0},"schema":"https://github.com/citation-style-language/schema/raw/master/csl-citation.json"}</w:instrText>
      </w:r>
      <w:r w:rsidR="009E6AF8">
        <w:rPr>
          <w:rFonts w:ascii="Calibri Light" w:hAnsi="Calibri Light" w:cs="Calibri Light"/>
          <w:sz w:val="24"/>
          <w:szCs w:val="24"/>
        </w:rPr>
        <w:fldChar w:fldCharType="separate"/>
      </w:r>
      <w:r w:rsidR="009E6AF8" w:rsidRPr="009E6AF8">
        <w:rPr>
          <w:rFonts w:ascii="Calibri Light" w:hAnsi="Calibri Light" w:cs="Calibri Light"/>
          <w:noProof/>
          <w:sz w:val="24"/>
          <w:szCs w:val="24"/>
        </w:rPr>
        <w:t>(</w:t>
      </w:r>
      <w:hyperlink w:anchor="Bawa" w:history="1">
        <w:r w:rsidR="009E6AF8" w:rsidRPr="00434A6A">
          <w:rPr>
            <w:rStyle w:val="Hyperlink"/>
            <w:rFonts w:ascii="Calibri Light" w:hAnsi="Calibri Light" w:cs="Calibri Light"/>
            <w:noProof/>
            <w:sz w:val="24"/>
            <w:szCs w:val="24"/>
          </w:rPr>
          <w:t>Bawa &amp; Singh</w:t>
        </w:r>
      </w:hyperlink>
      <w:r w:rsidR="009E6AF8" w:rsidRPr="009E6AF8">
        <w:rPr>
          <w:rFonts w:ascii="Calibri Light" w:hAnsi="Calibri Light" w:cs="Calibri Light"/>
          <w:noProof/>
          <w:sz w:val="24"/>
          <w:szCs w:val="24"/>
        </w:rPr>
        <w:t>, 2023)</w:t>
      </w:r>
      <w:r w:rsidR="009E6AF8">
        <w:rPr>
          <w:rFonts w:ascii="Calibri Light" w:hAnsi="Calibri Light" w:cs="Calibri Light"/>
          <w:sz w:val="24"/>
          <w:szCs w:val="24"/>
        </w:rPr>
        <w:fldChar w:fldCharType="end"/>
      </w:r>
      <w:r w:rsidRPr="00206C41">
        <w:rPr>
          <w:rFonts w:ascii="Calibri Light" w:hAnsi="Calibri Light" w:cs="Calibri Light"/>
          <w:sz w:val="24"/>
          <w:szCs w:val="24"/>
        </w:rPr>
        <w:t>.</w:t>
      </w:r>
    </w:p>
    <w:p w:rsidR="00206C41" w:rsidRPr="00206C41" w:rsidRDefault="00206C41" w:rsidP="00206C41">
      <w:pPr>
        <w:spacing w:before="120" w:after="120"/>
        <w:ind w:left="440" w:right="-1" w:hanging="14"/>
        <w:jc w:val="both"/>
        <w:rPr>
          <w:rFonts w:ascii="Calibri Light" w:hAnsi="Calibri Light" w:cs="Calibri Light"/>
          <w:sz w:val="24"/>
          <w:szCs w:val="24"/>
        </w:rPr>
      </w:pPr>
      <w:r w:rsidRPr="00206C41">
        <w:rPr>
          <w:rFonts w:ascii="Calibri Light" w:hAnsi="Calibri Light" w:cs="Calibri Light"/>
          <w:sz w:val="24"/>
          <w:szCs w:val="24"/>
        </w:rPr>
        <w:t xml:space="preserve">Furthermore, the bibliometric networks provide a comprehensive view of the evolution of research in this field, with increasing focus on topics such as corporate governance, risk management, and sustainability within Islamic banking. These themes are reflected in the various semantic clusters that dominate the literature, illustrating the close connections between global financial risks and Sharia-compliant practices. Islamic finance is gaining more attention as social and economic transformations occur, with a growing interest in topics like corporate social responsibility and sustainable development in Islamic banking </w:t>
      </w:r>
      <w:r w:rsidR="003A66C6">
        <w:rPr>
          <w:rFonts w:ascii="Calibri Light" w:hAnsi="Calibri Light" w:cs="Calibri Light"/>
          <w:sz w:val="24"/>
          <w:szCs w:val="24"/>
        </w:rPr>
        <w:fldChar w:fldCharType="begin" w:fldLock="1"/>
      </w:r>
      <w:r w:rsidR="003A66C6">
        <w:rPr>
          <w:rFonts w:ascii="Calibri Light" w:hAnsi="Calibri Light" w:cs="Calibri Light"/>
          <w:sz w:val="24"/>
          <w:szCs w:val="24"/>
        </w:rPr>
        <w:instrText>ADDIN CSL_CITATION {"citationItems":[{"id":"ITEM-1","itemData":{"DOI":"10.61455/deujis.v2i03.194","author":[{"dropping-particle":"","family":"Nasrullah","given":"Muthoifin","non-dropping-particle":"","parse-names":false,"suffix":""}],"container-title":"Demak Universal Journal of Islam and Sharia","id":"ITEM-1","issue":"3","issued":{"date-parts":[["2024"]]},"page":"347-360","title":"Implementation of Fiqh Rules in Economic Transactions in Islamic Financial Institutions : A Literature Review Study","type":"article-journal","volume":"2"},"uris":["http://www.mendeley.com/documents/?uuid=c48f832a-cffb-4d73-9d00-dea63790d2e7"]}],"mendeley":{"formattedCitation":"(Nasrullah, 2024)","plainTextFormattedCitation":"(Nasrullah, 2024)","previouslyFormattedCitation":"(Nasrullah, 2024)"},"properties":{"noteIndex":0},"schema":"https://github.com/citation-style-language/schema/raw/master/csl-citation.json"}</w:instrText>
      </w:r>
      <w:r w:rsidR="003A66C6">
        <w:rPr>
          <w:rFonts w:ascii="Calibri Light" w:hAnsi="Calibri Light" w:cs="Calibri Light"/>
          <w:sz w:val="24"/>
          <w:szCs w:val="24"/>
        </w:rPr>
        <w:fldChar w:fldCharType="separate"/>
      </w:r>
      <w:r w:rsidR="003A66C6" w:rsidRPr="003A66C6">
        <w:rPr>
          <w:rFonts w:ascii="Calibri Light" w:hAnsi="Calibri Light" w:cs="Calibri Light"/>
          <w:noProof/>
          <w:sz w:val="24"/>
          <w:szCs w:val="24"/>
        </w:rPr>
        <w:t>(</w:t>
      </w:r>
      <w:hyperlink w:anchor="Nasrullah" w:history="1">
        <w:r w:rsidR="003A66C6" w:rsidRPr="004231BE">
          <w:rPr>
            <w:rStyle w:val="Hyperlink"/>
            <w:rFonts w:ascii="Calibri Light" w:hAnsi="Calibri Light" w:cs="Calibri Light"/>
            <w:noProof/>
            <w:sz w:val="24"/>
            <w:szCs w:val="24"/>
          </w:rPr>
          <w:t>Nasrullah</w:t>
        </w:r>
      </w:hyperlink>
      <w:r w:rsidR="003A66C6" w:rsidRPr="003A66C6">
        <w:rPr>
          <w:rFonts w:ascii="Calibri Light" w:hAnsi="Calibri Light" w:cs="Calibri Light"/>
          <w:noProof/>
          <w:sz w:val="24"/>
          <w:szCs w:val="24"/>
        </w:rPr>
        <w:t>, 2024)</w:t>
      </w:r>
      <w:r w:rsidR="003A66C6">
        <w:rPr>
          <w:rFonts w:ascii="Calibri Light" w:hAnsi="Calibri Light" w:cs="Calibri Light"/>
          <w:sz w:val="24"/>
          <w:szCs w:val="24"/>
        </w:rPr>
        <w:fldChar w:fldCharType="end"/>
      </w:r>
      <w:r w:rsidRPr="00206C41">
        <w:rPr>
          <w:rFonts w:ascii="Calibri Light" w:hAnsi="Calibri Light" w:cs="Calibri Light"/>
          <w:sz w:val="24"/>
          <w:szCs w:val="24"/>
        </w:rPr>
        <w:t>.</w:t>
      </w:r>
    </w:p>
    <w:p w:rsidR="00206C41" w:rsidRDefault="00206C41" w:rsidP="00206C41">
      <w:pPr>
        <w:spacing w:before="120" w:after="120"/>
        <w:ind w:left="440" w:right="-1" w:hanging="14"/>
        <w:jc w:val="both"/>
        <w:rPr>
          <w:rFonts w:ascii="Calibri Light" w:hAnsi="Calibri Light" w:cs="Calibri Light"/>
          <w:sz w:val="24"/>
          <w:szCs w:val="24"/>
        </w:rPr>
      </w:pPr>
      <w:r w:rsidRPr="00206C41">
        <w:rPr>
          <w:rFonts w:ascii="Calibri Light" w:hAnsi="Calibri Light" w:cs="Calibri Light"/>
          <w:sz w:val="24"/>
          <w:szCs w:val="24"/>
        </w:rPr>
        <w:t>Through these trends, this study emphasizes the importance of continued research in Islamic banking and its development within the global regulatory framework. The alignment of conventional banking systems with Sharia principles is essential for addressing contemporary financial challenges, opening doors for researchers and policymakers to develop innovative solutions contributing to global economic stability.</w:t>
      </w:r>
    </w:p>
    <w:p w:rsidR="006B0510" w:rsidRPr="00122F5F" w:rsidRDefault="006B0510" w:rsidP="006B0510">
      <w:pPr>
        <w:pStyle w:val="ListParagraph"/>
        <w:spacing w:before="120" w:after="120" w:line="240" w:lineRule="auto"/>
        <w:ind w:left="440" w:right="-1" w:firstLine="677"/>
        <w:contextualSpacing w:val="0"/>
        <w:jc w:val="both"/>
        <w:rPr>
          <w:rFonts w:ascii="Calibri Light" w:hAnsi="Calibri Light" w:cs="Calibri Light"/>
          <w:color w:val="FF0000"/>
          <w:sz w:val="24"/>
          <w:szCs w:val="24"/>
        </w:rPr>
      </w:pPr>
    </w:p>
    <w:p w:rsidR="00741058" w:rsidRPr="00540F02" w:rsidRDefault="00741058" w:rsidP="00781D8B">
      <w:pPr>
        <w:numPr>
          <w:ilvl w:val="0"/>
          <w:numId w:val="28"/>
        </w:numPr>
        <w:autoSpaceDE/>
        <w:autoSpaceDN/>
        <w:spacing w:line="240" w:lineRule="atLeast"/>
        <w:ind w:left="426" w:hanging="426"/>
        <w:rPr>
          <w:rFonts w:ascii="Calibri Light" w:hAnsi="Calibri Light" w:cs="Calibri Light"/>
          <w:b/>
          <w:color w:val="A6A6A6"/>
          <w:sz w:val="24"/>
          <w:szCs w:val="24"/>
        </w:rPr>
      </w:pPr>
      <w:r w:rsidRPr="00122F5F">
        <w:rPr>
          <w:rFonts w:ascii="Calibri Light" w:hAnsi="Calibri Light" w:cs="Calibri Light"/>
          <w:b/>
          <w:sz w:val="24"/>
          <w:szCs w:val="24"/>
        </w:rPr>
        <w:t>CONCLUSION</w:t>
      </w:r>
    </w:p>
    <w:p w:rsidR="006B0510" w:rsidRPr="00122F5F" w:rsidRDefault="00206C41" w:rsidP="00003189">
      <w:pPr>
        <w:pStyle w:val="ListParagraph"/>
        <w:spacing w:before="120" w:after="120" w:line="240" w:lineRule="auto"/>
        <w:ind w:left="440" w:right="-1" w:hanging="14"/>
        <w:contextualSpacing w:val="0"/>
        <w:jc w:val="both"/>
        <w:rPr>
          <w:rFonts w:ascii="Calibri Light" w:hAnsi="Calibri Light" w:cs="Calibri Light"/>
          <w:color w:val="FF0000"/>
          <w:sz w:val="24"/>
          <w:szCs w:val="24"/>
        </w:rPr>
      </w:pPr>
      <w:r w:rsidRPr="00206C41">
        <w:rPr>
          <w:rFonts w:ascii="Calibri Light" w:hAnsi="Calibri Light" w:cs="Calibri Light"/>
          <w:sz w:val="24"/>
          <w:szCs w:val="24"/>
        </w:rPr>
        <w:t>This study provides a comprehensive bibliometric analysis of the intersection between the Basel Accords and Islamic banking, revealing key trends and the continued growth of academic publications in this field since 2015, with an increase of over 100% in the number of studies published annually</w:t>
      </w:r>
      <w:r w:rsidR="00951DD0">
        <w:rPr>
          <w:rFonts w:ascii="Calibri Light" w:hAnsi="Calibri Light" w:cs="Calibri Light"/>
          <w:sz w:val="24"/>
          <w:szCs w:val="24"/>
        </w:rPr>
        <w:t xml:space="preserve">, </w:t>
      </w:r>
      <w:r w:rsidRPr="00206C41">
        <w:rPr>
          <w:rFonts w:ascii="Calibri Light" w:hAnsi="Calibri Light" w:cs="Calibri Light"/>
          <w:sz w:val="24"/>
          <w:szCs w:val="24"/>
        </w:rPr>
        <w:t xml:space="preserve">rising from 65 in 2015 to 136 in 2024, with notable increases in recent years. The findings suggest that research in this area is steadily expanding, reflecting the growing interest in discussions surrounding risk management </w:t>
      </w:r>
      <w:r w:rsidRPr="00206C41">
        <w:rPr>
          <w:rFonts w:ascii="Calibri Light" w:hAnsi="Calibri Light" w:cs="Calibri Light"/>
          <w:sz w:val="24"/>
          <w:szCs w:val="24"/>
        </w:rPr>
        <w:lastRenderedPageBreak/>
        <w:t>frameworks and Sharia-compliant banking practices in light of global financial regulations. Geographical data analysis highlights the significant contributions of Asian and Middle Eastern countries, focusing on nations striving to align global financial systems with Islamic banking practices. Additionally, keyword network analysis shows that research in Islamic banking has become more diversified, with increasing interest in themes such as corporate governance, financial stability, social responsibility, and emerging technological innovations like fintech. These findings hold practical implications for various stakeholders. For central banks and regulators, the study provides insights into how global Basel standards are being interpreted and adapted within Islamic banking contexts, helping inform the development of regulatory frameworks that uphold financial stability without compromising Sharia compliance. For academics, mapping key research themes and publication trends offers a foundation for identifying gaps in the literature and designing future interdisciplinary studies. Meanwhile, for Sharia practitioners, the findings underscore emerging areas</w:t>
      </w:r>
      <w:r w:rsidR="00951DD0">
        <w:rPr>
          <w:rFonts w:ascii="Calibri Light" w:hAnsi="Calibri Light" w:cs="Calibri Light"/>
          <w:sz w:val="24"/>
          <w:szCs w:val="24"/>
        </w:rPr>
        <w:t xml:space="preserve">, </w:t>
      </w:r>
      <w:r w:rsidRPr="00206C41">
        <w:rPr>
          <w:rFonts w:ascii="Calibri Light" w:hAnsi="Calibri Light" w:cs="Calibri Light"/>
          <w:sz w:val="24"/>
          <w:szCs w:val="24"/>
        </w:rPr>
        <w:t>such as fintech, governance, and risk management—that require updated jurisprudential guidance to ensure that innovative financial solutions remain within the bounds of Islamic principles. Overall, the study contributes to aligning global regulatory discourse with the evolving needs of Islamic finance. In conclusion, this study highlights the continued need for research and development in this field to ensure the integration of Islamic banking into the future global financial landscape.</w:t>
      </w:r>
    </w:p>
    <w:p w:rsidR="00741058" w:rsidRPr="00122F5F" w:rsidRDefault="00741058" w:rsidP="00741058">
      <w:pPr>
        <w:pStyle w:val="ListParagraph"/>
        <w:spacing w:before="120" w:after="120" w:line="240" w:lineRule="auto"/>
        <w:ind w:left="440" w:right="-1" w:firstLine="677"/>
        <w:contextualSpacing w:val="0"/>
        <w:jc w:val="both"/>
        <w:rPr>
          <w:rFonts w:ascii="Calibri Light" w:hAnsi="Calibri Light" w:cs="Calibri Light"/>
          <w:color w:val="FF0000"/>
          <w:sz w:val="23"/>
        </w:rPr>
      </w:pPr>
    </w:p>
    <w:p w:rsidR="00741058" w:rsidRPr="00122F5F" w:rsidRDefault="00F369EC" w:rsidP="00F369EC">
      <w:pPr>
        <w:spacing w:line="240" w:lineRule="atLeast"/>
        <w:rPr>
          <w:rFonts w:ascii="Calibri Light" w:hAnsi="Calibri Light" w:cs="Calibri Light"/>
          <w:b/>
          <w:color w:val="FF0000"/>
          <w:sz w:val="24"/>
          <w:szCs w:val="24"/>
        </w:rPr>
      </w:pPr>
      <w:r w:rsidRPr="00122F5F">
        <w:rPr>
          <w:rFonts w:ascii="Calibri Light" w:hAnsi="Calibri Light" w:cs="Calibri Light"/>
          <w:b/>
          <w:sz w:val="24"/>
          <w:szCs w:val="24"/>
          <w:lang w:val="id-ID"/>
        </w:rPr>
        <w:t>V.</w:t>
      </w:r>
      <w:r w:rsidRPr="00122F5F">
        <w:rPr>
          <w:rFonts w:ascii="Calibri Light" w:hAnsi="Calibri Light" w:cs="Calibri Light"/>
          <w:b/>
          <w:color w:val="7030A0"/>
          <w:sz w:val="24"/>
          <w:szCs w:val="24"/>
          <w:lang w:val="id-ID"/>
        </w:rPr>
        <w:t xml:space="preserve">  </w:t>
      </w:r>
      <w:r w:rsidR="00781D8B" w:rsidRPr="00122F5F">
        <w:rPr>
          <w:rFonts w:ascii="Calibri Light" w:hAnsi="Calibri Light" w:cs="Calibri Light"/>
          <w:b/>
          <w:color w:val="7030A0"/>
          <w:sz w:val="24"/>
          <w:szCs w:val="24"/>
        </w:rPr>
        <w:t xml:space="preserve"> </w:t>
      </w:r>
      <w:r w:rsidR="00741058" w:rsidRPr="00122F5F">
        <w:rPr>
          <w:rFonts w:ascii="Calibri Light" w:hAnsi="Calibri Light" w:cs="Calibri Light"/>
          <w:b/>
          <w:sz w:val="24"/>
          <w:szCs w:val="24"/>
        </w:rPr>
        <w:t>ACKNOWLEDGEMENTS</w:t>
      </w:r>
    </w:p>
    <w:p w:rsidR="00741058" w:rsidRPr="00122F5F" w:rsidRDefault="00206C41" w:rsidP="00003189">
      <w:pPr>
        <w:pStyle w:val="ListParagraph"/>
        <w:spacing w:before="120" w:after="120" w:line="240" w:lineRule="auto"/>
        <w:ind w:left="440" w:right="-1" w:hanging="14"/>
        <w:contextualSpacing w:val="0"/>
        <w:jc w:val="both"/>
        <w:rPr>
          <w:rFonts w:ascii="Calibri Light" w:hAnsi="Calibri Light" w:cs="Calibri Light"/>
          <w:color w:val="FF0000"/>
          <w:sz w:val="24"/>
          <w:szCs w:val="24"/>
        </w:rPr>
      </w:pPr>
      <w:r w:rsidRPr="00206C41">
        <w:rPr>
          <w:rFonts w:ascii="Calibri Light" w:hAnsi="Calibri Light" w:cs="Calibri Light"/>
          <w:sz w:val="24"/>
          <w:szCs w:val="24"/>
        </w:rPr>
        <w:t>The author would like to thank the editors and anonymous reviewers for their assistance in improving the quality of the research documents.</w:t>
      </w:r>
    </w:p>
    <w:p w:rsidR="00741058" w:rsidRPr="00122F5F" w:rsidRDefault="00741058" w:rsidP="00F369EC">
      <w:pPr>
        <w:pStyle w:val="ListParagraph"/>
        <w:spacing w:before="120" w:after="120" w:line="240" w:lineRule="auto"/>
        <w:ind w:left="440" w:right="-1" w:firstLine="677"/>
        <w:contextualSpacing w:val="0"/>
        <w:jc w:val="both"/>
        <w:rPr>
          <w:rFonts w:ascii="Calibri Light" w:hAnsi="Calibri Light" w:cs="Calibri Light"/>
          <w:color w:val="FF0000"/>
          <w:sz w:val="23"/>
        </w:rPr>
      </w:pPr>
    </w:p>
    <w:p w:rsidR="00741058" w:rsidRPr="00540F02" w:rsidRDefault="00F369EC" w:rsidP="00F369EC">
      <w:pPr>
        <w:spacing w:line="240" w:lineRule="atLeast"/>
        <w:jc w:val="both"/>
        <w:rPr>
          <w:rFonts w:ascii="Calibri Light" w:hAnsi="Calibri Light" w:cs="Calibri Light"/>
          <w:b/>
          <w:color w:val="A6A6A6"/>
          <w:sz w:val="24"/>
          <w:szCs w:val="24"/>
          <w:lang w:val="id-ID"/>
        </w:rPr>
      </w:pPr>
      <w:r w:rsidRPr="00122F5F">
        <w:rPr>
          <w:rFonts w:ascii="Calibri Light" w:hAnsi="Calibri Light" w:cs="Calibri Light"/>
          <w:b/>
          <w:sz w:val="24"/>
          <w:szCs w:val="24"/>
          <w:lang w:val="id-ID"/>
        </w:rPr>
        <w:t xml:space="preserve">VI. </w:t>
      </w:r>
      <w:r w:rsidR="00741058" w:rsidRPr="00122F5F">
        <w:rPr>
          <w:rFonts w:ascii="Calibri Light" w:hAnsi="Calibri Light" w:cs="Calibri Light"/>
          <w:b/>
          <w:sz w:val="24"/>
          <w:szCs w:val="24"/>
        </w:rPr>
        <w:t>REFERENCES</w:t>
      </w:r>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r>
        <w:rPr>
          <w:rFonts w:ascii="Calibri Light" w:hAnsi="Calibri Light" w:cs="Calibri Light"/>
          <w:color w:val="A6A6A6"/>
          <w:sz w:val="24"/>
          <w:szCs w:val="24"/>
        </w:rPr>
        <w:fldChar w:fldCharType="begin" w:fldLock="1"/>
      </w:r>
      <w:r w:rsidRPr="008F38EC">
        <w:rPr>
          <w:rFonts w:ascii="Calibri Light" w:hAnsi="Calibri Light" w:cs="Calibri Light"/>
          <w:color w:val="A6A6A6"/>
          <w:sz w:val="24"/>
          <w:szCs w:val="24"/>
        </w:rPr>
        <w:instrText xml:space="preserve">ADDIN Mendeley Bibliography CSL_BIBLIOGRAPHY </w:instrText>
      </w:r>
      <w:r>
        <w:rPr>
          <w:rFonts w:ascii="Calibri Light" w:hAnsi="Calibri Light" w:cs="Calibri Light"/>
          <w:color w:val="A6A6A6"/>
          <w:sz w:val="24"/>
          <w:szCs w:val="24"/>
        </w:rPr>
        <w:fldChar w:fldCharType="separate"/>
      </w:r>
      <w:bookmarkStart w:id="2" w:name="Abrar"/>
      <w:r w:rsidRPr="008F38EC">
        <w:rPr>
          <w:rFonts w:ascii="Calibri Light" w:hAnsi="Calibri Light" w:cs="Calibri Light"/>
          <w:sz w:val="24"/>
          <w:szCs w:val="24"/>
        </w:rPr>
        <w:t xml:space="preserve">Abrar, M. … Mushtaq, M. (2023). Investigation on the Effects of Customer Knowledge, Political Support, and Innovation on the Growth of Islamic Banking System: a Case Study of Pakistan. </w:t>
      </w:r>
      <w:r w:rsidRPr="008F38EC">
        <w:rPr>
          <w:rFonts w:ascii="Calibri Light" w:hAnsi="Calibri Light" w:cs="Calibri Light"/>
          <w:i/>
          <w:iCs/>
          <w:sz w:val="24"/>
          <w:szCs w:val="24"/>
        </w:rPr>
        <w:t>Journal of the Knowledge Economy</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14</w:t>
      </w:r>
      <w:r w:rsidRPr="008F38EC">
        <w:rPr>
          <w:rFonts w:ascii="Calibri Light" w:hAnsi="Calibri Light" w:cs="Calibri Light"/>
          <w:sz w:val="24"/>
          <w:szCs w:val="24"/>
        </w:rPr>
        <w:t xml:space="preserve">(2), 946–965. </w:t>
      </w:r>
      <w:hyperlink r:id="rId24" w:history="1">
        <w:r w:rsidRPr="00A96769">
          <w:rPr>
            <w:rStyle w:val="Hyperlink"/>
            <w:rFonts w:ascii="Calibri Light" w:hAnsi="Calibri Light" w:cs="Calibri Light"/>
            <w:sz w:val="24"/>
            <w:szCs w:val="24"/>
          </w:rPr>
          <w:t>https://doi.org/10.1007/s13132-022-00933-y</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3" w:name="AlHomaidi"/>
      <w:bookmarkEnd w:id="2"/>
      <w:r w:rsidRPr="008F38EC">
        <w:rPr>
          <w:rFonts w:ascii="Calibri Light" w:hAnsi="Calibri Light" w:cs="Calibri Light"/>
          <w:sz w:val="24"/>
          <w:szCs w:val="24"/>
        </w:rPr>
        <w:t xml:space="preserve">Al-Homaidi, E. A. … Mareai Senan, N. A. (2021). The relationship between zakat disclosures and Islamic banking performance: Evidence from Yemen. </w:t>
      </w:r>
      <w:r w:rsidRPr="008F38EC">
        <w:rPr>
          <w:rFonts w:ascii="Calibri Light" w:hAnsi="Calibri Light" w:cs="Calibri Light"/>
          <w:i/>
          <w:iCs/>
          <w:sz w:val="24"/>
          <w:szCs w:val="24"/>
        </w:rPr>
        <w:t>Banks and Bank Systems</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16</w:t>
      </w:r>
      <w:r w:rsidRPr="008F38EC">
        <w:rPr>
          <w:rFonts w:ascii="Calibri Light" w:hAnsi="Calibri Light" w:cs="Calibri Light"/>
          <w:sz w:val="24"/>
          <w:szCs w:val="24"/>
        </w:rPr>
        <w:t xml:space="preserve">(1), 52–61. </w:t>
      </w:r>
      <w:hyperlink r:id="rId25" w:history="1">
        <w:r w:rsidRPr="00080E27">
          <w:rPr>
            <w:rStyle w:val="Hyperlink"/>
            <w:rFonts w:ascii="Calibri Light" w:hAnsi="Calibri Light" w:cs="Calibri Light"/>
            <w:sz w:val="24"/>
            <w:szCs w:val="24"/>
          </w:rPr>
          <w:t>https://doi.org/10.21511/bbs.16(1).2021.05</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4" w:name="AlOlaimat"/>
      <w:bookmarkEnd w:id="3"/>
      <w:r w:rsidRPr="008F38EC">
        <w:rPr>
          <w:rFonts w:ascii="Calibri Light" w:hAnsi="Calibri Light" w:cs="Calibri Light"/>
          <w:sz w:val="24"/>
          <w:szCs w:val="24"/>
        </w:rPr>
        <w:t xml:space="preserve">Al-Olaimat, N. H. … Alali, H. A. (2024). The role of the core requirements of Basel 3 Committee’s decisions in improving internal audit quality under corporate governance in Jordanian commercial banks. </w:t>
      </w:r>
      <w:r w:rsidRPr="008F38EC">
        <w:rPr>
          <w:rFonts w:ascii="Calibri Light" w:hAnsi="Calibri Light" w:cs="Calibri Light"/>
          <w:i/>
          <w:iCs/>
          <w:sz w:val="24"/>
          <w:szCs w:val="24"/>
        </w:rPr>
        <w:t>International Journal of Business Innovation and Research</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35</w:t>
      </w:r>
      <w:r w:rsidRPr="008F38EC">
        <w:rPr>
          <w:rFonts w:ascii="Calibri Light" w:hAnsi="Calibri Light" w:cs="Calibri Light"/>
          <w:sz w:val="24"/>
          <w:szCs w:val="24"/>
        </w:rPr>
        <w:t xml:space="preserve">(2), 157–172. </w:t>
      </w:r>
      <w:hyperlink r:id="rId26" w:history="1">
        <w:r w:rsidRPr="00080E27">
          <w:rPr>
            <w:rStyle w:val="Hyperlink"/>
            <w:rFonts w:ascii="Calibri Light" w:hAnsi="Calibri Light" w:cs="Calibri Light"/>
            <w:sz w:val="24"/>
            <w:szCs w:val="24"/>
          </w:rPr>
          <w:t>https://doi.org/10.1504/IJBIR.2024.141616</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5" w:name="Ali"/>
      <w:bookmarkEnd w:id="4"/>
      <w:r w:rsidRPr="008F38EC">
        <w:rPr>
          <w:rFonts w:ascii="Calibri Light" w:hAnsi="Calibri Light" w:cs="Calibri Light"/>
          <w:sz w:val="24"/>
          <w:szCs w:val="24"/>
        </w:rPr>
        <w:t xml:space="preserve">Ali, S. A. … Ahmed, M. (2022). A comparative analysis of employees’ and customers’ </w:t>
      </w:r>
      <w:r w:rsidRPr="008F38EC">
        <w:rPr>
          <w:rFonts w:ascii="Calibri Light" w:hAnsi="Calibri Light" w:cs="Calibri Light"/>
          <w:sz w:val="24"/>
          <w:szCs w:val="24"/>
        </w:rPr>
        <w:lastRenderedPageBreak/>
        <w:t xml:space="preserve">attitude towards Islamic banking. </w:t>
      </w:r>
      <w:r w:rsidRPr="008F38EC">
        <w:rPr>
          <w:rFonts w:ascii="Calibri Light" w:hAnsi="Calibri Light" w:cs="Calibri Light"/>
          <w:i/>
          <w:iCs/>
          <w:sz w:val="24"/>
          <w:szCs w:val="24"/>
        </w:rPr>
        <w:t>International Journal of Ethics and Systems</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38</w:t>
      </w:r>
      <w:r w:rsidRPr="008F38EC">
        <w:rPr>
          <w:rFonts w:ascii="Calibri Light" w:hAnsi="Calibri Light" w:cs="Calibri Light"/>
          <w:sz w:val="24"/>
          <w:szCs w:val="24"/>
        </w:rPr>
        <w:t xml:space="preserve">(2), 209–234. </w:t>
      </w:r>
      <w:hyperlink r:id="rId27" w:history="1">
        <w:r w:rsidRPr="00080E27">
          <w:rPr>
            <w:rStyle w:val="Hyperlink"/>
            <w:rFonts w:ascii="Calibri Light" w:hAnsi="Calibri Light" w:cs="Calibri Light"/>
            <w:sz w:val="24"/>
            <w:szCs w:val="24"/>
          </w:rPr>
          <w:t>https://doi.org/10.1108/IJOES-03-2021-0053</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6" w:name="Amri"/>
      <w:bookmarkEnd w:id="5"/>
      <w:r w:rsidRPr="008F38EC">
        <w:rPr>
          <w:rFonts w:ascii="Calibri Light" w:hAnsi="Calibri Light" w:cs="Calibri Light"/>
          <w:sz w:val="24"/>
          <w:szCs w:val="24"/>
        </w:rPr>
        <w:t xml:space="preserve">Amri, A. D. … Mustafa, A. (2024). Development and Growth of Financial Sector Stock Market on Investment Climate : Study on Bank Syariah Indonesia and Bank Mandiri. </w:t>
      </w:r>
      <w:r w:rsidRPr="008F38EC">
        <w:rPr>
          <w:rFonts w:ascii="Calibri Light" w:hAnsi="Calibri Light" w:cs="Calibri Light"/>
          <w:i/>
          <w:iCs/>
          <w:sz w:val="24"/>
          <w:szCs w:val="24"/>
        </w:rPr>
        <w:t>Solo International Collaboration and Publication of Social Sciences and Humanities</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2</w:t>
      </w:r>
      <w:r w:rsidRPr="008F38EC">
        <w:rPr>
          <w:rFonts w:ascii="Calibri Light" w:hAnsi="Calibri Light" w:cs="Calibri Light"/>
          <w:sz w:val="24"/>
          <w:szCs w:val="24"/>
        </w:rPr>
        <w:t xml:space="preserve">(1), 11–24. </w:t>
      </w:r>
      <w:hyperlink r:id="rId28" w:history="1">
        <w:r w:rsidRPr="00080E27">
          <w:rPr>
            <w:rStyle w:val="Hyperlink"/>
            <w:rFonts w:ascii="Calibri Light" w:hAnsi="Calibri Light" w:cs="Calibri Light"/>
            <w:sz w:val="24"/>
            <w:szCs w:val="24"/>
          </w:rPr>
          <w:t>https://doi.org/10.61455/sicopus.v2i01.98</w:t>
        </w:r>
      </w:hyperlink>
    </w:p>
    <w:bookmarkEnd w:id="6"/>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r w:rsidRPr="008F38EC">
        <w:rPr>
          <w:rFonts w:ascii="Calibri Light" w:hAnsi="Calibri Light" w:cs="Calibri Light"/>
          <w:sz w:val="24"/>
          <w:szCs w:val="24"/>
        </w:rPr>
        <w:t xml:space="preserve">Amuda, Y. J., &amp; Al-Nasser, S. A. (2024). Exploring encounters and prodigies of Islamic banks in non-Muslim states: towards enhancing regulatory frameworks of Islamic banking system. </w:t>
      </w:r>
      <w:r w:rsidRPr="008F38EC">
        <w:rPr>
          <w:rFonts w:ascii="Calibri Light" w:hAnsi="Calibri Light" w:cs="Calibri Light"/>
          <w:i/>
          <w:iCs/>
          <w:sz w:val="24"/>
          <w:szCs w:val="24"/>
        </w:rPr>
        <w:t>International Journal of Law and Management</w:t>
      </w:r>
      <w:r w:rsidRPr="008F38EC">
        <w:rPr>
          <w:rFonts w:ascii="Calibri Light" w:hAnsi="Calibri Light" w:cs="Calibri Light"/>
          <w:sz w:val="24"/>
          <w:szCs w:val="24"/>
        </w:rPr>
        <w:t xml:space="preserve">. </w:t>
      </w:r>
      <w:hyperlink r:id="rId29" w:history="1">
        <w:r w:rsidRPr="00434A6A">
          <w:rPr>
            <w:rStyle w:val="Hyperlink"/>
            <w:rFonts w:ascii="Calibri Light" w:hAnsi="Calibri Light" w:cs="Calibri Light"/>
            <w:sz w:val="24"/>
            <w:szCs w:val="24"/>
          </w:rPr>
          <w:t>https://doi.org/10.1108/IJLMA-11-2023-0250</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7" w:name="Barra"/>
      <w:r w:rsidRPr="008F38EC">
        <w:rPr>
          <w:rFonts w:ascii="Calibri Light" w:hAnsi="Calibri Light" w:cs="Calibri Light"/>
          <w:sz w:val="24"/>
          <w:szCs w:val="24"/>
        </w:rPr>
        <w:t xml:space="preserve">Barra, C. … Ruggiero, N. (2023). Basel accords and banking inefficiency: Evidence from the Italian local market. </w:t>
      </w:r>
      <w:r w:rsidRPr="008F38EC">
        <w:rPr>
          <w:rFonts w:ascii="Calibri Light" w:hAnsi="Calibri Light" w:cs="Calibri Light"/>
          <w:i/>
          <w:iCs/>
          <w:sz w:val="24"/>
          <w:szCs w:val="24"/>
        </w:rPr>
        <w:t>International Journal of Finance and Economics</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28</w:t>
      </w:r>
      <w:r w:rsidRPr="008F38EC">
        <w:rPr>
          <w:rFonts w:ascii="Calibri Light" w:hAnsi="Calibri Light" w:cs="Calibri Light"/>
          <w:sz w:val="24"/>
          <w:szCs w:val="24"/>
        </w:rPr>
        <w:t xml:space="preserve">(4), 4079–4119. </w:t>
      </w:r>
      <w:hyperlink r:id="rId30" w:history="1">
        <w:r w:rsidRPr="00434A6A">
          <w:rPr>
            <w:rStyle w:val="Hyperlink"/>
            <w:rFonts w:ascii="Calibri Light" w:hAnsi="Calibri Light" w:cs="Calibri Light"/>
            <w:sz w:val="24"/>
            <w:szCs w:val="24"/>
          </w:rPr>
          <w:t>https://doi.org/10.1002/ijfe.2637</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8" w:name="Bawa"/>
      <w:bookmarkEnd w:id="7"/>
      <w:r w:rsidRPr="008F38EC">
        <w:rPr>
          <w:rFonts w:ascii="Calibri Light" w:hAnsi="Calibri Light" w:cs="Calibri Light"/>
          <w:sz w:val="24"/>
          <w:szCs w:val="24"/>
        </w:rPr>
        <w:t xml:space="preserve">Bawa, R., &amp; Singh, K. (2023). Implementation of Basel Accords and its impact on Asset-Liability Management Banks : A Literature Review1. </w:t>
      </w:r>
      <w:r w:rsidRPr="008F38EC">
        <w:rPr>
          <w:rFonts w:ascii="Calibri Light" w:hAnsi="Calibri Light" w:cs="Calibri Light"/>
          <w:i/>
          <w:iCs/>
          <w:sz w:val="24"/>
          <w:szCs w:val="24"/>
        </w:rPr>
        <w:t>Finance India</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37</w:t>
      </w:r>
      <w:r w:rsidRPr="008F38EC">
        <w:rPr>
          <w:rFonts w:ascii="Calibri Light" w:hAnsi="Calibri Light" w:cs="Calibri Light"/>
          <w:sz w:val="24"/>
          <w:szCs w:val="24"/>
        </w:rPr>
        <w:t xml:space="preserve">(3), 849–880. </w:t>
      </w:r>
      <w:hyperlink r:id="rId31" w:history="1">
        <w:r w:rsidRPr="00434A6A">
          <w:rPr>
            <w:rStyle w:val="Hyperlink"/>
            <w:rFonts w:ascii="Calibri Light" w:hAnsi="Calibri Light" w:cs="Calibri Light"/>
            <w:sz w:val="24"/>
            <w:szCs w:val="24"/>
          </w:rPr>
          <w:t>https://www.scopus.com/inward/record.uri?eid=2-s2.0-85174745237&amp;partnerID=40&amp;md5=7865ee385ac7055b39f8fadd785c70d5</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9" w:name="Becker"/>
      <w:bookmarkEnd w:id="8"/>
      <w:r w:rsidRPr="008F38EC">
        <w:rPr>
          <w:rFonts w:ascii="Calibri Light" w:hAnsi="Calibri Light" w:cs="Calibri Light"/>
          <w:sz w:val="24"/>
          <w:szCs w:val="24"/>
        </w:rPr>
        <w:t xml:space="preserve">Becker, M., &amp; Linder, S. (2021). The unintended consequences of regulatory import: the Basel Accord’s failure during the financial crisis. </w:t>
      </w:r>
      <w:r w:rsidRPr="008F38EC">
        <w:rPr>
          <w:rFonts w:ascii="Calibri Light" w:hAnsi="Calibri Light" w:cs="Calibri Light"/>
          <w:i/>
          <w:iCs/>
          <w:sz w:val="24"/>
          <w:szCs w:val="24"/>
        </w:rPr>
        <w:t>Journal of European Public Policy</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28</w:t>
      </w:r>
      <w:r w:rsidRPr="008F38EC">
        <w:rPr>
          <w:rFonts w:ascii="Calibri Light" w:hAnsi="Calibri Light" w:cs="Calibri Light"/>
          <w:sz w:val="24"/>
          <w:szCs w:val="24"/>
        </w:rPr>
        <w:t xml:space="preserve">(2), 248–267. </w:t>
      </w:r>
      <w:hyperlink r:id="rId32" w:history="1">
        <w:r w:rsidRPr="00434A6A">
          <w:rPr>
            <w:rStyle w:val="Hyperlink"/>
            <w:rFonts w:ascii="Calibri Light" w:hAnsi="Calibri Light" w:cs="Calibri Light"/>
            <w:sz w:val="24"/>
            <w:szCs w:val="24"/>
          </w:rPr>
          <w:t>https://doi.org/10.1080/13501763.2020.1725096</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10" w:name="BenJedidia"/>
      <w:bookmarkEnd w:id="9"/>
      <w:r w:rsidRPr="008F38EC">
        <w:rPr>
          <w:rFonts w:ascii="Calibri Light" w:hAnsi="Calibri Light" w:cs="Calibri Light"/>
          <w:sz w:val="24"/>
          <w:szCs w:val="24"/>
        </w:rPr>
        <w:t xml:space="preserve">Ben Jedidia, K., &amp; Hamza, H. (2024). Does PLS in Islamic banking limit excessive money creation? </w:t>
      </w:r>
      <w:r w:rsidRPr="008F38EC">
        <w:rPr>
          <w:rFonts w:ascii="Calibri Light" w:hAnsi="Calibri Light" w:cs="Calibri Light"/>
          <w:i/>
          <w:iCs/>
          <w:sz w:val="24"/>
          <w:szCs w:val="24"/>
        </w:rPr>
        <w:t>Journal of Islamic Accounting and Business Research</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15</w:t>
      </w:r>
      <w:r w:rsidRPr="008F38EC">
        <w:rPr>
          <w:rFonts w:ascii="Calibri Light" w:hAnsi="Calibri Light" w:cs="Calibri Light"/>
          <w:sz w:val="24"/>
          <w:szCs w:val="24"/>
        </w:rPr>
        <w:t xml:space="preserve">(3), 422–442. </w:t>
      </w:r>
      <w:hyperlink r:id="rId33" w:history="1">
        <w:r w:rsidRPr="00434A6A">
          <w:rPr>
            <w:rStyle w:val="Hyperlink"/>
            <w:rFonts w:ascii="Calibri Light" w:hAnsi="Calibri Light" w:cs="Calibri Light"/>
            <w:sz w:val="24"/>
            <w:szCs w:val="24"/>
          </w:rPr>
          <w:t>https://doi.org/10.1108/JIABR-02-2022-0047</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11" w:name="Crosby"/>
      <w:bookmarkEnd w:id="10"/>
      <w:r w:rsidRPr="008F38EC">
        <w:rPr>
          <w:rFonts w:ascii="Calibri Light" w:hAnsi="Calibri Light" w:cs="Calibri Light"/>
          <w:sz w:val="24"/>
          <w:szCs w:val="24"/>
        </w:rPr>
        <w:t xml:space="preserve">Crosby, N. (2024). Editorial: Basel 3 prudently conservative value for loan origination and monitoring. </w:t>
      </w:r>
      <w:r w:rsidRPr="008F38EC">
        <w:rPr>
          <w:rFonts w:ascii="Calibri Light" w:hAnsi="Calibri Light" w:cs="Calibri Light"/>
          <w:i/>
          <w:iCs/>
          <w:sz w:val="24"/>
          <w:szCs w:val="24"/>
        </w:rPr>
        <w:t>Journal of Property Investment and Finance</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42</w:t>
      </w:r>
      <w:r w:rsidRPr="008F38EC">
        <w:rPr>
          <w:rFonts w:ascii="Calibri Light" w:hAnsi="Calibri Light" w:cs="Calibri Light"/>
          <w:sz w:val="24"/>
          <w:szCs w:val="24"/>
        </w:rPr>
        <w:t xml:space="preserve">(4), 321–322. </w:t>
      </w:r>
      <w:hyperlink r:id="rId34" w:history="1">
        <w:r w:rsidRPr="00434A6A">
          <w:rPr>
            <w:rStyle w:val="Hyperlink"/>
            <w:rFonts w:ascii="Calibri Light" w:hAnsi="Calibri Light" w:cs="Calibri Light"/>
            <w:sz w:val="24"/>
            <w:szCs w:val="24"/>
          </w:rPr>
          <w:t>https://doi.org/10.1108/JPIF-07-2024-229</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12" w:name="Elbanna"/>
      <w:bookmarkEnd w:id="11"/>
      <w:r w:rsidRPr="008F38EC">
        <w:rPr>
          <w:rFonts w:ascii="Calibri Light" w:hAnsi="Calibri Light" w:cs="Calibri Light"/>
          <w:sz w:val="24"/>
          <w:szCs w:val="24"/>
        </w:rPr>
        <w:t xml:space="preserve">Elbanna, M. … Ishak, M. H. Bin. (2025). A Bibliometric Analysis of Sustainable Development Goals (SDGs) Through the Lens of Maqasid Shariah Tafsir. </w:t>
      </w:r>
      <w:r w:rsidRPr="008F38EC">
        <w:rPr>
          <w:rFonts w:ascii="Calibri Light" w:hAnsi="Calibri Light" w:cs="Calibri Light"/>
          <w:i/>
          <w:iCs/>
          <w:sz w:val="24"/>
          <w:szCs w:val="24"/>
        </w:rPr>
        <w:t>QiST: Journal of Quran and Tafseer Studies</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4</w:t>
      </w:r>
      <w:r w:rsidRPr="008F38EC">
        <w:rPr>
          <w:rFonts w:ascii="Calibri Light" w:hAnsi="Calibri Light" w:cs="Calibri Light"/>
          <w:sz w:val="24"/>
          <w:szCs w:val="24"/>
        </w:rPr>
        <w:t xml:space="preserve">(1), 1–22. </w:t>
      </w:r>
      <w:hyperlink r:id="rId35" w:history="1">
        <w:r w:rsidRPr="00434A6A">
          <w:rPr>
            <w:rStyle w:val="Hyperlink"/>
            <w:rFonts w:ascii="Calibri Light" w:hAnsi="Calibri Light" w:cs="Calibri Light"/>
            <w:sz w:val="24"/>
            <w:szCs w:val="24"/>
          </w:rPr>
          <w:t>https://doi.org/10.23917/qist.v4i1.7360</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13" w:name="Faizi"/>
      <w:bookmarkEnd w:id="12"/>
      <w:r w:rsidRPr="008F38EC">
        <w:rPr>
          <w:rFonts w:ascii="Calibri Light" w:hAnsi="Calibri Light" w:cs="Calibri Light"/>
          <w:sz w:val="24"/>
          <w:szCs w:val="24"/>
        </w:rPr>
        <w:t xml:space="preserve">Faizi, F. (2024). How are Islamic banking products developed? Evidence from emerging country. </w:t>
      </w:r>
      <w:r w:rsidRPr="008F38EC">
        <w:rPr>
          <w:rFonts w:ascii="Calibri Light" w:hAnsi="Calibri Light" w:cs="Calibri Light"/>
          <w:i/>
          <w:iCs/>
          <w:sz w:val="24"/>
          <w:szCs w:val="24"/>
        </w:rPr>
        <w:t>Cogent Economics and Finance</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12</w:t>
      </w:r>
      <w:r w:rsidRPr="008F38EC">
        <w:rPr>
          <w:rFonts w:ascii="Calibri Light" w:hAnsi="Calibri Light" w:cs="Calibri Light"/>
          <w:sz w:val="24"/>
          <w:szCs w:val="24"/>
        </w:rPr>
        <w:t xml:space="preserve">(1). </w:t>
      </w:r>
      <w:hyperlink r:id="rId36" w:history="1">
        <w:r w:rsidRPr="00434A6A">
          <w:rPr>
            <w:rStyle w:val="Hyperlink"/>
            <w:rFonts w:ascii="Calibri Light" w:hAnsi="Calibri Light" w:cs="Calibri Light"/>
            <w:sz w:val="24"/>
            <w:szCs w:val="24"/>
          </w:rPr>
          <w:t>https://doi.org/10.1080/23322039.2024.2378961</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14" w:name="Fathoni"/>
      <w:bookmarkEnd w:id="13"/>
      <w:r w:rsidRPr="008F38EC">
        <w:rPr>
          <w:rFonts w:ascii="Calibri Light" w:hAnsi="Calibri Light" w:cs="Calibri Light"/>
          <w:sz w:val="24"/>
          <w:szCs w:val="24"/>
        </w:rPr>
        <w:t xml:space="preserve">Fathoni, M. A. … Hidayah, N. (2024). Intention to participate in Islamic banking in Indonesia: Does socio-political identity matter? </w:t>
      </w:r>
      <w:r w:rsidRPr="008F38EC">
        <w:rPr>
          <w:rFonts w:ascii="Calibri Light" w:hAnsi="Calibri Light" w:cs="Calibri Light"/>
          <w:i/>
          <w:iCs/>
          <w:sz w:val="24"/>
          <w:szCs w:val="24"/>
        </w:rPr>
        <w:t>Journal of Islamic Marketing</w:t>
      </w:r>
      <w:r w:rsidRPr="008F38EC">
        <w:rPr>
          <w:rFonts w:ascii="Calibri Light" w:hAnsi="Calibri Light" w:cs="Calibri Light"/>
          <w:sz w:val="24"/>
          <w:szCs w:val="24"/>
        </w:rPr>
        <w:t xml:space="preserve">. </w:t>
      </w:r>
      <w:hyperlink r:id="rId37" w:history="1">
        <w:r w:rsidRPr="00434A6A">
          <w:rPr>
            <w:rStyle w:val="Hyperlink"/>
            <w:rFonts w:ascii="Calibri Light" w:hAnsi="Calibri Light" w:cs="Calibri Light"/>
            <w:sz w:val="24"/>
            <w:szCs w:val="24"/>
          </w:rPr>
          <w:t>https://doi.org/10.1108/JIMA-12-2023-0397</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15" w:name="Fitri"/>
      <w:bookmarkEnd w:id="14"/>
      <w:r w:rsidRPr="008F38EC">
        <w:rPr>
          <w:rFonts w:ascii="Calibri Light" w:hAnsi="Calibri Light" w:cs="Calibri Light"/>
          <w:sz w:val="24"/>
          <w:szCs w:val="24"/>
        </w:rPr>
        <w:lastRenderedPageBreak/>
        <w:t xml:space="preserve">Fitri, F. A. … Hatta, F. (2022). Do intellectual capital and financing matter for the profitability of the Islamic banking industry in Indonesia? </w:t>
      </w:r>
      <w:r w:rsidRPr="008F38EC">
        <w:rPr>
          <w:rFonts w:ascii="Calibri Light" w:hAnsi="Calibri Light" w:cs="Calibri Light"/>
          <w:i/>
          <w:iCs/>
          <w:sz w:val="24"/>
          <w:szCs w:val="24"/>
        </w:rPr>
        <w:t>International Journal of Monetary Economics and Finance</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15</w:t>
      </w:r>
      <w:r w:rsidRPr="008F38EC">
        <w:rPr>
          <w:rFonts w:ascii="Calibri Light" w:hAnsi="Calibri Light" w:cs="Calibri Light"/>
          <w:sz w:val="24"/>
          <w:szCs w:val="24"/>
        </w:rPr>
        <w:t xml:space="preserve">(3), 293–308. </w:t>
      </w:r>
      <w:hyperlink r:id="rId38" w:history="1">
        <w:r w:rsidRPr="004231BE">
          <w:rPr>
            <w:rStyle w:val="Hyperlink"/>
            <w:rFonts w:ascii="Calibri Light" w:hAnsi="Calibri Light" w:cs="Calibri Light"/>
            <w:sz w:val="24"/>
            <w:szCs w:val="24"/>
          </w:rPr>
          <w:t>https://doi.org/10.1504/ijmef.2022.126888</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16" w:name="Guizani"/>
      <w:bookmarkEnd w:id="15"/>
      <w:r w:rsidRPr="008F38EC">
        <w:rPr>
          <w:rFonts w:ascii="Calibri Light" w:hAnsi="Calibri Light" w:cs="Calibri Light"/>
          <w:sz w:val="24"/>
          <w:szCs w:val="24"/>
        </w:rPr>
        <w:t xml:space="preserve">Guizani, M., &amp; Ajmi, A. N. (2022). Islamic banking and corporate investment efficiency: empirical evidence from Malaysia. </w:t>
      </w:r>
      <w:r w:rsidRPr="008F38EC">
        <w:rPr>
          <w:rFonts w:ascii="Calibri Light" w:hAnsi="Calibri Light" w:cs="Calibri Light"/>
          <w:i/>
          <w:iCs/>
          <w:sz w:val="24"/>
          <w:szCs w:val="24"/>
        </w:rPr>
        <w:t>International Journal of Productivity and Performance Management</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71</w:t>
      </w:r>
      <w:r w:rsidRPr="008F38EC">
        <w:rPr>
          <w:rFonts w:ascii="Calibri Light" w:hAnsi="Calibri Light" w:cs="Calibri Light"/>
          <w:sz w:val="24"/>
          <w:szCs w:val="24"/>
        </w:rPr>
        <w:t xml:space="preserve">(5), 1854–1871. </w:t>
      </w:r>
      <w:hyperlink r:id="rId39" w:history="1">
        <w:r w:rsidRPr="004231BE">
          <w:rPr>
            <w:rStyle w:val="Hyperlink"/>
            <w:rFonts w:ascii="Calibri Light" w:hAnsi="Calibri Light" w:cs="Calibri Light"/>
            <w:sz w:val="24"/>
            <w:szCs w:val="24"/>
          </w:rPr>
          <w:t>https://doi.org/10.1108/IJPPM-06-2020-0331</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17" w:name="Hasan"/>
      <w:bookmarkEnd w:id="16"/>
      <w:r w:rsidRPr="008F38EC">
        <w:rPr>
          <w:rFonts w:ascii="Calibri Light" w:hAnsi="Calibri Light" w:cs="Calibri Light"/>
          <w:sz w:val="24"/>
          <w:szCs w:val="24"/>
        </w:rPr>
        <w:t xml:space="preserve">Hasan, A. K. M. K., &amp; Suzuki, Y. (2021). “Sub-debt trap”: a real effect of an ill-design adoption of basel accord in the Bangladeshi banking industry. </w:t>
      </w:r>
      <w:r w:rsidRPr="008F38EC">
        <w:rPr>
          <w:rFonts w:ascii="Calibri Light" w:hAnsi="Calibri Light" w:cs="Calibri Light"/>
          <w:i/>
          <w:iCs/>
          <w:sz w:val="24"/>
          <w:szCs w:val="24"/>
        </w:rPr>
        <w:t>Journal of Islamic Accounting and Business Research</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12</w:t>
      </w:r>
      <w:r w:rsidRPr="008F38EC">
        <w:rPr>
          <w:rFonts w:ascii="Calibri Light" w:hAnsi="Calibri Light" w:cs="Calibri Light"/>
          <w:sz w:val="24"/>
          <w:szCs w:val="24"/>
        </w:rPr>
        <w:t xml:space="preserve">(8), 1124–1145. </w:t>
      </w:r>
      <w:hyperlink r:id="rId40" w:history="1">
        <w:r w:rsidRPr="004231BE">
          <w:rPr>
            <w:rStyle w:val="Hyperlink"/>
            <w:rFonts w:ascii="Calibri Light" w:hAnsi="Calibri Light" w:cs="Calibri Light"/>
            <w:sz w:val="24"/>
            <w:szCs w:val="24"/>
          </w:rPr>
          <w:t>https://doi.org/10.1108/JIABR-09-2020-0298</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18" w:name="Hassan"/>
      <w:bookmarkEnd w:id="17"/>
      <w:r w:rsidRPr="008F38EC">
        <w:rPr>
          <w:rFonts w:ascii="Calibri Light" w:hAnsi="Calibri Light" w:cs="Calibri Light"/>
          <w:sz w:val="24"/>
          <w:szCs w:val="24"/>
        </w:rPr>
        <w:t xml:space="preserve">Hassan, M. K. … Rashid, M. (2024). A systematic literature review of risks in Islamic banking system: research agenda and future research directions. </w:t>
      </w:r>
      <w:r w:rsidRPr="008F38EC">
        <w:rPr>
          <w:rFonts w:ascii="Calibri Light" w:hAnsi="Calibri Light" w:cs="Calibri Light"/>
          <w:i/>
          <w:iCs/>
          <w:sz w:val="24"/>
          <w:szCs w:val="24"/>
        </w:rPr>
        <w:t>Risk Management</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26</w:t>
      </w:r>
      <w:r w:rsidRPr="008F38EC">
        <w:rPr>
          <w:rFonts w:ascii="Calibri Light" w:hAnsi="Calibri Light" w:cs="Calibri Light"/>
          <w:sz w:val="24"/>
          <w:szCs w:val="24"/>
        </w:rPr>
        <w:t xml:space="preserve">(1). </w:t>
      </w:r>
      <w:hyperlink r:id="rId41" w:history="1">
        <w:r w:rsidRPr="004231BE">
          <w:rPr>
            <w:rStyle w:val="Hyperlink"/>
            <w:rFonts w:ascii="Calibri Light" w:hAnsi="Calibri Light" w:cs="Calibri Light"/>
            <w:sz w:val="24"/>
            <w:szCs w:val="24"/>
          </w:rPr>
          <w:t>https://doi.org/10.1057/s41283-023-00135-z</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19" w:name="Hermawati"/>
      <w:bookmarkEnd w:id="18"/>
      <w:r w:rsidRPr="008F38EC">
        <w:rPr>
          <w:rFonts w:ascii="Calibri Light" w:hAnsi="Calibri Light" w:cs="Calibri Light"/>
          <w:sz w:val="24"/>
          <w:szCs w:val="24"/>
        </w:rPr>
        <w:t xml:space="preserve">Hermawati, A. … Husin, H. (2021). Freelancers Intentions Towards Adoption Of Islamic Banking. </w:t>
      </w:r>
      <w:r w:rsidRPr="008F38EC">
        <w:rPr>
          <w:rFonts w:ascii="Calibri Light" w:hAnsi="Calibri Light" w:cs="Calibri Light"/>
          <w:i/>
          <w:iCs/>
          <w:sz w:val="24"/>
          <w:szCs w:val="24"/>
        </w:rPr>
        <w:t>Academy of Strategic Management Journal</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20</w:t>
      </w:r>
      <w:r w:rsidRPr="008F38EC">
        <w:rPr>
          <w:rFonts w:ascii="Calibri Light" w:hAnsi="Calibri Light" w:cs="Calibri Light"/>
          <w:sz w:val="24"/>
          <w:szCs w:val="24"/>
        </w:rPr>
        <w:t xml:space="preserve">(2), 1–16. </w:t>
      </w:r>
      <w:hyperlink r:id="rId42" w:history="1">
        <w:r w:rsidRPr="004231BE">
          <w:rPr>
            <w:rStyle w:val="Hyperlink"/>
            <w:rFonts w:ascii="Calibri Light" w:hAnsi="Calibri Light" w:cs="Calibri Light"/>
            <w:sz w:val="24"/>
            <w:szCs w:val="24"/>
          </w:rPr>
          <w:t>https://www.scopus.com/inward/record.uri?eid=2-s2.0-85104261973&amp;partnerID=40&amp;md5=3e018c371c1eaf93307b64b4d38b50a5</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20" w:name="Ho"/>
      <w:bookmarkEnd w:id="19"/>
      <w:r w:rsidRPr="008F38EC">
        <w:rPr>
          <w:rFonts w:ascii="Calibri Light" w:hAnsi="Calibri Light" w:cs="Calibri Light"/>
          <w:sz w:val="24"/>
          <w:szCs w:val="24"/>
        </w:rPr>
        <w:t xml:space="preserve">Ho, K.-C. … Chen, J.-L. (2022). Book-to-market equity and asset correlations—An international study. </w:t>
      </w:r>
      <w:r w:rsidRPr="008F38EC">
        <w:rPr>
          <w:rFonts w:ascii="Calibri Light" w:hAnsi="Calibri Light" w:cs="Calibri Light"/>
          <w:i/>
          <w:iCs/>
          <w:sz w:val="24"/>
          <w:szCs w:val="24"/>
        </w:rPr>
        <w:t>International Review of Economics and Finance</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79</w:t>
      </w:r>
      <w:r w:rsidRPr="008F38EC">
        <w:rPr>
          <w:rFonts w:ascii="Calibri Light" w:hAnsi="Calibri Light" w:cs="Calibri Light"/>
          <w:sz w:val="24"/>
          <w:szCs w:val="24"/>
        </w:rPr>
        <w:t xml:space="preserve">, 258–274. </w:t>
      </w:r>
      <w:hyperlink r:id="rId43" w:history="1">
        <w:r w:rsidRPr="004231BE">
          <w:rPr>
            <w:rStyle w:val="Hyperlink"/>
            <w:rFonts w:ascii="Calibri Light" w:hAnsi="Calibri Light" w:cs="Calibri Light"/>
            <w:sz w:val="24"/>
            <w:szCs w:val="24"/>
          </w:rPr>
          <w:t>https://doi.org/10.1016/j.iref.2022.02.014</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21" w:name="Huang"/>
      <w:bookmarkEnd w:id="20"/>
      <w:r w:rsidRPr="008F38EC">
        <w:rPr>
          <w:rFonts w:ascii="Calibri Light" w:hAnsi="Calibri Light" w:cs="Calibri Light"/>
          <w:sz w:val="24"/>
          <w:szCs w:val="24"/>
        </w:rPr>
        <w:t xml:space="preserve">Huang, C. … Archibald, T. W. (2024). Should Basel-style liquidity requirements be set countercyclically? Evidence from a numerical analysis. </w:t>
      </w:r>
      <w:r w:rsidRPr="008F38EC">
        <w:rPr>
          <w:rFonts w:ascii="Calibri Light" w:hAnsi="Calibri Light" w:cs="Calibri Light"/>
          <w:i/>
          <w:iCs/>
          <w:sz w:val="24"/>
          <w:szCs w:val="24"/>
        </w:rPr>
        <w:t>International Review of Financial Analysis</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95</w:t>
      </w:r>
      <w:r w:rsidRPr="008F38EC">
        <w:rPr>
          <w:rFonts w:ascii="Calibri Light" w:hAnsi="Calibri Light" w:cs="Calibri Light"/>
          <w:sz w:val="24"/>
          <w:szCs w:val="24"/>
        </w:rPr>
        <w:t xml:space="preserve">. </w:t>
      </w:r>
      <w:hyperlink r:id="rId44" w:history="1">
        <w:r w:rsidRPr="004231BE">
          <w:rPr>
            <w:rStyle w:val="Hyperlink"/>
            <w:rFonts w:ascii="Calibri Light" w:hAnsi="Calibri Light" w:cs="Calibri Light"/>
            <w:sz w:val="24"/>
            <w:szCs w:val="24"/>
          </w:rPr>
          <w:t>https://doi.org/10.1016/j.irfa.2024.103502</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22" w:name="Hudayati"/>
      <w:bookmarkEnd w:id="21"/>
      <w:r w:rsidRPr="008F38EC">
        <w:rPr>
          <w:rFonts w:ascii="Calibri Light" w:hAnsi="Calibri Light" w:cs="Calibri Light"/>
          <w:sz w:val="24"/>
          <w:szCs w:val="24"/>
        </w:rPr>
        <w:t xml:space="preserve">Hudayati, A. (2023). Exploring the Nexus of Disclosure of Sharia Compliance and Governance in Islamic Banking: A Comprehensive Analysis of the Sharia Supervisory Board. </w:t>
      </w:r>
      <w:r w:rsidRPr="008F38EC">
        <w:rPr>
          <w:rFonts w:ascii="Calibri Light" w:hAnsi="Calibri Light" w:cs="Calibri Light"/>
          <w:i/>
          <w:iCs/>
          <w:sz w:val="24"/>
          <w:szCs w:val="24"/>
        </w:rPr>
        <w:t>Management and Accounting Review</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22</w:t>
      </w:r>
      <w:r w:rsidRPr="008F38EC">
        <w:rPr>
          <w:rFonts w:ascii="Calibri Light" w:hAnsi="Calibri Light" w:cs="Calibri Light"/>
          <w:sz w:val="24"/>
          <w:szCs w:val="24"/>
        </w:rPr>
        <w:t xml:space="preserve">(3), 407–428. </w:t>
      </w:r>
      <w:hyperlink r:id="rId45" w:history="1">
        <w:r w:rsidRPr="004231BE">
          <w:rPr>
            <w:rStyle w:val="Hyperlink"/>
            <w:rFonts w:ascii="Calibri Light" w:hAnsi="Calibri Light" w:cs="Calibri Light"/>
            <w:sz w:val="24"/>
            <w:szCs w:val="24"/>
          </w:rPr>
          <w:t>https://www.scopus.com/inward/record.uri?eid=2-s2.0-85179718521&amp;partnerID=40&amp;md5=c1d4efeffba5a3e6e85b32d01d1e3a12</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23" w:name="Isman"/>
      <w:bookmarkEnd w:id="22"/>
      <w:r w:rsidRPr="008F38EC">
        <w:rPr>
          <w:rFonts w:ascii="Calibri Light" w:hAnsi="Calibri Light" w:cs="Calibri Light"/>
          <w:sz w:val="24"/>
          <w:szCs w:val="24"/>
        </w:rPr>
        <w:t xml:space="preserve">Isman, A. (2024). Islamic Capital Market Accessibility and Fintech Innovation: Transformation of POJK 77/2016. </w:t>
      </w:r>
      <w:r w:rsidRPr="008F38EC">
        <w:rPr>
          <w:rFonts w:ascii="Calibri Light" w:hAnsi="Calibri Light" w:cs="Calibri Light"/>
          <w:i/>
          <w:iCs/>
          <w:sz w:val="24"/>
          <w:szCs w:val="24"/>
        </w:rPr>
        <w:t>International Conference on Actual Islamic Studies</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3</w:t>
      </w:r>
      <w:r w:rsidRPr="008F38EC">
        <w:rPr>
          <w:rFonts w:ascii="Calibri Light" w:hAnsi="Calibri Light" w:cs="Calibri Light"/>
          <w:sz w:val="24"/>
          <w:szCs w:val="24"/>
        </w:rPr>
        <w:t xml:space="preserve">(1). </w:t>
      </w:r>
      <w:hyperlink r:id="rId46" w:history="1">
        <w:r w:rsidRPr="004231BE">
          <w:rPr>
            <w:rStyle w:val="Hyperlink"/>
            <w:rFonts w:ascii="Calibri Light" w:hAnsi="Calibri Light" w:cs="Calibri Light"/>
            <w:sz w:val="24"/>
            <w:szCs w:val="24"/>
          </w:rPr>
          <w:t>https://prosiding.icaisunismuh.org/index.php/3rd/article/view/232</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24" w:name="Jabbar"/>
      <w:bookmarkEnd w:id="23"/>
      <w:r w:rsidRPr="008F38EC">
        <w:rPr>
          <w:rFonts w:ascii="Calibri Light" w:hAnsi="Calibri Light" w:cs="Calibri Light"/>
          <w:sz w:val="24"/>
          <w:szCs w:val="24"/>
        </w:rPr>
        <w:t xml:space="preserve">Jabbar, A. A. … Afiyah, I. (2024). The Relevance and Dynamics of Muamalat Transactions in the Context of Modern Economics : A Holistic Review. </w:t>
      </w:r>
      <w:r w:rsidRPr="008F38EC">
        <w:rPr>
          <w:rFonts w:ascii="Calibri Light" w:hAnsi="Calibri Light" w:cs="Calibri Light"/>
          <w:i/>
          <w:iCs/>
          <w:sz w:val="24"/>
          <w:szCs w:val="24"/>
        </w:rPr>
        <w:t xml:space="preserve">Solo International Colaboration and Publication of Social Sciences and </w:t>
      </w:r>
      <w:r w:rsidRPr="008F38EC">
        <w:rPr>
          <w:rFonts w:ascii="Calibri Light" w:hAnsi="Calibri Light" w:cs="Calibri Light"/>
          <w:i/>
          <w:iCs/>
          <w:sz w:val="24"/>
          <w:szCs w:val="24"/>
        </w:rPr>
        <w:lastRenderedPageBreak/>
        <w:t>Humanitieslaboration and Publication of Social Sciences and Humanities</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2</w:t>
      </w:r>
      <w:r w:rsidRPr="008F38EC">
        <w:rPr>
          <w:rFonts w:ascii="Calibri Light" w:hAnsi="Calibri Light" w:cs="Calibri Light"/>
          <w:sz w:val="24"/>
          <w:szCs w:val="24"/>
        </w:rPr>
        <w:t xml:space="preserve">(1), 47–60. </w:t>
      </w:r>
      <w:hyperlink r:id="rId47" w:history="1">
        <w:r w:rsidRPr="004231BE">
          <w:rPr>
            <w:rStyle w:val="Hyperlink"/>
            <w:rFonts w:ascii="Calibri Light" w:hAnsi="Calibri Light" w:cs="Calibri Light"/>
            <w:sz w:val="24"/>
            <w:szCs w:val="24"/>
          </w:rPr>
          <w:t>https://doi.org/10.61455/sicopus.v2i01.119</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25" w:name="Mitchell"/>
      <w:bookmarkEnd w:id="24"/>
      <w:r w:rsidRPr="008F38EC">
        <w:rPr>
          <w:rFonts w:ascii="Calibri Light" w:hAnsi="Calibri Light" w:cs="Calibri Light"/>
          <w:sz w:val="24"/>
          <w:szCs w:val="24"/>
        </w:rPr>
        <w:t xml:space="preserve">Mitchell, C. (2022). The Power of Delay: Banking System Structure and Implementation of the Basel Accords. </w:t>
      </w:r>
      <w:r w:rsidRPr="008F38EC">
        <w:rPr>
          <w:rFonts w:ascii="Calibri Light" w:hAnsi="Calibri Light" w:cs="Calibri Light"/>
          <w:i/>
          <w:iCs/>
          <w:sz w:val="24"/>
          <w:szCs w:val="24"/>
        </w:rPr>
        <w:t>Business and Politics</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24</w:t>
      </w:r>
      <w:r w:rsidRPr="008F38EC">
        <w:rPr>
          <w:rFonts w:ascii="Calibri Light" w:hAnsi="Calibri Light" w:cs="Calibri Light"/>
          <w:sz w:val="24"/>
          <w:szCs w:val="24"/>
        </w:rPr>
        <w:t xml:space="preserve">(1), 1–17. </w:t>
      </w:r>
      <w:hyperlink r:id="rId48" w:history="1">
        <w:r w:rsidRPr="004231BE">
          <w:rPr>
            <w:rStyle w:val="Hyperlink"/>
            <w:rFonts w:ascii="Calibri Light" w:hAnsi="Calibri Light" w:cs="Calibri Light"/>
            <w:sz w:val="24"/>
            <w:szCs w:val="24"/>
          </w:rPr>
          <w:t>https://doi.org/10.1017/bap.2021.16</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26" w:name="Muflih"/>
      <w:bookmarkEnd w:id="25"/>
      <w:r w:rsidRPr="008F38EC">
        <w:rPr>
          <w:rFonts w:ascii="Calibri Light" w:hAnsi="Calibri Light" w:cs="Calibri Light"/>
          <w:sz w:val="24"/>
          <w:szCs w:val="24"/>
        </w:rPr>
        <w:t xml:space="preserve">Muflih, M. (2021). The link between corporate social responsibility and customer loyalty: Empirical evidence from the Islamic banking industry. </w:t>
      </w:r>
      <w:r w:rsidRPr="008F38EC">
        <w:rPr>
          <w:rFonts w:ascii="Calibri Light" w:hAnsi="Calibri Light" w:cs="Calibri Light"/>
          <w:i/>
          <w:iCs/>
          <w:sz w:val="24"/>
          <w:szCs w:val="24"/>
        </w:rPr>
        <w:t>Journal of Retailing and Consumer Services</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61</w:t>
      </w:r>
      <w:r w:rsidRPr="008F38EC">
        <w:rPr>
          <w:rFonts w:ascii="Calibri Light" w:hAnsi="Calibri Light" w:cs="Calibri Light"/>
          <w:sz w:val="24"/>
          <w:szCs w:val="24"/>
        </w:rPr>
        <w:t xml:space="preserve">. </w:t>
      </w:r>
      <w:hyperlink r:id="rId49" w:history="1">
        <w:r w:rsidRPr="004231BE">
          <w:rPr>
            <w:rStyle w:val="Hyperlink"/>
            <w:rFonts w:ascii="Calibri Light" w:hAnsi="Calibri Light" w:cs="Calibri Light"/>
            <w:sz w:val="24"/>
            <w:szCs w:val="24"/>
          </w:rPr>
          <w:t>https://doi.org/10.1016/j.jretconser.2021.102558</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27" w:name="Nasrullah"/>
      <w:bookmarkEnd w:id="26"/>
      <w:r w:rsidRPr="008F38EC">
        <w:rPr>
          <w:rFonts w:ascii="Calibri Light" w:hAnsi="Calibri Light" w:cs="Calibri Light"/>
          <w:sz w:val="24"/>
          <w:szCs w:val="24"/>
        </w:rPr>
        <w:t xml:space="preserve">Nasrullah, M. (2024). Implementation of Fiqh Rules in Economic Transactions in Islamic Financial Institutions : A Literature Review Study. </w:t>
      </w:r>
      <w:r w:rsidRPr="008F38EC">
        <w:rPr>
          <w:rFonts w:ascii="Calibri Light" w:hAnsi="Calibri Light" w:cs="Calibri Light"/>
          <w:i/>
          <w:iCs/>
          <w:sz w:val="24"/>
          <w:szCs w:val="24"/>
        </w:rPr>
        <w:t>Demak Universal Journal of Islam and Sharia</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2</w:t>
      </w:r>
      <w:r w:rsidRPr="008F38EC">
        <w:rPr>
          <w:rFonts w:ascii="Calibri Light" w:hAnsi="Calibri Light" w:cs="Calibri Light"/>
          <w:sz w:val="24"/>
          <w:szCs w:val="24"/>
        </w:rPr>
        <w:t xml:space="preserve">(3), 347–360. </w:t>
      </w:r>
      <w:hyperlink r:id="rId50" w:history="1">
        <w:r w:rsidRPr="004231BE">
          <w:rPr>
            <w:rStyle w:val="Hyperlink"/>
            <w:rFonts w:ascii="Calibri Light" w:hAnsi="Calibri Light" w:cs="Calibri Light"/>
            <w:sz w:val="24"/>
            <w:szCs w:val="24"/>
          </w:rPr>
          <w:t>https://doi.org/10.61455/deujis.v2i03.194</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28" w:name="Nirwana"/>
      <w:bookmarkEnd w:id="27"/>
      <w:r w:rsidRPr="008F38EC">
        <w:rPr>
          <w:rFonts w:ascii="Calibri Light" w:hAnsi="Calibri Light" w:cs="Calibri Light"/>
          <w:sz w:val="24"/>
          <w:szCs w:val="24"/>
        </w:rPr>
        <w:t xml:space="preserve">Nirwana, A. N. A. … Husein, M. Z. (2024). PRISMA-Based Study on Integrating Islamic Principles into Legal Systems: Human Rights in Egypt and Indonesia. </w:t>
      </w:r>
      <w:r w:rsidRPr="008F38EC">
        <w:rPr>
          <w:rFonts w:ascii="Calibri Light" w:hAnsi="Calibri Light" w:cs="Calibri Light"/>
          <w:i/>
          <w:iCs/>
          <w:sz w:val="24"/>
          <w:szCs w:val="24"/>
        </w:rPr>
        <w:t>International Journal of Law and Society</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3</w:t>
      </w:r>
      <w:r w:rsidRPr="008F38EC">
        <w:rPr>
          <w:rFonts w:ascii="Calibri Light" w:hAnsi="Calibri Light" w:cs="Calibri Light"/>
          <w:sz w:val="24"/>
          <w:szCs w:val="24"/>
        </w:rPr>
        <w:t xml:space="preserve">(3), 173–186. </w:t>
      </w:r>
      <w:hyperlink r:id="rId51" w:history="1">
        <w:r w:rsidRPr="004231BE">
          <w:rPr>
            <w:rStyle w:val="Hyperlink"/>
            <w:rFonts w:ascii="Calibri Light" w:hAnsi="Calibri Light" w:cs="Calibri Light"/>
            <w:sz w:val="24"/>
            <w:szCs w:val="24"/>
          </w:rPr>
          <w:t>https://doi.org/10.59683/ijls.v3i3.90</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29" w:name="Nouman"/>
      <w:bookmarkEnd w:id="28"/>
      <w:r w:rsidRPr="008F38EC">
        <w:rPr>
          <w:rFonts w:ascii="Calibri Light" w:hAnsi="Calibri Light" w:cs="Calibri Light"/>
          <w:sz w:val="24"/>
          <w:szCs w:val="24"/>
        </w:rPr>
        <w:t xml:space="preserve">Nouman, M. … Jan, S. (2022). Domains and motives of musharakah spur in the islamic banking industry of pakistan. </w:t>
      </w:r>
      <w:r w:rsidRPr="008F38EC">
        <w:rPr>
          <w:rFonts w:ascii="Calibri Light" w:hAnsi="Calibri Light" w:cs="Calibri Light"/>
          <w:i/>
          <w:iCs/>
          <w:sz w:val="24"/>
          <w:szCs w:val="24"/>
        </w:rPr>
        <w:t>Singapore Economic Review</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67</w:t>
      </w:r>
      <w:r w:rsidRPr="008F38EC">
        <w:rPr>
          <w:rFonts w:ascii="Calibri Light" w:hAnsi="Calibri Light" w:cs="Calibri Light"/>
          <w:sz w:val="24"/>
          <w:szCs w:val="24"/>
        </w:rPr>
        <w:t xml:space="preserve">(1), 381–409. </w:t>
      </w:r>
      <w:hyperlink r:id="rId52" w:history="1">
        <w:r w:rsidRPr="00A47ADB">
          <w:rPr>
            <w:rStyle w:val="Hyperlink"/>
            <w:rFonts w:ascii="Calibri Light" w:hAnsi="Calibri Light" w:cs="Calibri Light"/>
            <w:sz w:val="24"/>
            <w:szCs w:val="24"/>
          </w:rPr>
          <w:t>https://doi.org/10.1142/S0217590819500620</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30" w:name="Noviani"/>
      <w:bookmarkEnd w:id="29"/>
      <w:r w:rsidRPr="008F38EC">
        <w:rPr>
          <w:rFonts w:ascii="Calibri Light" w:hAnsi="Calibri Light" w:cs="Calibri Light"/>
          <w:sz w:val="24"/>
          <w:szCs w:val="24"/>
        </w:rPr>
        <w:t xml:space="preserve">Noviani, D. … Madami, U. (2025). Implementation and Challenges of Wadi’ah Contracts in Islamic Banking with a View to Future Prospects. </w:t>
      </w:r>
      <w:r w:rsidRPr="008F38EC">
        <w:rPr>
          <w:rFonts w:ascii="Calibri Light" w:hAnsi="Calibri Light" w:cs="Calibri Light"/>
          <w:i/>
          <w:iCs/>
          <w:sz w:val="24"/>
          <w:szCs w:val="24"/>
        </w:rPr>
        <w:t>Solo International Collaboration and Publication of Social Sciences and Humanities</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3</w:t>
      </w:r>
      <w:r w:rsidRPr="008F38EC">
        <w:rPr>
          <w:rFonts w:ascii="Calibri Light" w:hAnsi="Calibri Light" w:cs="Calibri Light"/>
          <w:sz w:val="24"/>
          <w:szCs w:val="24"/>
        </w:rPr>
        <w:t xml:space="preserve">(2), 359–370. </w:t>
      </w:r>
      <w:hyperlink r:id="rId53" w:history="1">
        <w:r w:rsidRPr="00A47ADB">
          <w:rPr>
            <w:rStyle w:val="Hyperlink"/>
            <w:rFonts w:ascii="Calibri Light" w:hAnsi="Calibri Light" w:cs="Calibri Light"/>
            <w:sz w:val="24"/>
            <w:szCs w:val="24"/>
          </w:rPr>
          <w:t>https://doi.org/10.61455/sicopus.v3i02.344</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31" w:name="Oladapo"/>
      <w:bookmarkEnd w:id="30"/>
      <w:r w:rsidRPr="008F38EC">
        <w:rPr>
          <w:rFonts w:ascii="Calibri Light" w:hAnsi="Calibri Light" w:cs="Calibri Light"/>
          <w:sz w:val="24"/>
          <w:szCs w:val="24"/>
        </w:rPr>
        <w:t xml:space="preserve">Oladapo, I. A. … Muda, R. (2022). Customers’ perceptions of FinTech adaptability in the Islamic banking sector: comparative study on Malaysia and Saudi Arabia. </w:t>
      </w:r>
      <w:r w:rsidRPr="008F38EC">
        <w:rPr>
          <w:rFonts w:ascii="Calibri Light" w:hAnsi="Calibri Light" w:cs="Calibri Light"/>
          <w:i/>
          <w:iCs/>
          <w:sz w:val="24"/>
          <w:szCs w:val="24"/>
        </w:rPr>
        <w:t>Journal of Modelling in Management</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17</w:t>
      </w:r>
      <w:r w:rsidRPr="008F38EC">
        <w:rPr>
          <w:rFonts w:ascii="Calibri Light" w:hAnsi="Calibri Light" w:cs="Calibri Light"/>
          <w:sz w:val="24"/>
          <w:szCs w:val="24"/>
        </w:rPr>
        <w:t xml:space="preserve">(4), 1241–1261. </w:t>
      </w:r>
      <w:hyperlink r:id="rId54" w:history="1">
        <w:r w:rsidRPr="00A47ADB">
          <w:rPr>
            <w:rStyle w:val="Hyperlink"/>
            <w:rFonts w:ascii="Calibri Light" w:hAnsi="Calibri Light" w:cs="Calibri Light"/>
            <w:sz w:val="24"/>
            <w:szCs w:val="24"/>
          </w:rPr>
          <w:t>https://doi.org/10.1108/JM2-10-2020-0256</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32" w:name="Rahman"/>
      <w:bookmarkEnd w:id="31"/>
      <w:r w:rsidRPr="008F38EC">
        <w:rPr>
          <w:rFonts w:ascii="Calibri Light" w:hAnsi="Calibri Light" w:cs="Calibri Light"/>
          <w:sz w:val="24"/>
          <w:szCs w:val="24"/>
        </w:rPr>
        <w:t xml:space="preserve">Rahman, M. H., &amp; Chowdhury, N. M. S. I. (2024). The prospects of istijrar financing in Islamic banking: an exploratory study in Bangladesh. </w:t>
      </w:r>
      <w:r w:rsidRPr="008F38EC">
        <w:rPr>
          <w:rFonts w:ascii="Calibri Light" w:hAnsi="Calibri Light" w:cs="Calibri Light"/>
          <w:i/>
          <w:iCs/>
          <w:sz w:val="24"/>
          <w:szCs w:val="24"/>
        </w:rPr>
        <w:t>Qualitative Research in Financial Markets</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16</w:t>
      </w:r>
      <w:r w:rsidRPr="008F38EC">
        <w:rPr>
          <w:rFonts w:ascii="Calibri Light" w:hAnsi="Calibri Light" w:cs="Calibri Light"/>
          <w:sz w:val="24"/>
          <w:szCs w:val="24"/>
        </w:rPr>
        <w:t xml:space="preserve">(1), 135–158. </w:t>
      </w:r>
      <w:hyperlink r:id="rId55" w:history="1">
        <w:r w:rsidRPr="00A47ADB">
          <w:rPr>
            <w:rStyle w:val="Hyperlink"/>
            <w:rFonts w:ascii="Calibri Light" w:hAnsi="Calibri Light" w:cs="Calibri Light"/>
            <w:sz w:val="24"/>
            <w:szCs w:val="24"/>
          </w:rPr>
          <w:t>https://doi.org/10.1108/QRFM-10-2022-0173</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33" w:name="Riaz"/>
      <w:bookmarkEnd w:id="32"/>
      <w:r w:rsidRPr="008F38EC">
        <w:rPr>
          <w:rFonts w:ascii="Calibri Light" w:hAnsi="Calibri Light" w:cs="Calibri Light"/>
          <w:sz w:val="24"/>
          <w:szCs w:val="24"/>
        </w:rPr>
        <w:t xml:space="preserve">Riaz, U. … Fearfull, A. (2023). Emotional propensities and the contemporary Islamic banking industry. </w:t>
      </w:r>
      <w:r w:rsidRPr="008F38EC">
        <w:rPr>
          <w:rFonts w:ascii="Calibri Light" w:hAnsi="Calibri Light" w:cs="Calibri Light"/>
          <w:i/>
          <w:iCs/>
          <w:sz w:val="24"/>
          <w:szCs w:val="24"/>
        </w:rPr>
        <w:t>Critical Perspectives on Accounting</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94</w:t>
      </w:r>
      <w:r w:rsidRPr="008F38EC">
        <w:rPr>
          <w:rFonts w:ascii="Calibri Light" w:hAnsi="Calibri Light" w:cs="Calibri Light"/>
          <w:sz w:val="24"/>
          <w:szCs w:val="24"/>
        </w:rPr>
        <w:t xml:space="preserve">. </w:t>
      </w:r>
      <w:hyperlink r:id="rId56" w:history="1">
        <w:r w:rsidRPr="00A47ADB">
          <w:rPr>
            <w:rStyle w:val="Hyperlink"/>
            <w:rFonts w:ascii="Calibri Light" w:hAnsi="Calibri Light" w:cs="Calibri Light"/>
            <w:sz w:val="24"/>
            <w:szCs w:val="24"/>
          </w:rPr>
          <w:t>https://doi.org/10.1016/j.cpa.2022.102449</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34" w:name="Rossignolo"/>
      <w:bookmarkEnd w:id="33"/>
      <w:r w:rsidRPr="008F38EC">
        <w:rPr>
          <w:rFonts w:ascii="Calibri Light" w:hAnsi="Calibri Light" w:cs="Calibri Light"/>
          <w:sz w:val="24"/>
          <w:szCs w:val="24"/>
        </w:rPr>
        <w:t xml:space="preserve">Rossignolo, A. F. (2020). Basel 3.5 vs. Basel III: A radical overhaul of the capital requirements pillar. The case of commodity exposures. </w:t>
      </w:r>
      <w:r w:rsidRPr="008F38EC">
        <w:rPr>
          <w:rFonts w:ascii="Calibri Light" w:hAnsi="Calibri Light" w:cs="Calibri Light"/>
          <w:i/>
          <w:iCs/>
          <w:sz w:val="24"/>
          <w:szCs w:val="24"/>
        </w:rPr>
        <w:t>International Journal of Banking, Accounting and Finance</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11</w:t>
      </w:r>
      <w:r w:rsidRPr="008F38EC">
        <w:rPr>
          <w:rFonts w:ascii="Calibri Light" w:hAnsi="Calibri Light" w:cs="Calibri Light"/>
          <w:sz w:val="24"/>
          <w:szCs w:val="24"/>
        </w:rPr>
        <w:t xml:space="preserve">(1), 1–34. </w:t>
      </w:r>
      <w:hyperlink r:id="rId57" w:history="1">
        <w:r w:rsidRPr="00A47ADB">
          <w:rPr>
            <w:rStyle w:val="Hyperlink"/>
            <w:rFonts w:ascii="Calibri Light" w:hAnsi="Calibri Light" w:cs="Calibri Light"/>
            <w:sz w:val="24"/>
            <w:szCs w:val="24"/>
          </w:rPr>
          <w:t>https://doi.org/10.1504/IJBAAF.2020.104479</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35" w:name="Rusli"/>
      <w:bookmarkEnd w:id="34"/>
      <w:r w:rsidRPr="008F38EC">
        <w:rPr>
          <w:rFonts w:ascii="Calibri Light" w:hAnsi="Calibri Light" w:cs="Calibri Light"/>
          <w:sz w:val="24"/>
          <w:szCs w:val="24"/>
        </w:rPr>
        <w:lastRenderedPageBreak/>
        <w:t xml:space="preserve">Rusli, M. (2024). </w:t>
      </w:r>
      <w:r w:rsidR="00A47ADB" w:rsidRPr="008F38EC">
        <w:rPr>
          <w:rFonts w:ascii="Calibri Light" w:hAnsi="Calibri Light" w:cs="Calibri Light"/>
          <w:sz w:val="24"/>
          <w:szCs w:val="24"/>
        </w:rPr>
        <w:t>Financial performance analysis using camels at pt. Bank syariah indonesia before and after merger</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Profetika Jurnal Studi Islam</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25</w:t>
      </w:r>
      <w:r w:rsidRPr="008F38EC">
        <w:rPr>
          <w:rFonts w:ascii="Calibri Light" w:hAnsi="Calibri Light" w:cs="Calibri Light"/>
          <w:sz w:val="24"/>
          <w:szCs w:val="24"/>
        </w:rPr>
        <w:t xml:space="preserve">(1), 195–210. </w:t>
      </w:r>
      <w:hyperlink r:id="rId58" w:history="1">
        <w:r w:rsidRPr="00A47ADB">
          <w:rPr>
            <w:rStyle w:val="Hyperlink"/>
            <w:rFonts w:ascii="Calibri Light" w:hAnsi="Calibri Light" w:cs="Calibri Light"/>
            <w:sz w:val="24"/>
            <w:szCs w:val="24"/>
          </w:rPr>
          <w:t>https://doi.org/10.23917/profetika.v25i01.2470</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36" w:name="Shaikh"/>
      <w:bookmarkEnd w:id="35"/>
      <w:r w:rsidRPr="008F38EC">
        <w:rPr>
          <w:rFonts w:ascii="Calibri Light" w:hAnsi="Calibri Light" w:cs="Calibri Light"/>
          <w:sz w:val="24"/>
          <w:szCs w:val="24"/>
        </w:rPr>
        <w:t xml:space="preserve">Shaikh, S. A. (2023). Economic Evaluation of Islamic Banking in Pakistan. </w:t>
      </w:r>
      <w:r w:rsidRPr="008F38EC">
        <w:rPr>
          <w:rFonts w:ascii="Calibri Light" w:hAnsi="Calibri Light" w:cs="Calibri Light"/>
          <w:i/>
          <w:iCs/>
          <w:sz w:val="24"/>
          <w:szCs w:val="24"/>
        </w:rPr>
        <w:t>Journal of King Abdulaziz University, Islamic Economics</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36</w:t>
      </w:r>
      <w:r w:rsidRPr="008F38EC">
        <w:rPr>
          <w:rFonts w:ascii="Calibri Light" w:hAnsi="Calibri Light" w:cs="Calibri Light"/>
          <w:sz w:val="24"/>
          <w:szCs w:val="24"/>
        </w:rPr>
        <w:t xml:space="preserve">(1), 91–111. </w:t>
      </w:r>
      <w:hyperlink r:id="rId59" w:history="1">
        <w:r w:rsidRPr="00A47ADB">
          <w:rPr>
            <w:rStyle w:val="Hyperlink"/>
            <w:rFonts w:ascii="Calibri Light" w:hAnsi="Calibri Light" w:cs="Calibri Light"/>
            <w:sz w:val="24"/>
            <w:szCs w:val="24"/>
          </w:rPr>
          <w:t>https://doi.org/10.4197/Islec.36-1.5</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37" w:name="Shakilla"/>
      <w:bookmarkEnd w:id="36"/>
      <w:r w:rsidRPr="008F38EC">
        <w:rPr>
          <w:rFonts w:ascii="Calibri Light" w:hAnsi="Calibri Light" w:cs="Calibri Light"/>
          <w:sz w:val="24"/>
          <w:szCs w:val="24"/>
        </w:rPr>
        <w:t xml:space="preserve">Shakilla, U., &amp; Elbanna, M. (2025). Managing Consumer Emotions Post-Recall : A Behavioral Analysis of Psychological Reactions and Long-Term Brand Perception. </w:t>
      </w:r>
      <w:r w:rsidRPr="008F38EC">
        <w:rPr>
          <w:rFonts w:ascii="Calibri Light" w:hAnsi="Calibri Light" w:cs="Calibri Light"/>
          <w:i/>
          <w:iCs/>
          <w:sz w:val="24"/>
          <w:szCs w:val="24"/>
        </w:rPr>
        <w:t>Bulletin of Islamic Research</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3</w:t>
      </w:r>
      <w:r w:rsidRPr="008F38EC">
        <w:rPr>
          <w:rFonts w:ascii="Calibri Light" w:hAnsi="Calibri Light" w:cs="Calibri Light"/>
          <w:sz w:val="24"/>
          <w:szCs w:val="24"/>
        </w:rPr>
        <w:t xml:space="preserve">(1), 25–42. </w:t>
      </w:r>
      <w:hyperlink r:id="rId60" w:history="1">
        <w:r w:rsidRPr="00A47ADB">
          <w:rPr>
            <w:rStyle w:val="Hyperlink"/>
            <w:rFonts w:ascii="Calibri Light" w:hAnsi="Calibri Light" w:cs="Calibri Light"/>
            <w:sz w:val="24"/>
            <w:szCs w:val="24"/>
          </w:rPr>
          <w:t>https://doi.org/10.69526/bir.v3i1.163</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38" w:name="Štrukelj"/>
      <w:bookmarkEnd w:id="37"/>
      <w:r w:rsidRPr="008F38EC">
        <w:rPr>
          <w:rFonts w:ascii="Calibri Light" w:hAnsi="Calibri Light" w:cs="Calibri Light"/>
          <w:sz w:val="24"/>
          <w:szCs w:val="24"/>
        </w:rPr>
        <w:t xml:space="preserve">Štrukelj, A. (2022). Grateful Remembrance of Henri Cardinal de Lubac on the Occasion 30th Anniversary of His Death (Sept. 4, 1991): Lecture at the Hans Urs von Balthasar Memorial Day, in Basel, 3 July 2021. </w:t>
      </w:r>
      <w:r w:rsidRPr="008F38EC">
        <w:rPr>
          <w:rFonts w:ascii="Calibri Light" w:hAnsi="Calibri Light" w:cs="Calibri Light"/>
          <w:i/>
          <w:iCs/>
          <w:sz w:val="24"/>
          <w:szCs w:val="24"/>
        </w:rPr>
        <w:t>Bogoslovni Vestnik</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82</w:t>
      </w:r>
      <w:r w:rsidRPr="008F38EC">
        <w:rPr>
          <w:rFonts w:ascii="Calibri Light" w:hAnsi="Calibri Light" w:cs="Calibri Light"/>
          <w:sz w:val="24"/>
          <w:szCs w:val="24"/>
        </w:rPr>
        <w:t xml:space="preserve">(3), 737–759. </w:t>
      </w:r>
      <w:hyperlink r:id="rId61" w:history="1">
        <w:r w:rsidRPr="00A47ADB">
          <w:rPr>
            <w:rStyle w:val="Hyperlink"/>
            <w:rFonts w:ascii="Calibri Light" w:hAnsi="Calibri Light" w:cs="Calibri Light"/>
            <w:sz w:val="24"/>
            <w:szCs w:val="24"/>
          </w:rPr>
          <w:t>https://doi.org/10.34291/BV2022/03/Strukelj</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39" w:name="Suhaedi"/>
      <w:bookmarkEnd w:id="38"/>
      <w:r w:rsidRPr="008F38EC">
        <w:rPr>
          <w:rFonts w:ascii="Calibri Light" w:hAnsi="Calibri Light" w:cs="Calibri Light"/>
          <w:sz w:val="24"/>
          <w:szCs w:val="24"/>
        </w:rPr>
        <w:t xml:space="preserve">Suhaedi, W. … Putri, B. S. W. (2025). Implementation of the System Mini Bank to Increase Literacy Finance Santri: Study at the Islamic Boarding School, Islamic Boarding School Haramain Narmada. </w:t>
      </w:r>
      <w:r w:rsidRPr="008F38EC">
        <w:rPr>
          <w:rFonts w:ascii="Calibri Light" w:hAnsi="Calibri Light" w:cs="Calibri Light"/>
          <w:i/>
          <w:iCs/>
          <w:sz w:val="24"/>
          <w:szCs w:val="24"/>
        </w:rPr>
        <w:t>Ishraqi</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24</w:t>
      </w:r>
      <w:r w:rsidRPr="008F38EC">
        <w:rPr>
          <w:rFonts w:ascii="Calibri Light" w:hAnsi="Calibri Light" w:cs="Calibri Light"/>
          <w:sz w:val="24"/>
          <w:szCs w:val="24"/>
        </w:rPr>
        <w:t xml:space="preserve">(1), 19–32. </w:t>
      </w:r>
      <w:hyperlink r:id="rId62" w:history="1">
        <w:r w:rsidRPr="00A47ADB">
          <w:rPr>
            <w:rStyle w:val="Hyperlink"/>
            <w:rFonts w:ascii="Calibri Light" w:hAnsi="Calibri Light" w:cs="Calibri Light"/>
            <w:sz w:val="24"/>
            <w:szCs w:val="24"/>
          </w:rPr>
          <w:t>https://journals2.ums.ac.id/index.php/ishraqi/article/view/8015</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40" w:name="Suliyono"/>
      <w:bookmarkEnd w:id="39"/>
      <w:r w:rsidRPr="008F38EC">
        <w:rPr>
          <w:rFonts w:ascii="Calibri Light" w:hAnsi="Calibri Light" w:cs="Calibri Light"/>
          <w:sz w:val="24"/>
          <w:szCs w:val="24"/>
        </w:rPr>
        <w:t xml:space="preserve">Suliyono, J., &amp; Risfandy, T. (2021). Islamic Banking Market Discipline In Indonesia. </w:t>
      </w:r>
      <w:r w:rsidRPr="008F38EC">
        <w:rPr>
          <w:rFonts w:ascii="Calibri Light" w:hAnsi="Calibri Light" w:cs="Calibri Light"/>
          <w:i/>
          <w:iCs/>
          <w:sz w:val="24"/>
          <w:szCs w:val="24"/>
        </w:rPr>
        <w:t>Journal of Islamic Monetary Economics and Finance</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7</w:t>
      </w:r>
      <w:r w:rsidRPr="008F38EC">
        <w:rPr>
          <w:rFonts w:ascii="Calibri Light" w:hAnsi="Calibri Light" w:cs="Calibri Light"/>
          <w:sz w:val="24"/>
          <w:szCs w:val="24"/>
        </w:rPr>
        <w:t xml:space="preserve">(3), 457–472. </w:t>
      </w:r>
      <w:hyperlink r:id="rId63" w:history="1">
        <w:r w:rsidRPr="00A47ADB">
          <w:rPr>
            <w:rStyle w:val="Hyperlink"/>
            <w:rFonts w:ascii="Calibri Light" w:hAnsi="Calibri Light" w:cs="Calibri Light"/>
            <w:sz w:val="24"/>
            <w:szCs w:val="24"/>
          </w:rPr>
          <w:t>https://doi.org/10.21098/jimf.v7i3.1376</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41" w:name="Syah"/>
      <w:bookmarkEnd w:id="40"/>
      <w:r w:rsidRPr="008F38EC">
        <w:rPr>
          <w:rFonts w:ascii="Calibri Light" w:hAnsi="Calibri Light" w:cs="Calibri Light"/>
          <w:sz w:val="24"/>
          <w:szCs w:val="24"/>
        </w:rPr>
        <w:t xml:space="preserve">Syah, D., &amp; Rahmadani, G. (2024). The Profit-Sharing System in Financing Islamic Banking. </w:t>
      </w:r>
      <w:r w:rsidRPr="008F38EC">
        <w:rPr>
          <w:rFonts w:ascii="Calibri Light" w:hAnsi="Calibri Light" w:cs="Calibri Light"/>
          <w:i/>
          <w:iCs/>
          <w:sz w:val="24"/>
          <w:szCs w:val="24"/>
        </w:rPr>
        <w:t xml:space="preserve">Qubahan Academic Journal </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4</w:t>
      </w:r>
      <w:r w:rsidRPr="008F38EC">
        <w:rPr>
          <w:rFonts w:ascii="Calibri Light" w:hAnsi="Calibri Light" w:cs="Calibri Light"/>
          <w:sz w:val="24"/>
          <w:szCs w:val="24"/>
        </w:rPr>
        <w:t xml:space="preserve">(1), 300–309. </w:t>
      </w:r>
      <w:hyperlink r:id="rId64" w:history="1">
        <w:r w:rsidRPr="00A47ADB">
          <w:rPr>
            <w:rStyle w:val="Hyperlink"/>
            <w:rFonts w:ascii="Calibri Light" w:hAnsi="Calibri Light" w:cs="Calibri Light"/>
            <w:sz w:val="24"/>
            <w:szCs w:val="24"/>
          </w:rPr>
          <w:t>https://doi.org/10.48161/qaj.v4n1a198</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42" w:name="Triyanta"/>
      <w:bookmarkEnd w:id="41"/>
      <w:r w:rsidRPr="008F38EC">
        <w:rPr>
          <w:rFonts w:ascii="Calibri Light" w:hAnsi="Calibri Light" w:cs="Calibri Light"/>
          <w:sz w:val="24"/>
          <w:szCs w:val="24"/>
        </w:rPr>
        <w:t xml:space="preserve">Triyanta, A., &amp; Hassan, R. (2024). The Connection Between Robust Legal Instruments And The Exceptional Performance Of The Islamic Banking Industry. </w:t>
      </w:r>
      <w:r w:rsidRPr="008F38EC">
        <w:rPr>
          <w:rFonts w:ascii="Calibri Light" w:hAnsi="Calibri Light" w:cs="Calibri Light"/>
          <w:i/>
          <w:iCs/>
          <w:sz w:val="24"/>
          <w:szCs w:val="24"/>
        </w:rPr>
        <w:t>Journal of Governance and Regulation</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13</w:t>
      </w:r>
      <w:r w:rsidRPr="008F38EC">
        <w:rPr>
          <w:rFonts w:ascii="Calibri Light" w:hAnsi="Calibri Light" w:cs="Calibri Light"/>
          <w:sz w:val="24"/>
          <w:szCs w:val="24"/>
        </w:rPr>
        <w:t xml:space="preserve">(2), 267–274. </w:t>
      </w:r>
      <w:hyperlink r:id="rId65" w:history="1">
        <w:r w:rsidRPr="00A47ADB">
          <w:rPr>
            <w:rStyle w:val="Hyperlink"/>
            <w:rFonts w:ascii="Calibri Light" w:hAnsi="Calibri Light" w:cs="Calibri Light"/>
            <w:sz w:val="24"/>
            <w:szCs w:val="24"/>
          </w:rPr>
          <w:t>https://doi.org/10.22495/jgrv13i2siart3</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szCs w:val="24"/>
        </w:rPr>
      </w:pPr>
      <w:bookmarkStart w:id="43" w:name="UlHaq"/>
      <w:bookmarkEnd w:id="42"/>
      <w:r w:rsidRPr="008F38EC">
        <w:rPr>
          <w:rFonts w:ascii="Calibri Light" w:hAnsi="Calibri Light" w:cs="Calibri Light"/>
          <w:sz w:val="24"/>
          <w:szCs w:val="24"/>
        </w:rPr>
        <w:t xml:space="preserve">Ul-Haq, S. … Ashraf, N. (2022). A theory of capitalist co-optation of radical alternatives: The case of Islamic banking industry. </w:t>
      </w:r>
      <w:r w:rsidRPr="008F38EC">
        <w:rPr>
          <w:rFonts w:ascii="Calibri Light" w:hAnsi="Calibri Light" w:cs="Calibri Light"/>
          <w:i/>
          <w:iCs/>
          <w:sz w:val="24"/>
          <w:szCs w:val="24"/>
        </w:rPr>
        <w:t>Organization</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29</w:t>
      </w:r>
      <w:r w:rsidRPr="008F38EC">
        <w:rPr>
          <w:rFonts w:ascii="Calibri Light" w:hAnsi="Calibri Light" w:cs="Calibri Light"/>
          <w:sz w:val="24"/>
          <w:szCs w:val="24"/>
        </w:rPr>
        <w:t xml:space="preserve">(1), 129–154. </w:t>
      </w:r>
      <w:hyperlink r:id="rId66" w:history="1">
        <w:r w:rsidRPr="00A47ADB">
          <w:rPr>
            <w:rStyle w:val="Hyperlink"/>
            <w:rFonts w:ascii="Calibri Light" w:hAnsi="Calibri Light" w:cs="Calibri Light"/>
            <w:sz w:val="24"/>
            <w:szCs w:val="24"/>
          </w:rPr>
          <w:t>https://doi.org/10.1177/1350508420939245</w:t>
        </w:r>
      </w:hyperlink>
    </w:p>
    <w:p w:rsidR="0023752D" w:rsidRPr="008F38EC" w:rsidRDefault="0023752D" w:rsidP="008F38EC">
      <w:pPr>
        <w:pStyle w:val="ListParagraph"/>
        <w:widowControl w:val="0"/>
        <w:numPr>
          <w:ilvl w:val="0"/>
          <w:numId w:val="30"/>
        </w:numPr>
        <w:adjustRightInd w:val="0"/>
        <w:spacing w:before="120" w:after="120"/>
        <w:ind w:left="851" w:hanging="436"/>
        <w:contextualSpacing w:val="0"/>
        <w:jc w:val="both"/>
        <w:rPr>
          <w:rFonts w:ascii="Calibri Light" w:hAnsi="Calibri Light" w:cs="Calibri Light"/>
          <w:sz w:val="24"/>
        </w:rPr>
      </w:pPr>
      <w:bookmarkStart w:id="44" w:name="Yusuf"/>
      <w:bookmarkEnd w:id="43"/>
      <w:r w:rsidRPr="008F38EC">
        <w:rPr>
          <w:rFonts w:ascii="Calibri Light" w:hAnsi="Calibri Light" w:cs="Calibri Light"/>
          <w:sz w:val="24"/>
          <w:szCs w:val="24"/>
        </w:rPr>
        <w:t xml:space="preserve">Yusuf, M. … Fahlevi, M. (2024). Integrated reporting, corporate governance, and financial sustainability in Islamic banking. </w:t>
      </w:r>
      <w:r w:rsidRPr="008F38EC">
        <w:rPr>
          <w:rFonts w:ascii="Calibri Light" w:hAnsi="Calibri Light" w:cs="Calibri Light"/>
          <w:i/>
          <w:iCs/>
          <w:sz w:val="24"/>
          <w:szCs w:val="24"/>
        </w:rPr>
        <w:t>Uncertain Supply Chain Management</w:t>
      </w:r>
      <w:r w:rsidRPr="008F38EC">
        <w:rPr>
          <w:rFonts w:ascii="Calibri Light" w:hAnsi="Calibri Light" w:cs="Calibri Light"/>
          <w:sz w:val="24"/>
          <w:szCs w:val="24"/>
        </w:rPr>
        <w:t xml:space="preserve">, </w:t>
      </w:r>
      <w:r w:rsidRPr="008F38EC">
        <w:rPr>
          <w:rFonts w:ascii="Calibri Light" w:hAnsi="Calibri Light" w:cs="Calibri Light"/>
          <w:i/>
          <w:iCs/>
          <w:sz w:val="24"/>
          <w:szCs w:val="24"/>
        </w:rPr>
        <w:t>12</w:t>
      </w:r>
      <w:r w:rsidRPr="008F38EC">
        <w:rPr>
          <w:rFonts w:ascii="Calibri Light" w:hAnsi="Calibri Light" w:cs="Calibri Light"/>
          <w:sz w:val="24"/>
          <w:szCs w:val="24"/>
        </w:rPr>
        <w:t xml:space="preserve">(1), 273–290. </w:t>
      </w:r>
      <w:hyperlink r:id="rId67" w:history="1">
        <w:r w:rsidRPr="00A47ADB">
          <w:rPr>
            <w:rStyle w:val="Hyperlink"/>
            <w:rFonts w:ascii="Calibri Light" w:hAnsi="Calibri Light" w:cs="Calibri Light"/>
            <w:sz w:val="24"/>
            <w:szCs w:val="24"/>
          </w:rPr>
          <w:t>https://doi.org/10.5267/j.uscm.2023.9.022</w:t>
        </w:r>
      </w:hyperlink>
    </w:p>
    <w:bookmarkEnd w:id="44"/>
    <w:p w:rsidR="006538D6" w:rsidRPr="00540F02" w:rsidRDefault="0023752D" w:rsidP="008F38EC">
      <w:pPr>
        <w:pStyle w:val="ListParagraph"/>
        <w:tabs>
          <w:tab w:val="left" w:pos="1134"/>
        </w:tabs>
        <w:spacing w:before="120" w:after="120" w:line="240" w:lineRule="auto"/>
        <w:ind w:left="851" w:right="-1" w:hanging="436"/>
        <w:contextualSpacing w:val="0"/>
        <w:jc w:val="both"/>
        <w:rPr>
          <w:rFonts w:ascii="Calibri Light" w:hAnsi="Calibri Light" w:cs="Calibri Light"/>
          <w:color w:val="A6A6A6"/>
          <w:sz w:val="24"/>
          <w:szCs w:val="24"/>
        </w:rPr>
      </w:pPr>
      <w:r>
        <w:rPr>
          <w:rFonts w:ascii="Calibri Light" w:hAnsi="Calibri Light" w:cs="Calibri Light"/>
          <w:color w:val="A6A6A6"/>
          <w:sz w:val="24"/>
          <w:szCs w:val="24"/>
        </w:rPr>
        <w:fldChar w:fldCharType="end"/>
      </w:r>
    </w:p>
    <w:sectPr w:rsidR="006538D6" w:rsidRPr="00540F02" w:rsidSect="00D51C12">
      <w:headerReference w:type="even" r:id="rId68"/>
      <w:headerReference w:type="default" r:id="rId69"/>
      <w:footerReference w:type="even" r:id="rId70"/>
      <w:footerReference w:type="default" r:id="rId71"/>
      <w:headerReference w:type="first" r:id="rId72"/>
      <w:footerReference w:type="first" r:id="rId73"/>
      <w:pgSz w:w="11907" w:h="16840" w:code="9"/>
      <w:pgMar w:top="1418" w:right="1418" w:bottom="1418" w:left="1418" w:header="720" w:footer="720" w:gutter="0"/>
      <w:pgNumType w:start="180"/>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015BD9" w:rsidRDefault="00015BD9">
      <w:r>
        <w:separator/>
      </w:r>
    </w:p>
  </w:endnote>
  <w:endnote w:type="continuationSeparator" w:id="0">
    <w:p w:rsidR="00015BD9" w:rsidRDefault="00015B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altName w:val="Garamond"/>
    <w:panose1 w:val="02020404030301010803"/>
    <w:charset w:val="00"/>
    <w:family w:val="roman"/>
    <w:pitch w:val="variable"/>
    <w:sig w:usb0="00000287" w:usb1="00000000" w:usb2="00000000" w:usb3="00000000" w:csb0="0000009F" w:csb1="00000000"/>
  </w:font>
  <w:font w:name="Tahoma">
    <w:altName w:val="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122F5F" w:rsidRPr="00540F02" w:rsidRDefault="00F20642" w:rsidP="00122F5F">
    <w:pPr>
      <w:pStyle w:val="Footer"/>
      <w:ind w:right="357"/>
      <w:rPr>
        <w:rFonts w:ascii="Calibri Light" w:hAnsi="Calibri Light" w:cs="Calibri Light"/>
        <w:sz w:val="16"/>
        <w:szCs w:val="16"/>
      </w:rPr>
    </w:pPr>
    <w:r>
      <w:rPr>
        <w:noProof/>
        <w:lang w:val="id-ID" w:eastAsia="id-ID"/>
      </w:rPr>
      <mc:AlternateContent>
        <mc:Choice Requires="wps">
          <w:drawing>
            <wp:anchor distT="0" distB="0" distL="114300" distR="114300" simplePos="0" relativeHeight="251655168" behindDoc="0" locked="0" layoutInCell="1" allowOverlap="1">
              <wp:simplePos x="0" y="0"/>
              <wp:positionH relativeFrom="column">
                <wp:posOffset>4585970</wp:posOffset>
              </wp:positionH>
              <wp:positionV relativeFrom="paragraph">
                <wp:posOffset>-65405</wp:posOffset>
              </wp:positionV>
              <wp:extent cx="1186815" cy="278130"/>
              <wp:effectExtent l="0" t="0" r="13335" b="26670"/>
              <wp:wrapNone/>
              <wp:docPr id="9"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6815" cy="278130"/>
                      </a:xfrm>
                      <a:prstGeom prst="rect">
                        <a:avLst/>
                      </a:prstGeom>
                      <a:solidFill>
                        <a:srgbClr val="FFFFFF"/>
                      </a:solidFill>
                      <a:ln w="9525">
                        <a:solidFill>
                          <a:srgbClr val="FFFFFF"/>
                        </a:solidFill>
                        <a:miter lim="800000"/>
                        <a:headEnd/>
                        <a:tailEnd/>
                      </a:ln>
                    </wps:spPr>
                    <wps:txbx>
                      <w:txbxContent>
                        <w:p w:rsidR="00122F5F" w:rsidRPr="00122F5F" w:rsidRDefault="006A52D0" w:rsidP="00122F5F">
                          <w:pPr>
                            <w:jc w:val="center"/>
                            <w:rPr>
                              <w:rFonts w:ascii="Calibri" w:hAnsi="Calibri" w:cs="Calibri"/>
                              <w:sz w:val="16"/>
                              <w:szCs w:val="16"/>
                            </w:rPr>
                          </w:pPr>
                          <w:r w:rsidRPr="006A52D0">
                            <w:rPr>
                              <w:rFonts w:ascii="Calibri" w:hAnsi="Calibri" w:cs="Calibri"/>
                              <w:sz w:val="16"/>
                              <w:szCs w:val="16"/>
                            </w:rPr>
                            <w:t>Volume 4, Issue 2, 2025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 o:spid="_x0000_s1054" style="position:absolute;margin-left:361.1pt;margin-top:-5.15pt;width:93.45pt;height:21.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" strokecolor="white">
              <v:textbox>
                <w:txbxContent>
                  <w:p w:rsidR="00122F5F" w:rsidRPr="00122F5F" w:rsidRDefault="006A52D0" w:rsidP="00122F5F">
                    <w:pPr>
                      <w:jc w:val="center"/>
                      <w:rPr>
                        <w:rFonts w:ascii="Calibri" w:hAnsi="Calibri" w:cs="Calibri"/>
                        <w:sz w:val="16"/>
                        <w:szCs w:val="16"/>
                      </w:rPr>
                    </w:pPr>
                    <w:r w:rsidRPr="006A52D0">
                      <w:rPr>
                        <w:rFonts w:ascii="Calibri" w:hAnsi="Calibri" w:cs="Calibri"/>
                        <w:sz w:val="16"/>
                        <w:szCs w:val="16"/>
                      </w:rPr>
                      <w:t>Volume 4, Issue 2, 2025</w:t>
                    </w:r>
                  </w:p>
                </w:txbxContent>
              </v:textbox>
            </v:rect>
          </w:pict>
        </mc:Fallback>
      </mc:AlternateContent>
    </w:r>
    <w:r w:rsidR="00122F5F" w:rsidRPr="00540F02">
      <w:rPr>
        <w:rFonts w:ascii="Calibri Light" w:hAnsi="Calibri Light" w:cs="Calibri Light"/>
        <w:sz w:val="16"/>
        <w:szCs w:val="16"/>
      </w:rPr>
      <w:t>International Journal Law and Society</w:t>
    </w:r>
  </w:p>
  <w:p w:rsidR="00965E3F" w:rsidRPr="00540F02" w:rsidRDefault="00122F5F" w:rsidP="00122F5F">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w:t>
    </w:r>
    <w:r w:rsidR="00C97D32" w:rsidRPr="00C97D32">
      <w:rPr>
        <w:rFonts w:ascii="Calibri Light" w:hAnsi="Calibri Light" w:cs="Calibri Light"/>
        <w:sz w:val="16"/>
        <w:szCs w:val="16"/>
      </w:rPr>
      <w:t>2827-9042</w:t>
    </w:r>
    <w:r w:rsidRPr="00540F02">
      <w:rPr>
        <w:rFonts w:ascii="Calibri Light" w:hAnsi="Calibri Light" w:cs="Calibri Light"/>
        <w:sz w:val="16"/>
        <w:szCs w:val="16"/>
      </w:rPr>
      <w:t xml:space="preserve">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08220C" w:rsidRPr="00540F02" w:rsidRDefault="00F20642" w:rsidP="0008220C">
    <w:pPr>
      <w:pStyle w:val="Footer"/>
      <w:ind w:right="357"/>
      <w:rPr>
        <w:rFonts w:ascii="Calibri Light" w:hAnsi="Calibri Light" w:cs="Calibri Light"/>
        <w:sz w:val="16"/>
        <w:szCs w:val="16"/>
      </w:rPr>
    </w:pPr>
    <w:r>
      <w:rPr>
        <w:noProof/>
        <w:lang w:val="id-ID" w:eastAsia="id-ID"/>
      </w:rPr>
      <mc:AlternateContent>
        <mc:Choice Requires="wps">
          <w:drawing>
            <wp:anchor distT="0" distB="0" distL="114300" distR="114300" simplePos="0" relativeHeight="251663360" behindDoc="0" locked="0" layoutInCell="1" allowOverlap="1">
              <wp:simplePos x="0" y="0"/>
              <wp:positionH relativeFrom="column">
                <wp:posOffset>4585970</wp:posOffset>
              </wp:positionH>
              <wp:positionV relativeFrom="paragraph">
                <wp:posOffset>-65405</wp:posOffset>
              </wp:positionV>
              <wp:extent cx="1186815" cy="278130"/>
              <wp:effectExtent l="0" t="0" r="13335" b="26670"/>
              <wp:wrapNone/>
              <wp:docPr id="8"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86815" cy="278130"/>
                      </a:xfrm>
                      <a:prstGeom prst="rect">
                        <a:avLst/>
                      </a:prstGeom>
                      <a:solidFill>
                        <a:srgbClr val="FFFFFF"/>
                      </a:solidFill>
                      <a:ln w="9525">
                        <a:solidFill>
                          <a:srgbClr val="FFFFFF"/>
                        </a:solidFill>
                        <a:miter lim="800000"/>
                        <a:headEnd/>
                        <a:tailEnd/>
                      </a:ln>
                    </wps:spPr>
                    <wps:txbx>
                      <w:txbxContent>
                        <w:p w:rsidR="0008220C" w:rsidRPr="00122F5F" w:rsidRDefault="006A52D0" w:rsidP="0008220C">
                          <w:pPr>
                            <w:jc w:val="center"/>
                            <w:rPr>
                              <w:rFonts w:ascii="Calibri" w:hAnsi="Calibri" w:cs="Calibri"/>
                              <w:sz w:val="16"/>
                              <w:szCs w:val="16"/>
                            </w:rPr>
                          </w:pPr>
                          <w:r w:rsidRPr="006A52D0">
                            <w:rPr>
                              <w:rFonts w:ascii="Calibri" w:hAnsi="Calibri" w:cs="Calibri"/>
                              <w:sz w:val="16"/>
                              <w:szCs w:val="16"/>
                            </w:rPr>
                            <w:t>Volume 4, Issue 2, 2025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 o:spid="_x0000_s1055" style="position:absolute;margin-left:361.1pt;margin-top:-5.15pt;width:93.45pt;height:21.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" strokecolor="white">
              <v:textbox>
                <w:txbxContent>
                  <w:p w:rsidR="0008220C" w:rsidRPr="00122F5F" w:rsidRDefault="006A52D0" w:rsidP="0008220C">
                    <w:pPr>
                      <w:jc w:val="center"/>
                      <w:rPr>
                        <w:rFonts w:ascii="Calibri" w:hAnsi="Calibri" w:cs="Calibri"/>
                        <w:sz w:val="16"/>
                        <w:szCs w:val="16"/>
                      </w:rPr>
                    </w:pPr>
                    <w:r w:rsidRPr="006A52D0">
                      <w:rPr>
                        <w:rFonts w:ascii="Calibri" w:hAnsi="Calibri" w:cs="Calibri"/>
                        <w:sz w:val="16"/>
                        <w:szCs w:val="16"/>
                      </w:rPr>
                      <w:t>Volume 4, Issue 2, 2025</w:t>
                    </w:r>
                  </w:p>
                </w:txbxContent>
              </v:textbox>
            </v:rect>
          </w:pict>
        </mc:Fallback>
      </mc:AlternateContent>
    </w:r>
    <w:r w:rsidR="0008220C" w:rsidRPr="00540F02">
      <w:rPr>
        <w:rFonts w:ascii="Calibri Light" w:hAnsi="Calibri Light" w:cs="Calibri Light"/>
        <w:sz w:val="16"/>
        <w:szCs w:val="16"/>
      </w:rPr>
      <w:t>International Journal Law and Society</w:t>
    </w:r>
  </w:p>
  <w:p w:rsidR="00AA4AE4" w:rsidRPr="0008220C" w:rsidRDefault="0008220C" w:rsidP="0008220C">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w:t>
    </w:r>
    <w:r w:rsidR="00C97D32" w:rsidRPr="00C97D32">
      <w:rPr>
        <w:rFonts w:ascii="Calibri Light" w:hAnsi="Calibri Light" w:cs="Calibri Light"/>
        <w:sz w:val="16"/>
        <w:szCs w:val="16"/>
      </w:rPr>
      <w:t>2827-9042</w:t>
    </w:r>
    <w:r w:rsidRPr="00540F02">
      <w:rPr>
        <w:rFonts w:ascii="Calibri Light" w:hAnsi="Calibri Light" w:cs="Calibri Light"/>
        <w:sz w:val="16"/>
        <w:szCs w:val="16"/>
      </w:rPr>
      <w:t xml:space="preserve">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965E3F" w:rsidRPr="0008220C" w:rsidRDefault="00F20642" w:rsidP="00FF1D30">
    <w:pPr>
      <w:pStyle w:val="Footer"/>
      <w:ind w:right="357"/>
      <w:rPr>
        <w:rFonts w:ascii="Calibri Light" w:hAnsi="Calibri Light" w:cs="Calibri Light"/>
        <w:sz w:val="16"/>
        <w:szCs w:val="16"/>
      </w:rPr>
    </w:pPr>
    <w:r>
      <w:rPr>
        <w:noProof/>
        <w:lang w:val="id-ID" w:eastAsia="id-ID"/>
      </w:rPr>
      <mc:AlternateContent>
        <mc:Choice Requires="wps">
          <w:drawing>
            <wp:anchor distT="0" distB="0" distL="114300" distR="114300" simplePos="0" relativeHeight="251654144" behindDoc="0" locked="0" layoutInCell="1" allowOverlap="1">
              <wp:simplePos x="0" y="0"/>
              <wp:positionH relativeFrom="column">
                <wp:posOffset>4565650</wp:posOffset>
              </wp:positionH>
              <wp:positionV relativeFrom="paragraph">
                <wp:posOffset>-65405</wp:posOffset>
              </wp:positionV>
              <wp:extent cx="1207135" cy="278130"/>
              <wp:effectExtent l="0" t="0" r="12065" b="26670"/>
              <wp:wrapNone/>
              <wp:docPr id="1"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07135" cy="278130"/>
                      </a:xfrm>
                      <a:prstGeom prst="rect">
                        <a:avLst/>
                      </a:prstGeom>
                      <a:solidFill>
                        <a:srgbClr val="FFFFFF"/>
                      </a:solidFill>
                      <a:ln w="9525">
                        <a:solidFill>
                          <a:srgbClr val="FFFFFF"/>
                        </a:solidFill>
                        <a:miter lim="800000"/>
                        <a:headEnd/>
                        <a:tailEnd/>
                      </a:ln>
                    </wps:spPr>
                    <wps:txbx>
                      <w:txbxContent>
                        <w:p w:rsidR="00122F5F" w:rsidRPr="00540F02" w:rsidRDefault="006A52D0" w:rsidP="00122F5F">
                          <w:pPr>
                            <w:jc w:val="center"/>
                            <w:rPr>
                              <w:rFonts w:ascii="Calibri" w:hAnsi="Calibri" w:cs="Calibri"/>
                              <w:sz w:val="16"/>
                              <w:szCs w:val="16"/>
                            </w:rPr>
                          </w:pPr>
                          <w:r w:rsidRPr="006A52D0">
                            <w:rPr>
                              <w:rFonts w:ascii="Calibri" w:hAnsi="Calibri" w:cs="Calibri"/>
                              <w:sz w:val="16"/>
                              <w:szCs w:val="16"/>
                            </w:rPr>
                            <w:t>Volume 4, Issue 2, 2025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 o:spid="_x0000_s1059" style="position:absolute;margin-left:359.5pt;margin-top:-5.15pt;width:95.05pt;height:21.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" strokecolor="white">
              <v:textbox>
                <w:txbxContent>
                  <w:p w:rsidR="00122F5F" w:rsidRPr="00540F02" w:rsidRDefault="006A52D0" w:rsidP="00122F5F">
                    <w:pPr>
                      <w:jc w:val="center"/>
                      <w:rPr>
                        <w:rFonts w:ascii="Calibri" w:hAnsi="Calibri" w:cs="Calibri"/>
                        <w:sz w:val="16"/>
                        <w:szCs w:val="16"/>
                      </w:rPr>
                    </w:pPr>
                    <w:r w:rsidRPr="006A52D0">
                      <w:rPr>
                        <w:rFonts w:ascii="Calibri" w:hAnsi="Calibri" w:cs="Calibri"/>
                        <w:sz w:val="16"/>
                        <w:szCs w:val="16"/>
                      </w:rPr>
                      <w:t>Volume 4, Issue 2, 2025</w:t>
                    </w:r>
                  </w:p>
                </w:txbxContent>
              </v:textbox>
            </v:rect>
          </w:pict>
        </mc:Fallback>
      </mc:AlternateContent>
    </w:r>
    <w:r w:rsidR="00FF1D30" w:rsidRPr="0008220C">
      <w:rPr>
        <w:rFonts w:ascii="Calibri Light" w:hAnsi="Calibri Light" w:cs="Calibri Light"/>
        <w:sz w:val="16"/>
        <w:szCs w:val="16"/>
      </w:rPr>
      <w:t>International Journal Law and Society</w:t>
    </w:r>
  </w:p>
  <w:p w:rsidR="00FF1D30" w:rsidRPr="0008220C" w:rsidRDefault="00FF1D30" w:rsidP="00FF1D30">
    <w:pPr>
      <w:pStyle w:val="Footer"/>
      <w:ind w:right="357"/>
      <w:rPr>
        <w:rFonts w:ascii="Calibri Light" w:hAnsi="Calibri Light" w:cs="Calibri Light"/>
        <w:sz w:val="16"/>
        <w:szCs w:val="16"/>
      </w:rPr>
    </w:pPr>
    <w:r w:rsidRPr="0008220C">
      <w:rPr>
        <w:rFonts w:ascii="Calibri Light" w:hAnsi="Calibri Light" w:cs="Calibri Light"/>
        <w:sz w:val="16"/>
        <w:szCs w:val="16"/>
      </w:rPr>
      <w:t xml:space="preserve">E-ISSN: </w:t>
    </w:r>
    <w:r w:rsidR="00C97D32" w:rsidRPr="00C97D32">
      <w:rPr>
        <w:rFonts w:ascii="Calibri Light" w:hAnsi="Calibri Light" w:cs="Calibri Light"/>
        <w:sz w:val="16"/>
        <w:szCs w:val="16"/>
      </w:rPr>
      <w:t>2827-9042</w:t>
    </w:r>
    <w:r w:rsidRPr="0008220C">
      <w:rPr>
        <w:rFonts w:ascii="Calibri Light" w:hAnsi="Calibri Light" w:cs="Calibri Light"/>
        <w:sz w:val="16"/>
        <w:szCs w:val="16"/>
      </w:rPr>
      <w:t xml:space="preserve"> </w:t>
    </w:r>
    <w:hyperlink r:id="rId1" w:history="1">
      <w:r w:rsidR="00122F5F" w:rsidRPr="0008220C">
        <w:rPr>
          <w:rStyle w:val="Hyperlink"/>
          <w:rFonts w:ascii="Calibri Light" w:hAnsi="Calibri Light" w:cs="Calibri Light"/>
          <w:sz w:val="16"/>
          <w:szCs w:val="16"/>
        </w:rPr>
        <w:t>https://najahaofficial.id/najahajournal/index.php/IJLS/</w:t>
      </w:r>
    </w:hyperlink>
    <w:r w:rsidR="00122F5F" w:rsidRPr="0008220C">
      <w:rPr>
        <w:rFonts w:ascii="Calibri Light" w:hAnsi="Calibri Light" w:cs="Calibri Light"/>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015BD9" w:rsidRDefault="00015BD9">
      <w:r>
        <w:separator/>
      </w:r>
    </w:p>
  </w:footnote>
  <w:footnote w:type="continuationSeparator" w:id="0">
    <w:p w:rsidR="00015BD9" w:rsidRDefault="00015BD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122F5F" w:rsidRDefault="00F20642" w:rsidP="00122F5F">
    <w:pPr>
      <w:pStyle w:val="Header"/>
    </w:pPr>
    <w:r>
      <w:rPr>
        <w:noProof/>
        <w:lang w:val="id-ID" w:eastAsia="id-ID"/>
      </w:rPr>
      <mc:AlternateContent>
        <mc:Choice Requires="wps">
          <w:drawing>
            <wp:anchor distT="0" distB="0" distL="114300" distR="114300" simplePos="0" relativeHeight="251656192" behindDoc="1" locked="0" layoutInCell="1" allowOverlap="1">
              <wp:simplePos x="0" y="0"/>
              <wp:positionH relativeFrom="page">
                <wp:posOffset>962025</wp:posOffset>
              </wp:positionH>
              <wp:positionV relativeFrom="page">
                <wp:posOffset>947420</wp:posOffset>
              </wp:positionV>
              <wp:extent cx="1998980" cy="229870"/>
              <wp:effectExtent l="0" t="4445" r="1270" b="3810"/>
              <wp:wrapNone/>
              <wp:docPr id="15"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 xml:space="preserve">Volume </w:t>
                          </w:r>
                          <w:r w:rsidR="006A52D0">
                            <w:rPr>
                              <w:rFonts w:ascii="Calibri Light" w:hAnsi="Calibri Light" w:cs="Calibri Light"/>
                              <w:sz w:val="12"/>
                              <w:szCs w:val="12"/>
                            </w:rPr>
                            <w:t>4</w:t>
                          </w:r>
                          <w:r w:rsidRPr="00FF1D30">
                            <w:rPr>
                              <w:rFonts w:ascii="Calibri Light" w:hAnsi="Calibri Light" w:cs="Calibri Light"/>
                              <w:sz w:val="12"/>
                              <w:szCs w:val="12"/>
                            </w:rPr>
                            <w:t xml:space="preserve">, Issue </w:t>
                          </w:r>
                          <w:r w:rsidR="006A52D0">
                            <w:rPr>
                              <w:rFonts w:ascii="Calibri Light" w:hAnsi="Calibri Light" w:cs="Calibri Light"/>
                              <w:sz w:val="12"/>
                              <w:szCs w:val="12"/>
                            </w:rPr>
                            <w:t>2</w:t>
                          </w:r>
                          <w:r w:rsidRPr="00FF1D30">
                            <w:rPr>
                              <w:rFonts w:ascii="Calibri Light" w:hAnsi="Calibri Light" w:cs="Calibri Light"/>
                              <w:sz w:val="12"/>
                              <w:szCs w:val="12"/>
                            </w:rPr>
                            <w:t>, 202</w:t>
                          </w:r>
                          <w:r w:rsidR="006A52D0">
                            <w:rPr>
                              <w:rFonts w:ascii="Calibri Light" w:hAnsi="Calibri Light" w:cs="Calibri Light"/>
                              <w:sz w:val="12"/>
                              <w:szCs w:val="12"/>
                            </w:rPr>
                            <w:t>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48" type="#_x0000_t202" style="position:absolute;margin-left:75.75pt;margin-top:74.6pt;width:157.4pt;height:18.1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" filled="f" stroked="f">
              <v:textbox inset="0,0,0,0">
                <w:txbxContent>
                  <w:p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 xml:space="preserve">Volume </w:t>
                    </w:r>
                    <w:r w:rsidR="006A52D0">
                      <w:rPr>
                        <w:rFonts w:ascii="Calibri Light" w:hAnsi="Calibri Light" w:cs="Calibri Light"/>
                        <w:sz w:val="12"/>
                        <w:szCs w:val="12"/>
                      </w:rPr>
                      <w:t>4</w:t>
                    </w:r>
                    <w:r w:rsidRPr="00FF1D30">
                      <w:rPr>
                        <w:rFonts w:ascii="Calibri Light" w:hAnsi="Calibri Light" w:cs="Calibri Light"/>
                        <w:sz w:val="12"/>
                        <w:szCs w:val="12"/>
                      </w:rPr>
                      <w:t xml:space="preserve">, Issue </w:t>
                    </w:r>
                    <w:r w:rsidR="006A52D0">
                      <w:rPr>
                        <w:rFonts w:ascii="Calibri Light" w:hAnsi="Calibri Light" w:cs="Calibri Light"/>
                        <w:sz w:val="12"/>
                        <w:szCs w:val="12"/>
                      </w:rPr>
                      <w:t>2</w:t>
                    </w:r>
                    <w:r w:rsidRPr="00FF1D30">
                      <w:rPr>
                        <w:rFonts w:ascii="Calibri Light" w:hAnsi="Calibri Light" w:cs="Calibri Light"/>
                        <w:sz w:val="12"/>
                        <w:szCs w:val="12"/>
                      </w:rPr>
                      <w:t>, 202</w:t>
                    </w:r>
                    <w:r w:rsidR="006A52D0">
                      <w:rPr>
                        <w:rFonts w:ascii="Calibri Light" w:hAnsi="Calibri Light" w:cs="Calibri Light"/>
                        <w:sz w:val="12"/>
                        <w:szCs w:val="12"/>
                      </w:rPr>
                      <w:t>5</w:t>
                    </w:r>
                  </w:p>
                </w:txbxContent>
              </v:textbox>
              <w10:wrap anchorx="page" anchory="page"/>
            </v:shape>
          </w:pict>
        </mc:Fallback>
      </mc:AlternateContent>
    </w:r>
    <w:r>
      <w:rPr>
        <w:noProof/>
        <w:lang w:val="id-ID" w:eastAsia="id-ID"/>
      </w:rPr>
      <mc:AlternateContent>
        <mc:Choice Requires="wps">
          <w:drawing>
            <wp:anchor distT="0" distB="0" distL="114300" distR="114300" simplePos="0" relativeHeight="251661312" behindDoc="1" locked="0" layoutInCell="1" allowOverlap="1">
              <wp:simplePos x="0" y="0"/>
              <wp:positionH relativeFrom="page">
                <wp:posOffset>6497955</wp:posOffset>
              </wp:positionH>
              <wp:positionV relativeFrom="page">
                <wp:posOffset>445135</wp:posOffset>
              </wp:positionV>
              <wp:extent cx="231775" cy="177800"/>
              <wp:effectExtent l="1905" t="0" r="4445" b="0"/>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 o:spid="_x0000_s1049" type="#_x0000_t202" style="position:absolute;margin-left:511.65pt;margin-top:35.05pt;width:18.25pt;height:1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" filled="f" stroked="f">
              <v:textbox inset="0,0,0,0">
                <w:txbxContent>
                  <w:p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4</w:t>
                    </w:r>
                    <w:r w:rsidRPr="00540F02">
                      <w:rPr>
                        <w:rFonts w:ascii="Calibri Light" w:hAnsi="Calibri Light" w:cs="Calibri Light"/>
                      </w:rPr>
                      <w:fldChar w:fldCharType="end"/>
                    </w:r>
                  </w:p>
                </w:txbxContent>
              </v:textbox>
              <w10:wrap anchorx="page" anchory="page"/>
            </v:shape>
          </w:pict>
        </mc:Fallback>
      </mc:AlternateContent>
    </w:r>
    <w:r>
      <w:rPr>
        <w:noProof/>
        <w:lang w:val="id-ID" w:eastAsia="id-ID"/>
      </w:rPr>
      <mc:AlternateContent>
        <mc:Choice Requires="wps">
          <w:drawing>
            <wp:anchor distT="0" distB="0" distL="114300" distR="114300" simplePos="0" relativeHeight="251657216" behindDoc="1" locked="0" layoutInCell="1" allowOverlap="1">
              <wp:simplePos x="0" y="0"/>
              <wp:positionH relativeFrom="page">
                <wp:posOffset>3143250</wp:posOffset>
              </wp:positionH>
              <wp:positionV relativeFrom="page">
                <wp:posOffset>784860</wp:posOffset>
              </wp:positionV>
              <wp:extent cx="3523615" cy="416560"/>
              <wp:effectExtent l="0" t="3810" r="635" b="0"/>
              <wp:wrapNone/>
              <wp:docPr id="13"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22F5F" w:rsidRPr="00FF1D30" w:rsidRDefault="00295D91" w:rsidP="00122F5F">
                          <w:pPr>
                            <w:ind w:left="23"/>
                            <w:jc w:val="both"/>
                            <w:rPr>
                              <w:rFonts w:ascii="Calibri Light" w:hAnsi="Calibri Light" w:cs="Calibri Light"/>
                              <w:i/>
                              <w:sz w:val="18"/>
                            </w:rPr>
                          </w:pPr>
                          <w:r w:rsidRPr="00295D91">
                            <w:rPr>
                              <w:rFonts w:ascii="Calibri Light" w:hAnsi="Calibri Light" w:cs="Calibri Light"/>
                              <w:sz w:val="18"/>
                            </w:rPr>
                            <w:t>Elbanna, M., Muthoifin, Nirwana, A. &amp; Isman</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295D91">
                            <w:rPr>
                              <w:rFonts w:ascii="Calibri Light" w:hAnsi="Calibri Light" w:cs="Calibri Light"/>
                              <w:i/>
                              <w:sz w:val="18"/>
                            </w:rPr>
                            <w:t>Basel Accords and Islamic Banking Regulation: A Bibliometric Analysis of Sharia, Governance, and Capital Adequacy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 o:spid="_x0000_s1050" type="#_x0000_t202" style="position:absolute;margin-left:247.5pt;margin-top:61.8pt;width:277.45pt;height:32.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S0r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K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ovEtK9sBAACYAwAADgAAAAAAAAAAAAAAAAAuAgAAZHJzL2Uyb0RvYy54bWxQSwECLQAUAAYA&#10;CAAAACEASwSz++EAAAAMAQAADwAAAAAAAAAAAAAAAAA1BAAAZHJzL2Rvd25yZXYueG1sUEsFBgAA&#10;AAAEAAQA8wAAAEMFAAAAAA==&#10;" filled="f" stroked="f">
              <v:textbox inset="0,0,0,0">
                <w:txbxContent>
                  <w:p w:rsidR="00122F5F" w:rsidRPr="00FF1D30" w:rsidRDefault="00295D91" w:rsidP="00122F5F">
                    <w:pPr>
                      <w:ind w:left="23"/>
                      <w:jc w:val="both"/>
                      <w:rPr>
                        <w:rFonts w:ascii="Calibri Light" w:hAnsi="Calibri Light" w:cs="Calibri Light"/>
                        <w:i/>
                        <w:sz w:val="18"/>
                      </w:rPr>
                    </w:pPr>
                    <w:r w:rsidRPr="00295D91">
                      <w:rPr>
                        <w:rFonts w:ascii="Calibri Light" w:hAnsi="Calibri Light" w:cs="Calibri Light"/>
                        <w:sz w:val="18"/>
                      </w:rPr>
                      <w:t>Elbanna, M., Muthoifin, Nirwana, A. &amp; Isman</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295D91">
                      <w:rPr>
                        <w:rFonts w:ascii="Calibri Light" w:hAnsi="Calibri Light" w:cs="Calibri Light"/>
                        <w:i/>
                        <w:sz w:val="18"/>
                      </w:rPr>
                      <w:t>Basel Accords and Islamic Banking Regulation: A Bibliometric Analysis of Sharia, Governance, and Capital Adequacy</w:t>
                    </w:r>
                  </w:p>
                </w:txbxContent>
              </v:textbox>
              <w10:wrap anchorx="page" anchory="page"/>
            </v:shape>
          </w:pict>
        </mc:Fallback>
      </mc:AlternateContent>
    </w:r>
    <w:r>
      <w:rPr>
        <w:noProof/>
        <w:lang w:val="id-ID" w:eastAsia="id-ID"/>
      </w:rPr>
      <w:drawing>
        <wp:inline distT="0" distB="0" distL="0" distR="0">
          <wp:extent cx="1097280" cy="502920"/>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7280" cy="502920"/>
                  </a:xfrm>
                  <a:prstGeom prst="rect">
                    <a:avLst/>
                  </a:prstGeom>
                  <a:noFill/>
                  <a:ln>
                    <a:noFill/>
                  </a:ln>
                </pic:spPr>
              </pic:pic>
            </a:graphicData>
          </a:graphic>
        </wp:inline>
      </w:drawing>
    </w:r>
  </w:p>
  <w:p w:rsidR="00122F5F" w:rsidRDefault="00122F5F" w:rsidP="00122F5F">
    <w:pPr>
      <w:pStyle w:val="Header"/>
      <w:rPr>
        <w:sz w:val="16"/>
        <w:szCs w:val="16"/>
      </w:rPr>
    </w:pPr>
  </w:p>
  <w:p w:rsidR="00AA4AE4" w:rsidRDefault="00AA4AE4" w:rsidP="00122F5F">
    <w:pPr>
      <w:pStyle w:val="Header"/>
      <w:rPr>
        <w:sz w:val="16"/>
        <w:szCs w:val="16"/>
      </w:rPr>
    </w:pPr>
  </w:p>
  <w:p w:rsidR="00122F5F" w:rsidRPr="00122F5F" w:rsidRDefault="00122F5F" w:rsidP="00122F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540F02" w:rsidRDefault="00F20642" w:rsidP="00540F02">
    <w:pPr>
      <w:pStyle w:val="Header"/>
    </w:pPr>
    <w:r>
      <w:rPr>
        <w:noProof/>
        <w:lang w:val="id-ID" w:eastAsia="id-ID"/>
      </w:rPr>
      <mc:AlternateContent>
        <mc:Choice Requires="wps">
          <w:drawing>
            <wp:anchor distT="0" distB="0" distL="114300" distR="114300" simplePos="0" relativeHeight="251658240" behindDoc="1" locked="0" layoutInCell="1" allowOverlap="1">
              <wp:simplePos x="0" y="0"/>
              <wp:positionH relativeFrom="page">
                <wp:posOffset>962025</wp:posOffset>
              </wp:positionH>
              <wp:positionV relativeFrom="page">
                <wp:posOffset>947420</wp:posOffset>
              </wp:positionV>
              <wp:extent cx="1998980" cy="229870"/>
              <wp:effectExtent l="0" t="4445" r="1270" b="3810"/>
              <wp:wrapNone/>
              <wp:docPr id="1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 xml:space="preserve">Volume </w:t>
                          </w:r>
                          <w:r w:rsidR="006A52D0">
                            <w:rPr>
                              <w:rFonts w:ascii="Calibri Light" w:hAnsi="Calibri Light" w:cs="Calibri Light"/>
                              <w:sz w:val="12"/>
                              <w:szCs w:val="12"/>
                            </w:rPr>
                            <w:t>4</w:t>
                          </w:r>
                          <w:r w:rsidRPr="00FF1D30">
                            <w:rPr>
                              <w:rFonts w:ascii="Calibri Light" w:hAnsi="Calibri Light" w:cs="Calibri Light"/>
                              <w:sz w:val="12"/>
                              <w:szCs w:val="12"/>
                            </w:rPr>
                            <w:t xml:space="preserve">, Issue </w:t>
                          </w:r>
                          <w:r w:rsidR="006A52D0">
                            <w:rPr>
                              <w:rFonts w:ascii="Calibri Light" w:hAnsi="Calibri Light" w:cs="Calibri Light"/>
                              <w:sz w:val="12"/>
                              <w:szCs w:val="12"/>
                            </w:rPr>
                            <w:t>2</w:t>
                          </w:r>
                          <w:r w:rsidRPr="00FF1D30">
                            <w:rPr>
                              <w:rFonts w:ascii="Calibri Light" w:hAnsi="Calibri Light" w:cs="Calibri Light"/>
                              <w:sz w:val="12"/>
                              <w:szCs w:val="12"/>
                            </w:rPr>
                            <w:t>, 202</w:t>
                          </w:r>
                          <w:r w:rsidR="006A52D0">
                            <w:rPr>
                              <w:rFonts w:ascii="Calibri Light" w:hAnsi="Calibri Light" w:cs="Calibri Light"/>
                              <w:sz w:val="12"/>
                              <w:szCs w:val="12"/>
                            </w:rPr>
                            <w:t>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4" o:spid="_x0000_s1051" type="#_x0000_t202" style="position:absolute;margin-left:75.75pt;margin-top:74.6pt;width:157.4pt;height:18.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" filled="f" stroked="f">
              <v:textbox inset="0,0,0,0">
                <w:txbxContent>
                  <w:p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 xml:space="preserve">Volume </w:t>
                    </w:r>
                    <w:r w:rsidR="006A52D0">
                      <w:rPr>
                        <w:rFonts w:ascii="Calibri Light" w:hAnsi="Calibri Light" w:cs="Calibri Light"/>
                        <w:sz w:val="12"/>
                        <w:szCs w:val="12"/>
                      </w:rPr>
                      <w:t>4</w:t>
                    </w:r>
                    <w:r w:rsidRPr="00FF1D30">
                      <w:rPr>
                        <w:rFonts w:ascii="Calibri Light" w:hAnsi="Calibri Light" w:cs="Calibri Light"/>
                        <w:sz w:val="12"/>
                        <w:szCs w:val="12"/>
                      </w:rPr>
                      <w:t xml:space="preserve">, Issue </w:t>
                    </w:r>
                    <w:r w:rsidR="006A52D0">
                      <w:rPr>
                        <w:rFonts w:ascii="Calibri Light" w:hAnsi="Calibri Light" w:cs="Calibri Light"/>
                        <w:sz w:val="12"/>
                        <w:szCs w:val="12"/>
                      </w:rPr>
                      <w:t>2</w:t>
                    </w:r>
                    <w:r w:rsidRPr="00FF1D30">
                      <w:rPr>
                        <w:rFonts w:ascii="Calibri Light" w:hAnsi="Calibri Light" w:cs="Calibri Light"/>
                        <w:sz w:val="12"/>
                        <w:szCs w:val="12"/>
                      </w:rPr>
                      <w:t>, 202</w:t>
                    </w:r>
                    <w:r w:rsidR="006A52D0">
                      <w:rPr>
                        <w:rFonts w:ascii="Calibri Light" w:hAnsi="Calibri Light" w:cs="Calibri Light"/>
                        <w:sz w:val="12"/>
                        <w:szCs w:val="12"/>
                      </w:rPr>
                      <w:t>5</w:t>
                    </w:r>
                  </w:p>
                </w:txbxContent>
              </v:textbox>
              <w10:wrap anchorx="page" anchory="page"/>
            </v:shape>
          </w:pict>
        </mc:Fallback>
      </mc:AlternateContent>
    </w:r>
    <w:r>
      <w:rPr>
        <w:noProof/>
        <w:lang w:val="id-ID" w:eastAsia="id-ID"/>
      </w:rPr>
      <mc:AlternateContent>
        <mc:Choice Requires="wps">
          <w:drawing>
            <wp:anchor distT="0" distB="0" distL="114300" distR="114300" simplePos="0" relativeHeight="251662336" behindDoc="1" locked="0" layoutInCell="1" allowOverlap="1">
              <wp:simplePos x="0" y="0"/>
              <wp:positionH relativeFrom="page">
                <wp:posOffset>6464300</wp:posOffset>
              </wp:positionH>
              <wp:positionV relativeFrom="page">
                <wp:posOffset>467360</wp:posOffset>
              </wp:positionV>
              <wp:extent cx="231775" cy="177800"/>
              <wp:effectExtent l="0" t="635" r="0" b="2540"/>
              <wp:wrapNone/>
              <wp:docPr id="1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3</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52" type="#_x0000_t202" style="position:absolute;margin-left:509pt;margin-top:36.8pt;width:18.25pt;height:14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" filled="f" stroked="f">
              <v:textbox inset="0,0,0,0">
                <w:txbxContent>
                  <w:p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3</w:t>
                    </w:r>
                    <w:r w:rsidRPr="00540F02">
                      <w:rPr>
                        <w:rFonts w:ascii="Calibri Light" w:hAnsi="Calibri Light" w:cs="Calibri Light"/>
                      </w:rPr>
                      <w:fldChar w:fldCharType="end"/>
                    </w:r>
                  </w:p>
                </w:txbxContent>
              </v:textbox>
              <w10:wrap anchorx="page" anchory="page"/>
            </v:shape>
          </w:pict>
        </mc:Fallback>
      </mc:AlternateContent>
    </w:r>
    <w:r>
      <w:rPr>
        <w:noProof/>
        <w:lang w:val="id-ID" w:eastAsia="id-ID"/>
      </w:rPr>
      <mc:AlternateContent>
        <mc:Choice Requires="wps">
          <w:drawing>
            <wp:anchor distT="0" distB="0" distL="114300" distR="114300" simplePos="0" relativeHeight="251659264" behindDoc="1" locked="0" layoutInCell="1" allowOverlap="1">
              <wp:simplePos x="0" y="0"/>
              <wp:positionH relativeFrom="page">
                <wp:posOffset>3143250</wp:posOffset>
              </wp:positionH>
              <wp:positionV relativeFrom="page">
                <wp:posOffset>784860</wp:posOffset>
              </wp:positionV>
              <wp:extent cx="3523615" cy="416560"/>
              <wp:effectExtent l="0" t="3810" r="635" b="0"/>
              <wp:wrapNone/>
              <wp:docPr id="1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0F02" w:rsidRPr="00FF1D30" w:rsidRDefault="00295D91" w:rsidP="00540F02">
                          <w:pPr>
                            <w:ind w:left="23"/>
                            <w:jc w:val="both"/>
                            <w:rPr>
                              <w:rFonts w:ascii="Calibri Light" w:hAnsi="Calibri Light" w:cs="Calibri Light"/>
                              <w:i/>
                              <w:sz w:val="18"/>
                            </w:rPr>
                          </w:pPr>
                          <w:r w:rsidRPr="00295D91">
                            <w:rPr>
                              <w:rFonts w:ascii="Calibri Light" w:hAnsi="Calibri Light" w:cs="Calibri Light"/>
                              <w:sz w:val="18"/>
                            </w:rPr>
                            <w:t>Elbanna, M., Muthoifin, Nirwana, A. &amp; Isman</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295D91">
                            <w:rPr>
                              <w:rFonts w:ascii="Calibri Light" w:hAnsi="Calibri Light" w:cs="Calibri Light"/>
                              <w:i/>
                              <w:sz w:val="18"/>
                            </w:rPr>
                            <w:t>Basel Accords and Islamic Banking Regulation: A Bibliometric Analysis of Sharia, Governance, and Capital Adequacy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53" type="#_x0000_t202" style="position:absolute;margin-left:247.5pt;margin-top:61.8pt;width:277.45pt;height:32.8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ghY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O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ioIWNsBAACYAwAADgAAAAAAAAAAAAAAAAAuAgAAZHJzL2Uyb0RvYy54bWxQSwECLQAUAAYA&#10;CAAAACEASwSz++EAAAAMAQAADwAAAAAAAAAAAAAAAAA1BAAAZHJzL2Rvd25yZXYueG1sUEsFBgAA&#10;AAAEAAQA8wAAAEMFAAAAAA==&#10;" filled="f" stroked="f">
              <v:textbox inset="0,0,0,0">
                <w:txbxContent>
                  <w:p w:rsidR="00540F02" w:rsidRPr="00FF1D30" w:rsidRDefault="00295D91" w:rsidP="00540F02">
                    <w:pPr>
                      <w:ind w:left="23"/>
                      <w:jc w:val="both"/>
                      <w:rPr>
                        <w:rFonts w:ascii="Calibri Light" w:hAnsi="Calibri Light" w:cs="Calibri Light"/>
                        <w:i/>
                        <w:sz w:val="18"/>
                      </w:rPr>
                    </w:pPr>
                    <w:r w:rsidRPr="00295D91">
                      <w:rPr>
                        <w:rFonts w:ascii="Calibri Light" w:hAnsi="Calibri Light" w:cs="Calibri Light"/>
                        <w:sz w:val="18"/>
                      </w:rPr>
                      <w:t>Elbanna, M., Muthoifin, Nirwana, A. &amp; Isman</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295D91">
                      <w:rPr>
                        <w:rFonts w:ascii="Calibri Light" w:hAnsi="Calibri Light" w:cs="Calibri Light"/>
                        <w:i/>
                        <w:sz w:val="18"/>
                      </w:rPr>
                      <w:t>Basel Accords and Islamic Banking Regulation: A Bibliometric Analysis of Sharia, Governance, and Capital Adequacy</w:t>
                    </w:r>
                  </w:p>
                </w:txbxContent>
              </v:textbox>
              <w10:wrap anchorx="page" anchory="page"/>
            </v:shape>
          </w:pict>
        </mc:Fallback>
      </mc:AlternateContent>
    </w:r>
    <w:r>
      <w:rPr>
        <w:noProof/>
        <w:lang w:val="id-ID" w:eastAsia="id-ID"/>
      </w:rPr>
      <w:drawing>
        <wp:inline distT="0" distB="0" distL="0" distR="0">
          <wp:extent cx="1097280" cy="502920"/>
          <wp:effectExtent l="0" t="0" r="762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7280" cy="502920"/>
                  </a:xfrm>
                  <a:prstGeom prst="rect">
                    <a:avLst/>
                  </a:prstGeom>
                  <a:noFill/>
                  <a:ln>
                    <a:noFill/>
                  </a:ln>
                </pic:spPr>
              </pic:pic>
            </a:graphicData>
          </a:graphic>
        </wp:inline>
      </w:drawing>
    </w:r>
  </w:p>
  <w:p w:rsidR="00540F02" w:rsidRDefault="00540F02" w:rsidP="00540F02">
    <w:pPr>
      <w:pStyle w:val="Header"/>
      <w:rPr>
        <w:sz w:val="16"/>
        <w:szCs w:val="16"/>
      </w:rPr>
    </w:pPr>
  </w:p>
  <w:p w:rsidR="00540F02" w:rsidRDefault="00540F02" w:rsidP="00540F02">
    <w:pPr>
      <w:pStyle w:val="Header"/>
      <w:rPr>
        <w:sz w:val="16"/>
        <w:szCs w:val="16"/>
      </w:rPr>
    </w:pPr>
  </w:p>
  <w:p w:rsidR="00AA4AE4" w:rsidRPr="00540F02" w:rsidRDefault="00AA4AE4" w:rsidP="00540F0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FF1D30" w:rsidRDefault="00F20642">
    <w:pPr>
      <w:pStyle w:val="Header"/>
    </w:pPr>
    <w:r>
      <w:rPr>
        <w:noProof/>
        <w:lang w:val="id-ID" w:eastAsia="id-ID"/>
      </w:rPr>
      <mc:AlternateContent>
        <mc:Choice Requires="wps">
          <w:drawing>
            <wp:anchor distT="0" distB="0" distL="114300" distR="114300" simplePos="0" relativeHeight="251652096" behindDoc="1" locked="0" layoutInCell="1" allowOverlap="1">
              <wp:simplePos x="0" y="0"/>
              <wp:positionH relativeFrom="page">
                <wp:posOffset>942975</wp:posOffset>
              </wp:positionH>
              <wp:positionV relativeFrom="page">
                <wp:posOffset>947420</wp:posOffset>
              </wp:positionV>
              <wp:extent cx="1998980" cy="229870"/>
              <wp:effectExtent l="0" t="4445" r="1270" b="3810"/>
              <wp:wrapNone/>
              <wp:docPr id="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 xml:space="preserve">Volume </w:t>
                          </w:r>
                          <w:r w:rsidR="006A52D0">
                            <w:rPr>
                              <w:rFonts w:ascii="Calibri Light" w:hAnsi="Calibri Light" w:cs="Calibri Light"/>
                              <w:sz w:val="12"/>
                              <w:szCs w:val="12"/>
                            </w:rPr>
                            <w:t>4</w:t>
                          </w:r>
                          <w:r w:rsidRPr="00FF1D30">
                            <w:rPr>
                              <w:rFonts w:ascii="Calibri Light" w:hAnsi="Calibri Light" w:cs="Calibri Light"/>
                              <w:sz w:val="12"/>
                              <w:szCs w:val="12"/>
                            </w:rPr>
                            <w:t xml:space="preserve">, Issue </w:t>
                          </w:r>
                          <w:r w:rsidR="006A52D0">
                            <w:rPr>
                              <w:rFonts w:ascii="Calibri Light" w:hAnsi="Calibri Light" w:cs="Calibri Light"/>
                              <w:sz w:val="12"/>
                              <w:szCs w:val="12"/>
                            </w:rPr>
                            <w:t>2</w:t>
                          </w:r>
                          <w:r w:rsidRPr="00FF1D30">
                            <w:rPr>
                              <w:rFonts w:ascii="Calibri Light" w:hAnsi="Calibri Light" w:cs="Calibri Light"/>
                              <w:sz w:val="12"/>
                              <w:szCs w:val="12"/>
                            </w:rPr>
                            <w:t>, 202</w:t>
                          </w:r>
                          <w:r w:rsidR="006A52D0">
                            <w:rPr>
                              <w:rFonts w:ascii="Calibri Light" w:hAnsi="Calibri Light" w:cs="Calibri Light"/>
                              <w:sz w:val="12"/>
                              <w:szCs w:val="12"/>
                            </w:rPr>
                            <w:t>5</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9" o:spid="_x0000_s1056" type="#_x0000_t202" style="position:absolute;margin-left:74.25pt;margin-top:74.6pt;width:157.4pt;height:18.1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" filled="f" stroked="f">
              <v:textbox inset="0,0,0,0">
                <w:txbxContent>
                  <w:p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 xml:space="preserve">Volume </w:t>
                    </w:r>
                    <w:r w:rsidR="006A52D0">
                      <w:rPr>
                        <w:rFonts w:ascii="Calibri Light" w:hAnsi="Calibri Light" w:cs="Calibri Light"/>
                        <w:sz w:val="12"/>
                        <w:szCs w:val="12"/>
                      </w:rPr>
                      <w:t>4</w:t>
                    </w:r>
                    <w:r w:rsidRPr="00FF1D30">
                      <w:rPr>
                        <w:rFonts w:ascii="Calibri Light" w:hAnsi="Calibri Light" w:cs="Calibri Light"/>
                        <w:sz w:val="12"/>
                        <w:szCs w:val="12"/>
                      </w:rPr>
                      <w:t xml:space="preserve">, Issue </w:t>
                    </w:r>
                    <w:r w:rsidR="006A52D0">
                      <w:rPr>
                        <w:rFonts w:ascii="Calibri Light" w:hAnsi="Calibri Light" w:cs="Calibri Light"/>
                        <w:sz w:val="12"/>
                        <w:szCs w:val="12"/>
                      </w:rPr>
                      <w:t>2</w:t>
                    </w:r>
                    <w:r w:rsidRPr="00FF1D30">
                      <w:rPr>
                        <w:rFonts w:ascii="Calibri Light" w:hAnsi="Calibri Light" w:cs="Calibri Light"/>
                        <w:sz w:val="12"/>
                        <w:szCs w:val="12"/>
                      </w:rPr>
                      <w:t>, 202</w:t>
                    </w:r>
                    <w:r w:rsidR="006A52D0">
                      <w:rPr>
                        <w:rFonts w:ascii="Calibri Light" w:hAnsi="Calibri Light" w:cs="Calibri Light"/>
                        <w:sz w:val="12"/>
                        <w:szCs w:val="12"/>
                      </w:rPr>
                      <w:t>5</w:t>
                    </w:r>
                  </w:p>
                </w:txbxContent>
              </v:textbox>
              <w10:wrap anchorx="page" anchory="page"/>
            </v:shape>
          </w:pict>
        </mc:Fallback>
      </mc:AlternateContent>
    </w:r>
    <w:r>
      <w:rPr>
        <w:noProof/>
        <w:lang w:val="id-ID" w:eastAsia="id-ID"/>
      </w:rPr>
      <mc:AlternateContent>
        <mc:Choice Requires="wps">
          <w:drawing>
            <wp:anchor distT="0" distB="0" distL="114300" distR="114300" simplePos="0" relativeHeight="251660288" behindDoc="1" locked="0" layoutInCell="1" allowOverlap="1">
              <wp:simplePos x="0" y="0"/>
              <wp:positionH relativeFrom="page">
                <wp:posOffset>6464300</wp:posOffset>
              </wp:positionH>
              <wp:positionV relativeFrom="page">
                <wp:posOffset>439420</wp:posOffset>
              </wp:positionV>
              <wp:extent cx="231775" cy="177800"/>
              <wp:effectExtent l="0" t="1270" r="0" b="1905"/>
              <wp:wrapNone/>
              <wp:docPr id="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1</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 o:spid="_x0000_s1057" type="#_x0000_t202" style="position:absolute;margin-left:509pt;margin-top:34.6pt;width:18.25pt;height:1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" filled="f" stroked="f">
              <v:textbox inset="0,0,0,0">
                <w:txbxContent>
                  <w:p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00F20642">
                      <w:rPr>
                        <w:rFonts w:ascii="Calibri Light" w:hAnsi="Calibri Light" w:cs="Calibri Light"/>
                        <w:noProof/>
                      </w:rPr>
                      <w:t>1</w:t>
                    </w:r>
                    <w:r w:rsidRPr="00540F02">
                      <w:rPr>
                        <w:rFonts w:ascii="Calibri Light" w:hAnsi="Calibri Light" w:cs="Calibri Light"/>
                      </w:rPr>
                      <w:fldChar w:fldCharType="end"/>
                    </w:r>
                  </w:p>
                </w:txbxContent>
              </v:textbox>
              <w10:wrap anchorx="page" anchory="page"/>
            </v:shape>
          </w:pict>
        </mc:Fallback>
      </mc:AlternateContent>
    </w:r>
    <w:r>
      <w:rPr>
        <w:noProof/>
        <w:lang w:val="id-ID" w:eastAsia="id-ID"/>
      </w:rPr>
      <mc:AlternateContent>
        <mc:Choice Requires="wps">
          <w:drawing>
            <wp:anchor distT="0" distB="0" distL="114300" distR="114300" simplePos="0" relativeHeight="251653120" behindDoc="1" locked="0" layoutInCell="1" allowOverlap="1">
              <wp:simplePos x="0" y="0"/>
              <wp:positionH relativeFrom="page">
                <wp:posOffset>3143250</wp:posOffset>
              </wp:positionH>
              <wp:positionV relativeFrom="page">
                <wp:posOffset>784860</wp:posOffset>
              </wp:positionV>
              <wp:extent cx="3516630" cy="416560"/>
              <wp:effectExtent l="0" t="3810" r="0" b="0"/>
              <wp:wrapNone/>
              <wp:docPr id="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6630"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F1D30" w:rsidRPr="00FF1D30" w:rsidRDefault="00295D91" w:rsidP="00FF1D30">
                          <w:pPr>
                            <w:ind w:left="23"/>
                            <w:jc w:val="both"/>
                            <w:rPr>
                              <w:rFonts w:ascii="Calibri Light" w:hAnsi="Calibri Light" w:cs="Calibri Light"/>
                              <w:i/>
                              <w:sz w:val="18"/>
                            </w:rPr>
                          </w:pPr>
                          <w:r w:rsidRPr="00295D91">
                            <w:rPr>
                              <w:rFonts w:ascii="Calibri Light" w:hAnsi="Calibri Light" w:cs="Calibri Light"/>
                              <w:sz w:val="18"/>
                            </w:rPr>
                            <w:t>Elbanna, M., Muthoifin, Nirwana, A. &amp; Isman</w:t>
                          </w:r>
                          <w:r w:rsidR="00FF1D30" w:rsidRPr="00FF1D30">
                            <w:rPr>
                              <w:rFonts w:ascii="Calibri Light" w:hAnsi="Calibri Light" w:cs="Calibri Light"/>
                              <w:sz w:val="18"/>
                            </w:rPr>
                            <w:t>,</w:t>
                          </w:r>
                          <w:r w:rsidR="00FF1D30" w:rsidRPr="00FF1D30">
                            <w:rPr>
                              <w:rFonts w:ascii="Calibri Light" w:hAnsi="Calibri Light" w:cs="Calibri Light"/>
                              <w:spacing w:val="-3"/>
                              <w:sz w:val="18"/>
                            </w:rPr>
                            <w:t xml:space="preserve"> </w:t>
                          </w:r>
                          <w:r w:rsidRPr="00295D91">
                            <w:rPr>
                              <w:rFonts w:ascii="Calibri Light" w:hAnsi="Calibri Light" w:cs="Calibri Light"/>
                              <w:i/>
                              <w:sz w:val="18"/>
                            </w:rPr>
                            <w:t>Basel Accords and Islamic Banking Regulation: A Bibliometric Analysis of Sharia, Governance, and Capital Adequacy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 o:spid="_x0000_s1058" type="#_x0000_t202" style="position:absolute;margin-left:247.5pt;margin-top:61.8pt;width:276.9pt;height:32.8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" filled="f" stroked="f">
              <v:textbox inset="0,0,0,0">
                <w:txbxContent>
                  <w:p w:rsidR="00FF1D30" w:rsidRPr="00FF1D30" w:rsidRDefault="00295D91" w:rsidP="00FF1D30">
                    <w:pPr>
                      <w:ind w:left="23"/>
                      <w:jc w:val="both"/>
                      <w:rPr>
                        <w:rFonts w:ascii="Calibri Light" w:hAnsi="Calibri Light" w:cs="Calibri Light"/>
                        <w:i/>
                        <w:sz w:val="18"/>
                      </w:rPr>
                    </w:pPr>
                    <w:r w:rsidRPr="00295D91">
                      <w:rPr>
                        <w:rFonts w:ascii="Calibri Light" w:hAnsi="Calibri Light" w:cs="Calibri Light"/>
                        <w:sz w:val="18"/>
                      </w:rPr>
                      <w:t>Elbanna, M., Muthoifin, Nirwana, A. &amp; Isman</w:t>
                    </w:r>
                    <w:r w:rsidR="00FF1D30" w:rsidRPr="00FF1D30">
                      <w:rPr>
                        <w:rFonts w:ascii="Calibri Light" w:hAnsi="Calibri Light" w:cs="Calibri Light"/>
                        <w:sz w:val="18"/>
                      </w:rPr>
                      <w:t>,</w:t>
                    </w:r>
                    <w:r w:rsidR="00FF1D30" w:rsidRPr="00FF1D30">
                      <w:rPr>
                        <w:rFonts w:ascii="Calibri Light" w:hAnsi="Calibri Light" w:cs="Calibri Light"/>
                        <w:spacing w:val="-3"/>
                        <w:sz w:val="18"/>
                      </w:rPr>
                      <w:t xml:space="preserve"> </w:t>
                    </w:r>
                    <w:r w:rsidRPr="00295D91">
                      <w:rPr>
                        <w:rFonts w:ascii="Calibri Light" w:hAnsi="Calibri Light" w:cs="Calibri Light"/>
                        <w:i/>
                        <w:sz w:val="18"/>
                      </w:rPr>
                      <w:t>Basel Accords and Islamic Banking Regulation: A Bibliometric Analysis of Sharia, Governance, and Capital Adequacy</w:t>
                    </w:r>
                  </w:p>
                </w:txbxContent>
              </v:textbox>
              <w10:wrap anchorx="page" anchory="page"/>
            </v:shape>
          </w:pict>
        </mc:Fallback>
      </mc:AlternateContent>
    </w:r>
    <w:r>
      <w:rPr>
        <w:noProof/>
        <w:lang w:val="id-ID" w:eastAsia="id-ID"/>
      </w:rPr>
      <w:drawing>
        <wp:inline distT="0" distB="0" distL="0" distR="0">
          <wp:extent cx="1097280" cy="502920"/>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7280" cy="502920"/>
                  </a:xfrm>
                  <a:prstGeom prst="rect">
                    <a:avLst/>
                  </a:prstGeom>
                  <a:noFill/>
                  <a:ln>
                    <a:noFill/>
                  </a:ln>
                </pic:spPr>
              </pic:pic>
            </a:graphicData>
          </a:graphic>
        </wp:inline>
      </w:drawing>
    </w:r>
  </w:p>
  <w:p w:rsidR="00FF1D30" w:rsidRDefault="00FF1D30">
    <w:pPr>
      <w:pStyle w:val="Header"/>
      <w:rPr>
        <w:sz w:val="16"/>
        <w:szCs w:val="16"/>
      </w:rPr>
    </w:pPr>
  </w:p>
  <w:p w:rsidR="00FF1D30" w:rsidRDefault="00FF1D30">
    <w:pPr>
      <w:pStyle w:val="Header"/>
      <w:rPr>
        <w:sz w:val="16"/>
        <w:szCs w:val="16"/>
      </w:rPr>
    </w:pPr>
  </w:p>
  <w:p w:rsidR="00FF1D30" w:rsidRPr="00FF1D30" w:rsidRDefault="00FF1D30">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hybridMultilevel"/>
    <w:tmpl w:val="C1126DC0"/>
    <w:lvl w:ilvl="0" w:tplc="E91C7520">
      <w:start w:val="35"/>
      <w:numFmt w:val="upperLetter"/>
      <w:lvlText w:val="%1."/>
      <w:lvlJc w:val="left"/>
      <w:rPr>
        <w:rFonts w:ascii="Arial" w:hAnsi="Arial" w:cs="Arial" w:hint="default"/>
        <w:b/>
        <w:b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3"/>
    <w:multiLevelType w:val="hybridMultilevel"/>
    <w:tmpl w:val="3D1B58BA"/>
    <w:lvl w:ilvl="0" w:tplc="FFFFFFFF">
      <w:start w:val="61"/>
      <w:numFmt w:val="upperLetter"/>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4"/>
    <w:multiLevelType w:val="hybridMultilevel"/>
    <w:tmpl w:val="44F60598"/>
    <w:lvl w:ilvl="0" w:tplc="0E787246">
      <w:start w:val="22"/>
      <w:numFmt w:val="upperLetter"/>
      <w:lvlText w:val="%1."/>
      <w:lvlJc w:val="left"/>
      <w:rPr>
        <w:rFonts w:cs="Times New Roman"/>
        <w:color w:val="auto"/>
        <w:sz w:val="24"/>
        <w:szCs w:val="24"/>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5"/>
    <w:multiLevelType w:val="hybridMultilevel"/>
    <w:tmpl w:val="2EB141F2"/>
    <w:lvl w:ilvl="0" w:tplc="FFFFFFFF">
      <w:start w:val="1"/>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6"/>
    <w:multiLevelType w:val="hybridMultilevel"/>
    <w:tmpl w:val="41B71EFA"/>
    <w:lvl w:ilvl="0" w:tplc="FFFFFFFF">
      <w:start w:val="3"/>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27F7048"/>
    <w:multiLevelType w:val="hybridMultilevel"/>
    <w:tmpl w:val="99FA89E2"/>
    <w:lvl w:ilvl="0" w:tplc="04210011">
      <w:start w:val="1"/>
      <w:numFmt w:val="decimal"/>
      <w:lvlText w:val="%1)"/>
      <w:lvlJc w:val="left"/>
      <w:pPr>
        <w:ind w:left="1080" w:hanging="360"/>
      </w:pPr>
      <w:rPr>
        <w:rFonts w:cs="Times New Roman"/>
      </w:rPr>
    </w:lvl>
    <w:lvl w:ilvl="1" w:tplc="04210019" w:tentative="1">
      <w:start w:val="1"/>
      <w:numFmt w:val="lowerLetter"/>
      <w:lvlText w:val="%2."/>
      <w:lvlJc w:val="left"/>
      <w:pPr>
        <w:ind w:left="1800" w:hanging="360"/>
      </w:pPr>
      <w:rPr>
        <w:rFonts w:cs="Times New Roman"/>
      </w:rPr>
    </w:lvl>
    <w:lvl w:ilvl="2" w:tplc="0421001B" w:tentative="1">
      <w:start w:val="1"/>
      <w:numFmt w:val="lowerRoman"/>
      <w:lvlText w:val="%3."/>
      <w:lvlJc w:val="right"/>
      <w:pPr>
        <w:ind w:left="2520" w:hanging="180"/>
      </w:pPr>
      <w:rPr>
        <w:rFonts w:cs="Times New Roman"/>
      </w:rPr>
    </w:lvl>
    <w:lvl w:ilvl="3" w:tplc="0421000F" w:tentative="1">
      <w:start w:val="1"/>
      <w:numFmt w:val="decimal"/>
      <w:lvlText w:val="%4."/>
      <w:lvlJc w:val="left"/>
      <w:pPr>
        <w:ind w:left="3240" w:hanging="360"/>
      </w:pPr>
      <w:rPr>
        <w:rFonts w:cs="Times New Roman"/>
      </w:rPr>
    </w:lvl>
    <w:lvl w:ilvl="4" w:tplc="04210019" w:tentative="1">
      <w:start w:val="1"/>
      <w:numFmt w:val="lowerLetter"/>
      <w:lvlText w:val="%5."/>
      <w:lvlJc w:val="left"/>
      <w:pPr>
        <w:ind w:left="3960" w:hanging="360"/>
      </w:pPr>
      <w:rPr>
        <w:rFonts w:cs="Times New Roman"/>
      </w:rPr>
    </w:lvl>
    <w:lvl w:ilvl="5" w:tplc="0421001B" w:tentative="1">
      <w:start w:val="1"/>
      <w:numFmt w:val="lowerRoman"/>
      <w:lvlText w:val="%6."/>
      <w:lvlJc w:val="right"/>
      <w:pPr>
        <w:ind w:left="4680" w:hanging="180"/>
      </w:pPr>
      <w:rPr>
        <w:rFonts w:cs="Times New Roman"/>
      </w:rPr>
    </w:lvl>
    <w:lvl w:ilvl="6" w:tplc="0421000F" w:tentative="1">
      <w:start w:val="1"/>
      <w:numFmt w:val="decimal"/>
      <w:lvlText w:val="%7."/>
      <w:lvlJc w:val="left"/>
      <w:pPr>
        <w:ind w:left="5400" w:hanging="360"/>
      </w:pPr>
      <w:rPr>
        <w:rFonts w:cs="Times New Roman"/>
      </w:rPr>
    </w:lvl>
    <w:lvl w:ilvl="7" w:tplc="04210019" w:tentative="1">
      <w:start w:val="1"/>
      <w:numFmt w:val="lowerLetter"/>
      <w:lvlText w:val="%8."/>
      <w:lvlJc w:val="left"/>
      <w:pPr>
        <w:ind w:left="6120" w:hanging="360"/>
      </w:pPr>
      <w:rPr>
        <w:rFonts w:cs="Times New Roman"/>
      </w:rPr>
    </w:lvl>
    <w:lvl w:ilvl="8" w:tplc="0421001B" w:tentative="1">
      <w:start w:val="1"/>
      <w:numFmt w:val="lowerRoman"/>
      <w:lvlText w:val="%9."/>
      <w:lvlJc w:val="right"/>
      <w:pPr>
        <w:ind w:left="6840" w:hanging="180"/>
      </w:pPr>
      <w:rPr>
        <w:rFonts w:cs="Times New Roman"/>
      </w:rPr>
    </w:lvl>
  </w:abstractNum>
  <w:abstractNum w:abstractNumId="6" w15:restartNumberingAfterBreak="0">
    <w:nsid w:val="028430C3"/>
    <w:multiLevelType w:val="hybridMultilevel"/>
    <w:tmpl w:val="8214B738"/>
    <w:lvl w:ilvl="0" w:tplc="1AE62BCC">
      <w:start w:val="4"/>
      <w:numFmt w:val="upperRoman"/>
      <w:lvlText w:val="%1."/>
      <w:lvlJc w:val="left"/>
      <w:pPr>
        <w:ind w:left="1146" w:hanging="720"/>
      </w:pPr>
      <w:rPr>
        <w:rFonts w:cs="Times New Roman" w:hint="default"/>
        <w:color w:val="auto"/>
      </w:rPr>
    </w:lvl>
    <w:lvl w:ilvl="1" w:tplc="38090019" w:tentative="1">
      <w:start w:val="1"/>
      <w:numFmt w:val="lowerLetter"/>
      <w:lvlText w:val="%2."/>
      <w:lvlJc w:val="left"/>
      <w:pPr>
        <w:ind w:left="1506" w:hanging="360"/>
      </w:pPr>
      <w:rPr>
        <w:rFonts w:cs="Times New Roman"/>
      </w:rPr>
    </w:lvl>
    <w:lvl w:ilvl="2" w:tplc="3809001B" w:tentative="1">
      <w:start w:val="1"/>
      <w:numFmt w:val="lowerRoman"/>
      <w:lvlText w:val="%3."/>
      <w:lvlJc w:val="right"/>
      <w:pPr>
        <w:ind w:left="2226" w:hanging="180"/>
      </w:pPr>
      <w:rPr>
        <w:rFonts w:cs="Times New Roman"/>
      </w:rPr>
    </w:lvl>
    <w:lvl w:ilvl="3" w:tplc="3809000F" w:tentative="1">
      <w:start w:val="1"/>
      <w:numFmt w:val="decimal"/>
      <w:lvlText w:val="%4."/>
      <w:lvlJc w:val="left"/>
      <w:pPr>
        <w:ind w:left="2946" w:hanging="360"/>
      </w:pPr>
      <w:rPr>
        <w:rFonts w:cs="Times New Roman"/>
      </w:rPr>
    </w:lvl>
    <w:lvl w:ilvl="4" w:tplc="38090019" w:tentative="1">
      <w:start w:val="1"/>
      <w:numFmt w:val="lowerLetter"/>
      <w:lvlText w:val="%5."/>
      <w:lvlJc w:val="left"/>
      <w:pPr>
        <w:ind w:left="3666" w:hanging="360"/>
      </w:pPr>
      <w:rPr>
        <w:rFonts w:cs="Times New Roman"/>
      </w:rPr>
    </w:lvl>
    <w:lvl w:ilvl="5" w:tplc="3809001B" w:tentative="1">
      <w:start w:val="1"/>
      <w:numFmt w:val="lowerRoman"/>
      <w:lvlText w:val="%6."/>
      <w:lvlJc w:val="right"/>
      <w:pPr>
        <w:ind w:left="4386" w:hanging="180"/>
      </w:pPr>
      <w:rPr>
        <w:rFonts w:cs="Times New Roman"/>
      </w:rPr>
    </w:lvl>
    <w:lvl w:ilvl="6" w:tplc="3809000F" w:tentative="1">
      <w:start w:val="1"/>
      <w:numFmt w:val="decimal"/>
      <w:lvlText w:val="%7."/>
      <w:lvlJc w:val="left"/>
      <w:pPr>
        <w:ind w:left="5106" w:hanging="360"/>
      </w:pPr>
      <w:rPr>
        <w:rFonts w:cs="Times New Roman"/>
      </w:rPr>
    </w:lvl>
    <w:lvl w:ilvl="7" w:tplc="38090019" w:tentative="1">
      <w:start w:val="1"/>
      <w:numFmt w:val="lowerLetter"/>
      <w:lvlText w:val="%8."/>
      <w:lvlJc w:val="left"/>
      <w:pPr>
        <w:ind w:left="5826" w:hanging="360"/>
      </w:pPr>
      <w:rPr>
        <w:rFonts w:cs="Times New Roman"/>
      </w:rPr>
    </w:lvl>
    <w:lvl w:ilvl="8" w:tplc="3809001B" w:tentative="1">
      <w:start w:val="1"/>
      <w:numFmt w:val="lowerRoman"/>
      <w:lvlText w:val="%9."/>
      <w:lvlJc w:val="right"/>
      <w:pPr>
        <w:ind w:left="6546" w:hanging="180"/>
      </w:pPr>
      <w:rPr>
        <w:rFonts w:cs="Times New Roman"/>
      </w:rPr>
    </w:lvl>
  </w:abstractNum>
  <w:abstractNum w:abstractNumId="7" w15:restartNumberingAfterBreak="0">
    <w:nsid w:val="06D70B74"/>
    <w:multiLevelType w:val="hybridMultilevel"/>
    <w:tmpl w:val="1E2E0D64"/>
    <w:lvl w:ilvl="0" w:tplc="A1D017CA">
      <w:start w:val="1"/>
      <w:numFmt w:val="decimal"/>
      <w:lvlText w:val="%1)"/>
      <w:lvlJc w:val="left"/>
      <w:pPr>
        <w:ind w:left="-150" w:hanging="600"/>
      </w:pPr>
      <w:rPr>
        <w:rFonts w:cs="Times New Roman" w:hint="default"/>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8" w15:restartNumberingAfterBreak="0">
    <w:nsid w:val="0EC372A3"/>
    <w:multiLevelType w:val="multilevel"/>
    <w:tmpl w:val="0510BAA6"/>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9" w15:restartNumberingAfterBreak="0">
    <w:nsid w:val="145E0DFB"/>
    <w:multiLevelType w:val="hybridMultilevel"/>
    <w:tmpl w:val="C73006DA"/>
    <w:lvl w:ilvl="0" w:tplc="0421000F">
      <w:start w:val="1"/>
      <w:numFmt w:val="decimal"/>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10" w15:restartNumberingAfterBreak="0">
    <w:nsid w:val="1D1E3992"/>
    <w:multiLevelType w:val="hybridMultilevel"/>
    <w:tmpl w:val="7C32134A"/>
    <w:lvl w:ilvl="0" w:tplc="40486B24">
      <w:start w:val="1"/>
      <w:numFmt w:val="decimal"/>
      <w:lvlText w:val="[%1]"/>
      <w:lvlJc w:val="left"/>
      <w:pPr>
        <w:ind w:left="1146" w:hanging="360"/>
      </w:pPr>
      <w:rPr>
        <w:rFonts w:cs="Times New Roman" w:hint="default"/>
        <w:color w:val="auto"/>
      </w:rPr>
    </w:lvl>
    <w:lvl w:ilvl="1" w:tplc="04210019" w:tentative="1">
      <w:start w:val="1"/>
      <w:numFmt w:val="lowerLetter"/>
      <w:lvlText w:val="%2."/>
      <w:lvlJc w:val="left"/>
      <w:pPr>
        <w:ind w:left="1866" w:hanging="360"/>
      </w:pPr>
      <w:rPr>
        <w:rFonts w:cs="Times New Roman"/>
      </w:rPr>
    </w:lvl>
    <w:lvl w:ilvl="2" w:tplc="0421001B" w:tentative="1">
      <w:start w:val="1"/>
      <w:numFmt w:val="lowerRoman"/>
      <w:lvlText w:val="%3."/>
      <w:lvlJc w:val="right"/>
      <w:pPr>
        <w:ind w:left="2586" w:hanging="180"/>
      </w:pPr>
      <w:rPr>
        <w:rFonts w:cs="Times New Roman"/>
      </w:rPr>
    </w:lvl>
    <w:lvl w:ilvl="3" w:tplc="0421000F" w:tentative="1">
      <w:start w:val="1"/>
      <w:numFmt w:val="decimal"/>
      <w:lvlText w:val="%4."/>
      <w:lvlJc w:val="left"/>
      <w:pPr>
        <w:ind w:left="3306" w:hanging="360"/>
      </w:pPr>
      <w:rPr>
        <w:rFonts w:cs="Times New Roman"/>
      </w:rPr>
    </w:lvl>
    <w:lvl w:ilvl="4" w:tplc="04210019" w:tentative="1">
      <w:start w:val="1"/>
      <w:numFmt w:val="lowerLetter"/>
      <w:lvlText w:val="%5."/>
      <w:lvlJc w:val="left"/>
      <w:pPr>
        <w:ind w:left="4026" w:hanging="360"/>
      </w:pPr>
      <w:rPr>
        <w:rFonts w:cs="Times New Roman"/>
      </w:rPr>
    </w:lvl>
    <w:lvl w:ilvl="5" w:tplc="0421001B" w:tentative="1">
      <w:start w:val="1"/>
      <w:numFmt w:val="lowerRoman"/>
      <w:lvlText w:val="%6."/>
      <w:lvlJc w:val="right"/>
      <w:pPr>
        <w:ind w:left="4746" w:hanging="180"/>
      </w:pPr>
      <w:rPr>
        <w:rFonts w:cs="Times New Roman"/>
      </w:rPr>
    </w:lvl>
    <w:lvl w:ilvl="6" w:tplc="0421000F" w:tentative="1">
      <w:start w:val="1"/>
      <w:numFmt w:val="decimal"/>
      <w:lvlText w:val="%7."/>
      <w:lvlJc w:val="left"/>
      <w:pPr>
        <w:ind w:left="5466" w:hanging="360"/>
      </w:pPr>
      <w:rPr>
        <w:rFonts w:cs="Times New Roman"/>
      </w:rPr>
    </w:lvl>
    <w:lvl w:ilvl="7" w:tplc="04210019" w:tentative="1">
      <w:start w:val="1"/>
      <w:numFmt w:val="lowerLetter"/>
      <w:lvlText w:val="%8."/>
      <w:lvlJc w:val="left"/>
      <w:pPr>
        <w:ind w:left="6186" w:hanging="360"/>
      </w:pPr>
      <w:rPr>
        <w:rFonts w:cs="Times New Roman"/>
      </w:rPr>
    </w:lvl>
    <w:lvl w:ilvl="8" w:tplc="0421001B" w:tentative="1">
      <w:start w:val="1"/>
      <w:numFmt w:val="lowerRoman"/>
      <w:lvlText w:val="%9."/>
      <w:lvlJc w:val="right"/>
      <w:pPr>
        <w:ind w:left="6906" w:hanging="180"/>
      </w:pPr>
      <w:rPr>
        <w:rFonts w:cs="Times New Roman"/>
      </w:rPr>
    </w:lvl>
  </w:abstractNum>
  <w:abstractNum w:abstractNumId="11" w15:restartNumberingAfterBreak="0">
    <w:nsid w:val="1FE30FAA"/>
    <w:multiLevelType w:val="hybridMultilevel"/>
    <w:tmpl w:val="55F285CC"/>
    <w:lvl w:ilvl="0" w:tplc="3CBEAC8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12" w15:restartNumberingAfterBreak="0">
    <w:nsid w:val="20C15439"/>
    <w:multiLevelType w:val="hybridMultilevel"/>
    <w:tmpl w:val="C97C4B20"/>
    <w:lvl w:ilvl="0" w:tplc="04210011">
      <w:start w:val="1"/>
      <w:numFmt w:val="decimal"/>
      <w:lvlText w:val="%1)"/>
      <w:lvlJc w:val="left"/>
      <w:pPr>
        <w:ind w:left="833" w:hanging="360"/>
      </w:pPr>
      <w:rPr>
        <w:rFonts w:cs="Times New Roman"/>
      </w:rPr>
    </w:lvl>
    <w:lvl w:ilvl="1" w:tplc="04210019" w:tentative="1">
      <w:start w:val="1"/>
      <w:numFmt w:val="lowerLetter"/>
      <w:lvlText w:val="%2."/>
      <w:lvlJc w:val="left"/>
      <w:pPr>
        <w:ind w:left="1553" w:hanging="360"/>
      </w:pPr>
      <w:rPr>
        <w:rFonts w:cs="Times New Roman"/>
      </w:rPr>
    </w:lvl>
    <w:lvl w:ilvl="2" w:tplc="0421001B" w:tentative="1">
      <w:start w:val="1"/>
      <w:numFmt w:val="lowerRoman"/>
      <w:lvlText w:val="%3."/>
      <w:lvlJc w:val="right"/>
      <w:pPr>
        <w:ind w:left="2273" w:hanging="180"/>
      </w:pPr>
      <w:rPr>
        <w:rFonts w:cs="Times New Roman"/>
      </w:rPr>
    </w:lvl>
    <w:lvl w:ilvl="3" w:tplc="0421000F" w:tentative="1">
      <w:start w:val="1"/>
      <w:numFmt w:val="decimal"/>
      <w:lvlText w:val="%4."/>
      <w:lvlJc w:val="left"/>
      <w:pPr>
        <w:ind w:left="2993" w:hanging="360"/>
      </w:pPr>
      <w:rPr>
        <w:rFonts w:cs="Times New Roman"/>
      </w:rPr>
    </w:lvl>
    <w:lvl w:ilvl="4" w:tplc="04210019" w:tentative="1">
      <w:start w:val="1"/>
      <w:numFmt w:val="lowerLetter"/>
      <w:lvlText w:val="%5."/>
      <w:lvlJc w:val="left"/>
      <w:pPr>
        <w:ind w:left="3713" w:hanging="360"/>
      </w:pPr>
      <w:rPr>
        <w:rFonts w:cs="Times New Roman"/>
      </w:rPr>
    </w:lvl>
    <w:lvl w:ilvl="5" w:tplc="0421001B" w:tentative="1">
      <w:start w:val="1"/>
      <w:numFmt w:val="lowerRoman"/>
      <w:lvlText w:val="%6."/>
      <w:lvlJc w:val="right"/>
      <w:pPr>
        <w:ind w:left="4433" w:hanging="180"/>
      </w:pPr>
      <w:rPr>
        <w:rFonts w:cs="Times New Roman"/>
      </w:rPr>
    </w:lvl>
    <w:lvl w:ilvl="6" w:tplc="0421000F" w:tentative="1">
      <w:start w:val="1"/>
      <w:numFmt w:val="decimal"/>
      <w:lvlText w:val="%7."/>
      <w:lvlJc w:val="left"/>
      <w:pPr>
        <w:ind w:left="5153" w:hanging="360"/>
      </w:pPr>
      <w:rPr>
        <w:rFonts w:cs="Times New Roman"/>
      </w:rPr>
    </w:lvl>
    <w:lvl w:ilvl="7" w:tplc="04210019" w:tentative="1">
      <w:start w:val="1"/>
      <w:numFmt w:val="lowerLetter"/>
      <w:lvlText w:val="%8."/>
      <w:lvlJc w:val="left"/>
      <w:pPr>
        <w:ind w:left="5873" w:hanging="360"/>
      </w:pPr>
      <w:rPr>
        <w:rFonts w:cs="Times New Roman"/>
      </w:rPr>
    </w:lvl>
    <w:lvl w:ilvl="8" w:tplc="0421001B" w:tentative="1">
      <w:start w:val="1"/>
      <w:numFmt w:val="lowerRoman"/>
      <w:lvlText w:val="%9."/>
      <w:lvlJc w:val="right"/>
      <w:pPr>
        <w:ind w:left="6593" w:hanging="180"/>
      </w:pPr>
      <w:rPr>
        <w:rFonts w:cs="Times New Roman"/>
      </w:rPr>
    </w:lvl>
  </w:abstractNum>
  <w:abstractNum w:abstractNumId="13" w15:restartNumberingAfterBreak="0">
    <w:nsid w:val="24C25F98"/>
    <w:multiLevelType w:val="hybridMultilevel"/>
    <w:tmpl w:val="37C866B2"/>
    <w:lvl w:ilvl="0" w:tplc="00000000">
      <w:numFmt w:val="bullet"/>
      <w:lvlText w:val="-"/>
      <w:lvlJc w:val="left"/>
      <w:pPr>
        <w:ind w:left="77" w:hanging="78"/>
      </w:pPr>
      <w:rPr>
        <w:rFonts w:ascii="Calibri" w:hAnsi="Calibri"/>
        <w:color w:val="231F20"/>
        <w:w w:val="100"/>
        <w:sz w:val="12"/>
      </w:rPr>
    </w:lvl>
    <w:lvl w:ilvl="1" w:tplc="00000001">
      <w:numFmt w:val="bullet"/>
      <w:lvlText w:val="•"/>
      <w:lvlJc w:val="left"/>
      <w:pPr>
        <w:ind w:left="157" w:hanging="78"/>
      </w:pPr>
    </w:lvl>
    <w:lvl w:ilvl="2" w:tplc="00000002">
      <w:numFmt w:val="bullet"/>
      <w:lvlText w:val="•"/>
      <w:lvlJc w:val="left"/>
      <w:pPr>
        <w:ind w:left="234" w:hanging="78"/>
      </w:pPr>
    </w:lvl>
    <w:lvl w:ilvl="3" w:tplc="00000003">
      <w:numFmt w:val="bullet"/>
      <w:lvlText w:val="•"/>
      <w:lvlJc w:val="left"/>
      <w:pPr>
        <w:ind w:left="312" w:hanging="78"/>
      </w:pPr>
    </w:lvl>
    <w:lvl w:ilvl="4" w:tplc="00000004">
      <w:numFmt w:val="bullet"/>
      <w:lvlText w:val="•"/>
      <w:lvlJc w:val="left"/>
      <w:pPr>
        <w:ind w:left="389" w:hanging="78"/>
      </w:pPr>
    </w:lvl>
    <w:lvl w:ilvl="5" w:tplc="00000005">
      <w:numFmt w:val="bullet"/>
      <w:lvlText w:val="•"/>
      <w:lvlJc w:val="left"/>
      <w:pPr>
        <w:ind w:left="466" w:hanging="78"/>
      </w:pPr>
    </w:lvl>
    <w:lvl w:ilvl="6" w:tplc="00000006">
      <w:numFmt w:val="bullet"/>
      <w:lvlText w:val="•"/>
      <w:lvlJc w:val="left"/>
      <w:pPr>
        <w:ind w:left="544" w:hanging="78"/>
      </w:pPr>
    </w:lvl>
    <w:lvl w:ilvl="7" w:tplc="00000007">
      <w:numFmt w:val="bullet"/>
      <w:lvlText w:val="•"/>
      <w:lvlJc w:val="left"/>
      <w:pPr>
        <w:ind w:left="621" w:hanging="78"/>
      </w:pPr>
    </w:lvl>
    <w:lvl w:ilvl="8" w:tplc="00000008">
      <w:numFmt w:val="bullet"/>
      <w:lvlText w:val="•"/>
      <w:lvlJc w:val="left"/>
      <w:pPr>
        <w:ind w:left="698" w:hanging="78"/>
      </w:pPr>
    </w:lvl>
  </w:abstractNum>
  <w:abstractNum w:abstractNumId="14" w15:restartNumberingAfterBreak="0">
    <w:nsid w:val="2DC068FF"/>
    <w:multiLevelType w:val="hybridMultilevel"/>
    <w:tmpl w:val="B5122354"/>
    <w:lvl w:ilvl="0" w:tplc="C776B4F4">
      <w:start w:val="1"/>
      <w:numFmt w:val="upperLetter"/>
      <w:lvlText w:val="%1."/>
      <w:lvlJc w:val="left"/>
      <w:pPr>
        <w:ind w:left="720" w:hanging="360"/>
      </w:pPr>
      <w:rPr>
        <w:rFonts w:cs="Times New Roman" w:hint="default"/>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15" w15:restartNumberingAfterBreak="0">
    <w:nsid w:val="2DED1B21"/>
    <w:multiLevelType w:val="hybridMultilevel"/>
    <w:tmpl w:val="D8FCF024"/>
    <w:lvl w:ilvl="0" w:tplc="6144F2F2">
      <w:start w:val="1"/>
      <w:numFmt w:val="decimal"/>
      <w:lvlText w:val="%1."/>
      <w:lvlJc w:val="left"/>
      <w:pPr>
        <w:ind w:left="1413" w:hanging="360"/>
      </w:pPr>
      <w:rPr>
        <w:rFonts w:cs="Times New Roman" w:hint="default"/>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16" w15:restartNumberingAfterBreak="0">
    <w:nsid w:val="41C278DF"/>
    <w:multiLevelType w:val="hybridMultilevel"/>
    <w:tmpl w:val="9BD4BD4C"/>
    <w:lvl w:ilvl="0" w:tplc="3809000F">
      <w:start w:val="1"/>
      <w:numFmt w:val="decimal"/>
      <w:lvlText w:val="%1."/>
      <w:lvlJc w:val="left"/>
      <w:pPr>
        <w:ind w:left="720" w:hanging="360"/>
      </w:pPr>
      <w:rPr>
        <w:rFonts w:cs="Times New Roman"/>
      </w:rPr>
    </w:lvl>
    <w:lvl w:ilvl="1" w:tplc="38090019" w:tentative="1">
      <w:start w:val="1"/>
      <w:numFmt w:val="lowerLetter"/>
      <w:lvlText w:val="%2."/>
      <w:lvlJc w:val="left"/>
      <w:pPr>
        <w:ind w:left="1440" w:hanging="360"/>
      </w:pPr>
      <w:rPr>
        <w:rFonts w:cs="Times New Roman"/>
      </w:rPr>
    </w:lvl>
    <w:lvl w:ilvl="2" w:tplc="3809001B" w:tentative="1">
      <w:start w:val="1"/>
      <w:numFmt w:val="lowerRoman"/>
      <w:lvlText w:val="%3."/>
      <w:lvlJc w:val="right"/>
      <w:pPr>
        <w:ind w:left="2160" w:hanging="180"/>
      </w:pPr>
      <w:rPr>
        <w:rFonts w:cs="Times New Roman"/>
      </w:rPr>
    </w:lvl>
    <w:lvl w:ilvl="3" w:tplc="3809000F" w:tentative="1">
      <w:start w:val="1"/>
      <w:numFmt w:val="decimal"/>
      <w:lvlText w:val="%4."/>
      <w:lvlJc w:val="left"/>
      <w:pPr>
        <w:ind w:left="2880" w:hanging="360"/>
      </w:pPr>
      <w:rPr>
        <w:rFonts w:cs="Times New Roman"/>
      </w:rPr>
    </w:lvl>
    <w:lvl w:ilvl="4" w:tplc="38090019" w:tentative="1">
      <w:start w:val="1"/>
      <w:numFmt w:val="lowerLetter"/>
      <w:lvlText w:val="%5."/>
      <w:lvlJc w:val="left"/>
      <w:pPr>
        <w:ind w:left="3600" w:hanging="360"/>
      </w:pPr>
      <w:rPr>
        <w:rFonts w:cs="Times New Roman"/>
      </w:rPr>
    </w:lvl>
    <w:lvl w:ilvl="5" w:tplc="3809001B" w:tentative="1">
      <w:start w:val="1"/>
      <w:numFmt w:val="lowerRoman"/>
      <w:lvlText w:val="%6."/>
      <w:lvlJc w:val="right"/>
      <w:pPr>
        <w:ind w:left="4320" w:hanging="180"/>
      </w:pPr>
      <w:rPr>
        <w:rFonts w:cs="Times New Roman"/>
      </w:rPr>
    </w:lvl>
    <w:lvl w:ilvl="6" w:tplc="3809000F" w:tentative="1">
      <w:start w:val="1"/>
      <w:numFmt w:val="decimal"/>
      <w:lvlText w:val="%7."/>
      <w:lvlJc w:val="left"/>
      <w:pPr>
        <w:ind w:left="5040" w:hanging="360"/>
      </w:pPr>
      <w:rPr>
        <w:rFonts w:cs="Times New Roman"/>
      </w:rPr>
    </w:lvl>
    <w:lvl w:ilvl="7" w:tplc="38090019" w:tentative="1">
      <w:start w:val="1"/>
      <w:numFmt w:val="lowerLetter"/>
      <w:lvlText w:val="%8."/>
      <w:lvlJc w:val="left"/>
      <w:pPr>
        <w:ind w:left="5760" w:hanging="360"/>
      </w:pPr>
      <w:rPr>
        <w:rFonts w:cs="Times New Roman"/>
      </w:rPr>
    </w:lvl>
    <w:lvl w:ilvl="8" w:tplc="3809001B" w:tentative="1">
      <w:start w:val="1"/>
      <w:numFmt w:val="lowerRoman"/>
      <w:lvlText w:val="%9."/>
      <w:lvlJc w:val="right"/>
      <w:pPr>
        <w:ind w:left="6480" w:hanging="180"/>
      </w:pPr>
      <w:rPr>
        <w:rFonts w:cs="Times New Roman"/>
      </w:rPr>
    </w:lvl>
  </w:abstractNum>
  <w:abstractNum w:abstractNumId="17" w15:restartNumberingAfterBreak="0">
    <w:nsid w:val="4C843614"/>
    <w:multiLevelType w:val="hybridMultilevel"/>
    <w:tmpl w:val="B568CC96"/>
    <w:lvl w:ilvl="0" w:tplc="2F960FF0">
      <w:start w:val="1"/>
      <w:numFmt w:val="lowerLetter"/>
      <w:lvlText w:val="%1)"/>
      <w:lvlJc w:val="left"/>
      <w:pPr>
        <w:ind w:left="1712" w:hanging="360"/>
      </w:pPr>
      <w:rPr>
        <w:rFonts w:cs="Times New Roman"/>
        <w:b/>
        <w:bCs/>
      </w:rPr>
    </w:lvl>
    <w:lvl w:ilvl="1" w:tplc="04210019" w:tentative="1">
      <w:start w:val="1"/>
      <w:numFmt w:val="lowerLetter"/>
      <w:lvlText w:val="%2."/>
      <w:lvlJc w:val="left"/>
      <w:pPr>
        <w:ind w:left="2432" w:hanging="360"/>
      </w:pPr>
      <w:rPr>
        <w:rFonts w:cs="Times New Roman"/>
      </w:rPr>
    </w:lvl>
    <w:lvl w:ilvl="2" w:tplc="0421001B" w:tentative="1">
      <w:start w:val="1"/>
      <w:numFmt w:val="lowerRoman"/>
      <w:lvlText w:val="%3."/>
      <w:lvlJc w:val="right"/>
      <w:pPr>
        <w:ind w:left="3152" w:hanging="180"/>
      </w:pPr>
      <w:rPr>
        <w:rFonts w:cs="Times New Roman"/>
      </w:rPr>
    </w:lvl>
    <w:lvl w:ilvl="3" w:tplc="0421000F" w:tentative="1">
      <w:start w:val="1"/>
      <w:numFmt w:val="decimal"/>
      <w:lvlText w:val="%4."/>
      <w:lvlJc w:val="left"/>
      <w:pPr>
        <w:ind w:left="3872" w:hanging="360"/>
      </w:pPr>
      <w:rPr>
        <w:rFonts w:cs="Times New Roman"/>
      </w:rPr>
    </w:lvl>
    <w:lvl w:ilvl="4" w:tplc="04210019" w:tentative="1">
      <w:start w:val="1"/>
      <w:numFmt w:val="lowerLetter"/>
      <w:lvlText w:val="%5."/>
      <w:lvlJc w:val="left"/>
      <w:pPr>
        <w:ind w:left="4592" w:hanging="360"/>
      </w:pPr>
      <w:rPr>
        <w:rFonts w:cs="Times New Roman"/>
      </w:rPr>
    </w:lvl>
    <w:lvl w:ilvl="5" w:tplc="0421001B" w:tentative="1">
      <w:start w:val="1"/>
      <w:numFmt w:val="lowerRoman"/>
      <w:lvlText w:val="%6."/>
      <w:lvlJc w:val="right"/>
      <w:pPr>
        <w:ind w:left="5312" w:hanging="180"/>
      </w:pPr>
      <w:rPr>
        <w:rFonts w:cs="Times New Roman"/>
      </w:rPr>
    </w:lvl>
    <w:lvl w:ilvl="6" w:tplc="0421000F" w:tentative="1">
      <w:start w:val="1"/>
      <w:numFmt w:val="decimal"/>
      <w:lvlText w:val="%7."/>
      <w:lvlJc w:val="left"/>
      <w:pPr>
        <w:ind w:left="6032" w:hanging="360"/>
      </w:pPr>
      <w:rPr>
        <w:rFonts w:cs="Times New Roman"/>
      </w:rPr>
    </w:lvl>
    <w:lvl w:ilvl="7" w:tplc="04210019" w:tentative="1">
      <w:start w:val="1"/>
      <w:numFmt w:val="lowerLetter"/>
      <w:lvlText w:val="%8."/>
      <w:lvlJc w:val="left"/>
      <w:pPr>
        <w:ind w:left="6752" w:hanging="360"/>
      </w:pPr>
      <w:rPr>
        <w:rFonts w:cs="Times New Roman"/>
      </w:rPr>
    </w:lvl>
    <w:lvl w:ilvl="8" w:tplc="0421001B" w:tentative="1">
      <w:start w:val="1"/>
      <w:numFmt w:val="lowerRoman"/>
      <w:lvlText w:val="%9."/>
      <w:lvlJc w:val="right"/>
      <w:pPr>
        <w:ind w:left="7472" w:hanging="180"/>
      </w:pPr>
      <w:rPr>
        <w:rFonts w:cs="Times New Roman"/>
      </w:rPr>
    </w:lvl>
  </w:abstractNum>
  <w:abstractNum w:abstractNumId="18" w15:restartNumberingAfterBreak="0">
    <w:nsid w:val="51451C3A"/>
    <w:multiLevelType w:val="hybridMultilevel"/>
    <w:tmpl w:val="F66067CC"/>
    <w:lvl w:ilvl="0" w:tplc="04210011">
      <w:start w:val="1"/>
      <w:numFmt w:val="decimal"/>
      <w:lvlText w:val="%1)"/>
      <w:lvlJc w:val="left"/>
      <w:pPr>
        <w:ind w:left="-150" w:hanging="600"/>
      </w:pPr>
      <w:rPr>
        <w:rFonts w:cs="Times New Roman" w:hint="default"/>
      </w:rPr>
    </w:lvl>
    <w:lvl w:ilvl="1" w:tplc="04210019" w:tentative="1">
      <w:start w:val="1"/>
      <w:numFmt w:val="lowerLetter"/>
      <w:lvlText w:val="%2."/>
      <w:lvlJc w:val="left"/>
      <w:pPr>
        <w:ind w:left="1065" w:hanging="360"/>
      </w:pPr>
      <w:rPr>
        <w:rFonts w:cs="Times New Roman"/>
      </w:rPr>
    </w:lvl>
    <w:lvl w:ilvl="2" w:tplc="0421001B" w:tentative="1">
      <w:start w:val="1"/>
      <w:numFmt w:val="lowerRoman"/>
      <w:lvlText w:val="%3."/>
      <w:lvlJc w:val="right"/>
      <w:pPr>
        <w:ind w:left="1785" w:hanging="180"/>
      </w:pPr>
      <w:rPr>
        <w:rFonts w:cs="Times New Roman"/>
      </w:rPr>
    </w:lvl>
    <w:lvl w:ilvl="3" w:tplc="0421000F" w:tentative="1">
      <w:start w:val="1"/>
      <w:numFmt w:val="decimal"/>
      <w:lvlText w:val="%4."/>
      <w:lvlJc w:val="left"/>
      <w:pPr>
        <w:ind w:left="2505" w:hanging="360"/>
      </w:pPr>
      <w:rPr>
        <w:rFonts w:cs="Times New Roman"/>
      </w:rPr>
    </w:lvl>
    <w:lvl w:ilvl="4" w:tplc="04210019" w:tentative="1">
      <w:start w:val="1"/>
      <w:numFmt w:val="lowerLetter"/>
      <w:lvlText w:val="%5."/>
      <w:lvlJc w:val="left"/>
      <w:pPr>
        <w:ind w:left="3225" w:hanging="360"/>
      </w:pPr>
      <w:rPr>
        <w:rFonts w:cs="Times New Roman"/>
      </w:rPr>
    </w:lvl>
    <w:lvl w:ilvl="5" w:tplc="0421001B" w:tentative="1">
      <w:start w:val="1"/>
      <w:numFmt w:val="lowerRoman"/>
      <w:lvlText w:val="%6."/>
      <w:lvlJc w:val="right"/>
      <w:pPr>
        <w:ind w:left="3945" w:hanging="180"/>
      </w:pPr>
      <w:rPr>
        <w:rFonts w:cs="Times New Roman"/>
      </w:rPr>
    </w:lvl>
    <w:lvl w:ilvl="6" w:tplc="0421000F" w:tentative="1">
      <w:start w:val="1"/>
      <w:numFmt w:val="decimal"/>
      <w:lvlText w:val="%7."/>
      <w:lvlJc w:val="left"/>
      <w:pPr>
        <w:ind w:left="4665" w:hanging="360"/>
      </w:pPr>
      <w:rPr>
        <w:rFonts w:cs="Times New Roman"/>
      </w:rPr>
    </w:lvl>
    <w:lvl w:ilvl="7" w:tplc="04210019" w:tentative="1">
      <w:start w:val="1"/>
      <w:numFmt w:val="lowerLetter"/>
      <w:lvlText w:val="%8."/>
      <w:lvlJc w:val="left"/>
      <w:pPr>
        <w:ind w:left="5385" w:hanging="360"/>
      </w:pPr>
      <w:rPr>
        <w:rFonts w:cs="Times New Roman"/>
      </w:rPr>
    </w:lvl>
    <w:lvl w:ilvl="8" w:tplc="0421001B" w:tentative="1">
      <w:start w:val="1"/>
      <w:numFmt w:val="lowerRoman"/>
      <w:lvlText w:val="%9."/>
      <w:lvlJc w:val="right"/>
      <w:pPr>
        <w:ind w:left="6105" w:hanging="180"/>
      </w:pPr>
      <w:rPr>
        <w:rFonts w:cs="Times New Roman"/>
      </w:rPr>
    </w:lvl>
  </w:abstractNum>
  <w:abstractNum w:abstractNumId="19" w15:restartNumberingAfterBreak="0">
    <w:nsid w:val="53506898"/>
    <w:multiLevelType w:val="hybridMultilevel"/>
    <w:tmpl w:val="DCB2214A"/>
    <w:lvl w:ilvl="0" w:tplc="70E6AE24">
      <w:start w:val="1"/>
      <w:numFmt w:val="decimal"/>
      <w:lvlText w:val="%1."/>
      <w:lvlJc w:val="left"/>
      <w:pPr>
        <w:ind w:left="720" w:hanging="360"/>
      </w:pPr>
      <w:rPr>
        <w:rFonts w:cs="Times New Roman" w:hint="default"/>
        <w:i w:val="0"/>
        <w:iCs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0" w15:restartNumberingAfterBreak="0">
    <w:nsid w:val="5541547D"/>
    <w:multiLevelType w:val="hybridMultilevel"/>
    <w:tmpl w:val="98E62712"/>
    <w:lvl w:ilvl="0" w:tplc="75BC4C32">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1" w15:restartNumberingAfterBreak="0">
    <w:nsid w:val="57B44D9E"/>
    <w:multiLevelType w:val="hybridMultilevel"/>
    <w:tmpl w:val="18667776"/>
    <w:lvl w:ilvl="0" w:tplc="4D122A02">
      <w:start w:val="1"/>
      <w:numFmt w:val="decimal"/>
      <w:lvlText w:val="%1."/>
      <w:lvlJc w:val="left"/>
      <w:pPr>
        <w:ind w:left="1353" w:hanging="360"/>
      </w:pPr>
      <w:rPr>
        <w:rFonts w:cs="Times New Roman" w:hint="default"/>
      </w:rPr>
    </w:lvl>
    <w:lvl w:ilvl="1" w:tplc="04210019" w:tentative="1">
      <w:start w:val="1"/>
      <w:numFmt w:val="lowerLetter"/>
      <w:lvlText w:val="%2."/>
      <w:lvlJc w:val="left"/>
      <w:pPr>
        <w:ind w:left="2073" w:hanging="360"/>
      </w:pPr>
      <w:rPr>
        <w:rFonts w:cs="Times New Roman"/>
      </w:rPr>
    </w:lvl>
    <w:lvl w:ilvl="2" w:tplc="0421001B" w:tentative="1">
      <w:start w:val="1"/>
      <w:numFmt w:val="lowerRoman"/>
      <w:lvlText w:val="%3."/>
      <w:lvlJc w:val="right"/>
      <w:pPr>
        <w:ind w:left="2793" w:hanging="180"/>
      </w:pPr>
      <w:rPr>
        <w:rFonts w:cs="Times New Roman"/>
      </w:rPr>
    </w:lvl>
    <w:lvl w:ilvl="3" w:tplc="0421000F" w:tentative="1">
      <w:start w:val="1"/>
      <w:numFmt w:val="decimal"/>
      <w:lvlText w:val="%4."/>
      <w:lvlJc w:val="left"/>
      <w:pPr>
        <w:ind w:left="3513" w:hanging="360"/>
      </w:pPr>
      <w:rPr>
        <w:rFonts w:cs="Times New Roman"/>
      </w:rPr>
    </w:lvl>
    <w:lvl w:ilvl="4" w:tplc="04210019" w:tentative="1">
      <w:start w:val="1"/>
      <w:numFmt w:val="lowerLetter"/>
      <w:lvlText w:val="%5."/>
      <w:lvlJc w:val="left"/>
      <w:pPr>
        <w:ind w:left="4233" w:hanging="360"/>
      </w:pPr>
      <w:rPr>
        <w:rFonts w:cs="Times New Roman"/>
      </w:rPr>
    </w:lvl>
    <w:lvl w:ilvl="5" w:tplc="0421001B" w:tentative="1">
      <w:start w:val="1"/>
      <w:numFmt w:val="lowerRoman"/>
      <w:lvlText w:val="%6."/>
      <w:lvlJc w:val="right"/>
      <w:pPr>
        <w:ind w:left="4953" w:hanging="180"/>
      </w:pPr>
      <w:rPr>
        <w:rFonts w:cs="Times New Roman"/>
      </w:rPr>
    </w:lvl>
    <w:lvl w:ilvl="6" w:tplc="0421000F" w:tentative="1">
      <w:start w:val="1"/>
      <w:numFmt w:val="decimal"/>
      <w:lvlText w:val="%7."/>
      <w:lvlJc w:val="left"/>
      <w:pPr>
        <w:ind w:left="5673" w:hanging="360"/>
      </w:pPr>
      <w:rPr>
        <w:rFonts w:cs="Times New Roman"/>
      </w:rPr>
    </w:lvl>
    <w:lvl w:ilvl="7" w:tplc="04210019" w:tentative="1">
      <w:start w:val="1"/>
      <w:numFmt w:val="lowerLetter"/>
      <w:lvlText w:val="%8."/>
      <w:lvlJc w:val="left"/>
      <w:pPr>
        <w:ind w:left="6393" w:hanging="360"/>
      </w:pPr>
      <w:rPr>
        <w:rFonts w:cs="Times New Roman"/>
      </w:rPr>
    </w:lvl>
    <w:lvl w:ilvl="8" w:tplc="0421001B" w:tentative="1">
      <w:start w:val="1"/>
      <w:numFmt w:val="lowerRoman"/>
      <w:lvlText w:val="%9."/>
      <w:lvlJc w:val="right"/>
      <w:pPr>
        <w:ind w:left="7113" w:hanging="180"/>
      </w:pPr>
      <w:rPr>
        <w:rFonts w:cs="Times New Roman"/>
      </w:rPr>
    </w:lvl>
  </w:abstractNum>
  <w:abstractNum w:abstractNumId="22" w15:restartNumberingAfterBreak="0">
    <w:nsid w:val="5F7554F0"/>
    <w:multiLevelType w:val="hybridMultilevel"/>
    <w:tmpl w:val="802C7EEC"/>
    <w:lvl w:ilvl="0" w:tplc="04210017">
      <w:start w:val="1"/>
      <w:numFmt w:val="lowerLetter"/>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23" w15:restartNumberingAfterBreak="0">
    <w:nsid w:val="613F0B7A"/>
    <w:multiLevelType w:val="hybridMultilevel"/>
    <w:tmpl w:val="0024C8B0"/>
    <w:lvl w:ilvl="0" w:tplc="0DE6B0AA">
      <w:start w:val="1"/>
      <w:numFmt w:val="lowerLetter"/>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4" w15:restartNumberingAfterBreak="0">
    <w:nsid w:val="74633A4F"/>
    <w:multiLevelType w:val="hybridMultilevel"/>
    <w:tmpl w:val="E9EA757C"/>
    <w:lvl w:ilvl="0" w:tplc="066E1B70">
      <w:start w:val="1"/>
      <w:numFmt w:val="decimal"/>
      <w:lvlText w:val="%1."/>
      <w:lvlJc w:val="left"/>
      <w:pPr>
        <w:ind w:left="1413" w:hanging="360"/>
      </w:pPr>
      <w:rPr>
        <w:rFonts w:cs="Times New Roman" w:hint="default"/>
        <w:sz w:val="24"/>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25" w15:restartNumberingAfterBreak="0">
    <w:nsid w:val="76AB5283"/>
    <w:multiLevelType w:val="hybridMultilevel"/>
    <w:tmpl w:val="38A68520"/>
    <w:lvl w:ilvl="0" w:tplc="85BC1E7E">
      <w:start w:val="1"/>
      <w:numFmt w:val="decimal"/>
      <w:lvlText w:val="%1)"/>
      <w:lvlJc w:val="left"/>
      <w:pPr>
        <w:ind w:left="720" w:hanging="360"/>
      </w:pPr>
      <w:rPr>
        <w:rFonts w:cs="Times New Roman"/>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26" w15:restartNumberingAfterBreak="0">
    <w:nsid w:val="77901113"/>
    <w:multiLevelType w:val="hybridMultilevel"/>
    <w:tmpl w:val="7CF2B984"/>
    <w:lvl w:ilvl="0" w:tplc="39BA1D7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B857A15"/>
    <w:multiLevelType w:val="hybridMultilevel"/>
    <w:tmpl w:val="5D26E8E8"/>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8" w15:restartNumberingAfterBreak="0">
    <w:nsid w:val="7C1E659A"/>
    <w:multiLevelType w:val="hybridMultilevel"/>
    <w:tmpl w:val="DE922EA2"/>
    <w:lvl w:ilvl="0" w:tplc="917CBEB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9" w15:restartNumberingAfterBreak="0">
    <w:nsid w:val="7CC85296"/>
    <w:multiLevelType w:val="hybridMultilevel"/>
    <w:tmpl w:val="926808E6"/>
    <w:lvl w:ilvl="0" w:tplc="04210013">
      <w:start w:val="1"/>
      <w:numFmt w:val="upperRoman"/>
      <w:lvlText w:val="%1."/>
      <w:lvlJc w:val="right"/>
      <w:pPr>
        <w:ind w:left="360" w:hanging="360"/>
      </w:pPr>
      <w:rPr>
        <w:rFonts w:cs="Times New Roman"/>
      </w:rPr>
    </w:lvl>
    <w:lvl w:ilvl="1" w:tplc="04210019" w:tentative="1">
      <w:start w:val="1"/>
      <w:numFmt w:val="lowerLetter"/>
      <w:lvlText w:val="%2."/>
      <w:lvlJc w:val="left"/>
      <w:pPr>
        <w:ind w:left="2149" w:hanging="360"/>
      </w:pPr>
      <w:rPr>
        <w:rFonts w:cs="Times New Roman"/>
      </w:rPr>
    </w:lvl>
    <w:lvl w:ilvl="2" w:tplc="0421001B" w:tentative="1">
      <w:start w:val="1"/>
      <w:numFmt w:val="lowerRoman"/>
      <w:lvlText w:val="%3."/>
      <w:lvlJc w:val="right"/>
      <w:pPr>
        <w:ind w:left="2869" w:hanging="180"/>
      </w:pPr>
      <w:rPr>
        <w:rFonts w:cs="Times New Roman"/>
      </w:rPr>
    </w:lvl>
    <w:lvl w:ilvl="3" w:tplc="0421000F" w:tentative="1">
      <w:start w:val="1"/>
      <w:numFmt w:val="decimal"/>
      <w:lvlText w:val="%4."/>
      <w:lvlJc w:val="left"/>
      <w:pPr>
        <w:ind w:left="3589" w:hanging="360"/>
      </w:pPr>
      <w:rPr>
        <w:rFonts w:cs="Times New Roman"/>
      </w:rPr>
    </w:lvl>
    <w:lvl w:ilvl="4" w:tplc="04210019" w:tentative="1">
      <w:start w:val="1"/>
      <w:numFmt w:val="lowerLetter"/>
      <w:lvlText w:val="%5."/>
      <w:lvlJc w:val="left"/>
      <w:pPr>
        <w:ind w:left="4309" w:hanging="360"/>
      </w:pPr>
      <w:rPr>
        <w:rFonts w:cs="Times New Roman"/>
      </w:rPr>
    </w:lvl>
    <w:lvl w:ilvl="5" w:tplc="0421001B" w:tentative="1">
      <w:start w:val="1"/>
      <w:numFmt w:val="lowerRoman"/>
      <w:lvlText w:val="%6."/>
      <w:lvlJc w:val="right"/>
      <w:pPr>
        <w:ind w:left="5029" w:hanging="180"/>
      </w:pPr>
      <w:rPr>
        <w:rFonts w:cs="Times New Roman"/>
      </w:rPr>
    </w:lvl>
    <w:lvl w:ilvl="6" w:tplc="0421000F" w:tentative="1">
      <w:start w:val="1"/>
      <w:numFmt w:val="decimal"/>
      <w:lvlText w:val="%7."/>
      <w:lvlJc w:val="left"/>
      <w:pPr>
        <w:ind w:left="5749" w:hanging="360"/>
      </w:pPr>
      <w:rPr>
        <w:rFonts w:cs="Times New Roman"/>
      </w:rPr>
    </w:lvl>
    <w:lvl w:ilvl="7" w:tplc="04210019" w:tentative="1">
      <w:start w:val="1"/>
      <w:numFmt w:val="lowerLetter"/>
      <w:lvlText w:val="%8."/>
      <w:lvlJc w:val="left"/>
      <w:pPr>
        <w:ind w:left="6469" w:hanging="360"/>
      </w:pPr>
      <w:rPr>
        <w:rFonts w:cs="Times New Roman"/>
      </w:rPr>
    </w:lvl>
    <w:lvl w:ilvl="8" w:tplc="0421001B" w:tentative="1">
      <w:start w:val="1"/>
      <w:numFmt w:val="lowerRoman"/>
      <w:lvlText w:val="%9."/>
      <w:lvlJc w:val="right"/>
      <w:pPr>
        <w:ind w:left="7189" w:hanging="180"/>
      </w:pPr>
      <w:rPr>
        <w:rFonts w:cs="Times New Roman"/>
      </w:rPr>
    </w:lvl>
  </w:abstractNum>
  <w:num w:numId="1" w16cid:durableId="761268082">
    <w:abstractNumId w:val="14"/>
  </w:num>
  <w:num w:numId="2" w16cid:durableId="831719901">
    <w:abstractNumId w:val="8"/>
  </w:num>
  <w:num w:numId="3" w16cid:durableId="808597981">
    <w:abstractNumId w:val="9"/>
  </w:num>
  <w:num w:numId="4" w16cid:durableId="1734890979">
    <w:abstractNumId w:val="22"/>
  </w:num>
  <w:num w:numId="5" w16cid:durableId="2010015416">
    <w:abstractNumId w:val="21"/>
  </w:num>
  <w:num w:numId="6" w16cid:durableId="534390030">
    <w:abstractNumId w:val="20"/>
  </w:num>
  <w:num w:numId="7" w16cid:durableId="732239178">
    <w:abstractNumId w:val="28"/>
  </w:num>
  <w:num w:numId="8" w16cid:durableId="1937247241">
    <w:abstractNumId w:val="15"/>
  </w:num>
  <w:num w:numId="9" w16cid:durableId="1168522539">
    <w:abstractNumId w:val="23"/>
  </w:num>
  <w:num w:numId="10" w16cid:durableId="1309943366">
    <w:abstractNumId w:val="24"/>
  </w:num>
  <w:num w:numId="11" w16cid:durableId="1540431001">
    <w:abstractNumId w:val="11"/>
  </w:num>
  <w:num w:numId="12" w16cid:durableId="1999185400">
    <w:abstractNumId w:val="18"/>
  </w:num>
  <w:num w:numId="13" w16cid:durableId="650138216">
    <w:abstractNumId w:val="7"/>
  </w:num>
  <w:num w:numId="14" w16cid:durableId="341978952">
    <w:abstractNumId w:val="0"/>
  </w:num>
  <w:num w:numId="15" w16cid:durableId="1365792487">
    <w:abstractNumId w:val="29"/>
  </w:num>
  <w:num w:numId="16" w16cid:durableId="641933313">
    <w:abstractNumId w:val="19"/>
  </w:num>
  <w:num w:numId="17" w16cid:durableId="1687442153">
    <w:abstractNumId w:val="27"/>
  </w:num>
  <w:num w:numId="18" w16cid:durableId="136260303">
    <w:abstractNumId w:val="25"/>
  </w:num>
  <w:num w:numId="19" w16cid:durableId="140656320">
    <w:abstractNumId w:val="17"/>
  </w:num>
  <w:num w:numId="20" w16cid:durableId="1110586331">
    <w:abstractNumId w:val="5"/>
  </w:num>
  <w:num w:numId="21" w16cid:durableId="613441888">
    <w:abstractNumId w:val="1"/>
  </w:num>
  <w:num w:numId="22" w16cid:durableId="1637755772">
    <w:abstractNumId w:val="12"/>
  </w:num>
  <w:num w:numId="23" w16cid:durableId="1793205694">
    <w:abstractNumId w:val="2"/>
  </w:num>
  <w:num w:numId="24" w16cid:durableId="492524433">
    <w:abstractNumId w:val="3"/>
  </w:num>
  <w:num w:numId="25" w16cid:durableId="933054827">
    <w:abstractNumId w:val="4"/>
  </w:num>
  <w:num w:numId="26" w16cid:durableId="865605992">
    <w:abstractNumId w:val="10"/>
  </w:num>
  <w:num w:numId="27" w16cid:durableId="340283905">
    <w:abstractNumId w:val="13"/>
  </w:num>
  <w:num w:numId="28" w16cid:durableId="746416966">
    <w:abstractNumId w:val="6"/>
  </w:num>
  <w:num w:numId="29" w16cid:durableId="1789081081">
    <w:abstractNumId w:val="16"/>
  </w:num>
  <w:num w:numId="30" w16cid:durableId="789395789">
    <w:abstractNumId w:val="26"/>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embedSystemFonts/>
  <w:defaultTabStop w:val="720"/>
  <w:doNotHyphenateCaps/>
  <w:evenAndOddHeaders/>
  <w:drawingGridHorizontalSpacing w:val="100"/>
  <w:displayHorizontalDrawingGridEvery w:val="2"/>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2D2DAC"/>
    <w:rsid w:val="00003189"/>
    <w:rsid w:val="00005ED9"/>
    <w:rsid w:val="00010DEE"/>
    <w:rsid w:val="00015BD9"/>
    <w:rsid w:val="000243A3"/>
    <w:rsid w:val="00024881"/>
    <w:rsid w:val="0002569B"/>
    <w:rsid w:val="00032F3B"/>
    <w:rsid w:val="000417D3"/>
    <w:rsid w:val="000475BE"/>
    <w:rsid w:val="00055FC4"/>
    <w:rsid w:val="0006191D"/>
    <w:rsid w:val="00066AC1"/>
    <w:rsid w:val="00076F8C"/>
    <w:rsid w:val="00080E27"/>
    <w:rsid w:val="0008220C"/>
    <w:rsid w:val="000877EE"/>
    <w:rsid w:val="000A0B41"/>
    <w:rsid w:val="000A2548"/>
    <w:rsid w:val="000B0038"/>
    <w:rsid w:val="000B0CE5"/>
    <w:rsid w:val="000B59CD"/>
    <w:rsid w:val="000C3688"/>
    <w:rsid w:val="000C38EC"/>
    <w:rsid w:val="000E1F30"/>
    <w:rsid w:val="000E31DC"/>
    <w:rsid w:val="000F66AA"/>
    <w:rsid w:val="00103AFF"/>
    <w:rsid w:val="00105762"/>
    <w:rsid w:val="00110D78"/>
    <w:rsid w:val="00116ED8"/>
    <w:rsid w:val="00117792"/>
    <w:rsid w:val="00122F5F"/>
    <w:rsid w:val="00123EF2"/>
    <w:rsid w:val="001245CB"/>
    <w:rsid w:val="0013783B"/>
    <w:rsid w:val="00155EC2"/>
    <w:rsid w:val="001578E9"/>
    <w:rsid w:val="00162A30"/>
    <w:rsid w:val="00165813"/>
    <w:rsid w:val="00171D19"/>
    <w:rsid w:val="00173196"/>
    <w:rsid w:val="0018288D"/>
    <w:rsid w:val="00187357"/>
    <w:rsid w:val="001A07A8"/>
    <w:rsid w:val="001B3613"/>
    <w:rsid w:val="001C2739"/>
    <w:rsid w:val="001C3D6C"/>
    <w:rsid w:val="001C6AF3"/>
    <w:rsid w:val="001C7BDA"/>
    <w:rsid w:val="001D5E03"/>
    <w:rsid w:val="001D7DEE"/>
    <w:rsid w:val="001E02DA"/>
    <w:rsid w:val="001E2AAA"/>
    <w:rsid w:val="0020406B"/>
    <w:rsid w:val="0020676E"/>
    <w:rsid w:val="00206C41"/>
    <w:rsid w:val="002132FC"/>
    <w:rsid w:val="00216CB6"/>
    <w:rsid w:val="00216D84"/>
    <w:rsid w:val="00217D1E"/>
    <w:rsid w:val="00223090"/>
    <w:rsid w:val="00224082"/>
    <w:rsid w:val="0023752D"/>
    <w:rsid w:val="00241B8D"/>
    <w:rsid w:val="00251164"/>
    <w:rsid w:val="00253D8A"/>
    <w:rsid w:val="00260D64"/>
    <w:rsid w:val="002632DB"/>
    <w:rsid w:val="002676D3"/>
    <w:rsid w:val="00271DA6"/>
    <w:rsid w:val="0027200A"/>
    <w:rsid w:val="00274990"/>
    <w:rsid w:val="00274E38"/>
    <w:rsid w:val="00283CE9"/>
    <w:rsid w:val="00287EDB"/>
    <w:rsid w:val="00295D91"/>
    <w:rsid w:val="00295FB9"/>
    <w:rsid w:val="002961FA"/>
    <w:rsid w:val="002A293E"/>
    <w:rsid w:val="002A4E05"/>
    <w:rsid w:val="002B5183"/>
    <w:rsid w:val="002C2FAC"/>
    <w:rsid w:val="002D0F54"/>
    <w:rsid w:val="002D1D04"/>
    <w:rsid w:val="002D2DAC"/>
    <w:rsid w:val="002E0452"/>
    <w:rsid w:val="002E383A"/>
    <w:rsid w:val="002E695D"/>
    <w:rsid w:val="002F4D18"/>
    <w:rsid w:val="00301FEB"/>
    <w:rsid w:val="00303D42"/>
    <w:rsid w:val="0030640D"/>
    <w:rsid w:val="00312D76"/>
    <w:rsid w:val="00334520"/>
    <w:rsid w:val="00334792"/>
    <w:rsid w:val="003363F0"/>
    <w:rsid w:val="00336A9A"/>
    <w:rsid w:val="0034128C"/>
    <w:rsid w:val="003460F1"/>
    <w:rsid w:val="00362CBC"/>
    <w:rsid w:val="0036474C"/>
    <w:rsid w:val="00376714"/>
    <w:rsid w:val="00381B26"/>
    <w:rsid w:val="00382478"/>
    <w:rsid w:val="00386F26"/>
    <w:rsid w:val="00387148"/>
    <w:rsid w:val="00387C94"/>
    <w:rsid w:val="003915B9"/>
    <w:rsid w:val="003948B0"/>
    <w:rsid w:val="00395535"/>
    <w:rsid w:val="003A66C6"/>
    <w:rsid w:val="003B28D6"/>
    <w:rsid w:val="003C40CE"/>
    <w:rsid w:val="003C482F"/>
    <w:rsid w:val="003C5369"/>
    <w:rsid w:val="003D19A0"/>
    <w:rsid w:val="003D1BD8"/>
    <w:rsid w:val="003E1185"/>
    <w:rsid w:val="00400BB8"/>
    <w:rsid w:val="00406D0E"/>
    <w:rsid w:val="00411F5E"/>
    <w:rsid w:val="00413EEB"/>
    <w:rsid w:val="00415562"/>
    <w:rsid w:val="004174DD"/>
    <w:rsid w:val="004231BE"/>
    <w:rsid w:val="00423AA5"/>
    <w:rsid w:val="00423FBA"/>
    <w:rsid w:val="00425716"/>
    <w:rsid w:val="00425E5D"/>
    <w:rsid w:val="00434A6A"/>
    <w:rsid w:val="0043544C"/>
    <w:rsid w:val="00442F6C"/>
    <w:rsid w:val="00451D00"/>
    <w:rsid w:val="00453027"/>
    <w:rsid w:val="004535C9"/>
    <w:rsid w:val="004538A9"/>
    <w:rsid w:val="00461A20"/>
    <w:rsid w:val="00463904"/>
    <w:rsid w:val="004657C4"/>
    <w:rsid w:val="004758A8"/>
    <w:rsid w:val="00476E9F"/>
    <w:rsid w:val="00481B20"/>
    <w:rsid w:val="004863B6"/>
    <w:rsid w:val="00486707"/>
    <w:rsid w:val="0048722D"/>
    <w:rsid w:val="004926FD"/>
    <w:rsid w:val="004928B8"/>
    <w:rsid w:val="00497A78"/>
    <w:rsid w:val="004A19B5"/>
    <w:rsid w:val="004A4564"/>
    <w:rsid w:val="004A68CB"/>
    <w:rsid w:val="004B08D8"/>
    <w:rsid w:val="004B0E60"/>
    <w:rsid w:val="004C15A0"/>
    <w:rsid w:val="004D00AE"/>
    <w:rsid w:val="004D0872"/>
    <w:rsid w:val="004D5A18"/>
    <w:rsid w:val="004D67B0"/>
    <w:rsid w:val="004D7EF4"/>
    <w:rsid w:val="004F5144"/>
    <w:rsid w:val="004F5368"/>
    <w:rsid w:val="004F79D4"/>
    <w:rsid w:val="00500754"/>
    <w:rsid w:val="00500AAF"/>
    <w:rsid w:val="005022AA"/>
    <w:rsid w:val="005031E8"/>
    <w:rsid w:val="0050390B"/>
    <w:rsid w:val="00503DD2"/>
    <w:rsid w:val="005062E6"/>
    <w:rsid w:val="005227C8"/>
    <w:rsid w:val="005323E6"/>
    <w:rsid w:val="0053629A"/>
    <w:rsid w:val="005367ED"/>
    <w:rsid w:val="00540F02"/>
    <w:rsid w:val="0054303A"/>
    <w:rsid w:val="00543077"/>
    <w:rsid w:val="005469BE"/>
    <w:rsid w:val="005478C9"/>
    <w:rsid w:val="00553784"/>
    <w:rsid w:val="005569E1"/>
    <w:rsid w:val="0056036E"/>
    <w:rsid w:val="005611F1"/>
    <w:rsid w:val="005626AA"/>
    <w:rsid w:val="005635B4"/>
    <w:rsid w:val="00571CFE"/>
    <w:rsid w:val="00591DE5"/>
    <w:rsid w:val="0059236C"/>
    <w:rsid w:val="005A4F69"/>
    <w:rsid w:val="005C14AA"/>
    <w:rsid w:val="005C643D"/>
    <w:rsid w:val="005D4A0D"/>
    <w:rsid w:val="005E5EF8"/>
    <w:rsid w:val="005E7673"/>
    <w:rsid w:val="006035FA"/>
    <w:rsid w:val="006052AE"/>
    <w:rsid w:val="00614FF0"/>
    <w:rsid w:val="0061613E"/>
    <w:rsid w:val="0062129F"/>
    <w:rsid w:val="00622926"/>
    <w:rsid w:val="0062388D"/>
    <w:rsid w:val="006352D0"/>
    <w:rsid w:val="006419D1"/>
    <w:rsid w:val="006538D6"/>
    <w:rsid w:val="00654B07"/>
    <w:rsid w:val="00666098"/>
    <w:rsid w:val="00674CB5"/>
    <w:rsid w:val="00680536"/>
    <w:rsid w:val="006902BB"/>
    <w:rsid w:val="006A52D0"/>
    <w:rsid w:val="006A7DFF"/>
    <w:rsid w:val="006B0510"/>
    <w:rsid w:val="006B2D02"/>
    <w:rsid w:val="006B6E0F"/>
    <w:rsid w:val="006C65C4"/>
    <w:rsid w:val="006C6EBD"/>
    <w:rsid w:val="006C7730"/>
    <w:rsid w:val="006D6149"/>
    <w:rsid w:val="006D782E"/>
    <w:rsid w:val="006E2F83"/>
    <w:rsid w:val="006E7FC3"/>
    <w:rsid w:val="006F411A"/>
    <w:rsid w:val="00704378"/>
    <w:rsid w:val="00707398"/>
    <w:rsid w:val="007169EC"/>
    <w:rsid w:val="00720B52"/>
    <w:rsid w:val="00727B9E"/>
    <w:rsid w:val="00741058"/>
    <w:rsid w:val="00747162"/>
    <w:rsid w:val="00755AB4"/>
    <w:rsid w:val="00761E7C"/>
    <w:rsid w:val="007636FC"/>
    <w:rsid w:val="007816FC"/>
    <w:rsid w:val="00781D8B"/>
    <w:rsid w:val="007907EB"/>
    <w:rsid w:val="0079311F"/>
    <w:rsid w:val="007933FE"/>
    <w:rsid w:val="00796577"/>
    <w:rsid w:val="00796A75"/>
    <w:rsid w:val="007A2AA8"/>
    <w:rsid w:val="007A5A78"/>
    <w:rsid w:val="007A62B7"/>
    <w:rsid w:val="007A65BF"/>
    <w:rsid w:val="007B6823"/>
    <w:rsid w:val="007D5BA1"/>
    <w:rsid w:val="007E508F"/>
    <w:rsid w:val="007F02FB"/>
    <w:rsid w:val="007F37D6"/>
    <w:rsid w:val="007F422E"/>
    <w:rsid w:val="00802718"/>
    <w:rsid w:val="00802990"/>
    <w:rsid w:val="00802A96"/>
    <w:rsid w:val="00810811"/>
    <w:rsid w:val="008157AA"/>
    <w:rsid w:val="00815993"/>
    <w:rsid w:val="0082272E"/>
    <w:rsid w:val="00852EC7"/>
    <w:rsid w:val="0085484D"/>
    <w:rsid w:val="00862178"/>
    <w:rsid w:val="00862DDA"/>
    <w:rsid w:val="00863A78"/>
    <w:rsid w:val="00874EB7"/>
    <w:rsid w:val="008765A5"/>
    <w:rsid w:val="00876CBA"/>
    <w:rsid w:val="00882CAF"/>
    <w:rsid w:val="0088746C"/>
    <w:rsid w:val="008940D8"/>
    <w:rsid w:val="008A70B4"/>
    <w:rsid w:val="008B0741"/>
    <w:rsid w:val="008B23F8"/>
    <w:rsid w:val="008B4BA9"/>
    <w:rsid w:val="008B7A0F"/>
    <w:rsid w:val="008C302B"/>
    <w:rsid w:val="008C3DC2"/>
    <w:rsid w:val="008C45DE"/>
    <w:rsid w:val="008D0F02"/>
    <w:rsid w:val="008E554D"/>
    <w:rsid w:val="008F3342"/>
    <w:rsid w:val="008F38EC"/>
    <w:rsid w:val="00902F9C"/>
    <w:rsid w:val="00906AC7"/>
    <w:rsid w:val="00911A24"/>
    <w:rsid w:val="009206DD"/>
    <w:rsid w:val="009207CC"/>
    <w:rsid w:val="009246B2"/>
    <w:rsid w:val="009276FB"/>
    <w:rsid w:val="0093594B"/>
    <w:rsid w:val="00936811"/>
    <w:rsid w:val="00940F83"/>
    <w:rsid w:val="0094187E"/>
    <w:rsid w:val="00945575"/>
    <w:rsid w:val="00951DD0"/>
    <w:rsid w:val="0095288D"/>
    <w:rsid w:val="00954BA8"/>
    <w:rsid w:val="00965E3F"/>
    <w:rsid w:val="00965F50"/>
    <w:rsid w:val="0098193E"/>
    <w:rsid w:val="00987772"/>
    <w:rsid w:val="0099291C"/>
    <w:rsid w:val="009929B4"/>
    <w:rsid w:val="009A1281"/>
    <w:rsid w:val="009A6380"/>
    <w:rsid w:val="009B4597"/>
    <w:rsid w:val="009B6344"/>
    <w:rsid w:val="009B764B"/>
    <w:rsid w:val="009D7404"/>
    <w:rsid w:val="009D7AA9"/>
    <w:rsid w:val="009E2468"/>
    <w:rsid w:val="009E3624"/>
    <w:rsid w:val="009E4EBA"/>
    <w:rsid w:val="009E6AF8"/>
    <w:rsid w:val="009F091C"/>
    <w:rsid w:val="009F2D64"/>
    <w:rsid w:val="009F409C"/>
    <w:rsid w:val="009F6F7B"/>
    <w:rsid w:val="00A03126"/>
    <w:rsid w:val="00A13315"/>
    <w:rsid w:val="00A175E3"/>
    <w:rsid w:val="00A27B34"/>
    <w:rsid w:val="00A37C4B"/>
    <w:rsid w:val="00A43778"/>
    <w:rsid w:val="00A4558F"/>
    <w:rsid w:val="00A47ADB"/>
    <w:rsid w:val="00A50B27"/>
    <w:rsid w:val="00A549F9"/>
    <w:rsid w:val="00A562A0"/>
    <w:rsid w:val="00A5653C"/>
    <w:rsid w:val="00A574C4"/>
    <w:rsid w:val="00A60243"/>
    <w:rsid w:val="00A602DE"/>
    <w:rsid w:val="00A60445"/>
    <w:rsid w:val="00A64896"/>
    <w:rsid w:val="00A67525"/>
    <w:rsid w:val="00A71464"/>
    <w:rsid w:val="00A72FCF"/>
    <w:rsid w:val="00A758BF"/>
    <w:rsid w:val="00A762E8"/>
    <w:rsid w:val="00A8066D"/>
    <w:rsid w:val="00A80B2E"/>
    <w:rsid w:val="00A819B4"/>
    <w:rsid w:val="00A83E44"/>
    <w:rsid w:val="00A91CAD"/>
    <w:rsid w:val="00A92D0F"/>
    <w:rsid w:val="00A95B23"/>
    <w:rsid w:val="00A96769"/>
    <w:rsid w:val="00AA4AE4"/>
    <w:rsid w:val="00AA4E7D"/>
    <w:rsid w:val="00AA6636"/>
    <w:rsid w:val="00AC397B"/>
    <w:rsid w:val="00AC6628"/>
    <w:rsid w:val="00AD2E20"/>
    <w:rsid w:val="00AD3EFD"/>
    <w:rsid w:val="00AD559D"/>
    <w:rsid w:val="00AF2217"/>
    <w:rsid w:val="00AF35CC"/>
    <w:rsid w:val="00AF73DF"/>
    <w:rsid w:val="00B02CE0"/>
    <w:rsid w:val="00B04698"/>
    <w:rsid w:val="00B17324"/>
    <w:rsid w:val="00B215FF"/>
    <w:rsid w:val="00B25EDF"/>
    <w:rsid w:val="00B35DC8"/>
    <w:rsid w:val="00B4389C"/>
    <w:rsid w:val="00B47B2C"/>
    <w:rsid w:val="00B56B54"/>
    <w:rsid w:val="00B70E6B"/>
    <w:rsid w:val="00B80A1A"/>
    <w:rsid w:val="00B86838"/>
    <w:rsid w:val="00B86BF7"/>
    <w:rsid w:val="00B905EC"/>
    <w:rsid w:val="00B91F74"/>
    <w:rsid w:val="00B9472D"/>
    <w:rsid w:val="00BA6FF3"/>
    <w:rsid w:val="00BB0092"/>
    <w:rsid w:val="00BB2B6F"/>
    <w:rsid w:val="00BB6938"/>
    <w:rsid w:val="00BC51D8"/>
    <w:rsid w:val="00BD5D62"/>
    <w:rsid w:val="00BD79A0"/>
    <w:rsid w:val="00BE144D"/>
    <w:rsid w:val="00BE17FD"/>
    <w:rsid w:val="00BE30EB"/>
    <w:rsid w:val="00C02E08"/>
    <w:rsid w:val="00C03879"/>
    <w:rsid w:val="00C10C09"/>
    <w:rsid w:val="00C11C42"/>
    <w:rsid w:val="00C152F9"/>
    <w:rsid w:val="00C1756D"/>
    <w:rsid w:val="00C21420"/>
    <w:rsid w:val="00C26170"/>
    <w:rsid w:val="00C420B8"/>
    <w:rsid w:val="00C50A65"/>
    <w:rsid w:val="00C549E7"/>
    <w:rsid w:val="00C6051D"/>
    <w:rsid w:val="00C67610"/>
    <w:rsid w:val="00C71E29"/>
    <w:rsid w:val="00C72516"/>
    <w:rsid w:val="00C7503D"/>
    <w:rsid w:val="00C93C98"/>
    <w:rsid w:val="00C97D32"/>
    <w:rsid w:val="00CA1439"/>
    <w:rsid w:val="00CA7439"/>
    <w:rsid w:val="00CB41DC"/>
    <w:rsid w:val="00CC56D8"/>
    <w:rsid w:val="00CE2A67"/>
    <w:rsid w:val="00CE741E"/>
    <w:rsid w:val="00CF03A1"/>
    <w:rsid w:val="00CF57D6"/>
    <w:rsid w:val="00D1757B"/>
    <w:rsid w:val="00D25C5E"/>
    <w:rsid w:val="00D26ADD"/>
    <w:rsid w:val="00D44083"/>
    <w:rsid w:val="00D51C12"/>
    <w:rsid w:val="00D57022"/>
    <w:rsid w:val="00D57A56"/>
    <w:rsid w:val="00D63088"/>
    <w:rsid w:val="00D67104"/>
    <w:rsid w:val="00D71CD8"/>
    <w:rsid w:val="00D73826"/>
    <w:rsid w:val="00D775DE"/>
    <w:rsid w:val="00D90FE5"/>
    <w:rsid w:val="00D94113"/>
    <w:rsid w:val="00D96860"/>
    <w:rsid w:val="00DC3AF3"/>
    <w:rsid w:val="00DC5DB0"/>
    <w:rsid w:val="00DC66E5"/>
    <w:rsid w:val="00DC7B34"/>
    <w:rsid w:val="00DD601D"/>
    <w:rsid w:val="00DE1E48"/>
    <w:rsid w:val="00DE4617"/>
    <w:rsid w:val="00DF0C41"/>
    <w:rsid w:val="00DF0EC0"/>
    <w:rsid w:val="00DF1636"/>
    <w:rsid w:val="00DF2729"/>
    <w:rsid w:val="00DF5622"/>
    <w:rsid w:val="00DF6442"/>
    <w:rsid w:val="00E005F9"/>
    <w:rsid w:val="00E0470A"/>
    <w:rsid w:val="00E15343"/>
    <w:rsid w:val="00E30D6B"/>
    <w:rsid w:val="00E30E14"/>
    <w:rsid w:val="00E36AA2"/>
    <w:rsid w:val="00E439CB"/>
    <w:rsid w:val="00E46E84"/>
    <w:rsid w:val="00E5640B"/>
    <w:rsid w:val="00E65AF8"/>
    <w:rsid w:val="00E73641"/>
    <w:rsid w:val="00E75F6E"/>
    <w:rsid w:val="00E77C4D"/>
    <w:rsid w:val="00E86264"/>
    <w:rsid w:val="00E90C62"/>
    <w:rsid w:val="00E922F2"/>
    <w:rsid w:val="00E93AC4"/>
    <w:rsid w:val="00EA4465"/>
    <w:rsid w:val="00EA4EF4"/>
    <w:rsid w:val="00EA5258"/>
    <w:rsid w:val="00EB323F"/>
    <w:rsid w:val="00EB4BB6"/>
    <w:rsid w:val="00EB5A85"/>
    <w:rsid w:val="00EB743A"/>
    <w:rsid w:val="00EC4D8B"/>
    <w:rsid w:val="00ED2F7D"/>
    <w:rsid w:val="00F01DBC"/>
    <w:rsid w:val="00F06CD1"/>
    <w:rsid w:val="00F06FB4"/>
    <w:rsid w:val="00F1027C"/>
    <w:rsid w:val="00F1612A"/>
    <w:rsid w:val="00F20642"/>
    <w:rsid w:val="00F23791"/>
    <w:rsid w:val="00F3381A"/>
    <w:rsid w:val="00F369EC"/>
    <w:rsid w:val="00F466C6"/>
    <w:rsid w:val="00F52E83"/>
    <w:rsid w:val="00F660DB"/>
    <w:rsid w:val="00F727DB"/>
    <w:rsid w:val="00F7294C"/>
    <w:rsid w:val="00F737F3"/>
    <w:rsid w:val="00F7539A"/>
    <w:rsid w:val="00F814D0"/>
    <w:rsid w:val="00F9056B"/>
    <w:rsid w:val="00F956D7"/>
    <w:rsid w:val="00FA3FD1"/>
    <w:rsid w:val="00FB2A93"/>
    <w:rsid w:val="00FB5880"/>
    <w:rsid w:val="00FC2DC7"/>
    <w:rsid w:val="00FC3FCF"/>
    <w:rsid w:val="00FC4C88"/>
    <w:rsid w:val="00FC679E"/>
    <w:rsid w:val="00FD08EE"/>
    <w:rsid w:val="00FE0722"/>
    <w:rsid w:val="00FE59A0"/>
    <w:rsid w:val="00FE703C"/>
    <w:rsid w:val="00FF1D30"/>
    <w:rsid w:val="00FF4D86"/>
    <w:rsid w:val="00FF5F3B"/>
    <w:rsid w:val="00FF795F"/>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A9CDD68"/>
  <w14:defaultImageDpi w14:val="0"/>
  <w15:docId w15:val="{AC4D657A-3011-4A40-878D-FCC90E548A1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id-ID" w:eastAsia="id-ID"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page number" w:semiHidden="1" w:uiPriority="0" w:unhideWhenUsed="1"/>
    <w:lsdException w:name="endnote text" w:semiHidden="1" w:unhideWhenUsed="1"/>
    <w:lsdException w:name="toa heading" w:semiHidden="1" w:unhideWhenUsed="1"/>
    <w:lsdException w:name="List" w:semiHidden="1" w:unhideWhenUsed="1"/>
    <w:lsdException w:name="Title" w:uiPriority="0" w:qFormat="1"/>
    <w:lsdException w:name="Default Paragraph Font" w:semiHidden="1" w:uiPriority="1" w:unhideWhenUsed="1"/>
    <w:lsdException w:name="Body Text" w:semiHidden="1" w:uiPriority="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Subtitle" w:uiPriority="11" w:qFormat="1"/>
    <w:lsdException w:name="Body Text 3" w:semiHidden="1" w:uiPriority="0" w:unhideWhenUsed="1"/>
    <w:lsdException w:name="Strong" w:uiPriority="22" w:qFormat="1"/>
    <w:lsdException w:name="Emphasis" w:uiPriority="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D1BD8"/>
    <w:pPr>
      <w:autoSpaceDE w:val="0"/>
      <w:autoSpaceDN w:val="0"/>
    </w:pPr>
    <w:rPr>
      <w:lang w:val="en-US" w:eastAsia="en-GB"/>
    </w:rPr>
  </w:style>
  <w:style w:type="paragraph" w:styleId="Heading1">
    <w:name w:val="heading 1"/>
    <w:basedOn w:val="Normal"/>
    <w:next w:val="Normal"/>
    <w:link w:val="Heading1Char"/>
    <w:uiPriority w:val="9"/>
    <w:qFormat/>
    <w:rsid w:val="008765A5"/>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uiPriority w:val="9"/>
    <w:unhideWhenUsed/>
    <w:qFormat/>
    <w:rsid w:val="008C45DE"/>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
    <w:semiHidden/>
    <w:unhideWhenUsed/>
    <w:qFormat/>
    <w:rsid w:val="00DE1E48"/>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9"/>
    <w:qFormat/>
    <w:rsid w:val="002D2DAC"/>
    <w:pPr>
      <w:keepNext/>
      <w:spacing w:line="360" w:lineRule="auto"/>
      <w:jc w:val="center"/>
      <w:outlineLvl w:val="3"/>
    </w:pPr>
    <w:rPr>
      <w:b/>
      <w:bCs/>
      <w:sz w:val="24"/>
      <w:szCs w:val="24"/>
    </w:rPr>
  </w:style>
  <w:style w:type="paragraph" w:styleId="Heading7">
    <w:name w:val="heading 7"/>
    <w:basedOn w:val="Normal"/>
    <w:next w:val="Normal"/>
    <w:link w:val="Heading7Char"/>
    <w:uiPriority w:val="99"/>
    <w:qFormat/>
    <w:rsid w:val="002D2DAC"/>
    <w:pPr>
      <w:keepNext/>
      <w:spacing w:line="360" w:lineRule="auto"/>
      <w:jc w:val="both"/>
      <w:outlineLvl w:val="6"/>
    </w:pPr>
    <w:rPr>
      <w:rFonts w:ascii="Garamond" w:hAnsi="Garamond" w:cs="Garamond"/>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8765A5"/>
    <w:rPr>
      <w:rFonts w:ascii="Cambria" w:hAnsi="Cambria" w:cs="Times New Roman"/>
      <w:b/>
      <w:kern w:val="32"/>
      <w:sz w:val="32"/>
      <w:lang w:eastAsia="en-GB"/>
    </w:rPr>
  </w:style>
  <w:style w:type="character" w:customStyle="1" w:styleId="Heading2Char">
    <w:name w:val="Heading 2 Char"/>
    <w:basedOn w:val="DefaultParagraphFont"/>
    <w:link w:val="Heading2"/>
    <w:uiPriority w:val="9"/>
    <w:locked/>
    <w:rsid w:val="008C45DE"/>
    <w:rPr>
      <w:rFonts w:ascii="Cambria" w:hAnsi="Cambria" w:cs="Times New Roman"/>
      <w:b/>
      <w:i/>
      <w:sz w:val="28"/>
      <w:lang w:val="en-US" w:eastAsia="en-GB"/>
    </w:rPr>
  </w:style>
  <w:style w:type="character" w:customStyle="1" w:styleId="Heading3Char">
    <w:name w:val="Heading 3 Char"/>
    <w:basedOn w:val="DefaultParagraphFont"/>
    <w:link w:val="Heading3"/>
    <w:uiPriority w:val="9"/>
    <w:semiHidden/>
    <w:locked/>
    <w:rsid w:val="00DE1E48"/>
    <w:rPr>
      <w:rFonts w:ascii="Cambria" w:hAnsi="Cambria" w:cs="Times New Roman"/>
      <w:b/>
      <w:sz w:val="26"/>
      <w:lang w:eastAsia="en-GB"/>
    </w:rPr>
  </w:style>
  <w:style w:type="character" w:customStyle="1" w:styleId="Heading4Char">
    <w:name w:val="Heading 4 Char"/>
    <w:basedOn w:val="DefaultParagraphFont"/>
    <w:link w:val="Heading4"/>
    <w:uiPriority w:val="9"/>
    <w:semiHidden/>
    <w:locked/>
    <w:rPr>
      <w:rFonts w:ascii="Calibri" w:hAnsi="Calibri" w:cs="Times New Roman"/>
      <w:b/>
      <w:sz w:val="28"/>
      <w:lang w:eastAsia="en-GB"/>
    </w:rPr>
  </w:style>
  <w:style w:type="character" w:customStyle="1" w:styleId="Heading7Char">
    <w:name w:val="Heading 7 Char"/>
    <w:basedOn w:val="DefaultParagraphFont"/>
    <w:link w:val="Heading7"/>
    <w:uiPriority w:val="9"/>
    <w:semiHidden/>
    <w:locked/>
    <w:rPr>
      <w:rFonts w:ascii="Calibri" w:hAnsi="Calibri" w:cs="Times New Roman"/>
      <w:sz w:val="24"/>
      <w:lang w:eastAsia="en-GB"/>
    </w:rPr>
  </w:style>
  <w:style w:type="paragraph" w:styleId="BalloonText">
    <w:name w:val="Balloon Text"/>
    <w:basedOn w:val="Normal"/>
    <w:link w:val="BalloonTextChar"/>
    <w:uiPriority w:val="99"/>
    <w:semiHidden/>
    <w:pPr>
      <w:autoSpaceDE/>
      <w:autoSpaceDN/>
    </w:pPr>
    <w:rPr>
      <w:rFonts w:ascii="Tahoma" w:hAnsi="Tahoma" w:cs="Tahoma"/>
      <w:sz w:val="16"/>
      <w:szCs w:val="16"/>
      <w:lang w:eastAsia="en-US"/>
    </w:rPr>
  </w:style>
  <w:style w:type="character" w:customStyle="1" w:styleId="BalloonTextChar">
    <w:name w:val="Balloon Text Char"/>
    <w:basedOn w:val="DefaultParagraphFont"/>
    <w:link w:val="BalloonText"/>
    <w:uiPriority w:val="99"/>
    <w:semiHidden/>
    <w:locked/>
    <w:rPr>
      <w:rFonts w:ascii="Tahoma" w:hAnsi="Tahoma" w:cs="Times New Roman"/>
      <w:sz w:val="16"/>
      <w:lang w:eastAsia="en-GB"/>
    </w:rPr>
  </w:style>
  <w:style w:type="paragraph" w:styleId="Title">
    <w:name w:val="Title"/>
    <w:basedOn w:val="Normal"/>
    <w:link w:val="TitleChar"/>
    <w:uiPriority w:val="10"/>
    <w:qFormat/>
    <w:rsid w:val="002D2DAC"/>
    <w:pPr>
      <w:jc w:val="center"/>
    </w:pPr>
    <w:rPr>
      <w:b/>
      <w:bCs/>
      <w:sz w:val="24"/>
      <w:szCs w:val="24"/>
    </w:rPr>
  </w:style>
  <w:style w:type="character" w:customStyle="1" w:styleId="TitleChar">
    <w:name w:val="Title Char"/>
    <w:basedOn w:val="DefaultParagraphFont"/>
    <w:link w:val="Title"/>
    <w:uiPriority w:val="10"/>
    <w:locked/>
    <w:rPr>
      <w:rFonts w:ascii="Cambria" w:hAnsi="Cambria" w:cs="Times New Roman"/>
      <w:b/>
      <w:kern w:val="28"/>
      <w:sz w:val="32"/>
      <w:lang w:eastAsia="en-GB"/>
    </w:rPr>
  </w:style>
  <w:style w:type="paragraph" w:styleId="FootnoteText">
    <w:name w:val="footnote text"/>
    <w:aliases w:val="Char,Catatan Kaki Char Char Char Char Char,Footnote Char Char Char Char Char,Footnote Char Char Char Char,Footnote Char Char,Footnote Text Char Char Char,Footnote Text Char Char"/>
    <w:basedOn w:val="Normal"/>
    <w:link w:val="FootnoteTextChar"/>
    <w:uiPriority w:val="99"/>
    <w:rsid w:val="002D2DAC"/>
  </w:style>
  <w:style w:type="character" w:customStyle="1" w:styleId="FootnoteTextChar">
    <w:name w:val="Footnote Text Char"/>
    <w:aliases w:val="Char Char,Catatan Kaki Char Char Char Char Char Char,Footnote Char Char Char Char Char Char,Footnote Char Char Char Char Char1,Footnote Char Char Char,Footnote Text Char Char Char Char,Footnote Text Char Char Char1"/>
    <w:basedOn w:val="DefaultParagraphFont"/>
    <w:link w:val="FootnoteText"/>
    <w:uiPriority w:val="99"/>
    <w:locked/>
    <w:rsid w:val="00802718"/>
    <w:rPr>
      <w:rFonts w:cs="Times New Roman"/>
      <w:lang w:val="en-US" w:eastAsia="en-GB"/>
    </w:rPr>
  </w:style>
  <w:style w:type="character" w:styleId="FootnoteReference">
    <w:name w:val="footnote reference"/>
    <w:basedOn w:val="DefaultParagraphFont"/>
    <w:uiPriority w:val="99"/>
    <w:rsid w:val="002D2DAC"/>
    <w:rPr>
      <w:rFonts w:cs="Times New Roman"/>
      <w:vertAlign w:val="superscript"/>
    </w:rPr>
  </w:style>
  <w:style w:type="paragraph" w:styleId="BodyText2">
    <w:name w:val="Body Text 2"/>
    <w:basedOn w:val="Normal"/>
    <w:link w:val="BodyText2Char"/>
    <w:uiPriority w:val="99"/>
    <w:rsid w:val="002D2DAC"/>
    <w:pPr>
      <w:spacing w:after="120"/>
      <w:ind w:left="283"/>
    </w:pPr>
    <w:rPr>
      <w:sz w:val="24"/>
      <w:szCs w:val="24"/>
    </w:rPr>
  </w:style>
  <w:style w:type="character" w:customStyle="1" w:styleId="BodyText2Char">
    <w:name w:val="Body Text 2 Char"/>
    <w:basedOn w:val="DefaultParagraphFont"/>
    <w:link w:val="BodyText2"/>
    <w:uiPriority w:val="99"/>
    <w:semiHidden/>
    <w:locked/>
    <w:rPr>
      <w:rFonts w:cs="Times New Roman"/>
      <w:sz w:val="20"/>
      <w:lang w:eastAsia="en-GB"/>
    </w:rPr>
  </w:style>
  <w:style w:type="paragraph" w:styleId="Footer">
    <w:name w:val="footer"/>
    <w:basedOn w:val="Normal"/>
    <w:link w:val="FooterChar"/>
    <w:uiPriority w:val="99"/>
    <w:rsid w:val="002D2DAC"/>
    <w:pPr>
      <w:tabs>
        <w:tab w:val="center" w:pos="4320"/>
        <w:tab w:val="right" w:pos="8640"/>
      </w:tabs>
    </w:pPr>
  </w:style>
  <w:style w:type="character" w:customStyle="1" w:styleId="FooterChar">
    <w:name w:val="Footer Char"/>
    <w:basedOn w:val="DefaultParagraphFont"/>
    <w:link w:val="Footer"/>
    <w:uiPriority w:val="99"/>
    <w:locked/>
    <w:rPr>
      <w:rFonts w:cs="Times New Roman"/>
      <w:sz w:val="20"/>
      <w:lang w:eastAsia="en-GB"/>
    </w:rPr>
  </w:style>
  <w:style w:type="character" w:styleId="PageNumber">
    <w:name w:val="page number"/>
    <w:basedOn w:val="DefaultParagraphFont"/>
    <w:uiPriority w:val="99"/>
    <w:rsid w:val="002D2DAC"/>
    <w:rPr>
      <w:rFonts w:cs="Times New Roman"/>
    </w:rPr>
  </w:style>
  <w:style w:type="paragraph" w:styleId="BodyText">
    <w:name w:val="Body Text"/>
    <w:basedOn w:val="Normal"/>
    <w:link w:val="BodyTextChar"/>
    <w:uiPriority w:val="1"/>
    <w:qFormat/>
    <w:rsid w:val="00C26170"/>
    <w:pPr>
      <w:spacing w:after="120"/>
    </w:pPr>
  </w:style>
  <w:style w:type="character" w:customStyle="1" w:styleId="BodyTextChar">
    <w:name w:val="Body Text Char"/>
    <w:basedOn w:val="DefaultParagraphFont"/>
    <w:link w:val="BodyText"/>
    <w:uiPriority w:val="1"/>
    <w:locked/>
    <w:rPr>
      <w:rFonts w:cs="Times New Roman"/>
      <w:sz w:val="20"/>
      <w:lang w:eastAsia="en-GB"/>
    </w:rPr>
  </w:style>
  <w:style w:type="paragraph" w:styleId="BodyText3">
    <w:name w:val="Body Text 3"/>
    <w:basedOn w:val="Normal"/>
    <w:link w:val="BodyText3Char"/>
    <w:uiPriority w:val="99"/>
    <w:unhideWhenUsed/>
    <w:rsid w:val="008765A5"/>
    <w:pPr>
      <w:autoSpaceDE/>
      <w:autoSpaceDN/>
      <w:spacing w:after="120"/>
    </w:pPr>
    <w:rPr>
      <w:sz w:val="16"/>
      <w:szCs w:val="16"/>
      <w:lang w:eastAsia="en-US"/>
    </w:rPr>
  </w:style>
  <w:style w:type="character" w:customStyle="1" w:styleId="BodyText3Char">
    <w:name w:val="Body Text 3 Char"/>
    <w:basedOn w:val="DefaultParagraphFont"/>
    <w:link w:val="BodyText3"/>
    <w:uiPriority w:val="99"/>
    <w:locked/>
    <w:rsid w:val="008765A5"/>
    <w:rPr>
      <w:rFonts w:cs="Times New Roman"/>
      <w:sz w:val="16"/>
    </w:rPr>
  </w:style>
  <w:style w:type="character" w:customStyle="1" w:styleId="go">
    <w:name w:val="go"/>
    <w:rsid w:val="008765A5"/>
  </w:style>
  <w:style w:type="paragraph" w:styleId="Header">
    <w:name w:val="header"/>
    <w:basedOn w:val="Normal"/>
    <w:link w:val="HeaderChar"/>
    <w:uiPriority w:val="99"/>
    <w:unhideWhenUsed/>
    <w:rsid w:val="007D5BA1"/>
    <w:pPr>
      <w:tabs>
        <w:tab w:val="center" w:pos="4680"/>
        <w:tab w:val="right" w:pos="9360"/>
      </w:tabs>
    </w:pPr>
  </w:style>
  <w:style w:type="character" w:customStyle="1" w:styleId="HeaderChar">
    <w:name w:val="Header Char"/>
    <w:basedOn w:val="DefaultParagraphFont"/>
    <w:link w:val="Header"/>
    <w:uiPriority w:val="99"/>
    <w:locked/>
    <w:rsid w:val="007D5BA1"/>
    <w:rPr>
      <w:rFonts w:cs="Times New Roman"/>
      <w:sz w:val="20"/>
      <w:lang w:eastAsia="en-GB"/>
    </w:rPr>
  </w:style>
  <w:style w:type="paragraph" w:styleId="BodyTextIndent2">
    <w:name w:val="Body Text Indent 2"/>
    <w:basedOn w:val="Normal"/>
    <w:link w:val="BodyTextIndent2Char"/>
    <w:uiPriority w:val="99"/>
    <w:semiHidden/>
    <w:unhideWhenUsed/>
    <w:rsid w:val="00D775DE"/>
    <w:pPr>
      <w:spacing w:after="120" w:line="480" w:lineRule="auto"/>
      <w:ind w:left="360"/>
    </w:pPr>
  </w:style>
  <w:style w:type="character" w:customStyle="1" w:styleId="BodyTextIndent2Char">
    <w:name w:val="Body Text Indent 2 Char"/>
    <w:basedOn w:val="DefaultParagraphFont"/>
    <w:link w:val="BodyTextIndent2"/>
    <w:uiPriority w:val="99"/>
    <w:semiHidden/>
    <w:locked/>
    <w:rsid w:val="00D775DE"/>
    <w:rPr>
      <w:rFonts w:cs="Times New Roman"/>
      <w:lang w:eastAsia="en-GB"/>
    </w:rPr>
  </w:style>
  <w:style w:type="paragraph" w:styleId="BodyTextIndent">
    <w:name w:val="Body Text Indent"/>
    <w:basedOn w:val="Normal"/>
    <w:link w:val="BodyTextIndentChar"/>
    <w:uiPriority w:val="99"/>
    <w:rsid w:val="00D775DE"/>
    <w:pPr>
      <w:autoSpaceDE/>
      <w:autoSpaceDN/>
      <w:spacing w:after="120"/>
      <w:ind w:left="360"/>
    </w:pPr>
    <w:rPr>
      <w:sz w:val="24"/>
      <w:szCs w:val="24"/>
      <w:lang w:eastAsia="en-US"/>
    </w:rPr>
  </w:style>
  <w:style w:type="character" w:customStyle="1" w:styleId="BodyTextIndentChar">
    <w:name w:val="Body Text Indent Char"/>
    <w:basedOn w:val="DefaultParagraphFont"/>
    <w:link w:val="BodyTextIndent"/>
    <w:uiPriority w:val="99"/>
    <w:locked/>
    <w:rsid w:val="00D775DE"/>
    <w:rPr>
      <w:rFonts w:cs="Times New Roman"/>
      <w:sz w:val="24"/>
    </w:rPr>
  </w:style>
  <w:style w:type="character" w:styleId="Hyperlink">
    <w:name w:val="Hyperlink"/>
    <w:basedOn w:val="DefaultParagraphFont"/>
    <w:uiPriority w:val="99"/>
    <w:rsid w:val="00D775DE"/>
    <w:rPr>
      <w:rFonts w:cs="Times New Roman"/>
      <w:color w:val="0000FF"/>
      <w:u w:val="single"/>
    </w:rPr>
  </w:style>
  <w:style w:type="character" w:customStyle="1" w:styleId="hps">
    <w:name w:val="hps"/>
    <w:rsid w:val="00796A75"/>
  </w:style>
  <w:style w:type="character" w:customStyle="1" w:styleId="atn">
    <w:name w:val="atn"/>
    <w:rsid w:val="00796A75"/>
  </w:style>
  <w:style w:type="table" w:styleId="TableGrid">
    <w:name w:val="Table Grid"/>
    <w:basedOn w:val="TableNormal"/>
    <w:uiPriority w:val="99"/>
    <w:rsid w:val="00862178"/>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ody of text"/>
    <w:basedOn w:val="Normal"/>
    <w:link w:val="ListParagraphChar"/>
    <w:uiPriority w:val="34"/>
    <w:qFormat/>
    <w:rsid w:val="000B0038"/>
    <w:pPr>
      <w:autoSpaceDE/>
      <w:autoSpaceDN/>
      <w:spacing w:after="200" w:line="276" w:lineRule="auto"/>
      <w:ind w:left="720"/>
      <w:contextualSpacing/>
    </w:pPr>
    <w:rPr>
      <w:rFonts w:ascii="Calibri" w:hAnsi="Calibri"/>
      <w:noProof/>
      <w:sz w:val="22"/>
      <w:lang w:val="id-ID" w:eastAsia="id-ID"/>
    </w:rPr>
  </w:style>
  <w:style w:type="character" w:customStyle="1" w:styleId="ListParagraphChar">
    <w:name w:val="List Paragraph Char"/>
    <w:aliases w:val="Body of text Char"/>
    <w:link w:val="ListParagraph"/>
    <w:uiPriority w:val="34"/>
    <w:locked/>
    <w:rsid w:val="000B0038"/>
    <w:rPr>
      <w:rFonts w:ascii="Calibri" w:hAnsi="Calibri"/>
      <w:noProof/>
      <w:sz w:val="22"/>
      <w:lang w:val="id-ID"/>
    </w:rPr>
  </w:style>
  <w:style w:type="paragraph" w:styleId="BodyTextIndent3">
    <w:name w:val="Body Text Indent 3"/>
    <w:basedOn w:val="Normal"/>
    <w:link w:val="BodyTextIndent3Char"/>
    <w:uiPriority w:val="99"/>
    <w:unhideWhenUsed/>
    <w:rsid w:val="00D67104"/>
    <w:pPr>
      <w:autoSpaceDE/>
      <w:autoSpaceDN/>
      <w:spacing w:after="120"/>
      <w:ind w:left="283"/>
    </w:pPr>
    <w:rPr>
      <w:sz w:val="16"/>
      <w:szCs w:val="16"/>
      <w:lang w:eastAsia="en-US"/>
    </w:rPr>
  </w:style>
  <w:style w:type="character" w:customStyle="1" w:styleId="BodyTextIndent3Char">
    <w:name w:val="Body Text Indent 3 Char"/>
    <w:basedOn w:val="DefaultParagraphFont"/>
    <w:link w:val="BodyTextIndent3"/>
    <w:uiPriority w:val="99"/>
    <w:locked/>
    <w:rsid w:val="00D67104"/>
    <w:rPr>
      <w:rFonts w:cs="Times New Roman"/>
      <w:sz w:val="16"/>
    </w:rPr>
  </w:style>
  <w:style w:type="paragraph" w:styleId="HTMLPreformatted">
    <w:name w:val="HTML Preformatted"/>
    <w:basedOn w:val="Normal"/>
    <w:link w:val="HTMLPreformattedChar"/>
    <w:uiPriority w:val="99"/>
    <w:unhideWhenUsed/>
    <w:rsid w:val="00D67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lang w:eastAsia="en-US"/>
    </w:rPr>
  </w:style>
  <w:style w:type="character" w:customStyle="1" w:styleId="HTMLPreformattedChar">
    <w:name w:val="HTML Preformatted Char"/>
    <w:basedOn w:val="DefaultParagraphFont"/>
    <w:link w:val="HTMLPreformatted"/>
    <w:uiPriority w:val="99"/>
    <w:locked/>
    <w:rsid w:val="00D67104"/>
    <w:rPr>
      <w:rFonts w:ascii="Courier New" w:hAnsi="Courier New" w:cs="Times New Roman"/>
    </w:rPr>
  </w:style>
  <w:style w:type="paragraph" w:customStyle="1" w:styleId="para">
    <w:name w:val="para"/>
    <w:basedOn w:val="Normal"/>
    <w:uiPriority w:val="99"/>
    <w:rsid w:val="00DE1E48"/>
    <w:pPr>
      <w:autoSpaceDE/>
      <w:autoSpaceDN/>
      <w:spacing w:before="100" w:beforeAutospacing="1" w:after="100" w:afterAutospacing="1"/>
    </w:pPr>
    <w:rPr>
      <w:sz w:val="24"/>
      <w:szCs w:val="24"/>
      <w:lang w:eastAsia="en-US"/>
    </w:rPr>
  </w:style>
  <w:style w:type="character" w:customStyle="1" w:styleId="fontstyle23">
    <w:name w:val="fontstyle23"/>
    <w:rsid w:val="00DE1E48"/>
  </w:style>
  <w:style w:type="character" w:customStyle="1" w:styleId="fontstyle22">
    <w:name w:val="fontstyle22"/>
    <w:rsid w:val="00DE1E48"/>
  </w:style>
  <w:style w:type="character" w:customStyle="1" w:styleId="fontstyle33">
    <w:name w:val="fontstyle33"/>
    <w:rsid w:val="00DE1E48"/>
  </w:style>
  <w:style w:type="character" w:customStyle="1" w:styleId="fontstyle32">
    <w:name w:val="fontstyle32"/>
    <w:rsid w:val="00DE1E48"/>
  </w:style>
  <w:style w:type="paragraph" w:customStyle="1" w:styleId="rtejustify">
    <w:name w:val="rtejustify"/>
    <w:basedOn w:val="Normal"/>
    <w:rsid w:val="00DE1E48"/>
    <w:pPr>
      <w:autoSpaceDE/>
      <w:autoSpaceDN/>
      <w:spacing w:before="100" w:beforeAutospacing="1" w:after="100" w:afterAutospacing="1"/>
    </w:pPr>
    <w:rPr>
      <w:sz w:val="24"/>
      <w:szCs w:val="24"/>
      <w:lang w:eastAsia="en-US"/>
    </w:rPr>
  </w:style>
  <w:style w:type="character" w:customStyle="1" w:styleId="mw-headline">
    <w:name w:val="mw-headline"/>
    <w:rsid w:val="00DE1E48"/>
  </w:style>
  <w:style w:type="character" w:customStyle="1" w:styleId="citation">
    <w:name w:val="citation"/>
    <w:rsid w:val="00DE1E48"/>
  </w:style>
  <w:style w:type="character" w:customStyle="1" w:styleId="gensmall">
    <w:name w:val="gensmall"/>
    <w:uiPriority w:val="99"/>
    <w:rsid w:val="00DE1E48"/>
  </w:style>
  <w:style w:type="paragraph" w:customStyle="1" w:styleId="Default">
    <w:name w:val="Default"/>
    <w:rsid w:val="002632DB"/>
    <w:pPr>
      <w:autoSpaceDE w:val="0"/>
      <w:autoSpaceDN w:val="0"/>
      <w:adjustRightInd w:val="0"/>
    </w:pPr>
    <w:rPr>
      <w:color w:val="000000"/>
      <w:sz w:val="24"/>
      <w:szCs w:val="24"/>
      <w:lang w:eastAsia="en-US"/>
    </w:rPr>
  </w:style>
  <w:style w:type="character" w:customStyle="1" w:styleId="fullpost">
    <w:name w:val="fullpost"/>
    <w:rsid w:val="001D7DEE"/>
  </w:style>
  <w:style w:type="character" w:styleId="Emphasis">
    <w:name w:val="Emphasis"/>
    <w:basedOn w:val="DefaultParagraphFont"/>
    <w:uiPriority w:val="20"/>
    <w:qFormat/>
    <w:rsid w:val="001D7DEE"/>
    <w:rPr>
      <w:rFonts w:cs="Times New Roman"/>
      <w:i/>
    </w:rPr>
  </w:style>
  <w:style w:type="character" w:customStyle="1" w:styleId="shorttext">
    <w:name w:val="short_text"/>
    <w:rsid w:val="001D7DEE"/>
  </w:style>
  <w:style w:type="character" w:customStyle="1" w:styleId="tlid-translation">
    <w:name w:val="tlid-translation"/>
    <w:rsid w:val="009E4EBA"/>
  </w:style>
  <w:style w:type="character" w:customStyle="1" w:styleId="label">
    <w:name w:val="label"/>
    <w:rsid w:val="00965E3F"/>
  </w:style>
  <w:style w:type="character" w:customStyle="1" w:styleId="value">
    <w:name w:val="value"/>
    <w:rsid w:val="00965E3F"/>
  </w:style>
  <w:style w:type="paragraph" w:customStyle="1" w:styleId="Pa0">
    <w:name w:val="Pa0"/>
    <w:basedOn w:val="Normal"/>
    <w:next w:val="Normal"/>
    <w:uiPriority w:val="99"/>
    <w:rsid w:val="00B25EDF"/>
    <w:pPr>
      <w:adjustRightInd w:val="0"/>
      <w:spacing w:line="241" w:lineRule="atLeast"/>
    </w:pPr>
    <w:rPr>
      <w:sz w:val="24"/>
      <w:szCs w:val="24"/>
      <w:lang w:val="id-ID" w:eastAsia="en-US"/>
    </w:rPr>
  </w:style>
  <w:style w:type="character" w:customStyle="1" w:styleId="UnresolvedMention1">
    <w:name w:val="Unresolved Mention1"/>
    <w:basedOn w:val="DefaultParagraphFont"/>
    <w:uiPriority w:val="99"/>
    <w:semiHidden/>
    <w:unhideWhenUsed/>
    <w:rsid w:val="00FF1D30"/>
    <w:rPr>
      <w:rFonts w:cs="Times New Roman"/>
      <w:color w:val="605E5C"/>
      <w:shd w:val="clear" w:color="auto" w:fill="E1DFDD"/>
    </w:rPr>
  </w:style>
  <w:style w:type="character" w:styleId="UnresolvedMention">
    <w:name w:val="Unresolved Mention"/>
    <w:basedOn w:val="DefaultParagraphFont"/>
    <w:uiPriority w:val="99"/>
    <w:semiHidden/>
    <w:unhideWhenUsed/>
    <w:rsid w:val="00A47AD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pixelsPerInch w:val="120"/>
</w:webSettings>
</file>

<file path=word/_rels/document.xml.rels><?xml version="1.0" encoding="UTF-8" standalone="yes"?>
<Relationships xmlns="http://schemas.openxmlformats.org/package/2006/relationships"><Relationship Id="rId26" Type="http://schemas.openxmlformats.org/officeDocument/2006/relationships/hyperlink" Target="https://doi.org/10.1504/IJBIR.2024.141616" TargetMode="External"/><Relationship Id="rId21" Type="http://schemas.openxmlformats.org/officeDocument/2006/relationships/image" Target="media/image9.png"/><Relationship Id="rId42" Type="http://schemas.openxmlformats.org/officeDocument/2006/relationships/hyperlink" Target="https://www.scopus.com/inward/record.uri?eid=2-s2.0-85104261973&amp;partnerID=40&amp;md5=3e018c371c1eaf93307b64b4d38b50a5" TargetMode="External"/><Relationship Id="rId47" Type="http://schemas.openxmlformats.org/officeDocument/2006/relationships/hyperlink" Target="https://doi.org/10.61455/sicopus.v2i01.119" TargetMode="External"/><Relationship Id="rId63" Type="http://schemas.openxmlformats.org/officeDocument/2006/relationships/hyperlink" Target="https://doi.org/10.21098/jimf.v7i3.1376" TargetMode="External"/><Relationship Id="rId68" Type="http://schemas.openxmlformats.org/officeDocument/2006/relationships/header" Target="header1.xml"/><Relationship Id="rId2" Type="http://schemas.openxmlformats.org/officeDocument/2006/relationships/numbering" Target="numbering.xml"/><Relationship Id="rId16" Type="http://schemas.microsoft.com/office/2007/relationships/hdphoto" Target="media/hdphoto3.wdp"/><Relationship Id="rId29" Type="http://schemas.openxmlformats.org/officeDocument/2006/relationships/hyperlink" Target="https://doi.org/10.1108/IJLMA-11-2023-0250" TargetMode="External"/><Relationship Id="rId11" Type="http://schemas.openxmlformats.org/officeDocument/2006/relationships/image" Target="media/image2.png"/><Relationship Id="rId24" Type="http://schemas.openxmlformats.org/officeDocument/2006/relationships/hyperlink" Target="https://doi.org/10.1007/s13132-022-00933-y" TargetMode="External"/><Relationship Id="rId32" Type="http://schemas.openxmlformats.org/officeDocument/2006/relationships/hyperlink" Target="https://doi.org/10.1080/13501763.2020.1725096" TargetMode="External"/><Relationship Id="rId37" Type="http://schemas.openxmlformats.org/officeDocument/2006/relationships/hyperlink" Target="https://doi.org/10.1108/JIMA-12-2023-0397" TargetMode="External"/><Relationship Id="rId40" Type="http://schemas.openxmlformats.org/officeDocument/2006/relationships/hyperlink" Target="https://doi.org/10.1108/JIABR-09-2020-0298" TargetMode="External"/><Relationship Id="rId45" Type="http://schemas.openxmlformats.org/officeDocument/2006/relationships/hyperlink" Target="https://www.scopus.com/inward/record.uri?eid=2-s2.0-85179718521&amp;partnerID=40&amp;md5=c1d4efeffba5a3e6e85b32d01d1e3a12" TargetMode="External"/><Relationship Id="rId53" Type="http://schemas.openxmlformats.org/officeDocument/2006/relationships/hyperlink" Target="https://doi.org/10.61455/sicopus.v3i02.344" TargetMode="External"/><Relationship Id="rId58" Type="http://schemas.openxmlformats.org/officeDocument/2006/relationships/hyperlink" Target="https://doi.org/10.23917/profetika.v25i01.2470" TargetMode="External"/><Relationship Id="rId66" Type="http://schemas.openxmlformats.org/officeDocument/2006/relationships/hyperlink" Target="https://doi.org/10.1177/1350508420939245" TargetMode="External"/><Relationship Id="rId74"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hyperlink" Target="https://doi.org/10.34291/BV2022/03/Strukelj" TargetMode="External"/><Relationship Id="rId19" Type="http://schemas.openxmlformats.org/officeDocument/2006/relationships/image" Target="media/image7.png"/><Relationship Id="rId14" Type="http://schemas.microsoft.com/office/2007/relationships/hdphoto" Target="media/hdphoto2.wdp"/><Relationship Id="rId22" Type="http://schemas.openxmlformats.org/officeDocument/2006/relationships/image" Target="media/image10.png"/><Relationship Id="rId27" Type="http://schemas.openxmlformats.org/officeDocument/2006/relationships/hyperlink" Target="https://doi.org/10.1108/IJOES-03-2021-0053" TargetMode="External"/><Relationship Id="rId30" Type="http://schemas.openxmlformats.org/officeDocument/2006/relationships/hyperlink" Target="https://doi.org/10.1002/ijfe.2637" TargetMode="External"/><Relationship Id="rId35" Type="http://schemas.openxmlformats.org/officeDocument/2006/relationships/hyperlink" Target="https://doi.org/10.23917/qist.v4i1.7360" TargetMode="External"/><Relationship Id="rId43" Type="http://schemas.openxmlformats.org/officeDocument/2006/relationships/hyperlink" Target="https://doi.org/10.1016/j.iref.2022.02.014" TargetMode="External"/><Relationship Id="rId48" Type="http://schemas.openxmlformats.org/officeDocument/2006/relationships/hyperlink" Target="https://doi.org/10.1017/bap.2021.16" TargetMode="External"/><Relationship Id="rId56" Type="http://schemas.openxmlformats.org/officeDocument/2006/relationships/hyperlink" Target="https://doi.org/10.1016/j.cpa.2022.102449" TargetMode="External"/><Relationship Id="rId64" Type="http://schemas.openxmlformats.org/officeDocument/2006/relationships/hyperlink" Target="https://doi.org/10.48161/qaj.v4n1a198" TargetMode="External"/><Relationship Id="rId69" Type="http://schemas.openxmlformats.org/officeDocument/2006/relationships/header" Target="header2.xml"/><Relationship Id="rId8" Type="http://schemas.openxmlformats.org/officeDocument/2006/relationships/image" Target="media/image1.jpeg"/><Relationship Id="rId51" Type="http://schemas.openxmlformats.org/officeDocument/2006/relationships/hyperlink" Target="https://doi.org/10.59683/ijls.v3i3.90" TargetMode="External"/><Relationship Id="rId72" Type="http://schemas.openxmlformats.org/officeDocument/2006/relationships/header" Target="header3.xml"/><Relationship Id="rId3" Type="http://schemas.openxmlformats.org/officeDocument/2006/relationships/styles" Target="styles.xml"/><Relationship Id="rId12" Type="http://schemas.microsoft.com/office/2007/relationships/hdphoto" Target="media/hdphoto1.wdp"/><Relationship Id="rId17" Type="http://schemas.openxmlformats.org/officeDocument/2006/relationships/image" Target="media/image5.png"/><Relationship Id="rId25" Type="http://schemas.openxmlformats.org/officeDocument/2006/relationships/hyperlink" Target="https://doi.org/10.21511/bbs.16(1).2021.05" TargetMode="External"/><Relationship Id="rId33" Type="http://schemas.openxmlformats.org/officeDocument/2006/relationships/hyperlink" Target="https://doi.org/10.1108/JIABR-02-2022-0047" TargetMode="External"/><Relationship Id="rId38" Type="http://schemas.openxmlformats.org/officeDocument/2006/relationships/hyperlink" Target="https://doi.org/10.1504/ijmef.2022.126888" TargetMode="External"/><Relationship Id="rId46" Type="http://schemas.openxmlformats.org/officeDocument/2006/relationships/hyperlink" Target="https://prosiding.icaisunismuh.org/index.php/3rd/article/view/232" TargetMode="External"/><Relationship Id="rId59" Type="http://schemas.openxmlformats.org/officeDocument/2006/relationships/hyperlink" Target="https://doi.org/10.4197/Islec.36-1.5" TargetMode="External"/><Relationship Id="rId67" Type="http://schemas.openxmlformats.org/officeDocument/2006/relationships/hyperlink" Target="https://doi.org/10.5267/j.uscm.2023.9.022" TargetMode="External"/><Relationship Id="rId20" Type="http://schemas.openxmlformats.org/officeDocument/2006/relationships/image" Target="media/image8.png"/><Relationship Id="rId41" Type="http://schemas.openxmlformats.org/officeDocument/2006/relationships/hyperlink" Target="https://doi.org/10.1057/s41283-023-00135-z" TargetMode="External"/><Relationship Id="rId54" Type="http://schemas.openxmlformats.org/officeDocument/2006/relationships/hyperlink" Target="https://doi.org/10.1108/JM2-10-2020-0256" TargetMode="External"/><Relationship Id="rId62" Type="http://schemas.openxmlformats.org/officeDocument/2006/relationships/hyperlink" Target="https://journals2.ums.ac.id/index.php/ishraqi/article/view/8015" TargetMode="External"/><Relationship Id="rId70" Type="http://schemas.openxmlformats.org/officeDocument/2006/relationships/footer" Target="footer1.xm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1.png"/><Relationship Id="rId28" Type="http://schemas.openxmlformats.org/officeDocument/2006/relationships/hyperlink" Target="https://doi.org/10.61455/sicopus.v2i01.98" TargetMode="External"/><Relationship Id="rId36" Type="http://schemas.openxmlformats.org/officeDocument/2006/relationships/hyperlink" Target="https://doi.org/10.1080/23322039.2024.2378961" TargetMode="External"/><Relationship Id="rId49" Type="http://schemas.openxmlformats.org/officeDocument/2006/relationships/hyperlink" Target="https://doi.org/10.1016/j.jretconser.2021.102558" TargetMode="External"/><Relationship Id="rId57" Type="http://schemas.openxmlformats.org/officeDocument/2006/relationships/hyperlink" Target="https://doi.org/10.1504/IJBAAF.2020.104479" TargetMode="External"/><Relationship Id="rId10" Type="http://schemas.openxmlformats.org/officeDocument/2006/relationships/hyperlink" Target="https://creativecommons.org/licenses/by/4.0/" TargetMode="External"/><Relationship Id="rId31" Type="http://schemas.openxmlformats.org/officeDocument/2006/relationships/hyperlink" Target="https://www.scopus.com/inward/record.uri?eid=2-s2.0-85174745237&amp;partnerID=40&amp;md5=7865ee385ac7055b39f8fadd785c70d5" TargetMode="External"/><Relationship Id="rId44" Type="http://schemas.openxmlformats.org/officeDocument/2006/relationships/hyperlink" Target="https://doi.org/10.1016/j.irfa.2024.103502" TargetMode="External"/><Relationship Id="rId52" Type="http://schemas.openxmlformats.org/officeDocument/2006/relationships/hyperlink" Target="https://doi.org/10.1142/S0217590819500620" TargetMode="External"/><Relationship Id="rId60" Type="http://schemas.openxmlformats.org/officeDocument/2006/relationships/hyperlink" Target="https://doi.org/10.69526/bir.v3i1.163" TargetMode="External"/><Relationship Id="rId65" Type="http://schemas.openxmlformats.org/officeDocument/2006/relationships/hyperlink" Target="https://doi.org/10.22495/jgrv13i2siart3" TargetMode="External"/><Relationship Id="rId73"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s://doi.org/10.5758/ijls.2022.1" TargetMode="External"/><Relationship Id="rId13" Type="http://schemas.openxmlformats.org/officeDocument/2006/relationships/image" Target="media/image3.png"/><Relationship Id="rId18" Type="http://schemas.openxmlformats.org/officeDocument/2006/relationships/image" Target="media/image6.png"/><Relationship Id="rId39" Type="http://schemas.openxmlformats.org/officeDocument/2006/relationships/hyperlink" Target="https://doi.org/10.1108/IJPPM-06-2020-0331" TargetMode="External"/><Relationship Id="rId34" Type="http://schemas.openxmlformats.org/officeDocument/2006/relationships/hyperlink" Target="https://doi.org/10.1108/JPIF-07-2024-229" TargetMode="External"/><Relationship Id="rId50" Type="http://schemas.openxmlformats.org/officeDocument/2006/relationships/hyperlink" Target="https://doi.org/10.61455/deujis.v2i03.194" TargetMode="External"/><Relationship Id="rId55" Type="http://schemas.openxmlformats.org/officeDocument/2006/relationships/hyperlink" Target="https://doi.org/10.1108/QRFM-10-2022-0173" TargetMode="External"/><Relationship Id="rId7" Type="http://schemas.openxmlformats.org/officeDocument/2006/relationships/endnotes" Target="endnotes.xml"/><Relationship Id="rId71"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_rels/header2.xml.rels><?xml version="1.0" encoding="UTF-8" standalone="yes"?>
<Relationships xmlns="http://schemas.openxmlformats.org/package/2006/relationships"><Relationship Id="rId1" Type="http://schemas.openxmlformats.org/officeDocument/2006/relationships/image" Target="media/image12.jpeg"/></Relationships>
</file>

<file path=word/_rels/header3.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8F8553-8028-4C4E-8F7F-A9B35E29B8D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209</TotalTime>
  <Pages>22</Pages>
  <Words>24993</Words>
  <Characters>142465</Characters>
  <Application>Microsoft Office Word</Application>
  <DocSecurity>0</DocSecurity>
  <Lines>1187</Lines>
  <Paragraphs>334</Paragraphs>
  <ScaleCrop>false</ScaleCrop>
  <HeadingPairs>
    <vt:vector size="2" baseType="variant">
      <vt:variant>
        <vt:lpstr>Title</vt:lpstr>
      </vt:variant>
      <vt:variant>
        <vt:i4>1</vt:i4>
      </vt:variant>
    </vt:vector>
  </HeadingPairs>
  <TitlesOfParts>
    <vt:vector size="1" baseType="lpstr">
      <vt:lpstr>Transformasi Kultur Pendidikan Islam di Indonesia</vt:lpstr>
    </vt:vector>
  </TitlesOfParts>
  <Company>UIN Malang</Company>
  <LinksUpToDate>false</LinksUpToDate>
  <CharactersWithSpaces>167124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Transformasi Kultur Pendidikan Islam di Indonesia</dc:title>
  <dc:creator>comp</dc:creator>
  <cp:lastModifiedBy>E</cp:lastModifiedBy>
  <cp:revision>60</cp:revision>
  <cp:lastPrinted>2008-11-01T04:52:00Z</cp:lastPrinted>
  <dcterms:created xsi:type="dcterms:W3CDTF">2023-02-02T21:36:00Z</dcterms:created>
  <dcterms:modified xsi:type="dcterms:W3CDTF">2025-07-11T02:58:00Z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http://www.zotero.org/styles/american-political-science-association</vt:lpwstr>
  </property>
  <property fmtid="{D5CDD505-2E9C-101B-9397-08002B2CF9AE}" pid="3" name="Mendeley Recent Style Name 0_1">
    <vt:lpwstr>American Political Science Association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7th edition</vt:lpwstr>
  </property>
  <property fmtid="{D5CDD505-2E9C-101B-9397-08002B2CF9AE}" pid="6" name="Mendeley Recent Style Id 2_1">
    <vt:lpwstr>http://csl.mendeley.com/styles/654921641/apa-25</vt:lpwstr>
  </property>
  <property fmtid="{D5CDD505-2E9C-101B-9397-08002B2CF9AE}" pid="7" name="Mendeley Recent Style Name 2_1">
    <vt:lpwstr>American Psychological Association 7th edition - Tatang Muh Nasir 25</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 6th edition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11th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http://www.zotero.org/styles/modern-language-association</vt:lpwstr>
  </property>
  <property fmtid="{D5CDD505-2E9C-101B-9397-08002B2CF9AE}" pid="17" name="Mendeley Recent Style Name 7_1">
    <vt:lpwstr>Modern Language Association 9th edition</vt:lpwstr>
  </property>
  <property fmtid="{D5CDD505-2E9C-101B-9397-08002B2CF9AE}" pid="18" name="Mendeley Recent Style Id 8_1">
    <vt:lpwstr>http://www.zotero.org/styles/universitas-negeri-semarang-fakultas-matematika-dan-ilmu-pengetahuan-alam</vt:lpwstr>
  </property>
  <property fmtid="{D5CDD505-2E9C-101B-9397-08002B2CF9AE}" pid="19" name="Mendeley Recent Style Name 8_1">
    <vt:lpwstr>Universitas Negeri Semarang - Fakultas Matematika dan Ilmu Pengetahuan Alam (Bahasa Indonesia)</vt:lpwstr>
  </property>
  <property fmtid="{D5CDD505-2E9C-101B-9397-08002B2CF9AE}" pid="20" name="Mendeley Recent Style Id 9_1">
    <vt:lpwstr>http://www.zotero.org/styles/universitas-negeri-yogyakarta-program-pascasarjana</vt:lpwstr>
  </property>
  <property fmtid="{D5CDD505-2E9C-101B-9397-08002B2CF9AE}" pid="21" name="Mendeley Recent Style Name 9_1">
    <vt:lpwstr>Universitas Negeri Yogyakarta - Program Pascasarjana (Bahasa Indonesia)</vt:lpwstr>
  </property>
  <property fmtid="{D5CDD505-2E9C-101B-9397-08002B2CF9AE}" pid="22" name="Mendeley Document_1">
    <vt:lpwstr>True</vt:lpwstr>
  </property>
  <property fmtid="{D5CDD505-2E9C-101B-9397-08002B2CF9AE}" pid="23" name="Mendeley Unique User Id_1">
    <vt:lpwstr>f285d1e5-942b-34af-b2d8-037c9d4fd42c</vt:lpwstr>
  </property>
  <property fmtid="{D5CDD505-2E9C-101B-9397-08002B2CF9AE}" pid="24" name="Mendeley Citation Style_1">
    <vt:lpwstr>http://csl.mendeley.com/styles/654921641/apa-25</vt:lpwstr>
  </property>
</Properties>
</file>