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E3DC3" w14:textId="77777777" w:rsidR="00666511" w:rsidRDefault="00EE613F" w:rsidP="00EE613F">
      <w:pPr>
        <w:pStyle w:val="Title"/>
        <w:spacing w:line="247" w:lineRule="auto"/>
      </w:pPr>
      <w:r>
        <w:rPr>
          <w:smallCaps/>
          <w:spacing w:val="-2"/>
          <w:w w:val="85"/>
        </w:rPr>
        <w:t>Ismail</w:t>
      </w:r>
    </w:p>
    <w:p w14:paraId="29C420B5" w14:textId="77777777" w:rsidR="00666511" w:rsidRDefault="00666511">
      <w:pPr>
        <w:pStyle w:val="BodyText"/>
        <w:ind w:left="0"/>
        <w:jc w:val="left"/>
        <w:rPr>
          <w:b/>
          <w:sz w:val="24"/>
        </w:rPr>
      </w:pPr>
    </w:p>
    <w:p w14:paraId="64278270" w14:textId="77777777" w:rsidR="00666511" w:rsidRDefault="00666511">
      <w:pPr>
        <w:pStyle w:val="BodyText"/>
        <w:ind w:left="0"/>
        <w:jc w:val="left"/>
        <w:rPr>
          <w:b/>
          <w:sz w:val="24"/>
        </w:rPr>
      </w:pPr>
    </w:p>
    <w:p w14:paraId="5AC3F5DA" w14:textId="77777777" w:rsidR="00666511" w:rsidRPr="00B02F3C" w:rsidRDefault="00EE613F" w:rsidP="00EB1BFF">
      <w:pPr>
        <w:ind w:left="87"/>
        <w:jc w:val="center"/>
        <w:rPr>
          <w:rFonts w:asciiTheme="majorBidi" w:hAnsiTheme="majorBidi" w:cstheme="majorBidi"/>
          <w:b/>
          <w:bCs/>
          <w:sz w:val="28"/>
          <w:szCs w:val="28"/>
        </w:rPr>
      </w:pPr>
      <w:r w:rsidRPr="00B02F3C">
        <w:rPr>
          <w:b/>
          <w:bCs/>
          <w:sz w:val="28"/>
          <w:szCs w:val="28"/>
        </w:rPr>
        <w:t>DEVELOPMENT</w:t>
      </w:r>
      <w:r w:rsidRPr="00B02F3C">
        <w:rPr>
          <w:rFonts w:asciiTheme="majorBidi" w:hAnsiTheme="majorBidi" w:cstheme="majorBidi"/>
          <w:b/>
          <w:bCs/>
          <w:sz w:val="28"/>
          <w:szCs w:val="28"/>
        </w:rPr>
        <w:t xml:space="preserve"> OF </w:t>
      </w:r>
      <w:r w:rsidR="00EB1BFF">
        <w:rPr>
          <w:rFonts w:asciiTheme="majorBidi" w:hAnsiTheme="majorBidi" w:cstheme="majorBidi"/>
          <w:b/>
          <w:bCs/>
          <w:i/>
          <w:iCs/>
          <w:sz w:val="28"/>
          <w:szCs w:val="28"/>
        </w:rPr>
        <w:t xml:space="preserve">ISLAMIC EDUCATION </w:t>
      </w:r>
      <w:r w:rsidRPr="00B02F3C">
        <w:rPr>
          <w:rFonts w:asciiTheme="majorBidi" w:hAnsiTheme="majorBidi" w:cstheme="majorBidi"/>
          <w:b/>
          <w:bCs/>
          <w:i/>
          <w:iCs/>
          <w:sz w:val="28"/>
          <w:szCs w:val="28"/>
        </w:rPr>
        <w:t>MADRASAH DINIYAH</w:t>
      </w:r>
      <w:r w:rsidRPr="00B02F3C">
        <w:rPr>
          <w:rFonts w:asciiTheme="majorBidi" w:hAnsiTheme="majorBidi" w:cstheme="majorBidi"/>
          <w:b/>
          <w:bCs/>
          <w:sz w:val="28"/>
          <w:szCs w:val="28"/>
        </w:rPr>
        <w:t xml:space="preserve"> BASED ON PUBLIC POLICY</w:t>
      </w:r>
    </w:p>
    <w:p w14:paraId="2ABB8D01" w14:textId="77777777" w:rsidR="00666511" w:rsidRDefault="00666511">
      <w:pPr>
        <w:pStyle w:val="BodyText"/>
        <w:ind w:left="0"/>
        <w:jc w:val="left"/>
        <w:rPr>
          <w:b/>
          <w:sz w:val="20"/>
        </w:rPr>
      </w:pPr>
    </w:p>
    <w:p w14:paraId="781D2CE9" w14:textId="77777777" w:rsidR="00666511" w:rsidRDefault="001F129C">
      <w:pPr>
        <w:pStyle w:val="BodyText"/>
        <w:spacing w:before="139"/>
        <w:ind w:left="0"/>
        <w:jc w:val="left"/>
        <w:rPr>
          <w:b/>
          <w:sz w:val="20"/>
        </w:rPr>
      </w:pPr>
      <w:r>
        <w:rPr>
          <w:b/>
          <w:noProof/>
          <w:sz w:val="20"/>
        </w:rPr>
        <mc:AlternateContent>
          <mc:Choice Requires="wps">
            <w:drawing>
              <wp:anchor distT="0" distB="0" distL="0" distR="0" simplePos="0" relativeHeight="487587840" behindDoc="1" locked="0" layoutInCell="1" allowOverlap="1" wp14:anchorId="71825106" wp14:editId="2F6B48F8">
                <wp:simplePos x="0" y="0"/>
                <wp:positionH relativeFrom="page">
                  <wp:posOffset>582295</wp:posOffset>
                </wp:positionH>
                <wp:positionV relativeFrom="paragraph">
                  <wp:posOffset>251460</wp:posOffset>
                </wp:positionV>
                <wp:extent cx="4249420" cy="593090"/>
                <wp:effectExtent l="0" t="0" r="17780" b="16510"/>
                <wp:wrapTopAndBottom/>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49420" cy="593090"/>
                        </a:xfrm>
                        <a:prstGeom prst="rect">
                          <a:avLst/>
                        </a:prstGeom>
                        <a:ln w="6350">
                          <a:solidFill>
                            <a:srgbClr val="000000"/>
                          </a:solidFill>
                          <a:prstDash val="solid"/>
                        </a:ln>
                      </wps:spPr>
                      <wps:txbx>
                        <w:txbxContent>
                          <w:p w14:paraId="35D0FF49" w14:textId="77777777" w:rsidR="001F129C" w:rsidRDefault="001F129C">
                            <w:pPr>
                              <w:spacing w:before="103" w:line="207" w:lineRule="exact"/>
                              <w:ind w:left="111"/>
                              <w:rPr>
                                <w:b/>
                                <w:sz w:val="18"/>
                              </w:rPr>
                            </w:pPr>
                            <w:r>
                              <w:rPr>
                                <w:b/>
                                <w:spacing w:val="-2"/>
                                <w:sz w:val="18"/>
                              </w:rPr>
                              <w:t>Ismail</w:t>
                            </w:r>
                          </w:p>
                          <w:p w14:paraId="2DDE6D0F" w14:textId="77777777" w:rsidR="001F129C" w:rsidRDefault="001F129C" w:rsidP="00EE613F">
                            <w:pPr>
                              <w:spacing w:line="207" w:lineRule="exact"/>
                              <w:ind w:left="111"/>
                              <w:rPr>
                                <w:sz w:val="18"/>
                              </w:rPr>
                            </w:pPr>
                            <w:r>
                              <w:rPr>
                                <w:spacing w:val="-2"/>
                                <w:sz w:val="18"/>
                              </w:rPr>
                              <w:t>Institut Agama Islam Al-Khairat Pamekasan, Indonesia</w:t>
                            </w:r>
                          </w:p>
                          <w:p w14:paraId="490AB49C" w14:textId="77777777" w:rsidR="001F129C" w:rsidRDefault="001F129C" w:rsidP="00EE613F">
                            <w:pPr>
                              <w:spacing w:before="4"/>
                              <w:ind w:left="111"/>
                              <w:rPr>
                                <w:sz w:val="18"/>
                              </w:rPr>
                            </w:pPr>
                            <w:r>
                              <w:rPr>
                                <w:b/>
                                <w:spacing w:val="-5"/>
                                <w:sz w:val="18"/>
                              </w:rPr>
                              <w:t>Email</w:t>
                            </w:r>
                            <w:r>
                              <w:rPr>
                                <w:spacing w:val="-5"/>
                                <w:sz w:val="18"/>
                              </w:rPr>
                              <w:t>:</w:t>
                            </w:r>
                            <w:r>
                              <w:rPr>
                                <w:spacing w:val="-4"/>
                                <w:sz w:val="18"/>
                              </w:rPr>
                              <w:t xml:space="preserve"> </w:t>
                            </w:r>
                            <w:hyperlink r:id="rId7" w:history="1">
                              <w:r w:rsidRPr="00EE613F">
                                <w:rPr>
                                  <w:rStyle w:val="Hyperlink"/>
                                  <w:spacing w:val="-15"/>
                                  <w:sz w:val="18"/>
                                  <w:szCs w:val="18"/>
                                  <w:shd w:val="clear" w:color="auto" w:fill="FFFFFF"/>
                                </w:rPr>
                                <w:t>yajlisismail@alkhairat.ac.id</w:t>
                              </w:r>
                            </w:hyperlink>
                          </w:p>
                          <w:p w14:paraId="3ABFAE8C" w14:textId="77777777" w:rsidR="001F129C" w:rsidRDefault="001F129C" w:rsidP="00EE613F">
                            <w:pPr>
                              <w:spacing w:before="4"/>
                              <w:ind w:left="111"/>
                              <w:rPr>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71825106" id="_x0000_t202" coordsize="21600,21600" o:spt="202" path="m,l,21600r21600,l21600,xe">
                <v:stroke joinstyle="miter"/>
                <v:path gradientshapeok="t" o:connecttype="rect"/>
              </v:shapetype>
              <v:shape id="Textbox 1" o:spid="_x0000_s1026" type="#_x0000_t202" style="position:absolute;margin-left:45.85pt;margin-top:19.8pt;width:334.6pt;height:46.7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" filled="f" strokeweight=".5pt">
                <v:path arrowok="t"/>
                <v:textbox inset="0,0,0,0">
                  <w:txbxContent>
                    <w:p w14:paraId="35D0FF49" w14:textId="77777777" w:rsidR="001F129C" w:rsidRDefault="001F129C">
                      <w:pPr>
                        <w:spacing w:before="103" w:line="207" w:lineRule="exact"/>
                        <w:ind w:left="111"/>
                        <w:rPr>
                          <w:b/>
                          <w:sz w:val="18"/>
                        </w:rPr>
                      </w:pPr>
                      <w:r>
                        <w:rPr>
                          <w:b/>
                          <w:spacing w:val="-2"/>
                          <w:sz w:val="18"/>
                        </w:rPr>
                        <w:t>Ismail</w:t>
                      </w:r>
                    </w:p>
                    <w:p w14:paraId="2DDE6D0F" w14:textId="77777777" w:rsidR="001F129C" w:rsidRDefault="001F129C" w:rsidP="00EE613F">
                      <w:pPr>
                        <w:spacing w:line="207" w:lineRule="exact"/>
                        <w:ind w:left="111"/>
                        <w:rPr>
                          <w:sz w:val="18"/>
                        </w:rPr>
                      </w:pPr>
                      <w:r>
                        <w:rPr>
                          <w:spacing w:val="-2"/>
                          <w:sz w:val="18"/>
                        </w:rPr>
                        <w:t>Institut Agama Islam Al-Khairat Pamekasan, Indonesia</w:t>
                      </w:r>
                    </w:p>
                    <w:p w14:paraId="490AB49C" w14:textId="77777777" w:rsidR="001F129C" w:rsidRDefault="001F129C" w:rsidP="00EE613F">
                      <w:pPr>
                        <w:spacing w:before="4"/>
                        <w:ind w:left="111"/>
                        <w:rPr>
                          <w:sz w:val="18"/>
                        </w:rPr>
                      </w:pPr>
                      <w:r>
                        <w:rPr>
                          <w:b/>
                          <w:spacing w:val="-5"/>
                          <w:sz w:val="18"/>
                        </w:rPr>
                        <w:t>Email</w:t>
                      </w:r>
                      <w:r>
                        <w:rPr>
                          <w:spacing w:val="-5"/>
                          <w:sz w:val="18"/>
                        </w:rPr>
                        <w:t>:</w:t>
                      </w:r>
                      <w:r>
                        <w:rPr>
                          <w:spacing w:val="-4"/>
                          <w:sz w:val="18"/>
                        </w:rPr>
                        <w:t xml:space="preserve"> </w:t>
                      </w:r>
                      <w:hyperlink r:id="rId8" w:history="1">
                        <w:r w:rsidRPr="00EE613F">
                          <w:rPr>
                            <w:rStyle w:val="Hyperlink"/>
                            <w:spacing w:val="-15"/>
                            <w:sz w:val="18"/>
                            <w:szCs w:val="18"/>
                            <w:shd w:val="clear" w:color="auto" w:fill="FFFFFF"/>
                          </w:rPr>
                          <w:t>yajlisismail@alkhairat.ac.id</w:t>
                        </w:r>
                      </w:hyperlink>
                    </w:p>
                    <w:p w14:paraId="3ABFAE8C" w14:textId="77777777" w:rsidR="001F129C" w:rsidRDefault="001F129C" w:rsidP="00EE613F">
                      <w:pPr>
                        <w:spacing w:before="4"/>
                        <w:ind w:left="111"/>
                        <w:rPr>
                          <w:sz w:val="18"/>
                        </w:rPr>
                      </w:pPr>
                    </w:p>
                  </w:txbxContent>
                </v:textbox>
                <w10:wrap type="topAndBottom" anchorx="page"/>
              </v:shape>
            </w:pict>
          </mc:Fallback>
        </mc:AlternateContent>
      </w:r>
    </w:p>
    <w:p w14:paraId="1250E6C6" w14:textId="77777777" w:rsidR="00666511" w:rsidRDefault="00666511">
      <w:pPr>
        <w:pStyle w:val="BodyText"/>
        <w:spacing w:before="152"/>
        <w:ind w:left="0"/>
        <w:jc w:val="left"/>
        <w:rPr>
          <w:b/>
        </w:rPr>
      </w:pPr>
    </w:p>
    <w:p w14:paraId="44B204C8" w14:textId="77777777" w:rsidR="00666511" w:rsidRPr="00024356" w:rsidRDefault="001F129C" w:rsidP="00024356">
      <w:pPr>
        <w:spacing w:before="1" w:line="242" w:lineRule="auto"/>
        <w:ind w:left="141" w:right="50"/>
        <w:jc w:val="both"/>
        <w:rPr>
          <w:sz w:val="18"/>
          <w:szCs w:val="18"/>
        </w:rPr>
      </w:pPr>
      <w:r>
        <w:rPr>
          <w:b/>
          <w:w w:val="105"/>
          <w:sz w:val="18"/>
        </w:rPr>
        <w:t>Abstract</w:t>
      </w:r>
      <w:r>
        <w:rPr>
          <w:w w:val="105"/>
          <w:sz w:val="18"/>
        </w:rPr>
        <w:t xml:space="preserve">: </w:t>
      </w:r>
      <w:r w:rsidR="00024356" w:rsidRPr="00024356">
        <w:rPr>
          <w:sz w:val="18"/>
          <w:szCs w:val="18"/>
          <w:lang w:val="id-ID"/>
        </w:rPr>
        <w:t>A public policy does not appear suddenly without a certain background, because public policy is formulated to respond, and solve problems. This research departs from the assumption that the Sampang Regency Government formulate the Regional Regulation No. 7 of 2019 concerning Madrasah Diniyah Takmiliyah because it is caused by certain conditions. To confirm these assumptions, the researchers collected data from data sources within the Regional Government, DPRD, FKDT, and madrash diniyah organizer in Sampang District using interviews, observation and documentation. The data obtained is then analyzed by means of data reduction, data presentation, and conclusion/verification. This research resulted that the background of this Perdakab Sampang included: (1) Implementation of government decentralization; (2) Response Results Identification of problems, needs, and community aspirations; (3) NPM implementation; and (4) the reality of madrasah diniyah</w:t>
      </w:r>
      <w:r w:rsidR="00024356">
        <w:rPr>
          <w:sz w:val="18"/>
          <w:szCs w:val="18"/>
        </w:rPr>
        <w:t>.</w:t>
      </w:r>
    </w:p>
    <w:p w14:paraId="7C6E581A" w14:textId="77777777" w:rsidR="00666511" w:rsidRDefault="00666511">
      <w:pPr>
        <w:pStyle w:val="BodyText"/>
        <w:spacing w:before="196"/>
        <w:ind w:left="0"/>
        <w:jc w:val="left"/>
        <w:rPr>
          <w:sz w:val="18"/>
        </w:rPr>
      </w:pPr>
    </w:p>
    <w:p w14:paraId="3036C96B" w14:textId="77777777" w:rsidR="00666511" w:rsidRDefault="001F129C" w:rsidP="00024356">
      <w:pPr>
        <w:spacing w:before="1"/>
        <w:ind w:left="141"/>
        <w:jc w:val="both"/>
        <w:rPr>
          <w:sz w:val="18"/>
        </w:rPr>
      </w:pPr>
      <w:r>
        <w:rPr>
          <w:b/>
          <w:spacing w:val="-2"/>
          <w:sz w:val="18"/>
        </w:rPr>
        <w:t>Key words</w:t>
      </w:r>
      <w:r>
        <w:rPr>
          <w:spacing w:val="-2"/>
          <w:sz w:val="18"/>
        </w:rPr>
        <w:t>:</w:t>
      </w:r>
      <w:r>
        <w:rPr>
          <w:spacing w:val="-5"/>
          <w:sz w:val="18"/>
        </w:rPr>
        <w:t xml:space="preserve"> </w:t>
      </w:r>
      <w:r w:rsidR="00024356" w:rsidRPr="00024356">
        <w:rPr>
          <w:sz w:val="18"/>
          <w:szCs w:val="18"/>
          <w:lang w:val="id-ID"/>
        </w:rPr>
        <w:t>Public Policy, Background, Regional Regulation, Madrasah Diniyah</w:t>
      </w:r>
      <w:r>
        <w:rPr>
          <w:spacing w:val="-2"/>
          <w:sz w:val="18"/>
        </w:rPr>
        <w:t>.</w:t>
      </w:r>
    </w:p>
    <w:p w14:paraId="40D9DDF8" w14:textId="77777777" w:rsidR="00666511" w:rsidRDefault="00666511">
      <w:pPr>
        <w:pStyle w:val="BodyText"/>
        <w:ind w:left="0"/>
        <w:jc w:val="left"/>
        <w:rPr>
          <w:sz w:val="18"/>
        </w:rPr>
      </w:pPr>
    </w:p>
    <w:p w14:paraId="4DC8595F" w14:textId="77777777" w:rsidR="00666511" w:rsidRDefault="001F129C" w:rsidP="002847C4">
      <w:pPr>
        <w:pStyle w:val="Heading1"/>
        <w:numPr>
          <w:ilvl w:val="0"/>
          <w:numId w:val="2"/>
        </w:numPr>
        <w:tabs>
          <w:tab w:val="left" w:pos="386"/>
        </w:tabs>
      </w:pPr>
      <w:r>
        <w:rPr>
          <w:spacing w:val="-2"/>
          <w:w w:val="105"/>
        </w:rPr>
        <w:t>Introduction</w:t>
      </w:r>
    </w:p>
    <w:p w14:paraId="1A1963C9" w14:textId="77777777" w:rsidR="00B02F3C" w:rsidRDefault="00B02F3C" w:rsidP="00B02F3C">
      <w:pPr>
        <w:ind w:firstLine="720"/>
        <w:jc w:val="both"/>
        <w:rPr>
          <w:rFonts w:ascii="Garamond" w:hAnsi="Garamond"/>
          <w:sz w:val="24"/>
          <w:szCs w:val="24"/>
        </w:rPr>
      </w:pPr>
    </w:p>
    <w:p w14:paraId="5B15DA6E" w14:textId="77777777" w:rsidR="00B02F3C" w:rsidRPr="00B02F3C" w:rsidRDefault="00B02F3C" w:rsidP="00907ADF">
      <w:pPr>
        <w:ind w:firstLine="720"/>
        <w:jc w:val="both"/>
      </w:pPr>
      <w:r w:rsidRPr="00B02F3C">
        <w:t xml:space="preserve">Policy is a detailed plan outlining how something will be executed </w:t>
      </w:r>
      <w:r w:rsidRPr="00B02F3C">
        <w:fldChar w:fldCharType="begin"/>
      </w:r>
      <w:r w:rsidR="00907ADF">
        <w:instrText xml:space="preserve"> ADDIN ZOTERO_ITEM CSL_CITATION {"citationID":"jbFQ1nQS","properties":{"formattedCitation":"(Collin 2004)","plainCitation":"(Collin 2004)","noteIndex":0},"citationItems":[{"id":65,"uris":["http://zotero.org/users/local/AXpBhYh1/items/KFRL74QQ"],"itemData":{"id":65,"type":"book","event-place":"London","publisher":"Bloomsbury Publishing Plc","publisher-place":"London","title":"Dictionary of Politics and Government","author":[{"family":"Collin","given":"P.H."}],"issued":{"date-parts":[["2004"]]}}}],"schema":"https://github.com/citation-style-language/schema/raw/master/csl-citation.json"} </w:instrText>
      </w:r>
      <w:r w:rsidRPr="00B02F3C">
        <w:fldChar w:fldCharType="separate"/>
      </w:r>
      <w:r w:rsidR="00907ADF" w:rsidRPr="00907ADF">
        <w:t>(Collin 2004)</w:t>
      </w:r>
      <w:r w:rsidRPr="00B02F3C">
        <w:fldChar w:fldCharType="end"/>
      </w:r>
      <w:r w:rsidRPr="00B02F3C">
        <w:t xml:space="preserve">. Policy can also be understood as a course of action designed for a specific purpose, intended to be implemented by policymakers to address particular issues or concerns </w:t>
      </w:r>
      <w:r w:rsidRPr="00B02F3C">
        <w:fldChar w:fldCharType="begin"/>
      </w:r>
      <w:r w:rsidR="00907ADF">
        <w:instrText xml:space="preserve"> ADDIN ZOTERO_ITEM CSL_CITATION {"citationID":"YN7ShjAI","properties":{"formattedCitation":"(Hosio 2006)","plainCitation":"(Hosio 2006)","noteIndex":0},"citationItems":[{"id":110,"uris":["http://zotero.org/users/local/AXpBhYh1/items/QF8JR353"],"itemData":{"id":110,"type":"book","event-place":"Yogyakarta","publisher":"LBM","publisher-place":"Yogyakarta","title":"Kebijakan Publik dan Desentralisasi","author":[{"family":"Hosio","given":"J.E."}],"issued":{"date-parts":[["2006"]]}}}],"schema":"https://github.com/citation-style-language/schema/raw/master/csl-citation.json"} </w:instrText>
      </w:r>
      <w:r w:rsidRPr="00B02F3C">
        <w:fldChar w:fldCharType="separate"/>
      </w:r>
      <w:r w:rsidR="00907ADF" w:rsidRPr="00907ADF">
        <w:t>(Hosio 2006)</w:t>
      </w:r>
      <w:r w:rsidRPr="00B02F3C">
        <w:fldChar w:fldCharType="end"/>
      </w:r>
      <w:r w:rsidRPr="00B02F3C">
        <w:t xml:space="preserve">. According to Harold Lasswell and Abraham Kaplan, public policy is a program that projects specific values, goals, and practices (Nugroho, 2014). Jenkins defines policy as a set of interrelated decisions that determine objectives and strategies for their achievement </w:t>
      </w:r>
      <w:r w:rsidRPr="00B02F3C">
        <w:fldChar w:fldCharType="begin"/>
      </w:r>
      <w:r w:rsidR="00907ADF">
        <w:instrText xml:space="preserve"> ADDIN ZOTERO_ITEM CSL_CITATION {"citationID":"tsQ1bP84","properties":{"formattedCitation":"(Rohman dan Wiyono 2010)","plainCitation":"(Rohman dan Wiyono 2010)","noteIndex":0},"citationItems":[{"id":104,"uris":["http://zotero.org/users/local/AXpBhYh1/items/6U2EBDWH"],"itemData":{"id":104,"type":"book","event-place":"Yogyakarta","publisher":"Pustaka Pelajar","publisher-place":"Yogyakarta","title":"Education Policy in Decentralization Era","author":[{"family":"Rohman","given":"Arif"},{"family":"Wiyono","given":"Teguh"}],"issued":{"date-parts":[["2010"]]}}}],"schema":"https://github.com/citation-style-language/schema/raw/master/csl-citation.json"} </w:instrText>
      </w:r>
      <w:r w:rsidRPr="00B02F3C">
        <w:fldChar w:fldCharType="separate"/>
      </w:r>
      <w:r w:rsidR="00907ADF" w:rsidRPr="00907ADF">
        <w:t>(Rohman dan Wiyono 2010)</w:t>
      </w:r>
      <w:r w:rsidRPr="00B02F3C">
        <w:fldChar w:fldCharType="end"/>
      </w:r>
      <w:r w:rsidRPr="00B02F3C">
        <w:t xml:space="preserve">. James Anderson describes public policy as a collection of deliberate activities carried out by an individual or group of actors in response to a specific issue </w:t>
      </w:r>
      <w:r w:rsidRPr="00B02F3C">
        <w:fldChar w:fldCharType="begin"/>
      </w:r>
      <w:r w:rsidR="00907ADF">
        <w:instrText xml:space="preserve"> ADDIN ZOTERO_ITEM CSL_CITATION {"citationID":"6T3nEsTl","properties":{"formattedCitation":"(Agustino 2012)","plainCitation":"(Agustino 2012)","noteIndex":0},"citationItems":[{"id":112,"uris":["http://zotero.org/users/local/AXpBhYh1/items/D8V8LTTL"],"itemData":{"id":112,"type":"book","event-place":"Bandung","publisher":"Alfabeta","publisher-place":"Bandung","title":"Dasar-Dasar Keibjakan Publik","author":[{"family":"Agustino","given":"Leo"}],"issued":{"date-parts":[["2012"]]}}}],"schema":"https://github.com/citation-style-language/schema/raw/master/csl-citation.json"} </w:instrText>
      </w:r>
      <w:r w:rsidRPr="00B02F3C">
        <w:fldChar w:fldCharType="separate"/>
      </w:r>
      <w:r w:rsidR="00907ADF" w:rsidRPr="00907ADF">
        <w:t>(Agustino 2012)</w:t>
      </w:r>
      <w:r w:rsidRPr="00B02F3C">
        <w:fldChar w:fldCharType="end"/>
      </w:r>
      <w:r w:rsidRPr="00B02F3C">
        <w:t xml:space="preserve">. Thomas R. Dye defines public policy as the actions taken by the government, the reasons behind them, and the expected outcomes </w:t>
      </w:r>
      <w:r w:rsidRPr="00B02F3C">
        <w:fldChar w:fldCharType="begin"/>
      </w:r>
      <w:r w:rsidR="00907ADF">
        <w:instrText xml:space="preserve"> ADDIN ZOTERO_ITEM CSL_CITATION {"citationID":"FcXMdTzo","properties":{"formattedCitation":"(Nugroho 2014)","plainCitation":"(Nugroho 2014)","noteIndex":0},"citationItems":[{"id":111,"uris":["http://zotero.org/users/local/AXpBhYh1/items/M6WAF4MN"],"itemData":{"id":111,"type":"book","event-place":"Jakarta","publisher":"Elex Media Komputindo","publisher-place":"Jakarta","title":"Public Policy: Teori, Manajemen, Dinamika, Analisis, Konvergensi, dan Kimia Kebijakan","author":[{"family":"Nugroho","given":"Riant"}],"issued":{"date-parts":[["2014"]]}}}],"schema":"https://github.com/citation-style-language/schema/raw/master/csl-citation.json"} </w:instrText>
      </w:r>
      <w:r w:rsidRPr="00B02F3C">
        <w:fldChar w:fldCharType="separate"/>
      </w:r>
      <w:r w:rsidR="00907ADF" w:rsidRPr="00907ADF">
        <w:t>(Nugroho 2014)</w:t>
      </w:r>
      <w:r w:rsidRPr="00B02F3C">
        <w:fldChar w:fldCharType="end"/>
      </w:r>
      <w:r w:rsidRPr="00B02F3C">
        <w:t xml:space="preserve">. Similarly, David Easton views public policy as a result of government activities </w:t>
      </w:r>
      <w:r w:rsidRPr="00B02F3C">
        <w:fldChar w:fldCharType="begin"/>
      </w:r>
      <w:r w:rsidR="00907ADF">
        <w:instrText xml:space="preserve"> ADDIN ZOTERO_ITEM CSL_CITATION {"citationID":"TYgtX57J","properties":{"formattedCitation":"(Nugroho 2014)","plainCitation":"(Nugroho 2014)","noteIndex":0},"citationItems":[{"id":111,"uris":["http://zotero.org/users/local/AXpBhYh1/items/M6WAF4MN"],"itemData":{"id":111,"type":"book","event-place":"Jakarta","publisher":"Elex Media Komputindo","publisher-place":"Jakarta","title":"Public Policy: Teori, Manajemen, Dinamika, Analisis, Konvergensi, dan Kimia Kebijakan","author":[{"family":"Nugroho","given":"Riant"}],"issued":{"date-parts":[["2014"]]}}}],"schema":"https://github.com/citation-style-language/schema/raw/master/csl-citation.json"} </w:instrText>
      </w:r>
      <w:r w:rsidRPr="00B02F3C">
        <w:fldChar w:fldCharType="separate"/>
      </w:r>
      <w:r w:rsidR="00907ADF" w:rsidRPr="00907ADF">
        <w:t>(Nugroho 2014)</w:t>
      </w:r>
      <w:r w:rsidRPr="00B02F3C">
        <w:fldChar w:fldCharType="end"/>
      </w:r>
      <w:r w:rsidRPr="00B02F3C">
        <w:t>.</w:t>
      </w:r>
    </w:p>
    <w:p w14:paraId="70698194" w14:textId="77777777" w:rsidR="00B02F3C" w:rsidRPr="00B02F3C" w:rsidRDefault="00B02F3C" w:rsidP="00907ADF">
      <w:pPr>
        <w:ind w:firstLine="720"/>
        <w:jc w:val="both"/>
      </w:pPr>
      <w:r w:rsidRPr="00B02F3C">
        <w:t xml:space="preserve">Public policy involves identifying and analyzing its design, conceptual framework, and instruments. This identification and analysis generate the policy’s objectives, rationale, tools, executors, and underlying assumptions </w:t>
      </w:r>
      <w:r w:rsidRPr="00B02F3C">
        <w:fldChar w:fldCharType="begin"/>
      </w:r>
      <w:r w:rsidR="00907ADF">
        <w:instrText xml:space="preserve"> ADDIN ZOTERO_ITEM CSL_CITATION {"citationID":"kduQFMGN","properties":{"formattedCitation":"(Sidney 2015)","plainCitation":"(Sidney 2015)","noteIndex":0},"citationItems":[{"id":113,"uris":["http://zotero.org/users/local/AXpBhYh1/items/YPBB3AYG"],"itemData":{"id":113,"type":"chapter","container-title":"Handbook Analisis Kebijakan Publik: Teori, Politik dan Metode","event-place":"Bandung","publisher":"Nusamedia","publisher-place":"Bandung","title":"Perumusan Kebijakan: Desain dan Alat","author":[{"family":"Sidney","given":"Mara S."}],"issued":{"date-parts":[["2015"]]}}}],"schema":"https://github.com/citation-style-language/schema/raw/master/csl-citation.json"} </w:instrText>
      </w:r>
      <w:r w:rsidRPr="00B02F3C">
        <w:fldChar w:fldCharType="separate"/>
      </w:r>
      <w:r w:rsidR="00907ADF" w:rsidRPr="00907ADF">
        <w:t>(Sidney 2015)</w:t>
      </w:r>
      <w:r w:rsidRPr="00B02F3C">
        <w:fldChar w:fldCharType="end"/>
      </w:r>
      <w:r w:rsidRPr="00B02F3C">
        <w:t xml:space="preserve">. Consequently, a public policy comprises six essential </w:t>
      </w:r>
      <w:r w:rsidRPr="00B02F3C">
        <w:lastRenderedPageBreak/>
        <w:t xml:space="preserve">elements: rules of engagement, formulation of activities, actual activities, actors, the public, and impact </w:t>
      </w:r>
      <w:r w:rsidRPr="00B02F3C">
        <w:fldChar w:fldCharType="begin"/>
      </w:r>
      <w:r w:rsidR="00907ADF">
        <w:instrText xml:space="preserve"> ADDIN ZOTERO_ITEM CSL_CITATION {"citationID":"VvTkLoCO","properties":{"formattedCitation":"(Nugroho 2014)","plainCitation":"(Nugroho 2014)","noteIndex":0},"citationItems":[{"id":111,"uris":["http://zotero.org/users/local/AXpBhYh1/items/M6WAF4MN"],"itemData":{"id":111,"type":"book","event-place":"Jakarta","publisher":"Elex Media Komputindo","publisher-place":"Jakarta","title":"Public Policy: Teori, Manajemen, Dinamika, Analisis, Konvergensi, dan Kimia Kebijakan","author":[{"family":"Nugroho","given":"Riant"}],"issued":{"date-parts":[["2014"]]}}}],"schema":"https://github.com/citation-style-language/schema/raw/master/csl-citation.json"} </w:instrText>
      </w:r>
      <w:r w:rsidRPr="00B02F3C">
        <w:fldChar w:fldCharType="separate"/>
      </w:r>
      <w:r w:rsidR="00907ADF" w:rsidRPr="00907ADF">
        <w:t>(Nugroho 2014)</w:t>
      </w:r>
      <w:r w:rsidRPr="00B02F3C">
        <w:fldChar w:fldCharType="end"/>
      </w:r>
      <w:r w:rsidRPr="00B02F3C">
        <w:t xml:space="preserve">. The "public" refers to individuals and their activities, which are deemed significant for management and regulation by the government, communities, or at least through social action </w:t>
      </w:r>
      <w:r w:rsidRPr="00B02F3C">
        <w:fldChar w:fldCharType="begin"/>
      </w:r>
      <w:r w:rsidR="00907ADF">
        <w:instrText xml:space="preserve"> ADDIN ZOTERO_ITEM CSL_CITATION {"citationID":"x5HiTaqi","properties":{"formattedCitation":"(Parsons 2014)","plainCitation":"(Parsons 2014)","noteIndex":0},"citationItems":[{"id":114,"uris":["http://zotero.org/users/local/AXpBhYh1/items/KZLIA429"],"itemData":{"id":114,"type":"book","event-place":"Jakarta","publisher":"Kencana Prenadamedia Group","publisher-place":"Jakarta","title":"Public Policy: Pengantar Teori dan Praktik Analisis Kebijakan","author":[{"family":"Parsons","given":"Wayne"}],"issued":{"date-parts":[["2014"]]}}}],"schema":"https://github.com/citation-style-language/schema/raw/master/csl-citation.json"} </w:instrText>
      </w:r>
      <w:r w:rsidRPr="00B02F3C">
        <w:fldChar w:fldCharType="separate"/>
      </w:r>
      <w:r w:rsidR="00907ADF" w:rsidRPr="00907ADF">
        <w:t>(Parsons 2014)</w:t>
      </w:r>
      <w:r w:rsidRPr="00B02F3C">
        <w:fldChar w:fldCharType="end"/>
      </w:r>
      <w:r w:rsidRPr="00B02F3C">
        <w:t>.</w:t>
      </w:r>
    </w:p>
    <w:p w14:paraId="1A9CFFE2" w14:textId="77777777" w:rsidR="00B02F3C" w:rsidRPr="00B02F3C" w:rsidRDefault="00B02F3C" w:rsidP="00907ADF">
      <w:pPr>
        <w:ind w:firstLine="720"/>
        <w:jc w:val="both"/>
      </w:pPr>
      <w:r w:rsidRPr="00B02F3C">
        <w:t xml:space="preserve">Referring to the theories above, it is evident that public policy always has a background, objectives, and strategies for achieving them. For instance, Mitchell and Mitchell assert that the typical goals of policy include reducing poverty, eradicating crime, controlling population growth, or altering certain social conditions </w:t>
      </w:r>
      <w:r w:rsidRPr="00B02F3C">
        <w:fldChar w:fldCharType="begin"/>
      </w:r>
      <w:r w:rsidR="00907ADF">
        <w:instrText xml:space="preserve"> ADDIN ZOTERO_ITEM CSL_CITATION {"citationID":"MfRyGBhH","properties":{"formattedCitation":"(Etzioni 2015)","plainCitation":"(Etzioni 2015)","noteIndex":0},"citationItems":[{"id":125,"uris":["http://zotero.org/users/local/AXpBhYh1/items/YRVPP4ZV"],"itemData":{"id":125,"type":"chapter","container-title":"Handbook of Public Policy","event-place":"Bandung","publisher":"Nusamedia","publisher-place":"Bandung","title":"Metodologi Unik Penelitian Kebijakan","author":[{"family":"Etzioni","given":"A."}],"issued":{"date-parts":[["2015"]]}}}],"schema":"https://github.com/citation-style-language/schema/raw/master/csl-citation.json"} </w:instrText>
      </w:r>
      <w:r w:rsidRPr="00B02F3C">
        <w:fldChar w:fldCharType="separate"/>
      </w:r>
      <w:r w:rsidR="00907ADF" w:rsidRPr="00907ADF">
        <w:t>(Etzioni 2015)</w:t>
      </w:r>
      <w:r w:rsidRPr="00B02F3C">
        <w:fldChar w:fldCharType="end"/>
      </w:r>
      <w:r w:rsidRPr="00B02F3C">
        <w:t>.</w:t>
      </w:r>
    </w:p>
    <w:p w14:paraId="141130FC" w14:textId="77777777" w:rsidR="00B02F3C" w:rsidRPr="00B02F3C" w:rsidRDefault="00B02F3C" w:rsidP="00907ADF">
      <w:pPr>
        <w:ind w:firstLine="720"/>
        <w:jc w:val="both"/>
      </w:pPr>
      <w:r w:rsidRPr="00B02F3C">
        <w:t xml:space="preserve">The formulation of policy involves a series of activities conducted by policymakers through specific stages. The policymaking process is inherently political, encompassing sequential steps over a period of time. These stages include problem identification, forecasting, recommendations, monitoring, and evaluation </w:t>
      </w:r>
      <w:r w:rsidRPr="00B02F3C">
        <w:fldChar w:fldCharType="begin"/>
      </w:r>
      <w:r w:rsidR="00907ADF">
        <w:instrText xml:space="preserve"> ADDIN ZOTERO_ITEM CSL_CITATION {"citationID":"omCS3xDb","properties":{"formattedCitation":"(Dunn 2003)","plainCitation":"(Dunn 2003)","noteIndex":0},"citationItems":[{"id":118,"uris":["http://zotero.org/users/local/AXpBhYh1/items/MAS5YPTV"],"itemData":{"id":118,"type":"book","event-place":"Yogyakarta","publisher":"UGM","publisher-place":"Yogyakarta","title":"Pengantar Analisis Kebijakan Publik","author":[{"family":"Dunn","given":"William N."}],"issued":{"date-parts":[["2003"]]}}}],"schema":"https://github.com/citation-style-language/schema/raw/master/csl-citation.json"} </w:instrText>
      </w:r>
      <w:r w:rsidRPr="00B02F3C">
        <w:fldChar w:fldCharType="separate"/>
      </w:r>
      <w:r w:rsidR="00907ADF" w:rsidRPr="00907ADF">
        <w:t>(Dunn 2003)</w:t>
      </w:r>
      <w:r w:rsidRPr="00B02F3C">
        <w:fldChar w:fldCharType="end"/>
      </w:r>
      <w:r w:rsidRPr="00B02F3C">
        <w:t xml:space="preserve">. Other perspectives outline the policy formulation process as consisting of (1) problem identification, (2) policy agenda setting, (3) selection of policy alternatives for problem-solving, and (4) policy determination </w:t>
      </w:r>
      <w:r w:rsidRPr="00B02F3C">
        <w:fldChar w:fldCharType="begin"/>
      </w:r>
      <w:r w:rsidR="00907ADF">
        <w:instrText xml:space="preserve"> ADDIN ZOTERO_ITEM CSL_CITATION {"citationID":"FTwsd39s","properties":{"formattedCitation":"(Winarno 2014)","plainCitation":"(Winarno 2014)","noteIndex":0},"citationItems":[{"id":116,"uris":["http://zotero.org/users/local/AXpBhYh1/items/34H3Y8Q4"],"itemData":{"id":116,"type":"book","event-place":"Yogyakarta","publisher":"CAPS","publisher-place":"Yogyakarta","title":"Kebijakan Publik: Teori Proses, dan Studi Kasus","author":[{"family":"Winarno","given":"Budi"}],"issued":{"date-parts":[["2014"]]}}}],"schema":"https://github.com/citation-style-language/schema/raw/master/csl-citation.json"} </w:instrText>
      </w:r>
      <w:r w:rsidRPr="00B02F3C">
        <w:fldChar w:fldCharType="separate"/>
      </w:r>
      <w:r w:rsidR="00907ADF" w:rsidRPr="00907ADF">
        <w:t>(Winarno 2014)</w:t>
      </w:r>
      <w:r w:rsidRPr="00B02F3C">
        <w:fldChar w:fldCharType="end"/>
      </w:r>
      <w:r w:rsidRPr="00B02F3C">
        <w:t>.</w:t>
      </w:r>
    </w:p>
    <w:p w14:paraId="7290E9A4" w14:textId="77777777" w:rsidR="00B02F3C" w:rsidRPr="00B02F3C" w:rsidRDefault="00B02F3C" w:rsidP="00B02F3C">
      <w:pPr>
        <w:ind w:firstLine="720"/>
        <w:jc w:val="both"/>
      </w:pPr>
      <w:r w:rsidRPr="00B02F3C">
        <w:t>Several theories underpin policy formulation, including institutional theory, elite theory, rationalism, incrementalism, integrated observation theory, democratic theory, public choice theory, systems theory, and deliberative theory. However, this study will focus on three policy formulation theories—elite theory, deliberative theory, and democratic theory—due to their relevance to this research.</w:t>
      </w:r>
    </w:p>
    <w:p w14:paraId="3C603E53" w14:textId="77777777" w:rsidR="00B02F3C" w:rsidRPr="00B02F3C" w:rsidRDefault="00B02F3C" w:rsidP="00907ADF">
      <w:pPr>
        <w:ind w:firstLine="720"/>
        <w:jc w:val="both"/>
      </w:pPr>
      <w:r w:rsidRPr="00B02F3C">
        <w:t xml:space="preserve">Elite theory suggests that regardless of how democratic a system is, there is always a bias in policy formulation because, ultimately, policies reflect the preferences of the elite. According to this theory, policy formulation follows a top-down approach, where elites create public policies to be implemented by public administrators for the general populace </w:t>
      </w:r>
      <w:r w:rsidRPr="00B02F3C">
        <w:fldChar w:fldCharType="begin"/>
      </w:r>
      <w:r w:rsidR="00907ADF">
        <w:instrText xml:space="preserve"> ADDIN ZOTERO_ITEM CSL_CITATION {"citationID":"1t7iGsvV","properties":{"formattedCitation":"(Rosenberg 2007)","plainCitation":"(Rosenberg 2007)","noteIndex":0},"citationItems":[{"id":154,"uris":["http://zotero.org/users/local/AXpBhYh1/items/4CGZED27"],"itemData":{"id":154,"type":"book","event-place":"New York","language":"en","publisher":"PALGRAVE MACMILLAN","publisher-place":"New York","source":"Zotero","title":"Deliberation, Participation and Democracy: Can the People Govern?","author":[{"family":"Rosenberg","given":"Shawn W"}],"issued":{"date-parts":[["2007"]]}}}],"schema":"https://github.com/citation-style-language/schema/raw/master/csl-citation.json"} </w:instrText>
      </w:r>
      <w:r w:rsidRPr="00B02F3C">
        <w:fldChar w:fldCharType="separate"/>
      </w:r>
      <w:r w:rsidR="00907ADF" w:rsidRPr="00907ADF">
        <w:t>(Rosenberg 2007)</w:t>
      </w:r>
      <w:r w:rsidRPr="00B02F3C">
        <w:fldChar w:fldCharType="end"/>
      </w:r>
      <w:r w:rsidRPr="00B02F3C">
        <w:t xml:space="preserve">. This theory can be viewed both positively and negatively. The negative aspect is that policies produced through this approach are tailored to the preferences of political elites and aim to maintain the status quo </w:t>
      </w:r>
      <w:r w:rsidRPr="00B02F3C">
        <w:fldChar w:fldCharType="begin"/>
      </w:r>
      <w:r w:rsidR="00907ADF">
        <w:instrText xml:space="preserve"> ADDIN ZOTERO_ITEM CSL_CITATION {"citationID":"yQlmSYw8","properties":{"formattedCitation":"(Holcombe 2021)","plainCitation":"(Holcombe 2021)","noteIndex":0},"citationItems":[{"id":152,"uris":["http://zotero.org/users/local/AXpBhYh1/items/3I4PVIKA"],"itemData":{"id":152,"type":"article-journal","abstract":"Economic models of democratic decision-making tend to assume that voters have preferences and politicians adjust their platforms to conform to voter preferences. However, the direction of causation (mostly) goes the other way. Political elites oﬀer policy platforms and voters adopt the policy preferences of their political anchors. Because the choices of individual voters do not aﬀect aggregate political outcomes, voters tend to vote expressively, and might vote for outcomes they would not choose if the choice were theirs alone. The concept of expressive preferences is well-established. This paper takes the next step by explaining how voters form their expressive preferences. Expressive preferences tend to be anchored in a political identity associated with a candidate, party, or ideology, and people’s political preferences on most issues are derived from their anchor preferences, which are deﬁned by political elites.","container-title":"Journal of Government and Economics","DOI":"10.1016/j.jge.2021.100021","ISSN":"26673193","journalAbbreviation":"Journal of Government and Economics","language":"en","page":"100021","source":"DOI.org (Crossref)","title":"Elite Influence on General Political Preferences","volume":"3","author":[{"family":"Holcombe","given":"Randall G."}],"issued":{"date-parts":[["2021"]]}}}],"schema":"https://github.com/citation-style-language/schema/raw/master/csl-citation.json"} </w:instrText>
      </w:r>
      <w:r w:rsidRPr="00B02F3C">
        <w:fldChar w:fldCharType="separate"/>
      </w:r>
      <w:r w:rsidR="00907ADF" w:rsidRPr="00907ADF">
        <w:t>(Holcombe 2021)</w:t>
      </w:r>
      <w:r w:rsidRPr="00B02F3C">
        <w:fldChar w:fldCharType="end"/>
      </w:r>
      <w:r w:rsidRPr="00B02F3C">
        <w:t xml:space="preserve">. In this context, the public is often manipulated to prevent their direct involvement in policy formulation. On the other hand, the positive perspective argues that leaders (elites) inherently possess a vision for governance, and public policy is part of their efforts to realize that vision </w:t>
      </w:r>
      <w:r w:rsidRPr="00B02F3C">
        <w:fldChar w:fldCharType="begin"/>
      </w:r>
      <w:r w:rsidR="00907ADF">
        <w:instrText xml:space="preserve"> ADDIN ZOTERO_ITEM CSL_CITATION {"citationID":"PvHXFiNV","properties":{"formattedCitation":"(Winarno 2014)","plainCitation":"(Winarno 2014)","noteIndex":0},"citationItems":[{"id":116,"uris":["http://zotero.org/users/local/AXpBhYh1/items/34H3Y8Q4"],"itemData":{"id":116,"type":"book","event-place":"Yogyakarta","publisher":"CAPS","publisher-place":"Yogyakarta","title":"Kebijakan Publik: Teori Proses, dan Studi Kasus","author":[{"family":"Winarno","given":"Budi"}],"issued":{"date-parts":[["2014"]]}}}],"schema":"https://github.com/citation-style-language/schema/raw/master/csl-citation.json"} </w:instrText>
      </w:r>
      <w:r w:rsidRPr="00B02F3C">
        <w:fldChar w:fldCharType="separate"/>
      </w:r>
      <w:r w:rsidR="00907ADF" w:rsidRPr="00907ADF">
        <w:t>(Winarno 2014)</w:t>
      </w:r>
      <w:r w:rsidRPr="00B02F3C">
        <w:fldChar w:fldCharType="end"/>
      </w:r>
      <w:r w:rsidRPr="00B02F3C">
        <w:t xml:space="preserve">. C. Wright Mills contends that significant policies are determined by a small group of individuals in powerful positions. He states that "the power elite consists of individuals whose positions allow them to transcend the ordinary environments of men and women; they are in positions to make decisions with significant consequences. Whether they do or do not make such decisions is less important than the fact that they occupy such crucial positions" </w:t>
      </w:r>
      <w:r w:rsidRPr="00B02F3C">
        <w:fldChar w:fldCharType="begin"/>
      </w:r>
      <w:r w:rsidR="00907ADF">
        <w:instrText xml:space="preserve"> ADDIN ZOTERO_ITEM CSL_CITATION {"citationID":"VseSdK0I","properties":{"formattedCitation":"(Mills 1956)","plainCitation":"(Mills 1956)","noteIndex":0},"citationItems":[{"id":136,"uris":["http://zotero.org/users/local/AXpBhYh1/items/FCES7PYE"],"itemData":{"id":136,"type":"book","event-place":"New York","publisher":"Oxford University Press","publisher-place":"New York","title":"The Power Elit","author":[{"family":"Mills","given":"C. Wright"}],"issued":{"date-parts":[["1956"]]}}}],"schema":"https://github.com/citation-style-language/schema/raw/master/csl-citation.json"} </w:instrText>
      </w:r>
      <w:r w:rsidRPr="00B02F3C">
        <w:fldChar w:fldCharType="separate"/>
      </w:r>
      <w:r w:rsidR="00907ADF" w:rsidRPr="00907ADF">
        <w:t>(Mills 1956)</w:t>
      </w:r>
      <w:r w:rsidRPr="00B02F3C">
        <w:fldChar w:fldCharType="end"/>
      </w:r>
      <w:r w:rsidRPr="00B02F3C">
        <w:t>.</w:t>
      </w:r>
    </w:p>
    <w:p w14:paraId="5343D8D5" w14:textId="77777777" w:rsidR="00B02F3C" w:rsidRPr="00B02F3C" w:rsidRDefault="00B02F3C" w:rsidP="00907ADF">
      <w:pPr>
        <w:ind w:firstLine="720"/>
        <w:jc w:val="both"/>
      </w:pPr>
      <w:r w:rsidRPr="00B02F3C">
        <w:t xml:space="preserve">This theory is labeled "democratic" because it advocates for the broadest possible participation of all "democracy holders." It is often associated with the implementation of good governance, which mandates that </w:t>
      </w:r>
      <w:r w:rsidRPr="00B02F3C">
        <w:lastRenderedPageBreak/>
        <w:t xml:space="preserve">policy formulation should accommodate constituents and beneficiaries </w:t>
      </w:r>
      <w:r w:rsidRPr="00B02F3C">
        <w:fldChar w:fldCharType="begin"/>
      </w:r>
      <w:r w:rsidR="00907ADF">
        <w:instrText xml:space="preserve"> ADDIN ZOTERO_ITEM CSL_CITATION {"citationID":"Ix1qJqh7","properties":{"formattedCitation":"(Rosenberg 2007)","plainCitation":"(Rosenberg 2007)","noteIndex":0},"citationItems":[{"id":154,"uris":["http://zotero.org/users/local/AXpBhYh1/items/4CGZED27"],"itemData":{"id":154,"type":"book","event-place":"New York","language":"en","publisher":"PALGRAVE MACMILLAN","publisher-place":"New York","source":"Zotero","title":"Deliberation, Participation and Democracy: Can the People Govern?","author":[{"family":"Rosenberg","given":"Shawn W"}],"issued":{"date-parts":[["2007"]]}}}],"schema":"https://github.com/citation-style-language/schema/raw/master/csl-citation.json"} </w:instrText>
      </w:r>
      <w:r w:rsidRPr="00B02F3C">
        <w:fldChar w:fldCharType="separate"/>
      </w:r>
      <w:r w:rsidR="00907ADF" w:rsidRPr="00907ADF">
        <w:t>(Rosenberg 2007)</w:t>
      </w:r>
      <w:r w:rsidRPr="00B02F3C">
        <w:fldChar w:fldCharType="end"/>
      </w:r>
      <w:r w:rsidRPr="00B02F3C">
        <w:t xml:space="preserve">. Given its emphasis on broad participation, this theory aligns closely with public choice; however, it has a weakness—it may be ineffective in addressing critical, urgent issues, or when resources are scarce </w:t>
      </w:r>
      <w:r w:rsidRPr="00B02F3C">
        <w:fldChar w:fldCharType="begin"/>
      </w:r>
      <w:r w:rsidR="00907ADF">
        <w:instrText xml:space="preserve"> ADDIN ZOTERO_ITEM CSL_CITATION {"citationID":"IezmXRlw","properties":{"formattedCitation":"(Tilaar dan Nugroho 2012)","plainCitation":"(Tilaar dan Nugroho 2012)","noteIndex":0},"citationItems":[{"id":94,"uris":["http://zotero.org/users/local/AXpBhYh1/items/LQWT3PKS"],"itemData":{"id":94,"type":"book","event-place":"Yogyakarta","publisher":"Pustaka Pelajar","publisher-place":"Yogyakarta","title":"Kebijakan Pendidikan: Pengantar Untuk Memahami Kebijakan Pendidikan dan Kebijakan Pendidikan Sebagai Kebijakan Publik","author":[{"family":"Tilaar","given":"H.A.R."},{"family":"Nugroho","given":"Riant"}],"issued":{"date-parts":[["2012"]]}}}],"schema":"https://github.com/citation-style-language/schema/raw/master/csl-citation.json"} </w:instrText>
      </w:r>
      <w:r w:rsidRPr="00B02F3C">
        <w:fldChar w:fldCharType="separate"/>
      </w:r>
      <w:r w:rsidR="00907ADF" w:rsidRPr="00907ADF">
        <w:t>(Tilaar dan Nugroho 2012)</w:t>
      </w:r>
      <w:r w:rsidRPr="00B02F3C">
        <w:fldChar w:fldCharType="end"/>
      </w:r>
      <w:r w:rsidRPr="00B02F3C">
        <w:t>.</w:t>
      </w:r>
    </w:p>
    <w:p w14:paraId="6CE245AF" w14:textId="77777777" w:rsidR="00B02F3C" w:rsidRPr="00B02F3C" w:rsidRDefault="00B02F3C" w:rsidP="00907ADF">
      <w:pPr>
        <w:ind w:firstLine="720"/>
        <w:jc w:val="both"/>
      </w:pPr>
      <w:r w:rsidRPr="00B02F3C">
        <w:t xml:space="preserve">Also known as the "deliberative" or "consensus" theory, this framework was developed by Maarten Hajer and Hendrick Wagenaar, building upon the ideas of Frank Fischer and John Forester. This theory positions the government primarily as a legislator of "public will," while policy analysts act as facilitators of public dialogue to ensure that policies reflect the collective decision-making process </w:t>
      </w:r>
      <w:r w:rsidRPr="00B02F3C">
        <w:fldChar w:fldCharType="begin"/>
      </w:r>
      <w:r w:rsidR="00907ADF">
        <w:instrText xml:space="preserve"> ADDIN ZOTERO_ITEM CSL_CITATION {"citationID":"vsO0uYQd","properties":{"formattedCitation":"(Rosenberg 2007)","plainCitation":"(Rosenberg 2007)","noteIndex":0},"citationItems":[{"id":154,"uris":["http://zotero.org/users/local/AXpBhYh1/items/4CGZED27"],"itemData":{"id":154,"type":"book","event-place":"New York","language":"en","publisher":"PALGRAVE MACMILLAN","publisher-place":"New York","source":"Zotero","title":"Deliberation, Participation and Democracy: Can the People Govern?","author":[{"family":"Rosenberg","given":"Shawn W"}],"issued":{"date-parts":[["2007"]]}}}],"schema":"https://github.com/citation-style-language/schema/raw/master/csl-citation.json"} </w:instrText>
      </w:r>
      <w:r w:rsidRPr="00B02F3C">
        <w:fldChar w:fldCharType="separate"/>
      </w:r>
      <w:r w:rsidR="00907ADF" w:rsidRPr="00907ADF">
        <w:t>(Rosenberg 2007)</w:t>
      </w:r>
      <w:r w:rsidRPr="00B02F3C">
        <w:fldChar w:fldCharType="end"/>
      </w:r>
      <w:r w:rsidRPr="00B02F3C">
        <w:t>.</w:t>
      </w:r>
    </w:p>
    <w:p w14:paraId="3F983067" w14:textId="77777777" w:rsidR="00B02F3C" w:rsidRPr="00B02F3C" w:rsidRDefault="00B02F3C" w:rsidP="00907ADF">
      <w:pPr>
        <w:ind w:firstLine="720"/>
        <w:jc w:val="both"/>
      </w:pPr>
      <w:r w:rsidRPr="00B02F3C">
        <w:t xml:space="preserve">In the current era of decentralized governance, regional governments are actively pursuing initiatives to advance local development across various sectors </w:t>
      </w:r>
      <w:r w:rsidRPr="00B02F3C">
        <w:fldChar w:fldCharType="begin"/>
      </w:r>
      <w:r w:rsidR="00907ADF">
        <w:instrText xml:space="preserve"> ADDIN ZOTERO_ITEM CSL_CITATION {"citationID":"kxQ8TbrO","properties":{"formattedCitation":"(Aziz dan Arnold 2003)","plainCitation":"(Aziz dan Arnold 2003)","noteIndex":0},"citationItems":[{"id":103,"uris":["http://zotero.org/users/local/AXpBhYh1/items/F6AQYMBK"],"itemData":{"id":103,"type":"book","event-place":"Bantul","publisher":"Pustaka Edukasi","publisher-place":"Bantul","title":"Desentralisasi Pemerintahan: Pengalaman Negara-Negara Asia","author":[{"family":"Aziz","given":"Abdul"},{"family":"Arnold","given":"David"}],"issued":{"date-parts":[["2003"]]}}}],"schema":"https://github.com/citation-style-language/schema/raw/master/csl-citation.json"} </w:instrText>
      </w:r>
      <w:r w:rsidRPr="00B02F3C">
        <w:fldChar w:fldCharType="separate"/>
      </w:r>
      <w:r w:rsidR="00907ADF" w:rsidRPr="00907ADF">
        <w:t>(Aziz dan Arnold 2003)</w:t>
      </w:r>
      <w:r w:rsidRPr="00B02F3C">
        <w:fldChar w:fldCharType="end"/>
      </w:r>
      <w:r w:rsidRPr="00B02F3C">
        <w:t xml:space="preserve">. Beyond merely stimulating economic growth </w:t>
      </w:r>
      <w:r w:rsidRPr="00B02F3C">
        <w:fldChar w:fldCharType="begin"/>
      </w:r>
      <w:r w:rsidR="00907ADF">
        <w:instrText xml:space="preserve"> ADDIN ZOTERO_ITEM CSL_CITATION {"citationID":"3qK5pMd8","properties":{"formattedCitation":"(Ali dan Alam 2012)","plainCitation":"(Ali dan Alam 2012)","noteIndex":0},"citationItems":[{"id":115,"uris":["http://zotero.org/users/local/AXpBhYh1/items/GKIT59XR"],"itemData":{"id":115,"type":"book","event-place":"Bandung","publisher":"Refika Aditama","publisher-place":"Bandung","title":"Studi Kebijakan Pemerintah","author":[{"family":"Ali","given":"Faried"},{"family":"Alam","given":"Andi Syamsu"}],"issued":{"date-parts":[["2012"]]}}}],"schema":"https://github.com/citation-style-language/schema/raw/master/csl-citation.json"} </w:instrText>
      </w:r>
      <w:r w:rsidRPr="00B02F3C">
        <w:fldChar w:fldCharType="separate"/>
      </w:r>
      <w:r w:rsidR="00907ADF" w:rsidRPr="00907ADF">
        <w:t>(Ali dan Alam 2012)</w:t>
      </w:r>
      <w:r w:rsidRPr="00B02F3C">
        <w:fldChar w:fldCharType="end"/>
      </w:r>
      <w:r w:rsidRPr="00B02F3C">
        <w:t xml:space="preserve">, regional governments are increasingly engaging in religious education. One notable example of such an initiative is the direct involvement of local governments in the management of Islamic religious education, particularly Madrasah Diniyah Takmiliyah. Many local governments have issued regional regulations (Perda) or mayoral/regent decrees to enhance the effectiveness and efficiency of madrasah diniyah in supporting regional development goals </w:t>
      </w:r>
      <w:r w:rsidRPr="00B02F3C">
        <w:fldChar w:fldCharType="begin"/>
      </w:r>
      <w:r w:rsidR="00907ADF">
        <w:instrText xml:space="preserve"> ADDIN ZOTERO_ITEM CSL_CITATION {"citationID":"uFaTD7KS","properties":{"formattedCitation":"(Ismail 2017)","plainCitation":"(Ismail 2017)","noteIndex":0},"citationItems":[{"id":131,"uris":["http://zotero.org/users/local/AXpBhYh1/items/LQNZB9KF"],"itemData":{"id":131,"type":"thesis","event-place":"Surabaya","genre":"Dissertatioan","publisher":"UIN Sunan Ampel Surabaya, Indonesia","publisher-place":"Surabaya","title":"Politik Pendidikan Islam Di Daerah: Analisis Kebijakan Pemerintah Provinsi Jawa Timur Dalam Pengembangan Madrasah Diniyah","author":[{"family":"Ismail","given":"Ismail"}],"issued":{"date-parts":[["2017"]]}}}],"schema":"https://github.com/citation-style-language/schema/raw/master/csl-citation.json"} </w:instrText>
      </w:r>
      <w:r w:rsidRPr="00B02F3C">
        <w:fldChar w:fldCharType="separate"/>
      </w:r>
      <w:r w:rsidR="00907ADF" w:rsidRPr="00907ADF">
        <w:t>(Ismail 2017)</w:t>
      </w:r>
      <w:r w:rsidRPr="00B02F3C">
        <w:fldChar w:fldCharType="end"/>
      </w:r>
      <w:r w:rsidRPr="00B02F3C">
        <w:t>.</w:t>
      </w:r>
    </w:p>
    <w:p w14:paraId="4C85B390" w14:textId="77777777" w:rsidR="00B02F3C" w:rsidRPr="00B02F3C" w:rsidRDefault="00B02F3C" w:rsidP="00907ADF">
      <w:pPr>
        <w:ind w:firstLine="720"/>
        <w:jc w:val="both"/>
      </w:pPr>
      <w:r w:rsidRPr="00B02F3C">
        <w:t xml:space="preserve">A similar approach has been taken by the Sampang Regency Government, which, in 2019, enacted Regional Regulation No. 7 concerning madrasah diniyah takmiliyah. This regulation signifies the government's </w:t>
      </w:r>
      <w:r w:rsidRPr="00B02F3C">
        <w:rPr>
          <w:i/>
          <w:iCs/>
        </w:rPr>
        <w:t>sense of crisis</w:t>
      </w:r>
      <w:r w:rsidRPr="00B02F3C">
        <w:t xml:space="preserve"> regarding madrasah diniyah and reflects its </w:t>
      </w:r>
      <w:r w:rsidRPr="00B02F3C">
        <w:rPr>
          <w:i/>
          <w:iCs/>
        </w:rPr>
        <w:t>political will</w:t>
      </w:r>
      <w:r w:rsidRPr="00B02F3C">
        <w:t xml:space="preserve"> and </w:t>
      </w:r>
      <w:r w:rsidRPr="00B02F3C">
        <w:rPr>
          <w:i/>
          <w:iCs/>
        </w:rPr>
        <w:t>political action</w:t>
      </w:r>
      <w:r w:rsidRPr="00B02F3C">
        <w:t xml:space="preserve"> in responding to community needs. Although madrasah diniyah operates within the community, this does not preclude local government contributions. In fact, under regional autonomy, local governments have greater flexibility to innovate and align governance with evolving social dynamics </w:t>
      </w:r>
      <w:r w:rsidRPr="00B02F3C">
        <w:fldChar w:fldCharType="begin"/>
      </w:r>
      <w:r w:rsidR="00907ADF">
        <w:instrText xml:space="preserve"> ADDIN ZOTERO_ITEM CSL_CITATION {"citationID":"XHJzIeSJ","properties":{"formattedCitation":"(Aziz dan Arnold 2003)","plainCitation":"(Aziz dan Arnold 2003)","noteIndex":0},"citationItems":[{"id":103,"uris":["http://zotero.org/users/local/AXpBhYh1/items/F6AQYMBK"],"itemData":{"id":103,"type":"book","event-place":"Bantul","publisher":"Pustaka Edukasi","publisher-place":"Bantul","title":"Desentralisasi Pemerintahan: Pengalaman Negara-Negara Asia","author":[{"family":"Aziz","given":"Abdul"},{"family":"Arnold","given":"David"}],"issued":{"date-parts":[["2003"]]}}}],"schema":"https://github.com/citation-style-language/schema/raw/master/csl-citation.json"} </w:instrText>
      </w:r>
      <w:r w:rsidRPr="00B02F3C">
        <w:fldChar w:fldCharType="separate"/>
      </w:r>
      <w:r w:rsidR="00907ADF" w:rsidRPr="00907ADF">
        <w:t>(Aziz dan Arnold 2003)</w:t>
      </w:r>
      <w:r w:rsidRPr="00B02F3C">
        <w:fldChar w:fldCharType="end"/>
      </w:r>
      <w:r w:rsidRPr="00B02F3C">
        <w:t>.</w:t>
      </w:r>
    </w:p>
    <w:p w14:paraId="4046747A" w14:textId="77777777" w:rsidR="00B02F3C" w:rsidRPr="00B02F3C" w:rsidRDefault="00B02F3C" w:rsidP="00907ADF">
      <w:pPr>
        <w:ind w:firstLine="720"/>
        <w:jc w:val="both"/>
      </w:pPr>
      <w:r w:rsidRPr="00B02F3C">
        <w:t xml:space="preserve">However, the local government's role in religious education policy is not universally accepted as a governance consensus </w:t>
      </w:r>
      <w:r w:rsidRPr="00B02F3C">
        <w:fldChar w:fldCharType="begin"/>
      </w:r>
      <w:r w:rsidR="00907ADF">
        <w:instrText xml:space="preserve"> ADDIN ZOTERO_ITEM CSL_CITATION {"citationID":"P7LvVA0g","properties":{"formattedCitation":"(Danisworo 2023)","plainCitation":"(Danisworo 2023)","noteIndex":0},"citationItems":[{"id":156,"uris":["http://zotero.org/users/local/AXpBhYh1/items/2JBF6JDR"],"itemData":{"id":156,"type":"article-journal","abstract":"The condition of freedom of religion/belief in Indonesia is in a position that has the potential to disrupt social cohesion and religious harmony. Those threats and challenges are triggered by the structural condition of state policy and cultural condition of society. This research aims to provide an overview of the condition of religious harmony in Indonesia and analyze the structural and cultural problems that affect the condition of religious harmony in Indonesia. In analyzing this article, the author uses the concept of governing religion and security community. The method used in this research is descriptive qualitative using a library research approach through collecting and analyzing materials related to the research. The results of this study indicate that there are structural and cultural problems in religious harmony in Indonesia. The government is trying to formulate policies to manage religious harmony to maintain social stability in society, but these efforts have not been maximized and tend to have a negative impact on socio-cultural relations between religious communities in Indonesia which tend to trigger conflicts between religious communities in Indonesia.","container-title":"Aliansi: Jurnal Politik, Keamanan Dan Hubungan Internasional","DOI":"10.24198/aliansi.v2i2.43996","ISSN":"2829-1794","issue":"2","journalAbbreviation":"aliansi","language":"en","page":"76","source":"DOI.org (Crossref)","title":"GOVERNING RELIGION: Critics of Indonesia's Government Social Cohesion and Religious Harmony Policy","title-short":"GOVERNING RELIGION","volume":"2","author":[{"family":"Danisworo","given":"Tunggul Ganggas"}],"issued":{"date-parts":[["2023",8,23]]}}}],"schema":"https://github.com/citation-style-language/schema/raw/master/csl-citation.json"} </w:instrText>
      </w:r>
      <w:r w:rsidRPr="00B02F3C">
        <w:fldChar w:fldCharType="separate"/>
      </w:r>
      <w:r w:rsidR="00907ADF" w:rsidRPr="00907ADF">
        <w:t>(Danisworo 2023)</w:t>
      </w:r>
      <w:r w:rsidRPr="00B02F3C">
        <w:fldChar w:fldCharType="end"/>
      </w:r>
      <w:r w:rsidRPr="00B02F3C">
        <w:t xml:space="preserve">. Islamic religious education remains outside the jurisdiction of regional autonomy and authority delegation </w:t>
      </w:r>
      <w:r w:rsidRPr="00B02F3C">
        <w:fldChar w:fldCharType="begin"/>
      </w:r>
      <w:r w:rsidR="00907ADF">
        <w:instrText xml:space="preserve"> ADDIN ZOTERO_ITEM CSL_CITATION {"citationID":"QGyjHBsh","properties":{"formattedCitation":"(Danisworo 2023)","plainCitation":"(Danisworo 2023)","noteIndex":0},"citationItems":[{"id":156,"uris":["http://zotero.org/users/local/AXpBhYh1/items/2JBF6JDR"],"itemData":{"id":156,"type":"article-journal","abstract":"The condition of freedom of religion/belief in Indonesia is in a position that has the potential to disrupt social cohesion and religious harmony. Those threats and challenges are triggered by the structural condition of state policy and cultural condition of society. This research aims to provide an overview of the condition of religious harmony in Indonesia and analyze the structural and cultural problems that affect the condition of religious harmony in Indonesia. In analyzing this article, the author uses the concept of governing religion and security community. The method used in this research is descriptive qualitative using a library research approach through collecting and analyzing materials related to the research. The results of this study indicate that there are structural and cultural problems in religious harmony in Indonesia. The government is trying to formulate policies to manage religious harmony to maintain social stability in society, but these efforts have not been maximized and tend to have a negative impact on socio-cultural relations between religious communities in Indonesia which tend to trigger conflicts between religious communities in Indonesia.","container-title":"Aliansi: Jurnal Politik, Keamanan Dan Hubungan Internasional","DOI":"10.24198/aliansi.v2i2.43996","ISSN":"2829-1794","issue":"2","journalAbbreviation":"aliansi","language":"en","page":"76","source":"DOI.org (Crossref)","title":"GOVERNING RELIGION: Critics of Indonesia's Government Social Cohesion and Religious Harmony Policy","title-short":"GOVERNING RELIGION","volume":"2","author":[{"family":"Danisworo","given":"Tunggul Ganggas"}],"issued":{"date-parts":[["2023",8,23]]}}}],"schema":"https://github.com/citation-style-language/schema/raw/master/csl-citation.json"} </w:instrText>
      </w:r>
      <w:r w:rsidRPr="00B02F3C">
        <w:fldChar w:fldCharType="separate"/>
      </w:r>
      <w:r w:rsidR="00907ADF" w:rsidRPr="00907ADF">
        <w:t>(Danisworo 2023)</w:t>
      </w:r>
      <w:r w:rsidRPr="00B02F3C">
        <w:fldChar w:fldCharType="end"/>
      </w:r>
      <w:r w:rsidRPr="00B02F3C">
        <w:t xml:space="preserve">. Under Law No. 23/2014 on Regional Government, six sectors remain centralized: defense and security, judiciary, international relations, religion, fiscal and monetary policy, and agrarian affairs. This means that local governments lack full jurisdiction over the administration of Islamic religious education. Nevertheless, in practice, district and city governments have increasingly engaged with Islamic religious education, issuing regional regulations, mayoral decrees, budget programs, and other initiatives. This paradox raises critical questions, motivating further investigation </w:t>
      </w:r>
      <w:r w:rsidRPr="00B02F3C">
        <w:fldChar w:fldCharType="begin"/>
      </w:r>
      <w:r w:rsidR="00907ADF">
        <w:instrText xml:space="preserve"> ADDIN ZOTERO_ITEM CSL_CITATION {"citationID":"cbL9Plox","properties":{"formattedCitation":"(Danisworo 2023)","plainCitation":"(Danisworo 2023)","noteIndex":0},"citationItems":[{"id":156,"uris":["http://zotero.org/users/local/AXpBhYh1/items/2JBF6JDR"],"itemData":{"id":156,"type":"article-journal","abstract":"The condition of freedom of religion/belief in Indonesia is in a position that has the potential to disrupt social cohesion and religious harmony. Those threats and challenges are triggered by the structural condition of state policy and cultural condition of society. This research aims to provide an overview of the condition of religious harmony in Indonesia and analyze the structural and cultural problems that affect the condition of religious harmony in Indonesia. In analyzing this article, the author uses the concept of governing religion and security community. The method used in this research is descriptive qualitative using a library research approach through collecting and analyzing materials related to the research. The results of this study indicate that there are structural and cultural problems in religious harmony in Indonesia. The government is trying to formulate policies to manage religious harmony to maintain social stability in society, but these efforts have not been maximized and tend to have a negative impact on socio-cultural relations between religious communities in Indonesia which tend to trigger conflicts between religious communities in Indonesia.","container-title":"Aliansi: Jurnal Politik, Keamanan Dan Hubungan Internasional","DOI":"10.24198/aliansi.v2i2.43996","ISSN":"2829-1794","issue":"2","journalAbbreviation":"aliansi","language":"en","page":"76","source":"DOI.org (Crossref)","title":"GOVERNING RELIGION: Critics of Indonesia's Government Social Cohesion and Religious Harmony Policy","title-short":"GOVERNING RELIGION","volume":"2","author":[{"family":"Danisworo","given":"Tunggul Ganggas"}],"issued":{"date-parts":[["2023",8,23]]}}}],"schema":"https://github.com/citation-style-language/schema/raw/master/csl-citation.json"} </w:instrText>
      </w:r>
      <w:r w:rsidRPr="00B02F3C">
        <w:fldChar w:fldCharType="separate"/>
      </w:r>
      <w:r w:rsidR="00907ADF" w:rsidRPr="00907ADF">
        <w:t>(Danisworo 2023)</w:t>
      </w:r>
      <w:r w:rsidRPr="00B02F3C">
        <w:fldChar w:fldCharType="end"/>
      </w:r>
      <w:r w:rsidRPr="00B02F3C">
        <w:t>.</w:t>
      </w:r>
    </w:p>
    <w:p w14:paraId="69EF4C00" w14:textId="77777777" w:rsidR="00B02F3C" w:rsidRPr="00B02F3C" w:rsidRDefault="00B02F3C" w:rsidP="00907ADF">
      <w:pPr>
        <w:ind w:firstLine="720"/>
        <w:jc w:val="both"/>
      </w:pPr>
      <w:r w:rsidRPr="00B02F3C">
        <w:t xml:space="preserve">Sampang Regency, located on Madura Island, is characterized by its deeply religious community, as evidenced by the prevalence of Islamic educational institutions both in quantity and quality. According to the East Java Provincial Education Office, Sampang Regency is home to 1,210 </w:t>
      </w:r>
      <w:r w:rsidRPr="00B02F3C">
        <w:lastRenderedPageBreak/>
        <w:t xml:space="preserve">madrasah diniyah ula and wustha, serving 156,802 students </w:t>
      </w:r>
      <w:r w:rsidRPr="00B02F3C">
        <w:fldChar w:fldCharType="begin"/>
      </w:r>
      <w:r w:rsidR="00907ADF">
        <w:instrText xml:space="preserve"> ADDIN ZOTERO_ITEM CSL_CITATION {"citationID":"YuWTxOZD","properties":{"formattedCitation":"(Ismail 2017)","plainCitation":"(Ismail 2017)","noteIndex":0},"citationItems":[{"id":131,"uris":["http://zotero.org/users/local/AXpBhYh1/items/LQNZB9KF"],"itemData":{"id":131,"type":"thesis","event-place":"Surabaya","genre":"Dissertatioan","publisher":"UIN Sunan Ampel Surabaya, Indonesia","publisher-place":"Surabaya","title":"Politik Pendidikan Islam Di Daerah: Analisis Kebijakan Pemerintah Provinsi Jawa Timur Dalam Pengembangan Madrasah Diniyah","author":[{"family":"Ismail","given":"Ismail"}],"issued":{"date-parts":[["2017"]]}}}],"schema":"https://github.com/citation-style-language/schema/raw/master/csl-citation.json"} </w:instrText>
      </w:r>
      <w:r w:rsidRPr="00B02F3C">
        <w:fldChar w:fldCharType="separate"/>
      </w:r>
      <w:r w:rsidR="00907ADF" w:rsidRPr="00907ADF">
        <w:t>(Ismail 2017)</w:t>
      </w:r>
      <w:r w:rsidRPr="00B02F3C">
        <w:fldChar w:fldCharType="end"/>
      </w:r>
      <w:r w:rsidRPr="00B02F3C">
        <w:t xml:space="preserve">. This highlights the strategic role of madrasah diniyah in Sampang Regency, given its extensive community involvement. Consequently, the local government’s policies regarding madrasah diniyah significantly impact a substantial segment of the population </w:t>
      </w:r>
      <w:r w:rsidRPr="00B02F3C">
        <w:fldChar w:fldCharType="begin"/>
      </w:r>
      <w:r w:rsidR="00907ADF">
        <w:instrText xml:space="preserve"> ADDIN ZOTERO_ITEM CSL_CITATION {"citationID":"oR42kQFM","properties":{"formattedCitation":"(Ashari dkk. 2023)","plainCitation":"(Ashari dkk. 2023)","noteIndex":0},"citationItems":[{"id":158,"uris":["http://zotero.org/users/local/AXpBhYh1/items/IEVMA5BL"],"itemData":{"id":158,"type":"article-journal","abstract":"The implementation of madrasah diniyah takmiliyah (MDT) is very dynamic in its history, established before this country was not born until now it still exists in the midst of community life and has contributed a lot to the nation as an institution that concentrates on Islamic studies. Although it has been established for a long time, madrasah diniyah has only recently received recognition from the government through the issuance of Law No. 20 of 2003 concerning the national education system and also the issuance of Government Regulation No. 55 of 2007 concerning religious education and religious education. This study examines local government policies related to the implementation of madrasah diniyah takmiliyah as part of the implementation of these two government policies. This study uses a systematic literature review (SLR) approach, which is a method used to identify, verify and classify relevant data findings into discussion themes. The result of this study is that the policies that have been established by the government have not fully guaranteed the vital role of the government (central and local) towards the implementation of education in madrasah diniyah, the lack of government attention is one of the reasons for the lack of development of MDT until now. In some regions, there is a policy to integrate MDT into formal schools, this aims to increase the role and existence of MDT and affirm its role as an Islamic educational institution that produces religious and characterized graduates.","container-title":"Tafkir: Interdisciplinary Journal of Islamic Education","DOI":"10.31538/tijie.v4i3.411","ISSN":"2723-4975","issue":"3","journalAbbreviation":"tijie","language":"en","license":"https://creativecommons.org/licenses/by-sa/4.0","page":"414-429","source":"DOI.org (Crossref)","title":"Considering Local Government Policies Related to Madrasah Diniyah Takmiliyah in Indonesia","volume":"4","author":[{"family":"Ashari","given":"Muhammad Khakim"},{"family":"Faizin","given":"Moh"},{"family":"Yudi","given":"Usman"},{"family":"Aziz","given":"Yahya"},{"family":"Irhamni","given":"Hadi"},{"family":"Athoillah","given":"Sukijan"}],"issued":{"date-parts":[["2023",7,22]]}}}],"schema":"https://github.com/citation-style-language/schema/raw/master/csl-citation.json"} </w:instrText>
      </w:r>
      <w:r w:rsidRPr="00B02F3C">
        <w:fldChar w:fldCharType="separate"/>
      </w:r>
      <w:r w:rsidR="00907ADF" w:rsidRPr="00907ADF">
        <w:t>(Ashari dkk. 2023)</w:t>
      </w:r>
      <w:r w:rsidRPr="00B02F3C">
        <w:fldChar w:fldCharType="end"/>
      </w:r>
      <w:r w:rsidRPr="00B02F3C">
        <w:t>.</w:t>
      </w:r>
    </w:p>
    <w:p w14:paraId="1C439A7B" w14:textId="77777777" w:rsidR="00B02F3C" w:rsidRPr="00B02F3C" w:rsidRDefault="00B02F3C" w:rsidP="00907ADF">
      <w:pPr>
        <w:ind w:firstLine="720"/>
        <w:jc w:val="both"/>
      </w:pPr>
      <w:r w:rsidRPr="00B02F3C">
        <w:t xml:space="preserve">Given this, a thorough examination of the regulation is essential to understand its background, objectives, strategies, substance, and impact </w:t>
      </w:r>
      <w:r w:rsidRPr="00B02F3C">
        <w:fldChar w:fldCharType="begin"/>
      </w:r>
      <w:r w:rsidR="00907ADF">
        <w:instrText xml:space="preserve"> ADDIN ZOTERO_ITEM CSL_CITATION {"citationID":"O32rE0td","properties":{"formattedCitation":"(Ali dan Alam 2012)","plainCitation":"(Ali dan Alam 2012)","noteIndex":0},"citationItems":[{"id":115,"uris":["http://zotero.org/users/local/AXpBhYh1/items/GKIT59XR"],"itemData":{"id":115,"type":"book","event-place":"Bandung","publisher":"Refika Aditama","publisher-place":"Bandung","title":"Studi Kebijakan Pemerintah","author":[{"family":"Ali","given":"Faried"},{"family":"Alam","given":"Andi Syamsu"}],"issued":{"date-parts":[["2012"]]}}}],"schema":"https://github.com/citation-style-language/schema/raw/master/csl-citation.json"} </w:instrText>
      </w:r>
      <w:r w:rsidRPr="00B02F3C">
        <w:fldChar w:fldCharType="separate"/>
      </w:r>
      <w:r w:rsidR="00907ADF" w:rsidRPr="00907ADF">
        <w:t>(Ali dan Alam 2012)</w:t>
      </w:r>
      <w:r w:rsidRPr="00B02F3C">
        <w:fldChar w:fldCharType="end"/>
      </w:r>
      <w:r w:rsidRPr="00B02F3C">
        <w:t>. Therefore, this research is of strategic importance both in terms of policy theory and the operational development of madrasah diniyah.</w:t>
      </w:r>
    </w:p>
    <w:p w14:paraId="688A2B89" w14:textId="77777777" w:rsidR="00B02F3C" w:rsidRPr="00B02F3C" w:rsidRDefault="00B02F3C" w:rsidP="00B02F3C">
      <w:pPr>
        <w:ind w:firstLine="720"/>
        <w:jc w:val="both"/>
      </w:pPr>
      <w:r w:rsidRPr="00B02F3C">
        <w:t>A crucial aspect of this study is examining the background behind the enactment of this regional regulation (</w:t>
      </w:r>
      <w:r w:rsidRPr="00B02F3C">
        <w:rPr>
          <w:i/>
          <w:iCs/>
        </w:rPr>
        <w:t>Perdakab</w:t>
      </w:r>
      <w:r w:rsidRPr="00B02F3C">
        <w:t xml:space="preserve">), as the issuance and ratification of a </w:t>
      </w:r>
      <w:r w:rsidRPr="00B02F3C">
        <w:rPr>
          <w:i/>
          <w:iCs/>
        </w:rPr>
        <w:t>Perdakab</w:t>
      </w:r>
      <w:r w:rsidRPr="00B02F3C">
        <w:t xml:space="preserve"> is typically a response to one or more prevailing situations. The same applies to </w:t>
      </w:r>
      <w:r w:rsidRPr="00B02F3C">
        <w:rPr>
          <w:i/>
          <w:iCs/>
        </w:rPr>
        <w:t>Perdakab</w:t>
      </w:r>
      <w:r w:rsidRPr="00B02F3C">
        <w:t xml:space="preserve"> Sampang No. 7 of 2019. The researchers assume that an urgent matter prompted the Sampang Regency Government to issue this regulation.</w:t>
      </w:r>
    </w:p>
    <w:p w14:paraId="17B51238" w14:textId="77777777" w:rsidR="00B02F3C" w:rsidRPr="00B02F3C" w:rsidRDefault="00B02F3C" w:rsidP="00B02F3C">
      <w:pPr>
        <w:ind w:firstLine="720"/>
        <w:jc w:val="both"/>
      </w:pPr>
      <w:r w:rsidRPr="00B02F3C">
        <w:t>One of the key local government policies that possess legal standing within the legislative hierarchy is the regional regulation (</w:t>
      </w:r>
      <w:r w:rsidRPr="00B02F3C">
        <w:rPr>
          <w:i/>
          <w:iCs/>
        </w:rPr>
        <w:t>Perda</w:t>
      </w:r>
      <w:r w:rsidRPr="00B02F3C">
        <w:t xml:space="preserve">). According to Law No. 12/2011 on the Formation of Legislation, as amended by Law No. 15/2019, </w:t>
      </w:r>
      <w:r w:rsidRPr="00B02F3C">
        <w:rPr>
          <w:i/>
          <w:iCs/>
        </w:rPr>
        <w:t>Perda</w:t>
      </w:r>
      <w:r w:rsidRPr="00B02F3C">
        <w:t xml:space="preserve"> is classified into two types: </w:t>
      </w:r>
      <w:r w:rsidRPr="00B02F3C">
        <w:rPr>
          <w:i/>
          <w:iCs/>
        </w:rPr>
        <w:t>Perdaprov</w:t>
      </w:r>
      <w:r w:rsidRPr="00B02F3C">
        <w:t xml:space="preserve"> (Provincial Regional Regulation) and </w:t>
      </w:r>
      <w:r w:rsidRPr="00B02F3C">
        <w:rPr>
          <w:i/>
          <w:iCs/>
        </w:rPr>
        <w:t>Perdakab</w:t>
      </w:r>
      <w:r w:rsidRPr="00B02F3C">
        <w:t>/</w:t>
      </w:r>
      <w:r w:rsidRPr="00B02F3C">
        <w:rPr>
          <w:i/>
          <w:iCs/>
        </w:rPr>
        <w:t>Perdakot</w:t>
      </w:r>
      <w:r w:rsidRPr="00B02F3C">
        <w:t xml:space="preserve"> (Regency/City Regional Regulation). </w:t>
      </w:r>
      <w:r w:rsidRPr="00B02F3C">
        <w:rPr>
          <w:i/>
          <w:iCs/>
        </w:rPr>
        <w:t>Perdaprov</w:t>
      </w:r>
      <w:r w:rsidRPr="00B02F3C">
        <w:t xml:space="preserve"> refers to legislative regulations jointly formulated by the governor and the Provincial House of Representatives (</w:t>
      </w:r>
      <w:r w:rsidRPr="00B02F3C">
        <w:rPr>
          <w:i/>
          <w:iCs/>
        </w:rPr>
        <w:t>DPRD Provinsi</w:t>
      </w:r>
      <w:r w:rsidRPr="00B02F3C">
        <w:t xml:space="preserve">), whereas </w:t>
      </w:r>
      <w:r w:rsidRPr="00B02F3C">
        <w:rPr>
          <w:i/>
          <w:iCs/>
        </w:rPr>
        <w:t>Perdakab</w:t>
      </w:r>
      <w:r w:rsidRPr="00B02F3C">
        <w:t>/</w:t>
      </w:r>
      <w:r w:rsidRPr="00B02F3C">
        <w:rPr>
          <w:i/>
          <w:iCs/>
        </w:rPr>
        <w:t>Perdakot</w:t>
      </w:r>
      <w:r w:rsidRPr="00B02F3C">
        <w:t xml:space="preserve"> is a legislative regulation jointly established by the regent/mayor and the Regency/City House of Representatives (</w:t>
      </w:r>
      <w:r w:rsidRPr="00B02F3C">
        <w:rPr>
          <w:i/>
          <w:iCs/>
        </w:rPr>
        <w:t>DPRD Kabupaten/Kota</w:t>
      </w:r>
      <w:r w:rsidRPr="00B02F3C">
        <w:t>).</w:t>
      </w:r>
    </w:p>
    <w:p w14:paraId="1888B3F4" w14:textId="77777777" w:rsidR="00B02F3C" w:rsidRPr="00B02F3C" w:rsidRDefault="00B02F3C" w:rsidP="00B02F3C">
      <w:pPr>
        <w:ind w:firstLine="720"/>
        <w:jc w:val="both"/>
      </w:pPr>
      <w:r w:rsidRPr="00B02F3C">
        <w:t xml:space="preserve">In the legislative hierarchy, </w:t>
      </w:r>
      <w:r w:rsidRPr="00B02F3C">
        <w:rPr>
          <w:i/>
          <w:iCs/>
        </w:rPr>
        <w:t>Perda</w:t>
      </w:r>
      <w:r w:rsidRPr="00B02F3C">
        <w:t xml:space="preserve"> ranks below presidential regulations, signifying its legitimacy as a lawfully recognized regulation. Thus, a </w:t>
      </w:r>
      <w:r w:rsidRPr="00B02F3C">
        <w:rPr>
          <w:i/>
          <w:iCs/>
        </w:rPr>
        <w:t>Perda</w:t>
      </w:r>
      <w:r w:rsidRPr="00B02F3C">
        <w:t xml:space="preserve"> constitutes a policy derived from a political process at the regional governance level, where the executive leadership of the local government and the regional legislative body play direct roles. Consequently, the existence of a regency-level </w:t>
      </w:r>
      <w:r w:rsidRPr="00B02F3C">
        <w:rPr>
          <w:i/>
          <w:iCs/>
        </w:rPr>
        <w:t>Perda</w:t>
      </w:r>
      <w:r w:rsidRPr="00B02F3C">
        <w:t xml:space="preserve"> is inherently linked to interactions between the regent, legislative representatives in the </w:t>
      </w:r>
      <w:r w:rsidRPr="00B02F3C">
        <w:rPr>
          <w:i/>
          <w:iCs/>
        </w:rPr>
        <w:t>DPRD</w:t>
      </w:r>
      <w:r w:rsidRPr="00B02F3C">
        <w:t>, and the public.</w:t>
      </w:r>
    </w:p>
    <w:p w14:paraId="4F6C67AA" w14:textId="77777777" w:rsidR="00B02F3C" w:rsidRPr="00B02F3C" w:rsidRDefault="00B02F3C" w:rsidP="00B02F3C">
      <w:pPr>
        <w:jc w:val="both"/>
        <w:rPr>
          <w:b/>
          <w:lang w:val="id-ID"/>
        </w:rPr>
      </w:pPr>
    </w:p>
    <w:p w14:paraId="0CD1BE4D" w14:textId="77777777" w:rsidR="00B02F3C" w:rsidRPr="00B02F3C" w:rsidRDefault="00B02F3C" w:rsidP="002847C4">
      <w:pPr>
        <w:pStyle w:val="Heading1"/>
        <w:numPr>
          <w:ilvl w:val="0"/>
          <w:numId w:val="2"/>
        </w:numPr>
        <w:tabs>
          <w:tab w:val="left" w:pos="386"/>
        </w:tabs>
        <w:rPr>
          <w:b w:val="0"/>
          <w:sz w:val="22"/>
          <w:szCs w:val="22"/>
        </w:rPr>
      </w:pPr>
      <w:r w:rsidRPr="002847C4">
        <w:rPr>
          <w:spacing w:val="-2"/>
          <w:w w:val="105"/>
        </w:rPr>
        <w:t>SUBSTANCE</w:t>
      </w:r>
      <w:r w:rsidRPr="002847C4">
        <w:rPr>
          <w:sz w:val="22"/>
          <w:szCs w:val="22"/>
        </w:rPr>
        <w:t xml:space="preserve"> OF REGIONAL REGULATION NO. 7 OF 2019 ON</w:t>
      </w:r>
      <w:r w:rsidRPr="00B02F3C">
        <w:rPr>
          <w:sz w:val="22"/>
          <w:szCs w:val="22"/>
        </w:rPr>
        <w:t xml:space="preserve"> MADRASAH DINIYAH TAKMILIYAH</w:t>
      </w:r>
    </w:p>
    <w:p w14:paraId="657E45C5" w14:textId="77777777" w:rsidR="00B02F3C" w:rsidRPr="00B02F3C" w:rsidRDefault="00B02F3C" w:rsidP="00907ADF">
      <w:pPr>
        <w:ind w:firstLine="720"/>
        <w:jc w:val="both"/>
      </w:pPr>
      <w:r w:rsidRPr="00B02F3C">
        <w:t xml:space="preserve">An analysis of the local government’s policy on the administration of Islamic religious education reveals four critical aspects that serve as the focus of the local government’s efforts to improve the quality of Islamic religious education. These four aspects include: (1) Curriculum and educational materials in Islamic religious education, (2) Competency development for educators, (3) Welfare of educators, and (4) Provision of educational facilities and infrastructure </w:t>
      </w:r>
      <w:r w:rsidRPr="00B02F3C">
        <w:fldChar w:fldCharType="begin"/>
      </w:r>
      <w:r w:rsidR="00907ADF">
        <w:instrText xml:space="preserve"> ADDIN ZOTERO_ITEM CSL_CITATION {"citationID":"WAbiE32T","properties":{"formattedCitation":"(Ismail dan Fauzi 2022)","plainCitation":"(Ismail dan Fauzi 2022)","noteIndex":0},"citationItems":[{"id":132,"uris":["http://zotero.org/users/local/AXpBhYh1/items/4P734AZK"],"itemData":{"id":132,"type":"article-journal","container-title":"FIKROTUNA: Jurnal Pendidikan Dan Manajemen Islam","issue":"1","title":"ISLAMIC EDUCATION AND DECENTRALIZATION OF GOVERNMENT Study of Local Government Policy in the Implementation of Islamic Religious Education in Indonesia","volume":"15","author":[{"family":"Ismail","given":"Ismail"},{"family":"Fauzi","given":"Ahmad"}],"issued":{"date-parts":[["2022"]]}}}],"schema":"https://github.com/citation-style-language/schema/raw/master/csl-citation.json"} </w:instrText>
      </w:r>
      <w:r w:rsidRPr="00B02F3C">
        <w:fldChar w:fldCharType="separate"/>
      </w:r>
      <w:r w:rsidR="00907ADF" w:rsidRPr="00907ADF">
        <w:t>(Ismail dan Fauzi 2022)</w:t>
      </w:r>
      <w:r w:rsidRPr="00B02F3C">
        <w:fldChar w:fldCharType="end"/>
      </w:r>
      <w:r w:rsidRPr="00B02F3C">
        <w:t>.</w:t>
      </w:r>
    </w:p>
    <w:p w14:paraId="38478071" w14:textId="77777777" w:rsidR="00B02F3C" w:rsidRPr="00B02F3C" w:rsidRDefault="00B02F3C" w:rsidP="00907ADF">
      <w:pPr>
        <w:ind w:firstLine="720"/>
        <w:jc w:val="both"/>
      </w:pPr>
      <w:r w:rsidRPr="00B02F3C">
        <w:t xml:space="preserve">Both regional regulations and regent/mayoral regulations stipulate the necessary educational content that should be delivered to students. This is done to ensure that the community receives a guaranteed quality of Islamic religious education aligned with the intended educational objectives. </w:t>
      </w:r>
      <w:r w:rsidRPr="00B02F3C">
        <w:lastRenderedPageBreak/>
        <w:t xml:space="preserve">Educational administrators also benefit from these curriculum provisions, as they provide a legal framework for the operational aspects of religious education </w:t>
      </w:r>
      <w:r w:rsidRPr="00B02F3C">
        <w:fldChar w:fldCharType="begin"/>
      </w:r>
      <w:r w:rsidR="00907ADF">
        <w:instrText xml:space="preserve"> ADDIN ZOTERO_ITEM CSL_CITATION {"citationID":"ERtoZM4p","properties":{"formattedCitation":"(Ismail dan Fauzi 2022)","plainCitation":"(Ismail dan Fauzi 2022)","noteIndex":0},"citationItems":[{"id":132,"uris":["http://zotero.org/users/local/AXpBhYh1/items/4P734AZK"],"itemData":{"id":132,"type":"article-journal","container-title":"FIKROTUNA: Jurnal Pendidikan Dan Manajemen Islam","issue":"1","title":"ISLAMIC EDUCATION AND DECENTRALIZATION OF GOVERNMENT Study of Local Government Policy in the Implementation of Islamic Religious Education in Indonesia","volume":"15","author":[{"family":"Ismail","given":"Ismail"},{"family":"Fauzi","given":"Ahmad"}],"issued":{"date-parts":[["2022"]]}}}],"schema":"https://github.com/citation-style-language/schema/raw/master/csl-citation.json"} </w:instrText>
      </w:r>
      <w:r w:rsidRPr="00B02F3C">
        <w:fldChar w:fldCharType="separate"/>
      </w:r>
      <w:r w:rsidR="00907ADF" w:rsidRPr="00907ADF">
        <w:t>(Ismail dan Fauzi 2022)</w:t>
      </w:r>
      <w:r w:rsidRPr="00B02F3C">
        <w:fldChar w:fldCharType="end"/>
      </w:r>
      <w:r w:rsidRPr="00B02F3C">
        <w:t>.</w:t>
      </w:r>
    </w:p>
    <w:p w14:paraId="2A173BC7" w14:textId="77777777" w:rsidR="00B02F3C" w:rsidRPr="00B02F3C" w:rsidRDefault="00B02F3C" w:rsidP="00907ADF">
      <w:pPr>
        <w:ind w:firstLine="720"/>
        <w:jc w:val="both"/>
      </w:pPr>
      <w:r w:rsidRPr="00B02F3C">
        <w:t xml:space="preserve">Additionally, the local government’s policy emphasizes improving teacher competency, enhancing educator welfare, and ensuring the availability of adequate educational infrastructure. These three components are deemed essential, as they directly influence curriculum implementation, the teaching-learning process, and the overall achievement of educational goals </w:t>
      </w:r>
      <w:r w:rsidRPr="00B02F3C">
        <w:fldChar w:fldCharType="begin"/>
      </w:r>
      <w:r w:rsidR="00907ADF">
        <w:instrText xml:space="preserve"> ADDIN ZOTERO_ITEM CSL_CITATION {"citationID":"yl12GZ0a","properties":{"formattedCitation":"(Haque dan David 2022)","plainCitation":"(Haque dan David 2022)","noteIndex":0},"citationItems":[{"id":160,"uris":["http://zotero.org/users/local/AXpBhYh1/items/NHEK8T2Z"],"itemData":{"id":160,"type":"article-journal","abstract":"The study aims to identify the barriers and provide remedies for effective curriculum implementation. The identified barriers from the literature review are divided into three categories: students, teachers, and management. An online survey was executed with 150 teachers at the same school to gain their insight on the subject. Besides, 15 heads were interviewed to see the similarities and dissimilarities in their opinions of teachers. For this reason, the study has adopted the mixed-method framework to trace the convergence and divergence in the findings. The online survey has helped gather quantitative data, which was further analysed by statistical methods. In addition, Qualitative data was collected through interviews, and thematic analysis was executed to interpret their responses. Finally, the join display chart format is employed to check the similarity and dissimilarity in their opinions. The finding indicates that heads are giving substantial significance to the teachers' curriculum knowledge and need for professional development. Also, they want higher management to think in this line. In contrast, teachers have shown inconsistency in their responses for both constructs and highlighted the issue of workload. To this end, the study suggests that higher-level management develop concrete and meaningful policies to overcome the barriers.","container-title":"International Journal of Curriculum and Instruction","issue":"1","language":"en","source":"Zotero","title":"Effective curriculum implementation for optimal teaching and learning experience: a study from a private school in Dubai","volume":"15","author":[{"family":"Haque","given":"Aaisha"},{"family":"David","given":"Solomon Arulraj"}],"issued":{"date-parts":[["2022"]]}}}],"schema":"https://github.com/citation-style-language/schema/raw/master/csl-citation.json"} </w:instrText>
      </w:r>
      <w:r w:rsidRPr="00B02F3C">
        <w:fldChar w:fldCharType="separate"/>
      </w:r>
      <w:r w:rsidR="00907ADF" w:rsidRPr="00907ADF">
        <w:t>(Haque dan David 2022)</w:t>
      </w:r>
      <w:r w:rsidRPr="00B02F3C">
        <w:fldChar w:fldCharType="end"/>
      </w:r>
      <w:r w:rsidRPr="00B02F3C">
        <w:t xml:space="preserve">. Consequently, the local government’s commitment to improving teacher competence, welfare, and infrastructure is highly relevant to efforts aimed at enhancing the quality of Islamic religious education. The main challenges faced by institutions providing Islamic education include low teacher competency, insufficient educational facilities and infrastructure, weak management, and limited operational and development funding </w:t>
      </w:r>
      <w:r w:rsidRPr="00B02F3C">
        <w:fldChar w:fldCharType="begin"/>
      </w:r>
      <w:r w:rsidR="00907ADF">
        <w:instrText xml:space="preserve"> ADDIN ZOTERO_ITEM CSL_CITATION {"citationID":"InMtlelO","properties":{"formattedCitation":"(Fathurrahman 2016)","plainCitation":"(Fathurrahman 2016)","noteIndex":0},"citationItems":[{"id":127,"uris":["http://zotero.org/users/local/AXpBhYh1/items/KXU9RSLB"],"itemData":{"id":127,"type":"article-journal","container-title":"Tanzhim: Jurnal Penelitian Manajemen Pendidikan","issue":"1","title":"Efektivitas Implementasi Kebijakan Penyelenggaraan Program Wajib Belajar Madrasah Diniyah Awaliyah Di Kabupaten Pandeglang","volume":"1","author":[{"family":"Fathurrahman","given":"M."}],"issued":{"date-parts":[["2016"]]}}}],"schema":"https://github.com/citation-style-language/schema/raw/master/csl-citation.json"} </w:instrText>
      </w:r>
      <w:r w:rsidRPr="00B02F3C">
        <w:fldChar w:fldCharType="separate"/>
      </w:r>
      <w:r w:rsidR="00907ADF" w:rsidRPr="00907ADF">
        <w:t>(Fathurrahman 2016)</w:t>
      </w:r>
      <w:r w:rsidRPr="00B02F3C">
        <w:fldChar w:fldCharType="end"/>
      </w:r>
      <w:r w:rsidRPr="00B02F3C">
        <w:t>. Ideally, both the Ministry of Religious Affairs (</w:t>
      </w:r>
      <w:r w:rsidRPr="00B02F3C">
        <w:rPr>
          <w:i/>
          <w:iCs/>
        </w:rPr>
        <w:t>Kemenag</w:t>
      </w:r>
      <w:r w:rsidRPr="00B02F3C">
        <w:t>) and local governments (</w:t>
      </w:r>
      <w:r w:rsidRPr="00B02F3C">
        <w:rPr>
          <w:i/>
          <w:iCs/>
        </w:rPr>
        <w:t>Pemda</w:t>
      </w:r>
      <w:r w:rsidRPr="00B02F3C">
        <w:t>) should take a more active role in addressing these issues. For instance, this could be achieved by providing funding for educational facilities and infrastructure, offering undergraduate (</w:t>
      </w:r>
      <w:r w:rsidRPr="00B02F3C">
        <w:rPr>
          <w:i/>
          <w:iCs/>
        </w:rPr>
        <w:t>S1</w:t>
      </w:r>
      <w:r w:rsidRPr="00B02F3C">
        <w:t xml:space="preserve">) scholarships for educators and school principals, and optimizing the role of educational supervisors </w:t>
      </w:r>
      <w:r w:rsidRPr="00B02F3C">
        <w:fldChar w:fldCharType="begin"/>
      </w:r>
      <w:r w:rsidR="00907ADF">
        <w:instrText xml:space="preserve"> ADDIN ZOTERO_ITEM CSL_CITATION {"citationID":"SJrxLgpt","properties":{"formattedCitation":"(Alia 2016)","plainCitation":"(Alia 2016)","noteIndex":0},"citationItems":[{"id":123,"uris":["http://zotero.org/users/local/AXpBhYh1/items/CTT2BSGE"],"itemData":{"id":123,"type":"article-journal","container-title":"Jurnal PENAMAS","issue":"3","title":"Madrasah Diniyah Takmiliyah Dalam Perspektif Standar Pelayanan Minimal Di Kabupaten Bogor","volume":"29","author":[{"family":"Alia","given":"Nur"}],"issued":{"date-parts":[["2016"]]}}}],"schema":"https://github.com/citation-style-language/schema/raw/master/csl-citation.json"} </w:instrText>
      </w:r>
      <w:r w:rsidRPr="00B02F3C">
        <w:fldChar w:fldCharType="separate"/>
      </w:r>
      <w:r w:rsidR="00907ADF" w:rsidRPr="00907ADF">
        <w:t>(Alia 2016)</w:t>
      </w:r>
      <w:r w:rsidRPr="00B02F3C">
        <w:fldChar w:fldCharType="end"/>
      </w:r>
      <w:r w:rsidRPr="00B02F3C">
        <w:t xml:space="preserve">. Strategic solutions to address challenges in Islamic religious education—including </w:t>
      </w:r>
      <w:r w:rsidRPr="00B02F3C">
        <w:rPr>
          <w:i/>
          <w:iCs/>
        </w:rPr>
        <w:t>madrasah diniyah</w:t>
      </w:r>
      <w:r w:rsidRPr="00B02F3C">
        <w:t xml:space="preserve"> and </w:t>
      </w:r>
      <w:r w:rsidRPr="00B02F3C">
        <w:rPr>
          <w:i/>
          <w:iCs/>
        </w:rPr>
        <w:t>pesantren</w:t>
      </w:r>
      <w:r w:rsidRPr="00B02F3C">
        <w:t xml:space="preserve">—include enhancing teacher competence, ensuring the availability of textbooks, strengthening supervision and monitoring, mapping educational institutions, and fostering synergy between provincial and district/city governments </w:t>
      </w:r>
      <w:r w:rsidRPr="00B02F3C">
        <w:fldChar w:fldCharType="begin"/>
      </w:r>
      <w:r w:rsidR="00907ADF">
        <w:instrText xml:space="preserve"> ADDIN ZOTERO_ITEM CSL_CITATION {"citationID":"fEzogeSt","properties":{"formattedCitation":"(Muhaemin 2012)","plainCitation":"(Muhaemin 2012)","noteIndex":0},"citationItems":[{"id":138,"uris":["http://zotero.org/users/local/AXpBhYh1/items/KA8DLSBU"],"itemData":{"id":138,"type":"article-journal","container-title":"INFERENSI: Jurnal Penelitian Sosial Keagamaan","issue":"2","title":"Problematika Madrasah Diniyah (MD) Di Kota Palopo Sulawesi Selatan Pasca Otonomi Daerah","volume":"6","author":[{"family":"Muhaemin","given":"Muhaemin"}],"issued":{"date-parts":[["2012"]]}}}],"schema":"https://github.com/citation-style-language/schema/raw/master/csl-citation.json"} </w:instrText>
      </w:r>
      <w:r w:rsidRPr="00B02F3C">
        <w:fldChar w:fldCharType="separate"/>
      </w:r>
      <w:r w:rsidR="00907ADF" w:rsidRPr="00907ADF">
        <w:t>(Muhaemin 2012)</w:t>
      </w:r>
      <w:r w:rsidRPr="00B02F3C">
        <w:fldChar w:fldCharType="end"/>
      </w:r>
      <w:r w:rsidRPr="00B02F3C">
        <w:t>.</w:t>
      </w:r>
    </w:p>
    <w:p w14:paraId="585D1B21" w14:textId="77777777" w:rsidR="00B02F3C" w:rsidRPr="00B02F3C" w:rsidRDefault="00B02F3C" w:rsidP="00B02F3C">
      <w:pPr>
        <w:ind w:firstLine="720"/>
        <w:jc w:val="both"/>
      </w:pPr>
      <w:r w:rsidRPr="00B02F3C">
        <w:t xml:space="preserve">The policy substance of the Sampang Regency Government can be classified into six key aspects: 1) Objectives and targets of </w:t>
      </w:r>
      <w:r w:rsidRPr="00B02F3C">
        <w:rPr>
          <w:i/>
          <w:iCs/>
        </w:rPr>
        <w:t xml:space="preserve">Madrasah Diniyah Takmiliyah; 2) </w:t>
      </w:r>
      <w:r w:rsidRPr="00B02F3C">
        <w:t>Administration; 3) Rights and obligations of students, educators, parents, and the local government; 4) Curriculum; 5) Supervision and monitoring; 6) Funding</w:t>
      </w:r>
    </w:p>
    <w:p w14:paraId="06E6B907" w14:textId="77777777" w:rsidR="00B02F3C" w:rsidRPr="00B02F3C" w:rsidRDefault="00B02F3C" w:rsidP="00B02F3C">
      <w:pPr>
        <w:ind w:firstLine="720"/>
        <w:jc w:val="both"/>
      </w:pPr>
      <w:r w:rsidRPr="00B02F3C">
        <w:t>Each of these aspects is explained in detail below:</w:t>
      </w:r>
    </w:p>
    <w:p w14:paraId="5C54F491" w14:textId="77777777" w:rsidR="002847C4" w:rsidRDefault="002847C4" w:rsidP="002847C4">
      <w:pPr>
        <w:ind w:firstLine="720"/>
        <w:jc w:val="both"/>
        <w:rPr>
          <w:b/>
        </w:rPr>
      </w:pPr>
    </w:p>
    <w:p w14:paraId="42375344" w14:textId="77777777" w:rsidR="00B02F3C" w:rsidRPr="00B02F3C" w:rsidRDefault="002847C4" w:rsidP="002847C4">
      <w:pPr>
        <w:ind w:firstLine="720"/>
        <w:jc w:val="both"/>
        <w:rPr>
          <w:b/>
        </w:rPr>
      </w:pPr>
      <w:r>
        <w:rPr>
          <w:b/>
        </w:rPr>
        <w:t xml:space="preserve">2.1. </w:t>
      </w:r>
      <w:r w:rsidR="00B02F3C" w:rsidRPr="00B02F3C">
        <w:rPr>
          <w:b/>
        </w:rPr>
        <w:t>Objectives and Targets of Madrasah Diniyah Takmiliyah</w:t>
      </w:r>
    </w:p>
    <w:p w14:paraId="5F822374" w14:textId="77777777" w:rsidR="002847C4" w:rsidRDefault="002847C4" w:rsidP="00B02F3C">
      <w:pPr>
        <w:ind w:firstLine="720"/>
        <w:jc w:val="both"/>
      </w:pPr>
    </w:p>
    <w:p w14:paraId="1E970B7C" w14:textId="77777777" w:rsidR="00B02F3C" w:rsidRPr="00B02F3C" w:rsidRDefault="00B02F3C" w:rsidP="00907ADF">
      <w:pPr>
        <w:ind w:firstLine="720"/>
        <w:jc w:val="both"/>
      </w:pPr>
      <w:r w:rsidRPr="00B02F3C">
        <w:t xml:space="preserve">The Sampang Regency Government has emphasized that the primary objective of </w:t>
      </w:r>
      <w:r w:rsidRPr="00B02F3C">
        <w:rPr>
          <w:i/>
          <w:iCs/>
        </w:rPr>
        <w:t>Madrasah Diniyah Takmiliyah</w:t>
      </w:r>
      <w:r w:rsidRPr="00B02F3C">
        <w:t xml:space="preserve"> is to instill faith (</w:t>
      </w:r>
      <w:r w:rsidRPr="00B02F3C">
        <w:rPr>
          <w:i/>
          <w:iCs/>
        </w:rPr>
        <w:t>iman</w:t>
      </w:r>
      <w:r w:rsidRPr="00B02F3C">
        <w:t>) and devotion (</w:t>
      </w:r>
      <w:r w:rsidRPr="00B02F3C">
        <w:rPr>
          <w:i/>
          <w:iCs/>
        </w:rPr>
        <w:t>taqwa</w:t>
      </w:r>
      <w:r w:rsidRPr="00B02F3C">
        <w:t>) to Allah SWT in students. Additionally, it aims to develop students' abilities, knowledge, attitudes, and skills to become experts in Islamic sciences (</w:t>
      </w:r>
      <w:r w:rsidRPr="00B02F3C">
        <w:rPr>
          <w:i/>
          <w:iCs/>
        </w:rPr>
        <w:t>mutaffaqih fiddin</w:t>
      </w:r>
      <w:r w:rsidRPr="00B02F3C">
        <w:t>) or practicing Muslims who apply Islamic teachings in their daily lives. Furthermore, it seeks to shape students with noble character (</w:t>
      </w:r>
      <w:r w:rsidRPr="00B02F3C">
        <w:rPr>
          <w:i/>
          <w:iCs/>
        </w:rPr>
        <w:t>akhlaqul karimah</w:t>
      </w:r>
      <w:r w:rsidRPr="00B02F3C">
        <w:t>), who demonstrate both individual and social piety while upholding the values of sincerity (</w:t>
      </w:r>
      <w:r w:rsidRPr="00B02F3C">
        <w:rPr>
          <w:i/>
          <w:iCs/>
        </w:rPr>
        <w:t>ikhlas</w:t>
      </w:r>
      <w:r w:rsidRPr="00B02F3C">
        <w:t>), simplicity (</w:t>
      </w:r>
      <w:r w:rsidRPr="00B02F3C">
        <w:rPr>
          <w:i/>
          <w:iCs/>
        </w:rPr>
        <w:t>kesederhanaan</w:t>
      </w:r>
      <w:r w:rsidRPr="00B02F3C">
        <w:t>), independence (</w:t>
      </w:r>
      <w:r w:rsidRPr="00B02F3C">
        <w:rPr>
          <w:i/>
          <w:iCs/>
        </w:rPr>
        <w:t>kemandirian</w:t>
      </w:r>
      <w:r w:rsidRPr="00B02F3C">
        <w:t>), Islamic brotherhood (</w:t>
      </w:r>
      <w:r w:rsidRPr="00B02F3C">
        <w:rPr>
          <w:i/>
          <w:iCs/>
        </w:rPr>
        <w:t>ukhuwah Islamiyah</w:t>
      </w:r>
      <w:r w:rsidRPr="00B02F3C">
        <w:t>), humility (</w:t>
      </w:r>
      <w:r w:rsidRPr="00B02F3C">
        <w:rPr>
          <w:i/>
          <w:iCs/>
        </w:rPr>
        <w:t>tawadhu</w:t>
      </w:r>
      <w:r w:rsidRPr="00B02F3C">
        <w:t>), tolerance (</w:t>
      </w:r>
      <w:r w:rsidRPr="00B02F3C">
        <w:rPr>
          <w:i/>
          <w:iCs/>
        </w:rPr>
        <w:t>tasamuh</w:t>
      </w:r>
      <w:r w:rsidRPr="00B02F3C">
        <w:t>), balance (</w:t>
      </w:r>
      <w:r w:rsidRPr="00B02F3C">
        <w:rPr>
          <w:i/>
          <w:iCs/>
        </w:rPr>
        <w:t>tawazun</w:t>
      </w:r>
      <w:r w:rsidRPr="00B02F3C">
        <w:t>), moderation (</w:t>
      </w:r>
      <w:r w:rsidRPr="00B02F3C">
        <w:rPr>
          <w:i/>
          <w:iCs/>
        </w:rPr>
        <w:t>tawasuth</w:t>
      </w:r>
      <w:r w:rsidRPr="00B02F3C">
        <w:t>), exemplary behavior (</w:t>
      </w:r>
      <w:r w:rsidRPr="00B02F3C">
        <w:rPr>
          <w:i/>
          <w:iCs/>
        </w:rPr>
        <w:t>uswah</w:t>
      </w:r>
      <w:r w:rsidRPr="00B02F3C">
        <w:t>), a healthy lifestyle, and patriotism (</w:t>
      </w:r>
      <w:r w:rsidRPr="00B02F3C">
        <w:rPr>
          <w:i/>
          <w:iCs/>
        </w:rPr>
        <w:t>cinta tanah air</w:t>
      </w:r>
      <w:r w:rsidRPr="00B02F3C">
        <w:t xml:space="preserve">) </w:t>
      </w:r>
      <w:r w:rsidRPr="00B02F3C">
        <w:fldChar w:fldCharType="begin"/>
      </w:r>
      <w:r w:rsidR="00907ADF">
        <w:instrText xml:space="preserve"> ADDIN ZOTERO_ITEM CSL_CITATION {"citationID":"FFEgIgKy","properties":{"formattedCitation":"(Sampang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 xml:space="preserve">. Through this regional regulation, </w:t>
      </w:r>
      <w:r w:rsidRPr="00B02F3C">
        <w:lastRenderedPageBreak/>
        <w:t xml:space="preserve">the Sampang Regency Government intends to safeguard and ensure that the community has access to Islamic religious education, providing a foundation for individuals to become devout and responsible members of society. The primary target of </w:t>
      </w:r>
      <w:r w:rsidRPr="00B02F3C">
        <w:rPr>
          <w:i/>
          <w:iCs/>
        </w:rPr>
        <w:t>Madrasah Diniyah Takmiliyah</w:t>
      </w:r>
      <w:r w:rsidRPr="00B02F3C">
        <w:t xml:space="preserve">, both </w:t>
      </w:r>
      <w:r w:rsidRPr="00B02F3C">
        <w:rPr>
          <w:i/>
          <w:iCs/>
        </w:rPr>
        <w:t>ula</w:t>
      </w:r>
      <w:r w:rsidRPr="00B02F3C">
        <w:t xml:space="preserve"> (elementary) and </w:t>
      </w:r>
      <w:r w:rsidRPr="00B02F3C">
        <w:rPr>
          <w:i/>
          <w:iCs/>
        </w:rPr>
        <w:t>wustha</w:t>
      </w:r>
      <w:r w:rsidRPr="00B02F3C">
        <w:t xml:space="preserve"> (secondary), includes school-age children at the level of elementary (</w:t>
      </w:r>
      <w:r w:rsidRPr="00B02F3C">
        <w:rPr>
          <w:i/>
          <w:iCs/>
        </w:rPr>
        <w:t>SD/MI</w:t>
      </w:r>
      <w:r w:rsidRPr="00B02F3C">
        <w:t>) and junior high school (</w:t>
      </w:r>
      <w:r w:rsidRPr="00B02F3C">
        <w:rPr>
          <w:i/>
          <w:iCs/>
        </w:rPr>
        <w:t>SMP/MTs</w:t>
      </w:r>
      <w:r w:rsidRPr="00B02F3C">
        <w:t xml:space="preserve">) or their equivalents </w:t>
      </w:r>
      <w:r w:rsidRPr="00B02F3C">
        <w:fldChar w:fldCharType="begin"/>
      </w:r>
      <w:r w:rsidR="00907ADF">
        <w:instrText xml:space="preserve"> ADDIN ZOTERO_ITEM CSL_CITATION {"citationID":"hbSXJu4E","properties":{"formattedCitation":"(Sampang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 This age group aligns with the local government's jurisdiction in managing basic education.</w:t>
      </w:r>
    </w:p>
    <w:p w14:paraId="23A04E91" w14:textId="77777777" w:rsidR="00B02F3C" w:rsidRPr="00B02F3C" w:rsidRDefault="00B02F3C" w:rsidP="00B02F3C">
      <w:pPr>
        <w:jc w:val="both"/>
        <w:rPr>
          <w:bCs/>
        </w:rPr>
      </w:pPr>
    </w:p>
    <w:p w14:paraId="57F2E532" w14:textId="77777777" w:rsidR="00B02F3C" w:rsidRPr="002847C4" w:rsidRDefault="00B02F3C" w:rsidP="002847C4">
      <w:pPr>
        <w:pStyle w:val="ListParagraph"/>
        <w:numPr>
          <w:ilvl w:val="1"/>
          <w:numId w:val="2"/>
        </w:numPr>
        <w:jc w:val="both"/>
        <w:rPr>
          <w:b/>
        </w:rPr>
      </w:pPr>
      <w:r w:rsidRPr="002847C4">
        <w:rPr>
          <w:b/>
        </w:rPr>
        <w:t>Administration</w:t>
      </w:r>
    </w:p>
    <w:p w14:paraId="1C4F84CF" w14:textId="77777777" w:rsidR="002847C4" w:rsidRDefault="002847C4" w:rsidP="00B02F3C">
      <w:pPr>
        <w:ind w:firstLine="720"/>
        <w:jc w:val="both"/>
      </w:pPr>
    </w:p>
    <w:p w14:paraId="31A6C447" w14:textId="77777777" w:rsidR="00B02F3C" w:rsidRPr="00B02F3C" w:rsidRDefault="00B02F3C" w:rsidP="00907ADF">
      <w:pPr>
        <w:ind w:firstLine="720"/>
        <w:jc w:val="both"/>
      </w:pPr>
      <w:r w:rsidRPr="00B02F3C">
        <w:t xml:space="preserve">Regarding the administration of </w:t>
      </w:r>
      <w:r w:rsidRPr="00B02F3C">
        <w:rPr>
          <w:i/>
          <w:iCs/>
        </w:rPr>
        <w:t>Madrasah Diniyah Takmiliyah</w:t>
      </w:r>
      <w:r w:rsidRPr="00B02F3C">
        <w:t xml:space="preserve">, the Sampang Regency Government policy delegates full authority to the community. These institutions may operate independently or integrate with other formal and non-formal educational institutions, provided they adhere to the regulations established by the Ministry of Religious Affairs </w:t>
      </w:r>
      <w:r w:rsidRPr="00B02F3C">
        <w:fldChar w:fldCharType="begin"/>
      </w:r>
      <w:r w:rsidR="00907ADF">
        <w:instrText xml:space="preserve"> ADDIN ZOTERO_ITEM CSL_CITATION {"citationID":"Fz1B4JA1","properties":{"formattedCitation":"(Sampang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 xml:space="preserve">. The autonomy granted to communities in managing </w:t>
      </w:r>
      <w:r w:rsidRPr="00B02F3C">
        <w:rPr>
          <w:i/>
          <w:iCs/>
        </w:rPr>
        <w:t>Madrasah Diniyah</w:t>
      </w:r>
      <w:r w:rsidRPr="00B02F3C">
        <w:t xml:space="preserve"> serves as a driving force for the continuous growth and expansion of these institutions in Sampang Regency.</w:t>
      </w:r>
    </w:p>
    <w:p w14:paraId="65C4B1C8" w14:textId="77777777" w:rsidR="00B02F3C" w:rsidRPr="00B02F3C" w:rsidRDefault="00B02F3C" w:rsidP="00B02F3C">
      <w:pPr>
        <w:jc w:val="both"/>
        <w:rPr>
          <w:b/>
        </w:rPr>
      </w:pPr>
    </w:p>
    <w:p w14:paraId="45E52544" w14:textId="77777777" w:rsidR="00B02F3C" w:rsidRPr="00B02F3C" w:rsidRDefault="00B02F3C" w:rsidP="002847C4">
      <w:pPr>
        <w:pStyle w:val="ListParagraph"/>
        <w:numPr>
          <w:ilvl w:val="1"/>
          <w:numId w:val="2"/>
        </w:numPr>
        <w:jc w:val="both"/>
        <w:rPr>
          <w:b/>
        </w:rPr>
      </w:pPr>
      <w:r w:rsidRPr="00B02F3C">
        <w:rPr>
          <w:b/>
        </w:rPr>
        <w:t>Rights and Obligations of Students, Educators, Parents, and the Local Government</w:t>
      </w:r>
    </w:p>
    <w:p w14:paraId="02D372DB" w14:textId="77777777" w:rsidR="002847C4" w:rsidRDefault="002847C4" w:rsidP="00B02F3C">
      <w:pPr>
        <w:ind w:firstLine="720"/>
        <w:jc w:val="both"/>
      </w:pPr>
    </w:p>
    <w:p w14:paraId="04E9E42C" w14:textId="77777777" w:rsidR="002847C4" w:rsidRDefault="00B02F3C" w:rsidP="00B02F3C">
      <w:pPr>
        <w:ind w:firstLine="720"/>
        <w:jc w:val="both"/>
      </w:pPr>
      <w:r w:rsidRPr="00B02F3C">
        <w:t xml:space="preserve">This policy also regulates the rights and obligations of key stakeholders in </w:t>
      </w:r>
      <w:r w:rsidRPr="00B02F3C">
        <w:rPr>
          <w:i/>
          <w:iCs/>
        </w:rPr>
        <w:t>Madrasah Diniyah Takmiliyah</w:t>
      </w:r>
      <w:r w:rsidRPr="00B02F3C">
        <w:t>, including students, educators, parents, and the local governmen</w:t>
      </w:r>
      <w:r w:rsidR="002847C4">
        <w:t xml:space="preserve">t.  </w:t>
      </w:r>
    </w:p>
    <w:p w14:paraId="1BE330B3" w14:textId="77777777" w:rsidR="00B02F3C" w:rsidRPr="00B02F3C" w:rsidRDefault="00B02F3C" w:rsidP="00907ADF">
      <w:pPr>
        <w:ind w:firstLine="720"/>
        <w:jc w:val="both"/>
      </w:pPr>
      <w:r w:rsidRPr="00B02F3C">
        <w:t xml:space="preserve">Students are entitled to receive Islamic religious education that aligns with their talents, interests, and abilities, as well as their stage of psychological development </w:t>
      </w:r>
      <w:r w:rsidRPr="00B02F3C">
        <w:fldChar w:fldCharType="begin"/>
      </w:r>
      <w:r w:rsidR="00907ADF">
        <w:instrText xml:space="preserve"> ADDIN ZOTERO_ITEM CSL_CITATION {"citationID":"Rdj5WOJ1","properties":{"formattedCitation":"(Masturin 2024)","plainCitation":"(Masturin 2024)","noteIndex":0},"citationItems":[{"id":162,"uris":["http://zotero.org/users/local/AXpBhYh1/items/V7TLBNA9"],"itemData":{"id":162,"type":"article-journal","abstract":"The power of two learning strategies in Islamic Religious Education (PAI) has been studied to assess its effectiveness in shaping students' character. This research aimed to investigate the implementation of this strategy in PAI material and its impact on character building. A qualitative case study approach was employed, involving school principals, students, and PAI teachers from senior high schools in Kudus City, Central Java, Indonesia, as informants selected through purposive sampling. Data were collected through in-depth interviews, participant observation, documentation, and focus group discussions. Validity was ensured through extended researcher presence, triangulation, peer discussion, transferability, dependability, and confirmability measures. The research findings revealed that the power of two learning strategies in PAI material could effectively and efficiently shape students' character by creating synergy between teachers and students in the learning process. This research contributes to the theoretical and practical development of PAI learning materials for character education, providing insights for the government in implementing such strategies in the curriculum.","container-title":"Nazhruna: Jurnal Pendidikan Islam","DOI":"10.31538/nzh.v7i2.4678","ISSN":"2614-8013","issue":"2","journalAbbreviation":"nzh","language":"en","license":"http://creativecommons.org/licenses/by-sa/4.0","page":"250-269","source":"DOI.org (Crossref)","title":"The Power of Two Learning Strategy in Islamic Religious Education Material Shaping Character Student","volume":"7","author":[{"family":"Masturin","given":"Masturin"}],"issued":{"date-parts":[["2024",5,23]]}}}],"schema":"https://github.com/citation-style-language/schema/raw/master/csl-citation.json"} </w:instrText>
      </w:r>
      <w:r w:rsidRPr="00B02F3C">
        <w:fldChar w:fldCharType="separate"/>
      </w:r>
      <w:r w:rsidR="00907ADF" w:rsidRPr="00907ADF">
        <w:t>(Masturin 2024)</w:t>
      </w:r>
      <w:r w:rsidRPr="00B02F3C">
        <w:fldChar w:fldCharType="end"/>
      </w:r>
      <w:r w:rsidRPr="00B02F3C">
        <w:t xml:space="preserve">. They also have the right to assessment and certification of their learning outcomes. Students are obligated to practice Islamic teachings in accordance with the principle of </w:t>
      </w:r>
      <w:r w:rsidRPr="00B02F3C">
        <w:rPr>
          <w:i/>
          <w:iCs/>
        </w:rPr>
        <w:t>wasathiyyah</w:t>
      </w:r>
      <w:r w:rsidRPr="00B02F3C">
        <w:t xml:space="preserve"> (moderation); actively participate in learning activities while upholding noble character </w:t>
      </w:r>
      <w:r w:rsidRPr="00B02F3C">
        <w:fldChar w:fldCharType="begin"/>
      </w:r>
      <w:r w:rsidR="00907ADF">
        <w:instrText xml:space="preserve"> ADDIN ZOTERO_ITEM CSL_CITATION {"citationID":"5wM8idus","properties":{"formattedCitation":"(Masturin 2024)","plainCitation":"(Masturin 2024)","noteIndex":0},"citationItems":[{"id":162,"uris":["http://zotero.org/users/local/AXpBhYh1/items/V7TLBNA9"],"itemData":{"id":162,"type":"article-journal","abstract":"The power of two learning strategies in Islamic Religious Education (PAI) has been studied to assess its effectiveness in shaping students' character. This research aimed to investigate the implementation of this strategy in PAI material and its impact on character building. A qualitative case study approach was employed, involving school principals, students, and PAI teachers from senior high schools in Kudus City, Central Java, Indonesia, as informants selected through purposive sampling. Data were collected through in-depth interviews, participant observation, documentation, and focus group discussions. Validity was ensured through extended researcher presence, triangulation, peer discussion, transferability, dependability, and confirmability measures. The research findings revealed that the power of two learning strategies in PAI material could effectively and efficiently shape students' character by creating synergy between teachers and students in the learning process. This research contributes to the theoretical and practical development of PAI learning materials for character education, providing insights for the government in implementing such strategies in the curriculum.","container-title":"Nazhruna: Jurnal Pendidikan Islam","DOI":"10.31538/nzh.v7i2.4678","ISSN":"2614-8013","issue":"2","journalAbbreviation":"nzh","language":"en","license":"http://creativecommons.org/licenses/by-sa/4.0","page":"250-269","source":"DOI.org (Crossref)","title":"The Power of Two Learning Strategy in Islamic Religious Education Material Shaping Character Student","volume":"7","author":[{"family":"Masturin","given":"Masturin"}],"issued":{"date-parts":[["2024",5,23]]}}}],"schema":"https://github.com/citation-style-language/schema/raw/master/csl-citation.json"} </w:instrText>
      </w:r>
      <w:r w:rsidRPr="00B02F3C">
        <w:fldChar w:fldCharType="separate"/>
      </w:r>
      <w:r w:rsidR="00907ADF" w:rsidRPr="00907ADF">
        <w:t>(Masturin 2024)</w:t>
      </w:r>
      <w:r w:rsidRPr="00B02F3C">
        <w:fldChar w:fldCharType="end"/>
      </w:r>
      <w:r w:rsidRPr="00B02F3C">
        <w:t xml:space="preserve">; respect educators and educational staff; maintain harmony and social cohesion; take responsibility for school facilities, cleanliness, safety, and order; uphold the reputation of their educational institution; and comply with all applicable regulations </w:t>
      </w:r>
      <w:r w:rsidRPr="00B02F3C">
        <w:fldChar w:fldCharType="begin"/>
      </w:r>
      <w:r w:rsidR="00907ADF">
        <w:instrText xml:space="preserve"> ADDIN ZOTERO_ITEM CSL_CITATION {"citationID":"n5xRlB33","properties":{"formattedCitation":"(Sampang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w:t>
      </w:r>
    </w:p>
    <w:p w14:paraId="75CFFCC9" w14:textId="77777777" w:rsidR="00B02F3C" w:rsidRPr="00B02F3C" w:rsidRDefault="00B02F3C" w:rsidP="00907ADF">
      <w:pPr>
        <w:ind w:firstLine="720"/>
        <w:jc w:val="both"/>
      </w:pPr>
      <w:r w:rsidRPr="00B02F3C">
        <w:t xml:space="preserve">Meanwhile, educators at </w:t>
      </w:r>
      <w:r w:rsidRPr="00B02F3C">
        <w:rPr>
          <w:i/>
          <w:iCs/>
        </w:rPr>
        <w:t>Madrasah Diniyah Takmiliyah</w:t>
      </w:r>
      <w:r w:rsidRPr="00B02F3C">
        <w:t xml:space="preserve"> are entitled to; Receive compensation based on the financial capacity of the institution. Enhance their competencies in accordance with prevailing regulations. Obtain legal protection in the execution of their duties. Utilize educational facilities and infrastructure in their teaching activities </w:t>
      </w:r>
      <w:r w:rsidRPr="00B02F3C">
        <w:fldChar w:fldCharType="begin"/>
      </w:r>
      <w:r w:rsidR="00907ADF">
        <w:instrText xml:space="preserve"> ADDIN ZOTERO_ITEM CSL_CITATION {"citationID":"MP9r4zQh","properties":{"formattedCitation":"(Wu dan Tham 2023)","plainCitation":"(Wu dan Tham 2023)","noteIndex":0},"citationItems":[{"id":164,"uris":["http://zotero.org/users/local/AXpBhYh1/items/GFV6S7UG"],"itemData":{"id":164,"type":"article-journal","abstract":"In recent years, the world has witnessed an alarming rise in extreme events, posing significant challenges to the survival and growth of enterprises. In response, adopting a green development strategy has emerged as an imperative for businesses to bolster their resilience. It is crucial to recognize that not all enterprises possess the same level of resilience, thereby highlighting the disparities in their ability to withstand adversity. Consequently, scholars have been fervently engaging in discussions and research to identify the most effective paths of green development, enabling enterprises to enhance their resilience and adeptly navigate through crises. This study employs questionnaires to scrutinize the influence of environmental regulation, environment social and government performance, and technological innovation on enterprise resilience by constructing structural equations that encompass both external constraints and internal corporate management. The findings demonstrate that environmental regulations can stimulate technological innovation for the purpose of promoting sustainable development, thereby bolstering enterprise resilience; By incorporating environment social and government principles into their operations, enterprises can instil a culture of environmental consciousness and proactively incentivize innovative solutions, ultimately enhancing their capacity to adapt swiftly and recover from crises; The practice of environmental regulation and the incorporation of environment social and government concepts serve as a catalyst for enterprises to engage in technological innovation, thereby promoting technological advancement and enhancing corporate resilience.","container-title":"Heliyon","DOI":"10.1016/j.heliyon.2023.e20278","ISSN":"24058440","issue":"10","journalAbbreviation":"Heliyon","language":"en","page":"e20278","source":"DOI.org (Crossref)","title":"The impact of environmental regulation, Environment, Social and Government Performance, and technological innovation on enterprise resilience under a green recovery","volume":"9","author":[{"family":"Wu","given":"Yujuan"},{"family":"Tham","given":"Jacquline"}],"issued":{"date-parts":[["2023",10]]}}}],"schema":"https://github.com/citation-style-language/schema/raw/master/csl-citation.json"} </w:instrText>
      </w:r>
      <w:r w:rsidRPr="00B02F3C">
        <w:fldChar w:fldCharType="separate"/>
      </w:r>
      <w:r w:rsidR="00907ADF" w:rsidRPr="00907ADF">
        <w:t>(Wu dan Tham 2023)</w:t>
      </w:r>
      <w:r w:rsidRPr="00B02F3C">
        <w:fldChar w:fldCharType="end"/>
      </w:r>
      <w:r w:rsidRPr="00B02F3C">
        <w:t xml:space="preserve">. Furthemore, educators are obligated to: Conduct teaching activities with dedication and responsibility. Uphold Islamic and national values in their behavior. Comply with all institutional regulations. Maintain their personal and institutional reputation in line with the trust vested in them by the community </w:t>
      </w:r>
      <w:r w:rsidRPr="00B02F3C">
        <w:fldChar w:fldCharType="begin"/>
      </w:r>
      <w:r w:rsidR="00907ADF">
        <w:instrText xml:space="preserve"> ADDIN ZOTERO_ITEM CSL_CITATION {"citationID":"GOOlT04n","properties":{"formattedCitation":"(Sampang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w:t>
      </w:r>
    </w:p>
    <w:p w14:paraId="47219DB2" w14:textId="77777777" w:rsidR="00B02F3C" w:rsidRPr="00B02F3C" w:rsidRDefault="00B02F3C" w:rsidP="00907ADF">
      <w:pPr>
        <w:ind w:firstLine="720"/>
        <w:jc w:val="both"/>
      </w:pPr>
      <w:r w:rsidRPr="00B02F3C">
        <w:lastRenderedPageBreak/>
        <w:t xml:space="preserve">The policy also defines the rights and responsibilities of parents </w:t>
      </w:r>
      <w:r w:rsidRPr="00B02F3C">
        <w:fldChar w:fldCharType="begin"/>
      </w:r>
      <w:r w:rsidR="00907ADF">
        <w:instrText xml:space="preserve"> ADDIN ZOTERO_ITEM CSL_CITATION {"citationID":"dVS2T5RT","properties":{"formattedCitation":"(Wu dan Tham 2023)","plainCitation":"(Wu dan Tham 2023)","noteIndex":0},"citationItems":[{"id":164,"uris":["http://zotero.org/users/local/AXpBhYh1/items/GFV6S7UG"],"itemData":{"id":164,"type":"article-journal","abstract":"In recent years, the world has witnessed an alarming rise in extreme events, posing significant challenges to the survival and growth of enterprises. In response, adopting a green development strategy has emerged as an imperative for businesses to bolster their resilience. It is crucial to recognize that not all enterprises possess the same level of resilience, thereby highlighting the disparities in their ability to withstand adversity. Consequently, scholars have been fervently engaging in discussions and research to identify the most effective paths of green development, enabling enterprises to enhance their resilience and adeptly navigate through crises. This study employs questionnaires to scrutinize the influence of environmental regulation, environment social and government performance, and technological innovation on enterprise resilience by constructing structural equations that encompass both external constraints and internal corporate management. The findings demonstrate that environmental regulations can stimulate technological innovation for the purpose of promoting sustainable development, thereby bolstering enterprise resilience; By incorporating environment social and government principles into their operations, enterprises can instil a culture of environmental consciousness and proactively incentivize innovative solutions, ultimately enhancing their capacity to adapt swiftly and recover from crises; The practice of environmental regulation and the incorporation of environment social and government concepts serve as a catalyst for enterprises to engage in technological innovation, thereby promoting technological advancement and enhancing corporate resilience.","container-title":"Heliyon","DOI":"10.1016/j.heliyon.2023.e20278","ISSN":"24058440","issue":"10","journalAbbreviation":"Heliyon","language":"en","page":"e20278","source":"DOI.org (Crossref)","title":"The impact of environmental regulation, Environment, Social and Government Performance, and technological innovation on enterprise resilience under a green recovery","volume":"9","author":[{"family":"Wu","given":"Yujuan"},{"family":"Tham","given":"Jacquline"}],"issued":{"date-parts":[["2023",10]]}}}],"schema":"https://github.com/citation-style-language/schema/raw/master/csl-citation.json"} </w:instrText>
      </w:r>
      <w:r w:rsidRPr="00B02F3C">
        <w:fldChar w:fldCharType="separate"/>
      </w:r>
      <w:r w:rsidR="00907ADF" w:rsidRPr="00907ADF">
        <w:t>(Wu dan Tham 2023)</w:t>
      </w:r>
      <w:r w:rsidRPr="00B02F3C">
        <w:fldChar w:fldCharType="end"/>
      </w:r>
      <w:r w:rsidRPr="00B02F3C">
        <w:t xml:space="preserve">. Among their rights, parents are entitled to ensure that their children receive adequate religious education and obtain information regarding their children's educational progress from the institution </w:t>
      </w:r>
      <w:r w:rsidRPr="00B02F3C">
        <w:fldChar w:fldCharType="begin"/>
      </w:r>
      <w:r w:rsidR="00907ADF">
        <w:instrText xml:space="preserve"> ADDIN ZOTERO_ITEM CSL_CITATION {"citationID":"7ZwxnVPe","properties":{"formattedCitation":"(Ikhwan dkk. 2019)","plainCitation":"(Ikhwan dkk. 2019)","noteIndex":0},"citationItems":[{"id":149,"uris":["http://zotero.org/users/local/AXpBhYh1/items/8MJJX47Y"],"itemData":{"id":149,"type":"paper-conference","abstract":"This research is based on the existence of an innovation phenomenon of Islamic Religious Education in Blitar, East Java, Indonesia district, which will implement the Madrasah Diniyah Mandatory Program in all formal institutions at the junior, senior high school, and vocational level as intracurricular. The purpose of the study is to examine the causes of the emergence, how it is implemented and how the implications of innovation in Islamic Religious Education. This type of research is qualitative, data collection techniques interview, observation and documentation, data analysis through stages: data presentation, data reduction, and conclusion drawing. checking data is done through triangulation test. This study produced (1) because of the lack of knowledge of Islam lesson in formal school institution making the Madin (madrasah diniyah) program compulsory in all formal schools, (2) its application by a combination of Placement Test method, Peer Tutor method (student study group coordinated by his own friends) and the Drill method (how to learn by repeating the material for many times) and (3) this innovation implies a change in the religious character of students.","container-title":"Proceedings of the 1st International Conference on Life, Innovation, Change and Knowledge (ICLICK 2018)","DOI":"10.2991/iclick-18.2019.66","event-place":"Bandung, Indonesia","event-title":"Proceedings of the 1st International Conference on Life, Innovation, Change and Knowledge (ICLICK 2018)","ISBN":"978-94-6252-762-1","language":"en","publisher":"Atlantis Press","publisher-place":"Bandung, Indonesia","source":"DOI.org (Crossref)","title":"Innovation of Islamic Education Through the Implementation of Mandatory Program Madrasah Diniyah (Non-Formal Religious Education Institutions) In Formal Institution","URL":"https://www.atlantis-press.com/article/125913323","author":[{"family":"Ikhwan","given":"Afiful"},{"family":"Swastika Fahriana","given":"Ava"},{"literal":"Musyarapah"},{"family":"Fahruddin","given":"M. Mukhlis"},{"family":"Iskandar Jaelani","given":"Dian"}],"accessed":{"date-parts":[["2025",4,13]]},"issued":{"date-parts":[["2019"]]}}}],"schema":"https://github.com/citation-style-language/schema/raw/master/csl-citation.json"} </w:instrText>
      </w:r>
      <w:r w:rsidRPr="00B02F3C">
        <w:fldChar w:fldCharType="separate"/>
      </w:r>
      <w:r w:rsidR="00907ADF" w:rsidRPr="00907ADF">
        <w:t>(Ikhwan dkk. 2019)</w:t>
      </w:r>
      <w:r w:rsidRPr="00B02F3C">
        <w:fldChar w:fldCharType="end"/>
      </w:r>
      <w:r w:rsidRPr="00B02F3C">
        <w:t xml:space="preserve">. Parents or guardians are also obligated to: encourage their children to attend </w:t>
      </w:r>
      <w:r w:rsidRPr="00B02F3C">
        <w:rPr>
          <w:i/>
          <w:iCs/>
        </w:rPr>
        <w:t>Madrasah Diniyah Takmiliyah</w:t>
      </w:r>
      <w:r w:rsidRPr="00B02F3C">
        <w:t xml:space="preserve">; contribute to the financial costs of running </w:t>
      </w:r>
      <w:r w:rsidRPr="00B02F3C">
        <w:rPr>
          <w:i/>
          <w:iCs/>
        </w:rPr>
        <w:t>Madrasah Diniyah Takmiliyah</w:t>
      </w:r>
      <w:r w:rsidRPr="00B02F3C">
        <w:t xml:space="preserve">; and collaborate with educational institutions to ensure the success of their children's education </w:t>
      </w:r>
      <w:r w:rsidRPr="00B02F3C">
        <w:fldChar w:fldCharType="begin"/>
      </w:r>
      <w:r w:rsidR="00907ADF">
        <w:instrText xml:space="preserve"> ADDIN ZOTERO_ITEM CSL_CITATION {"citationID":"jSIWvZYe","properties":{"formattedCitation":"(Sampang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w:t>
      </w:r>
    </w:p>
    <w:p w14:paraId="6FABA2D5" w14:textId="77777777" w:rsidR="00B02F3C" w:rsidRPr="00B02F3C" w:rsidRDefault="00B02F3C" w:rsidP="00907ADF">
      <w:pPr>
        <w:ind w:firstLine="720"/>
        <w:jc w:val="both"/>
      </w:pPr>
      <w:r w:rsidRPr="00B02F3C">
        <w:t xml:space="preserve">To ensure balanced governance in the administration of </w:t>
      </w:r>
      <w:r w:rsidRPr="00B02F3C">
        <w:rPr>
          <w:i/>
          <w:iCs/>
        </w:rPr>
        <w:t>Madrasah Diniyah Takmiliyah</w:t>
      </w:r>
      <w:r w:rsidRPr="00B02F3C">
        <w:t xml:space="preserve">, the Sampang Regency Government has outlined its responsibilities, which include: Providing educational resources and financial assistance. Safeguarding the autonomy and distinctive characteristics of </w:t>
      </w:r>
      <w:r w:rsidRPr="00B02F3C">
        <w:rPr>
          <w:i/>
          <w:iCs/>
        </w:rPr>
        <w:t>Madrasah Diniyah</w:t>
      </w:r>
      <w:r w:rsidRPr="00B02F3C">
        <w:t xml:space="preserve">, as long as they remain aligned with national education goals. Conducting accreditation processes to guarantee and regulate educational quality in accordance with national education standards. Providing educators when </w:t>
      </w:r>
      <w:r w:rsidRPr="00B02F3C">
        <w:rPr>
          <w:i/>
          <w:iCs/>
        </w:rPr>
        <w:t>Madrasah Diniyah Takmiliyah</w:t>
      </w:r>
      <w:r w:rsidRPr="00B02F3C">
        <w:t xml:space="preserve"> is unable to recruit its own teaching staff. Conducting joint quality assurance and monitoring efforts in collaboration with the Ministry of Religious Affairs </w:t>
      </w:r>
      <w:r w:rsidRPr="00B02F3C">
        <w:fldChar w:fldCharType="begin"/>
      </w:r>
      <w:r w:rsidR="00907ADF">
        <w:instrText xml:space="preserve"> ADDIN ZOTERO_ITEM CSL_CITATION {"citationID":"gXU6cm3L","properties":{"formattedCitation":"(Sampang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 xml:space="preserve">. The active role of the Sampang Regency Government, as demonstrated in this policy, is highly relevant to the realities of </w:t>
      </w:r>
      <w:r w:rsidRPr="00B02F3C">
        <w:rPr>
          <w:i/>
          <w:iCs/>
        </w:rPr>
        <w:t>Madrasah Diniyah</w:t>
      </w:r>
      <w:r w:rsidRPr="00B02F3C">
        <w:t xml:space="preserve"> in the region. This initiative ensures a balanced distribution of responsibilities among key stakeholders and contributes to the sustainability of </w:t>
      </w:r>
      <w:r w:rsidRPr="00B02F3C">
        <w:rPr>
          <w:i/>
          <w:iCs/>
        </w:rPr>
        <w:t>Madrasah Diniyah</w:t>
      </w:r>
      <w:r w:rsidRPr="00B02F3C">
        <w:t xml:space="preserve"> in Sampang Regency.</w:t>
      </w:r>
    </w:p>
    <w:p w14:paraId="2692B82C" w14:textId="77777777" w:rsidR="00B02F3C" w:rsidRPr="00B02F3C" w:rsidRDefault="00B02F3C" w:rsidP="00B02F3C">
      <w:pPr>
        <w:jc w:val="both"/>
        <w:rPr>
          <w:b/>
        </w:rPr>
      </w:pPr>
    </w:p>
    <w:p w14:paraId="65B02DF3" w14:textId="77777777" w:rsidR="00B02F3C" w:rsidRPr="00B02F3C" w:rsidRDefault="00B02F3C" w:rsidP="002847C4">
      <w:pPr>
        <w:pStyle w:val="ListParagraph"/>
        <w:numPr>
          <w:ilvl w:val="1"/>
          <w:numId w:val="2"/>
        </w:numPr>
        <w:jc w:val="both"/>
        <w:rPr>
          <w:b/>
        </w:rPr>
      </w:pPr>
      <w:r w:rsidRPr="00B02F3C">
        <w:rPr>
          <w:b/>
        </w:rPr>
        <w:t>Curriculum</w:t>
      </w:r>
    </w:p>
    <w:p w14:paraId="32DFA56F" w14:textId="77777777" w:rsidR="002847C4" w:rsidRDefault="002847C4" w:rsidP="00B02F3C">
      <w:pPr>
        <w:ind w:firstLine="720"/>
        <w:jc w:val="both"/>
      </w:pPr>
    </w:p>
    <w:p w14:paraId="48DA6B37" w14:textId="77777777" w:rsidR="00B02F3C" w:rsidRPr="00B02F3C" w:rsidRDefault="00B02F3C" w:rsidP="00907ADF">
      <w:pPr>
        <w:ind w:firstLine="720"/>
        <w:jc w:val="both"/>
      </w:pPr>
      <w:r w:rsidRPr="00B02F3C">
        <w:t xml:space="preserve">To achieve the objectives of Madrasah Diniyah Takmiliyah, this policy also regulates the implementation of the curriculum. The curriculum includes at a minimum: Al-Qur'an, Al-Hadith, Fiqh, Aqidah-Akhlak (Islamic Creed and Morals), Islamic Cultural History, and Arabic Language. Additionally, local excellence-based curriculum materials may be added based on proposals from the local government or the community </w:t>
      </w:r>
      <w:r w:rsidRPr="00B02F3C">
        <w:fldChar w:fldCharType="begin"/>
      </w:r>
      <w:r w:rsidR="00907ADF">
        <w:instrText xml:space="preserve"> ADDIN ZOTERO_ITEM CSL_CITATION {"citationID":"BvtcGYDX","properties":{"formattedCitation":"(Sampang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 xml:space="preserve">. Conceptually, the Madrasah Diniyah curriculum outlined in the Sampang Regency regional regulation aligns with the madrasah diniyah curriculum theory explained by Steenbrink. According to Steenbrink, Islamic education until the early 20th century was structured in several stages: firstly, qur'anic Studies. This was considered the most basic form of education, focusing entirely on Qur'anic recitation. The primary goal was to learn to read specific passages from the Qur'an, especially those required for performing prayers, such as Surah Al-Fatihah and short surahs from Juz 30, often memorized. Additionally, teachings on prayer rituals, ablution (wudu), and supplications were provided. This form of education was conducted individually in mosques, small prayer halls (langgar or surau), or the homes of students whose parents held important positions in the community </w:t>
      </w:r>
      <w:r w:rsidRPr="00B02F3C">
        <w:fldChar w:fldCharType="begin"/>
      </w:r>
      <w:r w:rsidR="00907ADF">
        <w:instrText xml:space="preserve"> ADDIN ZOTERO_ITEM CSL_CITATION {"citationID":"ZIKVactx","properties":{"formattedCitation":"(Steenbrink 1994)","plainCitation":"(Steenbrink 1994)","noteIndex":0},"citationItems":[{"id":143,"uris":["http://zotero.org/users/local/AXpBhYh1/items/ZDVHD868"],"itemData":{"id":143,"type":"book","event-place":"Jakarta","publisher":"LP3ES","publisher-place":"Jakarta","title":"Pesantren, Madrasah, Sekolah: Pendidikan Islam Dalam Kurun Moderen","author":[{"family":"Steenbrink","given":"Karel A."}],"issued":{"date-parts":[["1994"]]}}}],"schema":"https://github.com/citation-style-language/schema/raw/master/csl-citation.json"} </w:instrText>
      </w:r>
      <w:r w:rsidRPr="00B02F3C">
        <w:fldChar w:fldCharType="separate"/>
      </w:r>
      <w:r w:rsidR="00907ADF" w:rsidRPr="00907ADF">
        <w:t>(Steenbrink 1994)</w:t>
      </w:r>
      <w:r w:rsidRPr="00B02F3C">
        <w:fldChar w:fldCharType="end"/>
      </w:r>
      <w:r w:rsidRPr="00B02F3C">
        <w:t xml:space="preserve">. The completion of this education was marked by a khatam (completion) ceremony </w:t>
      </w:r>
      <w:r w:rsidRPr="00B02F3C">
        <w:fldChar w:fldCharType="begin"/>
      </w:r>
      <w:r w:rsidR="00907ADF">
        <w:instrText xml:space="preserve"> ADDIN ZOTERO_ITEM CSL_CITATION {"citationID":"yA2YGDnX","properties":{"formattedCitation":"(Djumhur dan Danasuparta 1984)","plainCitation":"(Djumhur dan Danasuparta 1984)","noteIndex":0},"citationItems":[{"id":124,"uris":["http://zotero.org/users/local/AXpBhYh1/items/UQRWADUV"],"itemData":{"id":124,"type":"book","event-place":"Bandung","publisher":"CV. Ilmu","publisher-place":"Bandung","title":"Sejarah Pendidikan","author":[{"family":"Djumhur","given":"I."},{"family":"Danasuparta","given":"H."}],"issued":{"date-parts":[["1984"]]}}}],"schema":"https://github.com/citation-style-language/schema/raw/master/csl-citation.json"} </w:instrText>
      </w:r>
      <w:r w:rsidRPr="00B02F3C">
        <w:fldChar w:fldCharType="separate"/>
      </w:r>
      <w:r w:rsidR="00907ADF" w:rsidRPr="00907ADF">
        <w:t>(Djumhur dan Danasuparta 1984)</w:t>
      </w:r>
      <w:r w:rsidRPr="00B02F3C">
        <w:fldChar w:fldCharType="end"/>
      </w:r>
      <w:r w:rsidRPr="00B02F3C">
        <w:t>.</w:t>
      </w:r>
    </w:p>
    <w:p w14:paraId="7E4FF94A" w14:textId="77777777" w:rsidR="00B02F3C" w:rsidRPr="00B02F3C" w:rsidRDefault="00B02F3C" w:rsidP="00907ADF">
      <w:pPr>
        <w:ind w:firstLine="720"/>
        <w:jc w:val="both"/>
      </w:pPr>
      <w:r w:rsidRPr="00B02F3C">
        <w:lastRenderedPageBreak/>
        <w:t xml:space="preserve">Secondly, kitab studies. This was considered an advanced level of education. The key differences between kitab studies and basic Qur'anic studies included: a) Students generally resided in Islamic boarding schools (pesantren). b) The curriculum covered a broader range of subjects beyond Qur'anic recitation, often beginning with language studies. c) Learning was conducted not only individually but also in group settings. In kitab studies, students learned Arabic grammar (nahwu) through memorization of poetic texts (nazam) and received explanations from scholars (kyai or ustadz). Mastery of Arabic was a prerequisite for further studies in Fiqh, Tawhid (theology), or Ushuluddin (principles of faith), followed by Tafsir (Qur'anic exegesis). Once proficient in these core subjects, students could progress to more specialized disciplines such as Tasawuf (Islamic mysticism), Hadith studies, Islamic astronomy (hisab/falak), and others, depending on the expertise of their teacher </w:t>
      </w:r>
      <w:r w:rsidRPr="00B02F3C">
        <w:fldChar w:fldCharType="begin"/>
      </w:r>
      <w:r w:rsidR="00907ADF">
        <w:instrText xml:space="preserve"> ADDIN ZOTERO_ITEM CSL_CITATION {"citationID":"WNd2cJm6","properties":{"formattedCitation":"(Djumhur dan Danasuparta 1984)","plainCitation":"(Djumhur dan Danasuparta 1984)","noteIndex":0},"citationItems":[{"id":124,"uris":["http://zotero.org/users/local/AXpBhYh1/items/UQRWADUV"],"itemData":{"id":124,"type":"book","event-place":"Bandung","publisher":"CV. Ilmu","publisher-place":"Bandung","title":"Sejarah Pendidikan","author":[{"family":"Djumhur","given":"I."},{"family":"Danasuparta","given":"H."}],"issued":{"date-parts":[["1984"]]}}}],"schema":"https://github.com/citation-style-language/schema/raw/master/csl-citation.json"} </w:instrText>
      </w:r>
      <w:r w:rsidRPr="00B02F3C">
        <w:fldChar w:fldCharType="separate"/>
      </w:r>
      <w:r w:rsidR="00907ADF" w:rsidRPr="00907ADF">
        <w:t>(Djumhur dan Danasuparta 1984)</w:t>
      </w:r>
      <w:r w:rsidRPr="00B02F3C">
        <w:fldChar w:fldCharType="end"/>
      </w:r>
      <w:r w:rsidRPr="00B02F3C">
        <w:t xml:space="preserve">. The curriculum outlined in the regional regulation of Sampang Regency aligns with the Ministry of Religious Affairs' regulations on madrasah diniyah education. According to Ministerial Regulation No. 13 of 2014 on Islamic Religious Education: The ula (elementary) level curriculum includes Al-Qur'an, Hadith, Tauhid, Fiqh, Akhlaq, Tarikh (Islamic history), and Arabic Language. The wustha (secondary) level curriculum includes Al-Qur'an, Tafsir-Ilmu Tafsir (exegesis), Hadith-Ilmu Hadith (Hadith sciences), Tauhid, Fiqh-Ushul Fiqh (jurisprudence), Akhlaq-Tasawuf, Tarikh, Arabic Language, Nahwu-Sharf (grammar and morphology), Balaghah (rhetoric), and Ilmu Kalam (Islamic theology) </w:t>
      </w:r>
      <w:r w:rsidRPr="00B02F3C">
        <w:fldChar w:fldCharType="begin"/>
      </w:r>
      <w:r w:rsidR="00907ADF">
        <w:instrText xml:space="preserve"> ADDIN ZOTERO_ITEM CSL_CITATION {"citationID":"U6JJuQ7s","properties":{"formattedCitation":"(K. Agama 2014)","plainCitation":"(K. Agama 2014)","noteIndex":0},"citationItems":[{"id":147,"uris":["http://zotero.org/users/local/AXpBhYh1/items/97GLHEQI"],"itemData":{"id":147,"type":"legislation","number":"No. 13/2014","title":"PMA No. 13/2014","author":[{"family":"Agama","given":"Kementerian"}],"issued":{"date-parts":[["2014"]]}}}],"schema":"https://github.com/citation-style-language/schema/raw/master/csl-citation.json"} </w:instrText>
      </w:r>
      <w:r w:rsidRPr="00B02F3C">
        <w:fldChar w:fldCharType="separate"/>
      </w:r>
      <w:r w:rsidR="00907ADF" w:rsidRPr="00907ADF">
        <w:t>(K. Agama 2014)</w:t>
      </w:r>
      <w:r w:rsidRPr="00B02F3C">
        <w:fldChar w:fldCharType="end"/>
      </w:r>
      <w:r w:rsidRPr="00B02F3C">
        <w:t>. The implementation of the madrasah diniyah curriculum adheres to these regulations; however, the selection of reference books is left to the discretion of madrasah diniyah administrators, based on their respective considerations and needs.</w:t>
      </w:r>
    </w:p>
    <w:p w14:paraId="5D1B83B1" w14:textId="77777777" w:rsidR="00B02F3C" w:rsidRPr="00B02F3C" w:rsidRDefault="00B02F3C" w:rsidP="00B02F3C">
      <w:pPr>
        <w:jc w:val="both"/>
        <w:rPr>
          <w:b/>
        </w:rPr>
      </w:pPr>
    </w:p>
    <w:p w14:paraId="0398083A" w14:textId="77777777" w:rsidR="00B02F3C" w:rsidRPr="00B02F3C" w:rsidRDefault="00B02F3C" w:rsidP="002847C4">
      <w:pPr>
        <w:pStyle w:val="ListParagraph"/>
        <w:numPr>
          <w:ilvl w:val="1"/>
          <w:numId w:val="2"/>
        </w:numPr>
        <w:jc w:val="both"/>
        <w:rPr>
          <w:b/>
        </w:rPr>
      </w:pPr>
      <w:r w:rsidRPr="00B02F3C">
        <w:rPr>
          <w:b/>
        </w:rPr>
        <w:t>Supervision and Monitoring</w:t>
      </w:r>
    </w:p>
    <w:p w14:paraId="7A805443" w14:textId="77777777" w:rsidR="002847C4" w:rsidRDefault="002847C4" w:rsidP="00B02F3C">
      <w:pPr>
        <w:ind w:firstLine="720"/>
        <w:jc w:val="both"/>
      </w:pPr>
    </w:p>
    <w:p w14:paraId="282D7B36" w14:textId="77777777" w:rsidR="00B02F3C" w:rsidRPr="00B02F3C" w:rsidRDefault="00B02F3C" w:rsidP="00907ADF">
      <w:pPr>
        <w:ind w:firstLine="720"/>
        <w:jc w:val="both"/>
      </w:pPr>
      <w:r w:rsidRPr="00B02F3C">
        <w:t xml:space="preserve">To ensure the effectiveness and efficiency of Madrasah Diniyah Takmiliyah operations, the Sampang Regency Government has established a system for supervision and monitoring. The primary objectives of this system are to guarantee the quality and accountability of education. Supervision and monitoring are carried out by Islamic education inspectors under the Ministry of Religious Affairs, in accordance with applicable regulations </w:t>
      </w:r>
      <w:r w:rsidRPr="00B02F3C">
        <w:fldChar w:fldCharType="begin"/>
      </w:r>
      <w:r w:rsidR="00907ADF">
        <w:instrText xml:space="preserve"> ADDIN ZOTERO_ITEM CSL_CITATION {"citationID":"KluqDsmk","properties":{"formattedCitation":"(Sampang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 This provision highlights the collaboration between the Sampang Regency Government and the Ministry of Religious Affairs, which is responsible for overseeing madrasah diniyah through Islamic education inspectors (PAIS). This collaboration is expected to enhance the proportional management and performance of madrasah diniyah institutions.</w:t>
      </w:r>
    </w:p>
    <w:p w14:paraId="73DC9D9B" w14:textId="77777777" w:rsidR="00B02F3C" w:rsidRPr="00B02F3C" w:rsidRDefault="00B02F3C" w:rsidP="00B02F3C">
      <w:pPr>
        <w:jc w:val="both"/>
        <w:rPr>
          <w:b/>
        </w:rPr>
      </w:pPr>
    </w:p>
    <w:p w14:paraId="71973F16" w14:textId="77777777" w:rsidR="00B02F3C" w:rsidRPr="00B02F3C" w:rsidRDefault="00B02F3C" w:rsidP="002847C4">
      <w:pPr>
        <w:pStyle w:val="ListParagraph"/>
        <w:numPr>
          <w:ilvl w:val="1"/>
          <w:numId w:val="2"/>
        </w:numPr>
        <w:jc w:val="both"/>
        <w:rPr>
          <w:b/>
        </w:rPr>
      </w:pPr>
      <w:r w:rsidRPr="00B02F3C">
        <w:rPr>
          <w:b/>
        </w:rPr>
        <w:t>Funding</w:t>
      </w:r>
    </w:p>
    <w:p w14:paraId="525C31E4" w14:textId="77777777" w:rsidR="002847C4" w:rsidRDefault="002847C4" w:rsidP="00B02F3C">
      <w:pPr>
        <w:ind w:firstLine="720"/>
        <w:jc w:val="both"/>
      </w:pPr>
    </w:p>
    <w:p w14:paraId="35F2DE42" w14:textId="77777777" w:rsidR="00B02F3C" w:rsidRPr="00B02F3C" w:rsidRDefault="00B02F3C" w:rsidP="00907ADF">
      <w:pPr>
        <w:ind w:firstLine="720"/>
        <w:jc w:val="both"/>
      </w:pPr>
      <w:r w:rsidRPr="00B02F3C">
        <w:t xml:space="preserve">This policy stipulates that the funding for the administration of Madrasah Diniyah Takmiliyah shall be fulfilled independently by the </w:t>
      </w:r>
      <w:r w:rsidRPr="00B02F3C">
        <w:lastRenderedPageBreak/>
        <w:t xml:space="preserve">community and the institutions managing madrasah diniyah takmiliyah. However, the Sampang Regency Government provides financial assistance to madrasah diniyah takmiliyah based on the financial capacity of the local government </w:t>
      </w:r>
      <w:r w:rsidRPr="00B02F3C">
        <w:fldChar w:fldCharType="begin"/>
      </w:r>
      <w:r w:rsidR="00907ADF">
        <w:instrText xml:space="preserve"> ADDIN ZOTERO_ITEM CSL_CITATION {"citationID":"5gGRT0m6","properties":{"formattedCitation":"(Sampang 2019)","plainCitation":"(Sampang 2019)","noteIndex":0},"citationItems":[{"id":141,"uris":["http://zotero.org/users/local/AXpBhYh1/items/5GK7IK6G"],"itemData":{"id":141,"type":"legislation","number":"No. 7/2019","title":"Perdakab Sampang No. 7/2019","author":[{"family":"Sampang","given":"Pemerintah Kabupaten"}],"issued":{"date-parts":[["2019"]]}}}],"schema":"https://github.com/citation-style-language/schema/raw/master/csl-citation.json"} </w:instrText>
      </w:r>
      <w:r w:rsidRPr="00B02F3C">
        <w:fldChar w:fldCharType="separate"/>
      </w:r>
      <w:r w:rsidR="00907ADF" w:rsidRPr="00907ADF">
        <w:t>(Sampang 2019)</w:t>
      </w:r>
      <w:r w:rsidRPr="00B02F3C">
        <w:fldChar w:fldCharType="end"/>
      </w:r>
      <w:r w:rsidRPr="00B02F3C">
        <w:t>.</w:t>
      </w:r>
    </w:p>
    <w:p w14:paraId="41454911" w14:textId="77777777" w:rsidR="00B02F3C" w:rsidRPr="00B02F3C" w:rsidRDefault="00B02F3C" w:rsidP="00907ADF">
      <w:pPr>
        <w:ind w:firstLine="720"/>
        <w:jc w:val="both"/>
      </w:pPr>
      <w:r w:rsidRPr="00B02F3C">
        <w:t xml:space="preserve">Although this local government policy does not fully meet all operational needs for Islamic religious education, it helps madrasah diniyah address some of the challenges they face. Consequently, Islamic religious education can continue to exist within the community. Moreover, this policy helps reduce the gap and discriminatory treatment by the government and/or local authorities toward madrasah diniyah in particular and Islamic education in general </w:t>
      </w:r>
      <w:r w:rsidRPr="00B02F3C">
        <w:fldChar w:fldCharType="begin"/>
      </w:r>
      <w:r w:rsidR="00907ADF">
        <w:instrText xml:space="preserve"> ADDIN ZOTERO_ITEM CSL_CITATION {"citationID":"UWEW5Qim","properties":{"formattedCitation":"(Azra 2012)","plainCitation":"(Azra 2012)","noteIndex":0},"citationItems":[{"id":90,"uris":["http://zotero.org/users/local/AXpBhYh1/items/95PHDNQ3"],"itemData":{"id":90,"type":"book","event-place":"Jakarta","publisher":"Kencana Prenadamedia Group","publisher-place":"Jakarta","title":"Pendidikan Islam: Tradisi dan Modernisasi di Tengah Tantangan Milenium III","author":[{"family":"Azra","given":"Azyumardi"}],"issued":{"date-parts":[["2012"]]}}}],"schema":"https://github.com/citation-style-language/schema/raw/master/csl-citation.json"} </w:instrText>
      </w:r>
      <w:r w:rsidRPr="00B02F3C">
        <w:fldChar w:fldCharType="separate"/>
      </w:r>
      <w:r w:rsidR="00907ADF" w:rsidRPr="00907ADF">
        <w:t>(Azra 2012)</w:t>
      </w:r>
      <w:r w:rsidRPr="00B02F3C">
        <w:fldChar w:fldCharType="end"/>
      </w:r>
      <w:r w:rsidRPr="00B02F3C">
        <w:t xml:space="preserve">. According to Azra, the Ministry of Religious Affairs has three possible responses to the discriminatory treatment of madrasah; (1) Allowing (status quo); (2) Issue a joint ministerial decree (SKB Tiga Menteri)—involving the Ministry of Religious Affairs, the Ministry of Education and Culture, and the Ministry of Home Affairs—to decentralize madrasah, and (3) Transfer the management of madrasah to the Ministry of Education and Culture </w:t>
      </w:r>
      <w:r w:rsidRPr="00B02F3C">
        <w:fldChar w:fldCharType="begin"/>
      </w:r>
      <w:r w:rsidR="00907ADF">
        <w:instrText xml:space="preserve"> ADDIN ZOTERO_ITEM CSL_CITATION {"citationID":"PcpxQ66l","properties":{"formattedCitation":"(Azra 2012)","plainCitation":"(Azra 2012)","noteIndex":0},"citationItems":[{"id":90,"uris":["http://zotero.org/users/local/AXpBhYh1/items/95PHDNQ3"],"itemData":{"id":90,"type":"book","event-place":"Jakarta","publisher":"Kencana Prenadamedia Group","publisher-place":"Jakarta","title":"Pendidikan Islam: Tradisi dan Modernisasi di Tengah Tantangan Milenium III","author":[{"family":"Azra","given":"Azyumardi"}],"issued":{"date-parts":[["2012"]]}}}],"schema":"https://github.com/citation-style-language/schema/raw/master/csl-citation.json"} </w:instrText>
      </w:r>
      <w:r w:rsidRPr="00B02F3C">
        <w:fldChar w:fldCharType="separate"/>
      </w:r>
      <w:r w:rsidR="00907ADF" w:rsidRPr="00907ADF">
        <w:t>(Azra 2012)</w:t>
      </w:r>
      <w:r w:rsidRPr="00B02F3C">
        <w:fldChar w:fldCharType="end"/>
      </w:r>
      <w:r w:rsidRPr="00B02F3C">
        <w:t>.</w:t>
      </w:r>
    </w:p>
    <w:p w14:paraId="1A10E8C5" w14:textId="77777777" w:rsidR="00B02F3C" w:rsidRPr="00B02F3C" w:rsidRDefault="00B02F3C" w:rsidP="00B02F3C">
      <w:pPr>
        <w:ind w:firstLine="720"/>
        <w:jc w:val="both"/>
      </w:pPr>
      <w:r w:rsidRPr="00B02F3C">
        <w:t>However, the Sampang Regency Government has not remained passive but has increased its involvement in managing madrasah diniyah. Madrasah diniyah that do not receive financial support from the central government through the Ministry of Religious Affairs have access to funding programs and financial aid from the regency government. This initiative allows madrasah diniyah to address and resolve some of their operational challenges.</w:t>
      </w:r>
    </w:p>
    <w:p w14:paraId="15BE8E02" w14:textId="77777777" w:rsidR="00B02F3C" w:rsidRPr="00B02F3C" w:rsidRDefault="00B02F3C" w:rsidP="00B02F3C">
      <w:pPr>
        <w:jc w:val="both"/>
        <w:rPr>
          <w:b/>
        </w:rPr>
      </w:pPr>
    </w:p>
    <w:p w14:paraId="4A5A9E4B" w14:textId="77777777" w:rsidR="00B02F3C" w:rsidRPr="002847C4" w:rsidRDefault="00547419" w:rsidP="00547419">
      <w:pPr>
        <w:pStyle w:val="ListParagraph"/>
        <w:numPr>
          <w:ilvl w:val="0"/>
          <w:numId w:val="2"/>
        </w:numPr>
        <w:jc w:val="both"/>
        <w:rPr>
          <w:b/>
        </w:rPr>
      </w:pPr>
      <w:r w:rsidRPr="002847C4">
        <w:rPr>
          <w:b/>
        </w:rPr>
        <w:t xml:space="preserve">Background of </w:t>
      </w:r>
      <w:r>
        <w:rPr>
          <w:b/>
        </w:rPr>
        <w:t>R</w:t>
      </w:r>
      <w:r w:rsidRPr="002847C4">
        <w:rPr>
          <w:b/>
        </w:rPr>
        <w:t xml:space="preserve">egional </w:t>
      </w:r>
      <w:r>
        <w:rPr>
          <w:b/>
        </w:rPr>
        <w:t>R</w:t>
      </w:r>
      <w:r w:rsidRPr="002847C4">
        <w:rPr>
          <w:b/>
        </w:rPr>
        <w:t xml:space="preserve">egulation </w:t>
      </w:r>
      <w:r>
        <w:rPr>
          <w:b/>
        </w:rPr>
        <w:t>N</w:t>
      </w:r>
      <w:r w:rsidRPr="002847C4">
        <w:rPr>
          <w:b/>
        </w:rPr>
        <w:t xml:space="preserve">o. 7 of 2019 on </w:t>
      </w:r>
      <w:r>
        <w:rPr>
          <w:b/>
        </w:rPr>
        <w:t>M</w:t>
      </w:r>
      <w:r w:rsidRPr="002847C4">
        <w:rPr>
          <w:b/>
        </w:rPr>
        <w:t xml:space="preserve">adrasah </w:t>
      </w:r>
      <w:r>
        <w:rPr>
          <w:b/>
        </w:rPr>
        <w:t>D</w:t>
      </w:r>
      <w:r w:rsidRPr="002847C4">
        <w:rPr>
          <w:b/>
        </w:rPr>
        <w:t xml:space="preserve">iniyah </w:t>
      </w:r>
      <w:r>
        <w:rPr>
          <w:b/>
        </w:rPr>
        <w:t>T</w:t>
      </w:r>
      <w:r w:rsidRPr="002847C4">
        <w:rPr>
          <w:b/>
        </w:rPr>
        <w:t>akmiliyah</w:t>
      </w:r>
    </w:p>
    <w:p w14:paraId="11778C99" w14:textId="77777777" w:rsidR="00547419" w:rsidRDefault="00547419" w:rsidP="00B02F3C">
      <w:pPr>
        <w:ind w:firstLine="720"/>
        <w:jc w:val="both"/>
      </w:pPr>
    </w:p>
    <w:p w14:paraId="32598BE5" w14:textId="77777777" w:rsidR="00B02F3C" w:rsidRPr="00B02F3C" w:rsidRDefault="00B02F3C" w:rsidP="00B02F3C">
      <w:pPr>
        <w:ind w:firstLine="720"/>
        <w:jc w:val="both"/>
      </w:pPr>
      <w:r w:rsidRPr="00B02F3C">
        <w:t>The enactment of Sampang Regency Regional Regulation No. 7 of 2019 on Madrasah Diniyah Takmiliyah was not an arbitrary decision but was shaped by social, political, legal, and other processes. This regulation emerged as a public policy in response to existing social and political realities. The regulation was the outcome of a political process involving multiple stakeholders, from political institutions to the wider community. It holds legal standing as a reference point for the Sampang Regency Government in implementing programs related to madrasah diniyah. Several key factors contributed to the issuance of this regulation, including: Implementation of Government Decentralization, Implementation of New Public Management, Responses to Problem Identification, Community Needs, and Aspirations, and The Reality of Madrasah Diniyah. Each of these factors is explained in detail below:</w:t>
      </w:r>
    </w:p>
    <w:p w14:paraId="3058A084" w14:textId="77777777" w:rsidR="00B02F3C" w:rsidRPr="00B02F3C" w:rsidRDefault="00B02F3C" w:rsidP="00B02F3C">
      <w:pPr>
        <w:jc w:val="both"/>
        <w:rPr>
          <w:b/>
        </w:rPr>
      </w:pPr>
    </w:p>
    <w:p w14:paraId="5312B700" w14:textId="77777777" w:rsidR="00B02F3C" w:rsidRPr="00B02F3C" w:rsidRDefault="002847C4" w:rsidP="002847C4">
      <w:pPr>
        <w:ind w:firstLine="720"/>
        <w:jc w:val="both"/>
        <w:rPr>
          <w:b/>
        </w:rPr>
      </w:pPr>
      <w:r>
        <w:rPr>
          <w:b/>
        </w:rPr>
        <w:t xml:space="preserve">3.1. </w:t>
      </w:r>
      <w:r w:rsidR="00B02F3C" w:rsidRPr="00B02F3C">
        <w:rPr>
          <w:b/>
        </w:rPr>
        <w:t>Implementation of Government Decentralization</w:t>
      </w:r>
    </w:p>
    <w:p w14:paraId="10036D0B" w14:textId="77777777" w:rsidR="002847C4" w:rsidRDefault="002847C4" w:rsidP="00B02F3C">
      <w:pPr>
        <w:ind w:firstLine="720"/>
        <w:jc w:val="both"/>
      </w:pPr>
    </w:p>
    <w:p w14:paraId="6E7B0401" w14:textId="77777777" w:rsidR="00B02F3C" w:rsidRPr="00B02F3C" w:rsidRDefault="00B02F3C" w:rsidP="00907ADF">
      <w:pPr>
        <w:ind w:firstLine="720"/>
        <w:jc w:val="both"/>
      </w:pPr>
      <w:r w:rsidRPr="00B02F3C">
        <w:t xml:space="preserve">According to Cheema and Rondinelli, “Decentralization is defined as the transfer of authority, responsibility, and resources through </w:t>
      </w:r>
      <w:r w:rsidRPr="00B02F3C">
        <w:lastRenderedPageBreak/>
        <w:t xml:space="preserve">deconcentration, delegation, or devolution from the center to lower levels of administration” </w:t>
      </w:r>
      <w:r w:rsidRPr="00B02F3C">
        <w:fldChar w:fldCharType="begin"/>
      </w:r>
      <w:r w:rsidR="00907ADF">
        <w:instrText xml:space="preserve"> ADDIN ZOTERO_ITEM CSL_CITATION {"citationID":"7QUhtNSd","properties":{"formattedCitation":"(Cheema dan Rondinelli 2007)","plainCitation":"(Cheema dan Rondinelli 2007)","noteIndex":0},"citationItems":[{"id":"nnn34LCC/rZ02plYq","uris":["http://zotero.org/users/local/iEaRuOXy/items/2TBAMRMJ"],"itemData":{"id":"xXig3se7/DZ82w9eO","type":"chapter","container-title":"Decentralizing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Veliz, as cited by Maria C. Escobar-Lemmon, states that “Decentralization is something of an ironic policy. It requires the national government to give up power to subnational governments and to unmake the ‘centralist tradition’” </w:t>
      </w:r>
      <w:r w:rsidRPr="00B02F3C">
        <w:fldChar w:fldCharType="begin"/>
      </w:r>
      <w:r w:rsidR="00907ADF">
        <w:instrText xml:space="preserve"> ADDIN ZOTERO_ITEM CSL_CITATION {"citationID":"cUwMbCKD","properties":{"formattedCitation":"(Lemmon 2006)","plainCitation":"(Lemmon 2006)","noteIndex":0},"citationItems":[{"id":"nnn34LCC/etOau9bg","uris":["http://zotero.org/users/local/iEaRuOXy/items/HHHM5K7A"],"itemData":{"id":"xXig3se7/1BmETgrm","type":"article-journal","container-title":"Policy Studies Journal","issue":"2","page":"245","title":"Executives, Legislative, dan Decentralization","volume":"34","author":[{"family":"Lemmon","given":"Maria C. Escobar-"}],"issued":{"date-parts":[["2006"]]}}}],"schema":"https://github.com/citation-style-language/schema/raw/master/csl-citation.json"} </w:instrText>
      </w:r>
      <w:r w:rsidRPr="00B02F3C">
        <w:fldChar w:fldCharType="separate"/>
      </w:r>
      <w:r w:rsidR="00907ADF" w:rsidRPr="00907ADF">
        <w:t>(Lemmon 2006)</w:t>
      </w:r>
      <w:r w:rsidRPr="00B02F3C">
        <w:fldChar w:fldCharType="end"/>
      </w:r>
      <w:r w:rsidRPr="00B02F3C">
        <w:t>.</w:t>
      </w:r>
    </w:p>
    <w:p w14:paraId="00557F5F" w14:textId="77777777" w:rsidR="00B02F3C" w:rsidRPr="00B02F3C" w:rsidRDefault="00B02F3C" w:rsidP="00907ADF">
      <w:pPr>
        <w:ind w:firstLine="720"/>
        <w:jc w:val="both"/>
      </w:pPr>
      <w:r w:rsidRPr="00B02F3C">
        <w:t xml:space="preserve">In Indonesia, Law No. 23 of 2014 on Regional Governance defines decentralization as the transfer of governmental affairs from the central government to autonomous regions based on the principle of autonomy. This system acknowledges the authority of local governments in policymaking, recognizing their potential and capabilities while involving local representatives in governance and development. Through this process, regional governments exercise their rights and responsibilities in a democratic society </w:t>
      </w:r>
      <w:r w:rsidRPr="00B02F3C">
        <w:fldChar w:fldCharType="begin"/>
      </w:r>
      <w:r w:rsidR="00907ADF">
        <w:instrText xml:space="preserve"> ADDIN ZOTERO_ITEM CSL_CITATION {"citationID":"nKfC17Os","properties":{"formattedCitation":"(Huda 2013)","plainCitation":"(Huda 2013)","noteIndex":0},"citationItems":[{"id":100,"uris":["http://zotero.org/users/local/AXpBhYh1/items/KPVGGBSY"],"itemData":{"id":100,"type":"book","event-place":"Yogyakarta","publisher":"Pustaka Pelajar","publisher-place":"Yogyakarta","title":"Otonomi Daerah: Filosofi, Sejarah Perkembangan, dan Problematika","author":[{"family":"Huda","given":"Ni'matul"}],"issued":{"date-parts":[["2013"]]}}}],"schema":"https://github.com/citation-style-language/schema/raw/master/csl-citation.json"} </w:instrText>
      </w:r>
      <w:r w:rsidRPr="00B02F3C">
        <w:fldChar w:fldCharType="separate"/>
      </w:r>
      <w:r w:rsidR="00907ADF" w:rsidRPr="00907ADF">
        <w:t>(Huda 2013)</w:t>
      </w:r>
      <w:r w:rsidRPr="00B02F3C">
        <w:fldChar w:fldCharType="end"/>
      </w:r>
      <w:r w:rsidRPr="00B02F3C">
        <w:t>.</w:t>
      </w:r>
    </w:p>
    <w:p w14:paraId="6B040D4A" w14:textId="77777777" w:rsidR="00B02F3C" w:rsidRPr="00B02F3C" w:rsidRDefault="00B02F3C" w:rsidP="00907ADF">
      <w:pPr>
        <w:ind w:firstLine="720"/>
        <w:jc w:val="both"/>
      </w:pPr>
      <w:r w:rsidRPr="00B02F3C">
        <w:t xml:space="preserve">Decentralization serves multiple objectives—not only for the broader public interest but also as a strategic tool for political elites to gain influence and opportunities. Escobar-Lemmon argues that “National governments (both executives and legislatures) saw decentralization as one way to regain popular support by creating new opportunities for participation and fostering greater accountability” </w:t>
      </w:r>
      <w:r w:rsidRPr="00B02F3C">
        <w:fldChar w:fldCharType="begin"/>
      </w:r>
      <w:r w:rsidR="00907ADF">
        <w:instrText xml:space="preserve"> ADDIN ZOTERO_ITEM CSL_CITATION {"citationID":"RLeNjM6B","properties":{"formattedCitation":"(Lemmon 2006)","plainCitation":"(Lemmon 2006)","noteIndex":0},"citationItems":[{"id":"nnn34LCC/etOau9bg","uris":["http://zotero.org/users/local/iEaRuOXy/items/HHHM5K7A"],"itemData":{"id":385,"type":"article-journal","container-title":"Policy Studies Journal","issue":"2","page":"245","title":"Executives, Legislative, dan Decentralization","volume":"34","author":[{"family":"Lemmon","given":"Maria C. Escobar-"}],"issued":{"date-parts":[["2006"]]}}}],"schema":"https://github.com/citation-style-language/schema/raw/master/csl-citation.json"} </w:instrText>
      </w:r>
      <w:r w:rsidRPr="00B02F3C">
        <w:fldChar w:fldCharType="separate"/>
      </w:r>
      <w:r w:rsidR="00907ADF" w:rsidRPr="00907ADF">
        <w:t>(Lemmon 2006)</w:t>
      </w:r>
      <w:r w:rsidRPr="00B02F3C">
        <w:fldChar w:fldCharType="end"/>
      </w:r>
      <w:r w:rsidRPr="00B02F3C">
        <w:t xml:space="preserve">. Escobar-Lemmon further outlines two key reasons why administrative decentralization may be more advantageous than other forms of decentralization: Firstly, By making local governments responsible for public services (such as healthcare), central governments can avoid direct blame for service reductions and shift responsibility for poor service quality. Secondly, High levels of administrative decentralization, combined with limited fiscal decentralization, allow central governments to retain control over how subnational governments provide these services </w:t>
      </w:r>
      <w:r w:rsidRPr="00B02F3C">
        <w:fldChar w:fldCharType="begin"/>
      </w:r>
      <w:r w:rsidR="00907ADF">
        <w:instrText xml:space="preserve"> ADDIN ZOTERO_ITEM CSL_CITATION {"citationID":"akF6C0I1","properties":{"formattedCitation":"(Lemmon 2006)","plainCitation":"(Lemmon 2006)","noteIndex":0},"citationItems":[{"id":"nnn34LCC/etOau9bg","uris":["http://zotero.org/users/local/iEaRuOXy/items/HHHM5K7A"],"itemData":{"id":"xXig3se7/1BmETgrm","type":"article-journal","container-title":"Policy Studies Journal","issue":"2","page":"245","title":"Executives, Legislative, dan Decentralization","volume":"34","author":[{"family":"Lemmon","given":"Maria C. Escobar-"}],"issued":{"date-parts":[["2006"]]}}}],"schema":"https://github.com/citation-style-language/schema/raw/master/csl-citation.json"} </w:instrText>
      </w:r>
      <w:r w:rsidRPr="00B02F3C">
        <w:fldChar w:fldCharType="separate"/>
      </w:r>
      <w:r w:rsidR="00907ADF" w:rsidRPr="00907ADF">
        <w:t>(Lemmon 2006)</w:t>
      </w:r>
      <w:r w:rsidRPr="00B02F3C">
        <w:fldChar w:fldCharType="end"/>
      </w:r>
      <w:r w:rsidRPr="00B02F3C">
        <w:t>.</w:t>
      </w:r>
    </w:p>
    <w:p w14:paraId="157ECF6A" w14:textId="77777777" w:rsidR="00B02F3C" w:rsidRPr="00B02F3C" w:rsidRDefault="00B02F3C" w:rsidP="00907ADF">
      <w:pPr>
        <w:ind w:firstLine="720"/>
        <w:jc w:val="both"/>
      </w:pPr>
      <w:r w:rsidRPr="00B02F3C">
        <w:t>Falleti explains that the purpose of decentralization is to balance power between central and local governments in order to foster societal progress and welfare. She asserts that: “...articulates a sequential theory of decentralization in which she explains the form of decentralization in a country as a result of the order in which the reforms took place. In her view, "different outcomes for intergovernmental balance of power are less a result of the particulars of individual policy reforms than a product of the evolution of such reforms and of the type of actors they empower along the way"</w:t>
      </w:r>
      <w:r w:rsidRPr="00B02F3C">
        <w:fldChar w:fldCharType="begin"/>
      </w:r>
      <w:r w:rsidR="00907ADF">
        <w:instrText xml:space="preserve"> ADDIN ZOTERO_ITEM CSL_CITATION {"citationID":"3nAlYM6J","properties":{"formattedCitation":"(Lemmon 2006)","plainCitation":"(Lemmon 2006)","noteIndex":0},"citationItems":[{"id":"nnn34LCC/etOau9bg","uris":["http://zotero.org/users/local/iEaRuOXy/items/HHHM5K7A"],"itemData":{"id":385,"type":"article-journal","container-title":"Policy Studies Journal","issue":"2","page":"245","title":"Executives, Legislative, dan Decentralization","volume":"34","author":[{"family":"Lemmon","given":"Maria C. Escobar-"}],"issued":{"date-parts":[["2006"]]}}}],"schema":"https://github.com/citation-style-language/schema/raw/master/csl-citation.json"} </w:instrText>
      </w:r>
      <w:r w:rsidRPr="00B02F3C">
        <w:fldChar w:fldCharType="separate"/>
      </w:r>
      <w:r w:rsidR="00907ADF" w:rsidRPr="00907ADF">
        <w:t>(Lemmon 2006)</w:t>
      </w:r>
      <w:r w:rsidRPr="00B02F3C">
        <w:fldChar w:fldCharType="end"/>
      </w:r>
      <w:r w:rsidRPr="00B02F3C">
        <w:t xml:space="preserve">. Atsukoi Toi emphasizes that decentralization should be evaluated based on its impact on social welfare: “If there is no improvement in the level of social welfare for local people, it cannot be said that the objective of decentralization has been fulfilled, even if authority has been transferred from the central government to local governments” </w:t>
      </w:r>
      <w:r w:rsidRPr="00B02F3C">
        <w:fldChar w:fldCharType="begin"/>
      </w:r>
      <w:r w:rsidR="00907ADF">
        <w:instrText xml:space="preserve"> ADDIN ZOTERO_ITEM CSL_CITATION {"citationID":"9vm1XB3g","properties":{"formattedCitation":"(Toi 2010)","plainCitation":"(Toi 2010)","noteIndex":0},"citationItems":[{"id":"nnn34LCC/r1aZXINS","uris":["http://zotero.org/users/local/iEaRuOXy/items/9NHBVQEB"],"itemData":{"id":"4tynlbGw/C4lxTkLi","type":"article-journal","container-title":"Educ Res Policy Prac","title":"An empirical study of the effects of decentralization in Indonesian junior secondary education","volume":"9","author":[{"family":"Toi","given":"Atsuko"}],"issued":{"date-parts":[["2010"]]}}}],"schema":"https://github.com/citation-style-language/schema/raw/master/csl-citation.json"} </w:instrText>
      </w:r>
      <w:r w:rsidRPr="00B02F3C">
        <w:fldChar w:fldCharType="separate"/>
      </w:r>
      <w:r w:rsidR="00907ADF" w:rsidRPr="00907ADF">
        <w:t>(Toi 2010)</w:t>
      </w:r>
      <w:r w:rsidRPr="00B02F3C">
        <w:fldChar w:fldCharType="end"/>
      </w:r>
      <w:r w:rsidRPr="00B02F3C">
        <w:t>.</w:t>
      </w:r>
    </w:p>
    <w:p w14:paraId="3CE7DD37" w14:textId="77777777" w:rsidR="00B02F3C" w:rsidRPr="00B02F3C" w:rsidRDefault="00B02F3C" w:rsidP="00907ADF">
      <w:pPr>
        <w:ind w:firstLine="720"/>
        <w:jc w:val="both"/>
      </w:pPr>
      <w:r w:rsidRPr="00B02F3C">
        <w:t xml:space="preserve">Cheema and Rondinelli highlight another important aspect of decentralization, particularly its financial implications: “Decentralization could increase the financial resources of local governments and provide the flexibility to respond effectively to local needs and demands.” </w:t>
      </w:r>
      <w:r w:rsidRPr="00B02F3C">
        <w:fldChar w:fldCharType="begin"/>
      </w:r>
      <w:r w:rsidR="00907ADF">
        <w:instrText xml:space="preserve"> ADDIN ZOTERO_ITEM CSL_CITATION {"citationID":"NDxpCemv","properties":{"formattedCitation":"(Cheema dan Rondinelli 2007)","plainCitation":"(Cheema dan Rondinelli 2007)","noteIndex":0},"citationItems":[{"id":"nnn34LCC/rZ02plYq","uris":["http://zotero.org/users/local/iEaRuOXy/items/2TBAMRMJ"],"itemData":{"id":388,"type":"chapter","container-title":"Decentralizing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Similarly, Rentanida Renata Simatupang explains that decentralization is expected to improve allocative efficiency by tailoring </w:t>
      </w:r>
      <w:r w:rsidRPr="00B02F3C">
        <w:lastRenderedPageBreak/>
        <w:t xml:space="preserve">services to better meet local needs: “The next exercise explores the determinants of changes in education outcomes, as decentralization is expected to improve allocative efficiency by bringing services that better respond to local needs.” </w:t>
      </w:r>
      <w:r w:rsidRPr="00B02F3C">
        <w:fldChar w:fldCharType="begin"/>
      </w:r>
      <w:r w:rsidR="00907ADF">
        <w:instrText xml:space="preserve"> ADDIN ZOTERO_ITEM CSL_CITATION {"citationID":"dVzpcR9i","properties":{"formattedCitation":"(Simatupang 2010)","plainCitation":"(Simatupang 2010)","noteIndex":0},"citationItems":[{"id":"nnn34LCC/9pmNn82e","uris":["http://zotero.org/users/local/iEaRuOXy/items/RHFXQTMS"],"itemData":{"id":390,"type":"thesis","event-place":"USA","publisher":"Georgia State University","publisher-place":"USA","title":"Evaluation Of Decentralization Outcomes In Indonesia: Analysis Of Health And Education Sectors","author":[{"family":"Simatupang","given":"Rentanida Renata"}],"issued":{"date-parts":[["2010"]]}}}],"schema":"https://github.com/citation-style-language/schema/raw/master/csl-citation.json"} </w:instrText>
      </w:r>
      <w:r w:rsidRPr="00B02F3C">
        <w:fldChar w:fldCharType="separate"/>
      </w:r>
      <w:r w:rsidR="00907ADF" w:rsidRPr="00907ADF">
        <w:t>(Simatupang 2010)</w:t>
      </w:r>
      <w:r w:rsidRPr="00B02F3C">
        <w:fldChar w:fldCharType="end"/>
      </w:r>
      <w:r w:rsidRPr="00B02F3C">
        <w:t>. From these perspectives, decentralization serves several key purposes: (a) For the central government, decentralization helps gain public support and enhance accountability, (b) It increases the efficiency and effectiveness of public services while maintaining central government oversight, (c) It balances the roles of central and regional governments in development, (d) It promotes social welfare, which is a more significant goal than merely transferring authority, (e ) It expands financial resources at the local level, and (f) It enhances allocative efficiency, ensuring that services are responsive to local needs. This framework justifies the authority of the Sampang Regency Government in managing its budget and developing its region. The allocation of the regional budget (APBD) for madrasah diniyah in Sampang Regency represents a formal implementation of local government authority in the era of decentralization.</w:t>
      </w:r>
    </w:p>
    <w:p w14:paraId="261E5A4D" w14:textId="77777777" w:rsidR="00B02F3C" w:rsidRPr="00B02F3C" w:rsidRDefault="00B02F3C" w:rsidP="00907ADF">
      <w:pPr>
        <w:ind w:firstLine="720"/>
        <w:jc w:val="both"/>
      </w:pPr>
      <w:r w:rsidRPr="00B02F3C">
        <w:t xml:space="preserve">Jalal and Mustafa, as cited in Sirozi, distinguish two concepts of educational decentralization: the first is Decentralization of policy authority, which involves transferring education policymaking power from the central government to local governments. The second is Decentralization of decision-making, which shifts educational decision-making from the government to the community. Both concepts indicate that the primary goal of educational decentralization is to enhance the quality of education </w:t>
      </w:r>
      <w:r w:rsidRPr="00B02F3C">
        <w:fldChar w:fldCharType="begin"/>
      </w:r>
      <w:r w:rsidR="00907ADF">
        <w:instrText xml:space="preserve"> ADDIN ZOTERO_ITEM CSL_CITATION {"citationID":"EQ2fvSm4","properties":{"formattedCitation":"(Sirozi 2010)","plainCitation":"(Sirozi 2010)","noteIndex":0},"citationItems":[{"id":"nnn34LCC/zJsN0lTq","uris":["http://zotero.org/users/local/iEaRuOXy/items/U9ZMGUXC"],"itemData":{"id":155,"type":"book","event-place":"Jakarta","publisher":"Rajagrafindo Persada","publisher-place":"Jakarta","title":"Politik Pendidikan","author":[{"family":"Sirozi","given":"M."}],"issued":{"date-parts":[["2010"]]}}}],"schema":"https://github.com/citation-style-language/schema/raw/master/csl-citation.json"} </w:instrText>
      </w:r>
      <w:r w:rsidRPr="00B02F3C">
        <w:fldChar w:fldCharType="separate"/>
      </w:r>
      <w:r w:rsidR="00907ADF" w:rsidRPr="00907ADF">
        <w:t>(Sirozi 2010)</w:t>
      </w:r>
      <w:r w:rsidRPr="00B02F3C">
        <w:fldChar w:fldCharType="end"/>
      </w:r>
      <w:r w:rsidRPr="00B02F3C">
        <w:t>. Although madrasah diniyah is not part of the formal education system, the Sampang Regency Government recognizes its significant contribution to society—not only in the religious sphere but also in overall community development. As an educational institution, madrasah diniyah plays a crucial role in shaping individuals and fostering societal progress.</w:t>
      </w:r>
    </w:p>
    <w:p w14:paraId="757B1536" w14:textId="77777777" w:rsidR="00B02F3C" w:rsidRPr="00B02F3C" w:rsidRDefault="00B02F3C" w:rsidP="00B02F3C">
      <w:pPr>
        <w:jc w:val="both"/>
        <w:rPr>
          <w:b/>
        </w:rPr>
      </w:pPr>
    </w:p>
    <w:p w14:paraId="0DE99F46" w14:textId="77777777" w:rsidR="00B02F3C" w:rsidRPr="002847C4" w:rsidRDefault="00B02F3C" w:rsidP="002847C4">
      <w:pPr>
        <w:pStyle w:val="ListParagraph"/>
        <w:numPr>
          <w:ilvl w:val="1"/>
          <w:numId w:val="2"/>
        </w:numPr>
        <w:jc w:val="both"/>
        <w:rPr>
          <w:b/>
        </w:rPr>
      </w:pPr>
      <w:r w:rsidRPr="002847C4">
        <w:rPr>
          <w:b/>
        </w:rPr>
        <w:t>Response to the Identification of Issues, Needs, and Aspirations</w:t>
      </w:r>
    </w:p>
    <w:p w14:paraId="568FEE36" w14:textId="77777777" w:rsidR="002847C4" w:rsidRDefault="002847C4" w:rsidP="00B02F3C">
      <w:pPr>
        <w:ind w:firstLine="720"/>
        <w:jc w:val="both"/>
      </w:pPr>
    </w:p>
    <w:p w14:paraId="6AB266C8" w14:textId="77777777" w:rsidR="00B02F3C" w:rsidRPr="00B02F3C" w:rsidRDefault="00B02F3C" w:rsidP="00907ADF">
      <w:pPr>
        <w:ind w:firstLine="720"/>
        <w:jc w:val="both"/>
      </w:pPr>
      <w:r w:rsidRPr="00B02F3C">
        <w:t xml:space="preserve">To achieve the objectives of effective decentralization, Abdul Aziz and David D. Arnold emphasize that local governance involves several key responsibilities, including: (a) identifying public issues, needs, and aspirations; (b) effectively managing human and natural resources;(c) estimating the financial resources required; (d) formulating appropriate development strategies; (e) managing the potential of villages; (f) implementing standard operating procedures (SOPs); and (g) enforcing regulations </w:t>
      </w:r>
      <w:r w:rsidRPr="00B02F3C">
        <w:fldChar w:fldCharType="begin"/>
      </w:r>
      <w:r w:rsidR="00907ADF">
        <w:instrText xml:space="preserve"> ADDIN ZOTERO_ITEM CSL_CITATION {"citationID":"p28Phoq4","properties":{"formattedCitation":"(Aziz dan Arnold 2003)","plainCitation":"(Aziz dan Arnold 2003)","noteIndex":0},"citationItems":[{"id":103,"uris":["http://zotero.org/users/local/AXpBhYh1/items/F6AQYMBK"],"itemData":{"id":103,"type":"book","event-place":"Bantul","publisher":"Pustaka Edukasi","publisher-place":"Bantul","title":"Desentralisasi Pemerintahan: Pengalaman Negara-Negara Asia","author":[{"family":"Aziz","given":"Abdul"},{"family":"Arnold","given":"David"}],"issued":{"date-parts":[["2003"]]}}}],"schema":"https://github.com/citation-style-language/schema/raw/master/csl-citation.json"} </w:instrText>
      </w:r>
      <w:r w:rsidRPr="00B02F3C">
        <w:fldChar w:fldCharType="separate"/>
      </w:r>
      <w:r w:rsidR="00907ADF" w:rsidRPr="00907ADF">
        <w:t>(Aziz dan Arnold 2003)</w:t>
      </w:r>
      <w:r w:rsidRPr="00B02F3C">
        <w:fldChar w:fldCharType="end"/>
      </w:r>
      <w:r w:rsidRPr="00B02F3C">
        <w:t xml:space="preserve">. In this context, the Sampang Regency Government recognizes </w:t>
      </w:r>
      <w:r w:rsidRPr="00B02F3C">
        <w:rPr>
          <w:i/>
          <w:iCs/>
        </w:rPr>
        <w:t>Madrasah Diniyah</w:t>
      </w:r>
      <w:r w:rsidRPr="00B02F3C">
        <w:t xml:space="preserve"> as a critical issue, a public need, and an aspiration of the people that must be addressed to ensure a conducive, effective, and efficient governance process in Sampang Regency.</w:t>
      </w:r>
    </w:p>
    <w:p w14:paraId="591DE657" w14:textId="77777777" w:rsidR="00B02F3C" w:rsidRPr="00B02F3C" w:rsidRDefault="00B02F3C" w:rsidP="00907ADF">
      <w:pPr>
        <w:ind w:firstLine="720"/>
        <w:jc w:val="both"/>
      </w:pPr>
      <w:r w:rsidRPr="00B02F3C">
        <w:t xml:space="preserve">From a theoretical perspective, Weingast argues that decentralization improves economic efficiency, stating that: “One implication of the expansive literature on fiscal federalism is that decentralization can be a way for </w:t>
      </w:r>
      <w:r w:rsidRPr="00B02F3C">
        <w:lastRenderedPageBreak/>
        <w:t xml:space="preserve">governments to improve overall economic efficiency by leaving some functions to subnational governments” </w:t>
      </w:r>
      <w:r w:rsidRPr="00B02F3C">
        <w:fldChar w:fldCharType="begin"/>
      </w:r>
      <w:r w:rsidR="00907ADF">
        <w:instrText xml:space="preserve"> ADDIN ZOTERO_ITEM CSL_CITATION {"citationID":"uy1jcW0P","properties":{"formattedCitation":"(Lemmon 2006)","plainCitation":"(Lemmon 2006)","noteIndex":0},"citationItems":[{"id":"nnn34LCC/etOau9bg","uris":["http://zotero.org/users/local/iEaRuOXy/items/HHHM5K7A"],"itemData":{"id":"4tynlbGw/PXr2nBA9","type":"article-journal","container-title":"Policy Studies Journal","issue":"2","page":"245","title":"Executives, Legislative, dan Decentralization","volume":"34","author":[{"family":"Lemmon","given":"Maria C. Escobar-"}],"issued":{"date-parts":[["2006"]]}}}],"schema":"https://github.com/citation-style-language/schema/raw/master/csl-citation.json"} </w:instrText>
      </w:r>
      <w:r w:rsidRPr="00B02F3C">
        <w:fldChar w:fldCharType="separate"/>
      </w:r>
      <w:r w:rsidR="00907ADF" w:rsidRPr="00907ADF">
        <w:t>(Lemmon 2006)</w:t>
      </w:r>
      <w:r w:rsidRPr="00B02F3C">
        <w:fldChar w:fldCharType="end"/>
      </w:r>
      <w:r w:rsidRPr="00B02F3C">
        <w:t xml:space="preserve">. Hayek further supports this argument, asserting that local governments are more knowledgeable about their community’s needs, stating: “Local governments are closer to citizens and thus are best positioned to know what they want” </w:t>
      </w:r>
      <w:r w:rsidRPr="00B02F3C">
        <w:fldChar w:fldCharType="begin"/>
      </w:r>
      <w:r w:rsidR="00907ADF">
        <w:instrText xml:space="preserve"> ADDIN ZOTERO_ITEM CSL_CITATION {"citationID":"3IgjkGFC","properties":{"formattedCitation":"(Lemmon 2006)","plainCitation":"(Lemmon 2006)","noteIndex":0},"citationItems":[{"id":"nnn34LCC/etOau9bg","uris":["http://zotero.org/users/local/iEaRuOXy/items/HHHM5K7A"],"itemData":{"id":"4tynlbGw/PXr2nBA9","type":"article-journal","container-title":"Policy Studies Journal","issue":"2","page":"245","title":"Executives, Legislative, dan Decentralization","volume":"34","author":[{"family":"Lemmon","given":"Maria C. Escobar-"}],"issued":{"date-parts":[["2006"]]}}}],"schema":"https://github.com/citation-style-language/schema/raw/master/csl-citation.json"} </w:instrText>
      </w:r>
      <w:r w:rsidRPr="00B02F3C">
        <w:fldChar w:fldCharType="separate"/>
      </w:r>
      <w:r w:rsidR="00907ADF" w:rsidRPr="00907ADF">
        <w:t>(Lemmon 2006)</w:t>
      </w:r>
      <w:r w:rsidRPr="00B02F3C">
        <w:fldChar w:fldCharType="end"/>
      </w:r>
      <w:r w:rsidRPr="00B02F3C">
        <w:t xml:space="preserve">. Another impact of decentralization is in financial administration, where local governments benefit from revenue-sharing mechanisms, as not all financial activities remain under central government control. According to Atsukoi Toi: “Changes implemented in the administration of local government finances due to decentralization have contributed to the widening gap in revenue sharing” </w:t>
      </w:r>
      <w:r w:rsidRPr="00B02F3C">
        <w:fldChar w:fldCharType="begin"/>
      </w:r>
      <w:r w:rsidR="00907ADF">
        <w:instrText xml:space="preserve"> ADDIN ZOTERO_ITEM CSL_CITATION {"citationID":"507kiCbF","properties":{"formattedCitation":"(Toi 2010)","plainCitation":"(Toi 2010)","noteIndex":0},"citationItems":[{"id":"nnn34LCC/r1aZXINS","uris":["http://zotero.org/users/local/iEaRuOXy/items/9NHBVQEB"],"itemData":{"id":"4tynlbGw/C4lxTkLi","type":"article-journal","container-title":"Educ Res Policy Prac","title":"An empirical study of the effects of decentralization in Indonesian junior secondary education","volume":"9","author":[{"family":"Toi","given":"Atsuko"}],"issued":{"date-parts":[["2010"]]}}}],"schema":"https://github.com/citation-style-language/schema/raw/master/csl-citation.json"} </w:instrText>
      </w:r>
      <w:r w:rsidRPr="00B02F3C">
        <w:fldChar w:fldCharType="separate"/>
      </w:r>
      <w:r w:rsidR="00907ADF" w:rsidRPr="00907ADF">
        <w:t>(Toi 2010)</w:t>
      </w:r>
      <w:r w:rsidRPr="00B02F3C">
        <w:fldChar w:fldCharType="end"/>
      </w:r>
      <w:r w:rsidRPr="00B02F3C">
        <w:t xml:space="preserve">. Therefore, local governments must enhance their capacity and administrative competencies to optimize their governance performance and maximize their objectives. Without such improvements, decentralization risks failing to deliver its intended benefits. Cheema and Rondinelli warn that: “Decentralization often fails because of low levels of administrative and management capacity in local governments and in civil society organizations” </w:t>
      </w:r>
      <w:r w:rsidRPr="00B02F3C">
        <w:fldChar w:fldCharType="begin"/>
      </w:r>
      <w:r w:rsidR="00907ADF">
        <w:instrText xml:space="preserve"> ADDIN ZOTERO_ITEM CSL_CITATION {"citationID":"iBwwxBVl","properties":{"formattedCitation":"(Cheema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w:t>
      </w:r>
    </w:p>
    <w:p w14:paraId="6B1A6FB8" w14:textId="77777777" w:rsidR="00B02F3C" w:rsidRPr="00B02F3C" w:rsidRDefault="00B02F3C" w:rsidP="00907ADF">
      <w:pPr>
        <w:ind w:firstLine="720"/>
        <w:jc w:val="both"/>
      </w:pPr>
      <w:r w:rsidRPr="00B02F3C">
        <w:t xml:space="preserve">Decentralization also has significant implications for public political participation. In this era, communities actively participate in fundamental political decision-making processes, such as executive and legislative elections and the formulation of development policies. Cheema and Rondinelli state that: “The impacts of decentralization on citizen participation also vary from country to country depending on the type of decentralization used and the political situation in the country” </w:t>
      </w:r>
      <w:r w:rsidRPr="00B02F3C">
        <w:fldChar w:fldCharType="begin"/>
      </w:r>
      <w:r w:rsidR="00907ADF">
        <w:instrText xml:space="preserve"> ADDIN ZOTERO_ITEM CSL_CITATION {"citationID":"nuQgny1S","properties":{"formattedCitation":"(Cheema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w:t>
      </w:r>
    </w:p>
    <w:p w14:paraId="703CD70F" w14:textId="77777777" w:rsidR="00B02F3C" w:rsidRPr="00B02F3C" w:rsidRDefault="00B02F3C" w:rsidP="00907ADF">
      <w:pPr>
        <w:ind w:firstLine="720"/>
        <w:jc w:val="both"/>
      </w:pPr>
      <w:r w:rsidRPr="00B02F3C">
        <w:t xml:space="preserve">Educational decentralization, therefore, does not solely yield positive outcomes. While it offers several advantages, it also presents challenges, such as disparities between schools and regions. If left unaddressed, these inequalities could escalate into broader social and political issues—both at the micro-level (individual schools) and macro-level (society at large)—ultimately hindering educational development </w:t>
      </w:r>
      <w:r w:rsidRPr="00B02F3C">
        <w:fldChar w:fldCharType="begin"/>
      </w:r>
      <w:r w:rsidR="00907ADF">
        <w:instrText xml:space="preserve"> ADDIN ZOTERO_ITEM CSL_CITATION {"citationID":"6kHJjfxj","properties":{"formattedCitation":"(Sirozi 2010)","plainCitation":"(Sirozi 2010)","noteIndex":0},"citationItems":[{"id":"nnn34LCC/zJsN0lTq","uris":["http://zotero.org/users/local/iEaRuOXy/items/U9ZMGUXC"],"itemData":{"id":"4tynlbGw/Q2tt1ZKs","type":"book","event-place":"Jakarta","publisher":"Rajagrafindo Persada","publisher-place":"Jakarta","title":"Politik Pendidikan","author":[{"family":"Sirozi","given":"M."}],"issued":{"date-parts":[["2010"]]}}}],"schema":"https://github.com/citation-style-language/schema/raw/master/csl-citation.json"} </w:instrText>
      </w:r>
      <w:r w:rsidRPr="00B02F3C">
        <w:fldChar w:fldCharType="separate"/>
      </w:r>
      <w:r w:rsidR="00907ADF" w:rsidRPr="00907ADF">
        <w:t>(Sirozi 2010)</w:t>
      </w:r>
      <w:r w:rsidRPr="00B02F3C">
        <w:fldChar w:fldCharType="end"/>
      </w:r>
      <w:r w:rsidRPr="00B02F3C">
        <w:t>. Recognizing these risks, the Sampang Regency Government has implemented policies to ensure that the negative impacts of governmental decentralization are tightly controlled, minimized, or even eliminated altogether.</w:t>
      </w:r>
    </w:p>
    <w:p w14:paraId="691345F8" w14:textId="77777777" w:rsidR="00B02F3C" w:rsidRPr="00B02F3C" w:rsidRDefault="00B02F3C" w:rsidP="00B02F3C">
      <w:pPr>
        <w:ind w:firstLine="720"/>
        <w:jc w:val="both"/>
      </w:pPr>
      <w:r w:rsidRPr="00B02F3C">
        <w:t>Based on the discussion above, the effects of decentralization can be categorized into: (a) Positive impact include; (1) Increased economic efficiency, (2) Financial benefits for local governments, including increased regional revenue (</w:t>
      </w:r>
      <w:r w:rsidRPr="00B02F3C">
        <w:rPr>
          <w:i/>
          <w:iCs/>
        </w:rPr>
        <w:t>Pendapatan Asli Daerah</w:t>
      </w:r>
      <w:r w:rsidRPr="00B02F3C">
        <w:t xml:space="preserve"> or PAD), (3) Enhanced competence and management capacity in local government administration, and (4) Greater public political participation at the regional level. Whereas in negative impact is emergence of disparities between different regions and schools, leading to educational inequality.</w:t>
      </w:r>
    </w:p>
    <w:p w14:paraId="23702E1C" w14:textId="77777777" w:rsidR="00B02F3C" w:rsidRPr="00B02F3C" w:rsidRDefault="00B02F3C" w:rsidP="00907ADF">
      <w:pPr>
        <w:ind w:firstLine="720"/>
        <w:jc w:val="both"/>
      </w:pPr>
      <w:r w:rsidRPr="00B02F3C">
        <w:t xml:space="preserve">The concept of decentralization has evolved from traditional </w:t>
      </w:r>
      <w:r w:rsidRPr="00B02F3C">
        <w:rPr>
          <w:i/>
          <w:iCs/>
        </w:rPr>
        <w:t>government</w:t>
      </w:r>
      <w:r w:rsidRPr="00B02F3C">
        <w:t xml:space="preserve"> to broader </w:t>
      </w:r>
      <w:r w:rsidRPr="00B02F3C">
        <w:rPr>
          <w:i/>
          <w:iCs/>
        </w:rPr>
        <w:t>governance</w:t>
      </w:r>
      <w:r w:rsidRPr="00B02F3C">
        <w:t xml:space="preserve"> approaches. Cheema and Rondinelli explain that governance includes not only governmental institutions but also the participation of non-governmental organizations and private sector actors. </w:t>
      </w:r>
      <w:r w:rsidRPr="00B02F3C">
        <w:lastRenderedPageBreak/>
        <w:t xml:space="preserve">They state: “The concept of governance expanded to include not only government but also other societal institutions, including the private sector and civil associations” </w:t>
      </w:r>
      <w:r w:rsidRPr="00B02F3C">
        <w:fldChar w:fldCharType="begin"/>
      </w:r>
      <w:r w:rsidR="00907ADF">
        <w:instrText xml:space="preserve"> ADDIN ZOTERO_ITEM CSL_CITATION {"citationID":"mJj0qyD0","properties":{"formattedCitation":"(Cheema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Furthermore, they emphasize that good governance is characterized by transparency, representation, accountability, and public participation in decision-making processes: “Good governance came to be seen as transparent, representative, accountable, and participatory systems of institutions and procedures for public decision-making” </w:t>
      </w:r>
      <w:r w:rsidRPr="00B02F3C">
        <w:fldChar w:fldCharType="begin"/>
      </w:r>
      <w:r w:rsidR="00907ADF">
        <w:instrText xml:space="preserve"> ADDIN ZOTERO_ITEM CSL_CITATION {"citationID":"Wilclvk5","properties":{"formattedCitation":"(Cheema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Thus, the Sampang Regency Government's initiative to implement policies on </w:t>
      </w:r>
      <w:r w:rsidRPr="00B02F3C">
        <w:rPr>
          <w:i/>
          <w:iCs/>
        </w:rPr>
        <w:t>Madrasah Diniyah</w:t>
      </w:r>
      <w:r w:rsidRPr="00B02F3C">
        <w:t xml:space="preserve"> aligns with the principles of good governance, ensuring that the decentralization process supports social development, educational equity, and economic efficiency while maintaining accountability and inclusivity.</w:t>
      </w:r>
    </w:p>
    <w:p w14:paraId="21A5BB0B" w14:textId="77777777" w:rsidR="00B02F3C" w:rsidRPr="00B02F3C" w:rsidRDefault="00B02F3C" w:rsidP="00B02F3C">
      <w:pPr>
        <w:jc w:val="both"/>
        <w:rPr>
          <w:b/>
        </w:rPr>
      </w:pPr>
    </w:p>
    <w:p w14:paraId="6E056AC9" w14:textId="77777777" w:rsidR="00B02F3C" w:rsidRPr="00B02F3C" w:rsidRDefault="00B02F3C" w:rsidP="002847C4">
      <w:pPr>
        <w:pStyle w:val="ListParagraph"/>
        <w:numPr>
          <w:ilvl w:val="1"/>
          <w:numId w:val="2"/>
        </w:numPr>
        <w:jc w:val="both"/>
        <w:rPr>
          <w:b/>
        </w:rPr>
      </w:pPr>
      <w:r w:rsidRPr="00B02F3C">
        <w:rPr>
          <w:b/>
        </w:rPr>
        <w:t>Implementation of New Public Management (NPM)</w:t>
      </w:r>
    </w:p>
    <w:p w14:paraId="60DEA065" w14:textId="77777777" w:rsidR="002847C4" w:rsidRDefault="002847C4" w:rsidP="00B02F3C">
      <w:pPr>
        <w:ind w:firstLine="720"/>
        <w:jc w:val="both"/>
      </w:pPr>
    </w:p>
    <w:p w14:paraId="57BC3ACD" w14:textId="77777777" w:rsidR="00B02F3C" w:rsidRPr="00B02F3C" w:rsidRDefault="00B02F3C" w:rsidP="00907ADF">
      <w:pPr>
        <w:ind w:firstLine="720"/>
        <w:jc w:val="both"/>
      </w:pPr>
      <w:r w:rsidRPr="00B02F3C">
        <w:t xml:space="preserve">A concrete form of decentralization is the emergence of the concept of New Public Management (NPM). According to Cheema and Rondinelli, “New public management focused on making government mission-driven rather than rule-bound, results-oriented, enterprising, anticipatory, and customer-driven” </w:t>
      </w:r>
      <w:r w:rsidRPr="00B02F3C">
        <w:fldChar w:fldCharType="begin"/>
      </w:r>
      <w:r w:rsidR="00907ADF">
        <w:instrText xml:space="preserve"> ADDIN ZOTERO_ITEM CSL_CITATION {"citationID":"VTEBa1Mo","properties":{"formattedCitation":"(Cheema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In other words, New Public Management (NPM) focuses on making government missions driven by rules, results-oriented, proactive, and responsive to the public (or customers). Cheema and Rondinelli further explain that: “As the concept of governance expanded, so did thinking about the rationale, objectives, and forms of decentralization. Decentralization now encompasses not only the transfer of power, authority, and responsibility within government but also the sharing of authority and resources for shaping public policy within society. In this expanding concept of governance, decentralization practices can be categorized into at least four forms: administrative, political, fiscal, and economic” </w:t>
      </w:r>
      <w:r w:rsidRPr="00B02F3C">
        <w:fldChar w:fldCharType="begin"/>
      </w:r>
      <w:r w:rsidR="00907ADF">
        <w:instrText xml:space="preserve"> ADDIN ZOTERO_ITEM CSL_CITATION {"citationID":"Bl3qTwfU","properties":{"formattedCitation":"(Cheema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In this context, the Sampang Regency Government demonstrates that its policy responses to the issues, needs, and aspirations of the people represent a form of NPM implementation. The issuance of Regional Regulation No. 7 of 2019 on </w:t>
      </w:r>
      <w:r w:rsidRPr="00B02F3C">
        <w:rPr>
          <w:i/>
          <w:iCs/>
        </w:rPr>
        <w:t>Madrasah Diniyah Takmiliyah</w:t>
      </w:r>
      <w:r w:rsidRPr="00B02F3C">
        <w:t xml:space="preserve"> is a real-world manifestation of the Sampang Regency Government's commitment and initiative to address educational challenges, particularly those faced by </w:t>
      </w:r>
      <w:r w:rsidRPr="00B02F3C">
        <w:rPr>
          <w:i/>
          <w:iCs/>
        </w:rPr>
        <w:t>Madrasah Diniyah</w:t>
      </w:r>
      <w:r w:rsidRPr="00B02F3C">
        <w:t xml:space="preserve">. This policy represents an effort to meet the needs of </w:t>
      </w:r>
      <w:r w:rsidRPr="00B02F3C">
        <w:rPr>
          <w:i/>
          <w:iCs/>
        </w:rPr>
        <w:t>Madrasah Diniyah</w:t>
      </w:r>
      <w:r w:rsidRPr="00B02F3C">
        <w:t xml:space="preserve">, which had previously been constrained, and responds swiftly to the aspirations arising from the pesantren (Islamic boarding schools) and </w:t>
      </w:r>
      <w:r w:rsidRPr="00B02F3C">
        <w:rPr>
          <w:i/>
          <w:iCs/>
        </w:rPr>
        <w:t>madrasah diniyah</w:t>
      </w:r>
      <w:r w:rsidRPr="00B02F3C">
        <w:t xml:space="preserve"> communities in Sampang Regency.</w:t>
      </w:r>
    </w:p>
    <w:p w14:paraId="6B28AAD4" w14:textId="77777777" w:rsidR="00B02F3C" w:rsidRPr="00B02F3C" w:rsidRDefault="00B02F3C" w:rsidP="00907ADF">
      <w:pPr>
        <w:ind w:firstLine="720"/>
        <w:jc w:val="both"/>
      </w:pPr>
      <w:r w:rsidRPr="00B02F3C">
        <w:t xml:space="preserve">As a concept, governance has expanded, as has the thinking about the rationale, objectives, and forms of decentralization. Decentralization now not only involves the transfer of power, authority, and responsibility within government but also includes sharing authority and resources to shape public policy within society. This evolving concept of decentralization can be categorized into at least four forms: administrative, political, fiscal, and economic. Political and fiscal devolution are two forms that are inseparable in </w:t>
      </w:r>
      <w:r w:rsidRPr="00B02F3C">
        <w:lastRenderedPageBreak/>
        <w:t xml:space="preserve">the practice of decentralization. According to Cheema and Rondinelli: “Transferring power and authority from the central government to subnational administrative and local government units and opening the political process to widespread participation provide an institutional framework for local autonomy and empower communities to pursue local aspirations. Two dimensions of devolution, political and fiscal, are complementary. Political devolution provides a legal basis for the exercise of power at the local level and enables citizens to influence local policymaking and priority setting. Fiscal devolution assigns functions and revenues to subnational and local governments and the resources by which to implement local policies and programs” </w:t>
      </w:r>
      <w:r w:rsidRPr="00B02F3C">
        <w:fldChar w:fldCharType="begin"/>
      </w:r>
      <w:r w:rsidR="00907ADF">
        <w:instrText xml:space="preserve"> ADDIN ZOTERO_ITEM CSL_CITATION {"citationID":"Lha7HeVu","properties":{"formattedCitation":"(Cheema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xml:space="preserve">. Another form of decentralization is through partnerships and cooperation. Cheema and Rondinelli state: “Partnerships and other forms of cooperation among government agencies, civil society, and the private sector are being used to develop and expand energy and utility networks and services, extend transportation systems, construct and operate water and waste treatment facilities, and provide such basic services as primary health care, education, and shelter” </w:t>
      </w:r>
      <w:r w:rsidRPr="00B02F3C">
        <w:fldChar w:fldCharType="begin"/>
      </w:r>
      <w:r w:rsidR="00907ADF">
        <w:instrText xml:space="preserve"> ADDIN ZOTERO_ITEM CSL_CITATION {"citationID":"1VxZTunp","properties":{"formattedCitation":"(Cheema dan Rondinelli 2007)","plainCitation":"(Cheema dan Rondinelli 2007)","noteIndex":0},"citationItems":[{"id":"nnn34LCC/rZ02plYq","uris":["http://zotero.org/users/local/iEaRuOXy/items/2TBAMRMJ"],"itemData":{"id":"4tynlbGw/nUrtG4w3","type":"chapter","container-title":"Decentralizing Governance Emerging Concept and Practice","event-place":"Washington DC","publisher":"Brooking Institution Press","publisher-place":"Washington DC","title":"Form Government Decentralization to Decentralization Governance","author":[{"family":"Cheema","given":"G. Shabbir"},{"family":"Rondinelli","given":"Dennis A."}],"issued":{"date-parts":[["2007"]]}}}],"schema":"https://github.com/citation-style-language/schema/raw/master/csl-citation.json"} </w:instrText>
      </w:r>
      <w:r w:rsidRPr="00B02F3C">
        <w:fldChar w:fldCharType="separate"/>
      </w:r>
      <w:r w:rsidR="00907ADF" w:rsidRPr="00907ADF">
        <w:t>(Cheema dan Rondinelli 2007)</w:t>
      </w:r>
      <w:r w:rsidRPr="00B02F3C">
        <w:fldChar w:fldCharType="end"/>
      </w:r>
      <w:r w:rsidRPr="00B02F3C">
        <w:t>. Thus, partnerships and various forms of cooperation among government agencies, civil society, and the private sector are used to develop and expand energy and utility networks, extend transportation systems, build and operate water and waste treatment facilities, and provide essential services such as primary health care, education, and shelter. Theoretically, decentralization can take two forms: political (or democratic) decentralization and administrative decentralization.</w:t>
      </w:r>
    </w:p>
    <w:p w14:paraId="122E777C" w14:textId="77777777" w:rsidR="00B02F3C" w:rsidRPr="00B02F3C" w:rsidRDefault="00B02F3C" w:rsidP="00907ADF">
      <w:pPr>
        <w:ind w:firstLine="720"/>
        <w:jc w:val="both"/>
      </w:pPr>
      <w:r w:rsidRPr="00B02F3C">
        <w:t xml:space="preserve">From the discussion above, it can be concluded that decentralization manifests in the following forms:(1) Deconcentration; (2) Devolution; (3) Delegation; (4) Development is not only carried out by local governments but also involves civil (private) sector partners; (5) The application of SOPs as a reflection of transparency, representation, accountability, and participatory systems, and (6) New Public Management (NPM). Referring to educational regulations and local governance, the educational decentralization implemented in the current era of regional autonomy is a combination of political (or democratic) decentralization and administrative decentralization. Local governments are given the authority to establish various agendas for the development of basic and secondary education in their regions, alongside the responsibility and authority to manage planning, management, finance, and other activities related to schools. However, key elements of education, such as pedagogy, curriculum, organization, and evaluation, remain under the jurisdiction of the central government </w:t>
      </w:r>
      <w:r w:rsidRPr="00B02F3C">
        <w:fldChar w:fldCharType="begin"/>
      </w:r>
      <w:r w:rsidR="00907ADF">
        <w:instrText xml:space="preserve"> ADDIN ZOTERO_ITEM CSL_CITATION {"citationID":"3XdaFdh0","properties":{"formattedCitation":"(Sirozi 2010)","plainCitation":"(Sirozi 2010)","noteIndex":0},"citationItems":[{"id":"nnn34LCC/zJsN0lTq","uris":["http://zotero.org/users/local/iEaRuOXy/items/U9ZMGUXC"],"itemData":{"id":"4tynlbGw/Q2tt1ZKs","type":"book","event-place":"Jakarta","publisher":"Rajagrafindo Persada","publisher-place":"Jakarta","title":"Politik Pendidikan","author":[{"family":"Sirozi","given":"M."}],"issued":{"date-parts":[["2010"]]}}}],"schema":"https://github.com/citation-style-language/schema/raw/master/csl-citation.json"} </w:instrText>
      </w:r>
      <w:r w:rsidRPr="00B02F3C">
        <w:fldChar w:fldCharType="separate"/>
      </w:r>
      <w:r w:rsidR="00907ADF" w:rsidRPr="00907ADF">
        <w:t>(Sirozi 2010)</w:t>
      </w:r>
      <w:r w:rsidRPr="00B02F3C">
        <w:fldChar w:fldCharType="end"/>
      </w:r>
      <w:r w:rsidRPr="00B02F3C">
        <w:t>.</w:t>
      </w:r>
    </w:p>
    <w:p w14:paraId="1BAA9C40" w14:textId="77777777" w:rsidR="00B02F3C" w:rsidRPr="00B02F3C" w:rsidRDefault="00B02F3C" w:rsidP="00B02F3C">
      <w:pPr>
        <w:jc w:val="both"/>
        <w:rPr>
          <w:b/>
        </w:rPr>
      </w:pPr>
    </w:p>
    <w:p w14:paraId="7B3912AC" w14:textId="77777777" w:rsidR="00B02F3C" w:rsidRPr="002847C4" w:rsidRDefault="00B02F3C" w:rsidP="002847C4">
      <w:pPr>
        <w:pStyle w:val="ListParagraph"/>
        <w:numPr>
          <w:ilvl w:val="1"/>
          <w:numId w:val="2"/>
        </w:numPr>
        <w:jc w:val="both"/>
        <w:rPr>
          <w:b/>
        </w:rPr>
      </w:pPr>
      <w:r w:rsidRPr="002847C4">
        <w:rPr>
          <w:b/>
        </w:rPr>
        <w:t>The Social Presence of Madrasah Diniyah</w:t>
      </w:r>
    </w:p>
    <w:p w14:paraId="578E3F01" w14:textId="77777777" w:rsidR="002847C4" w:rsidRDefault="002847C4" w:rsidP="00B02F3C">
      <w:pPr>
        <w:ind w:firstLine="720"/>
        <w:jc w:val="both"/>
      </w:pPr>
    </w:p>
    <w:p w14:paraId="0713E035" w14:textId="77777777" w:rsidR="00B02F3C" w:rsidRPr="00B02F3C" w:rsidRDefault="00B02F3C" w:rsidP="00B02F3C">
      <w:pPr>
        <w:ind w:firstLine="720"/>
        <w:jc w:val="both"/>
      </w:pPr>
      <w:r w:rsidRPr="00B02F3C">
        <w:t xml:space="preserve">Another significant factor that prompted the Sampang Regency Government to issue its local regulation was the growing presence and role of madrasah diniyah as a social and educational institution. In this context, madrasah diniyah is not merely an entity responsible for delivering education </w:t>
      </w:r>
      <w:r w:rsidRPr="00B02F3C">
        <w:lastRenderedPageBreak/>
        <w:t>or a formal learning institution, but also a vital social reality.</w:t>
      </w:r>
    </w:p>
    <w:p w14:paraId="208D18BD" w14:textId="77777777" w:rsidR="00B02F3C" w:rsidRPr="00B02F3C" w:rsidRDefault="00B02F3C" w:rsidP="00907ADF">
      <w:pPr>
        <w:ind w:firstLine="720"/>
        <w:jc w:val="both"/>
      </w:pPr>
      <w:r w:rsidRPr="00B02F3C">
        <w:t xml:space="preserve">Madrasah diniyah grows and evolves in accordance with its place and proportion within society, meaning it both influences and is influenced by the surrounding community </w:t>
      </w:r>
      <w:r w:rsidRPr="00B02F3C">
        <w:fldChar w:fldCharType="begin"/>
      </w:r>
      <w:r w:rsidR="00907ADF">
        <w:instrText xml:space="preserve"> ADDIN ZOTERO_ITEM CSL_CITATION {"citationID":"OxkQY9HK","properties":{"formattedCitation":"(Ikhwan dkk. 2019)","plainCitation":"(Ikhwan dkk. 2019)","noteIndex":0},"citationItems":[{"id":149,"uris":["http://zotero.org/users/local/AXpBhYh1/items/8MJJX47Y"],"itemData":{"id":149,"type":"paper-conference","abstract":"This research is based on the existence of an innovation phenomenon of Islamic Religious Education in Blitar, East Java, Indonesia district, which will implement the Madrasah Diniyah Mandatory Program in all formal institutions at the junior, senior high school, and vocational level as intracurricular. The purpose of the study is to examine the causes of the emergence, how it is implemented and how the implications of innovation in Islamic Religious Education. This type of research is qualitative, data collection techniques interview, observation and documentation, data analysis through stages: data presentation, data reduction, and conclusion drawing. checking data is done through triangulation test. This study produced (1) because of the lack of knowledge of Islam lesson in formal school institution making the Madin (madrasah diniyah) program compulsory in all formal schools, (2) its application by a combination of Placement Test method, Peer Tutor method (student study group coordinated by his own friends) and the Drill method (how to learn by repeating the material for many times) and (3) this innovation implies a change in the religious character of students.","container-title":"Proceedings of the 1st International Conference on Life, Innovation, Change and Knowledge (ICLICK 2018)","DOI":"10.2991/iclick-18.2019.66","event-place":"Bandung, Indonesia","event-title":"Proceedings of the 1st International Conference on Life, Innovation, Change and Knowledge (ICLICK 2018)","ISBN":"978-94-6252-762-1","language":"en","publisher":"Atlantis Press","publisher-place":"Bandung, Indonesia","source":"DOI.org (Crossref)","title":"Innovation of Islamic Education Through the Implementation of Mandatory Program Madrasah Diniyah (Non-Formal Religious Education Institutions) In Formal Institution","URL":"https://www.atlantis-press.com/article/125913323","author":[{"family":"Ikhwan","given":"Afiful"},{"family":"Swastika Fahriana","given":"Ava"},{"literal":"Musyarapah"},{"family":"Fahruddin","given":"M. Mukhlis"},{"family":"Iskandar Jaelani","given":"Dian"}],"accessed":{"date-parts":[["2025",4,13]]},"issued":{"date-parts":[["2019"]]}}}],"schema":"https://github.com/citation-style-language/schema/raw/master/csl-citation.json"} </w:instrText>
      </w:r>
      <w:r w:rsidRPr="00B02F3C">
        <w:fldChar w:fldCharType="separate"/>
      </w:r>
      <w:r w:rsidR="00907ADF" w:rsidRPr="00907ADF">
        <w:t>(Ikhwan dkk. 2019)</w:t>
      </w:r>
      <w:r w:rsidRPr="00B02F3C">
        <w:fldChar w:fldCharType="end"/>
      </w:r>
      <w:r w:rsidRPr="00B02F3C">
        <w:t>. These institutions have become focal points in society because their development is closely tied to the growth and transformation of the Sampang community itself.</w:t>
      </w:r>
    </w:p>
    <w:p w14:paraId="5FFAC913" w14:textId="77777777" w:rsidR="00B02F3C" w:rsidRPr="00B02F3C" w:rsidRDefault="00B02F3C" w:rsidP="00907ADF">
      <w:pPr>
        <w:ind w:firstLine="720"/>
        <w:jc w:val="both"/>
      </w:pPr>
      <w:r w:rsidRPr="00B02F3C">
        <w:t xml:space="preserve">This assertion is supported by clear indicators—particularly the significant number of madrasah diniyah operating in Sampang Regency. In 2016, there were 20,011 madrasah diniyah awwaliyah (elementary level) across East Java, and at that time, Sampang Regency alone was home to 1,268 madrasah diniyah—the highest number of such institutions in the entire province </w:t>
      </w:r>
      <w:r w:rsidRPr="00B02F3C">
        <w:fldChar w:fldCharType="begin"/>
      </w:r>
      <w:r w:rsidR="00907ADF">
        <w:instrText xml:space="preserve"> ADDIN ZOTERO_ITEM CSL_CITATION {"citationID":"5esbIdnX","properties":{"formattedCitation":"(Ismail 2017)","plainCitation":"(Ismail 2017)","noteIndex":0},"citationItems":[{"id":131,"uris":["http://zotero.org/users/local/AXpBhYh1/items/LQNZB9KF"],"itemData":{"id":131,"type":"thesis","event-place":"Surabaya","genre":"Dissertatioan","publisher":"UIN Sunan Ampel Surabaya, Indonesia","publisher-place":"Surabaya","title":"Politik Pendidikan Islam Di Daerah: Analisis Kebijakan Pemerintah Provinsi Jawa Timur Dalam Pengembangan Madrasah Diniyah","author":[{"family":"Ismail","given":"Ismail"}],"issued":{"date-parts":[["2017"]]}}}],"schema":"https://github.com/citation-style-language/schema/raw/master/csl-citation.json"} </w:instrText>
      </w:r>
      <w:r w:rsidRPr="00B02F3C">
        <w:fldChar w:fldCharType="separate"/>
      </w:r>
      <w:r w:rsidR="00907ADF" w:rsidRPr="00907ADF">
        <w:t>(Ismail 2017)</w:t>
      </w:r>
      <w:r w:rsidRPr="00B02F3C">
        <w:fldChar w:fldCharType="end"/>
      </w:r>
      <w:r w:rsidRPr="00B02F3C">
        <w:t>.</w:t>
      </w:r>
    </w:p>
    <w:p w14:paraId="3300C382" w14:textId="77777777" w:rsidR="00B02F3C" w:rsidRPr="00B02F3C" w:rsidRDefault="00B02F3C" w:rsidP="00907ADF">
      <w:pPr>
        <w:ind w:firstLine="720"/>
        <w:jc w:val="both"/>
      </w:pPr>
      <w:r w:rsidRPr="00B02F3C">
        <w:t xml:space="preserve">The number has continued to increase over the years. In 2022, Sampang Regency recorded a total of 1,954 madrasah diniyah, consisting of 1,325 awwaliyah/ula and 629 wustha institutions </w:t>
      </w:r>
      <w:r w:rsidRPr="00B02F3C">
        <w:fldChar w:fldCharType="begin"/>
      </w:r>
      <w:r w:rsidR="00907ADF">
        <w:instrText xml:space="preserve"> ADDIN ZOTERO_ITEM CSL_CITATION {"citationID":"idSwaMMu","properties":{"formattedCitation":"(K. K. Agama 2023)","plainCitation":"(K. K. Agama 2023)","noteIndex":0},"citationItems":[{"id":150,"uris":["http://zotero.org/users/local/AXpBhYh1/items/LJAM8982"],"itemData":{"id":150,"type":"book","event-place":"Sampang","publisher":"Kantor Kementerian Agama Kabupaten Sampang","publisher-place":"Sampang","title":"Data Madrasah Diniyah Kabupaten Sampang","author":[{"family":"Agama","given":"Kantor Kementerian"}],"issued":{"date-parts":[["2023"]]}}}],"schema":"https://github.com/citation-style-language/schema/raw/master/csl-citation.json"} </w:instrText>
      </w:r>
      <w:r w:rsidRPr="00B02F3C">
        <w:fldChar w:fldCharType="separate"/>
      </w:r>
      <w:r w:rsidR="00907ADF" w:rsidRPr="00907ADF">
        <w:t>(K. K. Agama 2023)</w:t>
      </w:r>
      <w:r w:rsidRPr="00B02F3C">
        <w:fldChar w:fldCharType="end"/>
      </w:r>
      <w:r w:rsidRPr="00B02F3C">
        <w:t>. Compared to the 2016 figures, this reflects an increase of 706 institutions, or a 56% growth over six years.</w:t>
      </w:r>
    </w:p>
    <w:p w14:paraId="3F591164" w14:textId="77777777" w:rsidR="00B02F3C" w:rsidRPr="00B02F3C" w:rsidRDefault="00B02F3C" w:rsidP="00907ADF">
      <w:pPr>
        <w:ind w:firstLine="720"/>
        <w:jc w:val="both"/>
      </w:pPr>
      <w:r w:rsidRPr="00B02F3C">
        <w:t xml:space="preserve">Student and teacher (ustadz) data from madrasah diniyah in Sampang is equally noteworthy. In 2020, there were 156,182 students, including 124,455 awwaliyah students and 31,727 wustha students. By 2021, the number had grown to 160,394 students, with 127,668 awwaliyah and 32,726 wustha students. In 2022, the number further increased to 162,047 students, comprising 128,393 awwaliyah and 33,654 wustha students </w:t>
      </w:r>
      <w:r w:rsidRPr="00B02F3C">
        <w:fldChar w:fldCharType="begin"/>
      </w:r>
      <w:r w:rsidR="00907ADF">
        <w:instrText xml:space="preserve"> ADDIN ZOTERO_ITEM CSL_CITATION {"citationID":"DhOiH1VL","properties":{"formattedCitation":"(K. K. Agama 2023)","plainCitation":"(K. K. Agama 2023)","noteIndex":0},"citationItems":[{"id":150,"uris":["http://zotero.org/users/local/AXpBhYh1/items/LJAM8982"],"itemData":{"id":150,"type":"book","event-place":"Sampang","publisher":"Kantor Kementerian Agama Kabupaten Sampang","publisher-place":"Sampang","title":"Data Madrasah Diniyah Kabupaten Sampang","author":[{"family":"Agama","given":"Kantor Kementerian"}],"issued":{"date-parts":[["2023"]]}}}],"schema":"https://github.com/citation-style-language/schema/raw/master/csl-citation.json"} </w:instrText>
      </w:r>
      <w:r w:rsidRPr="00B02F3C">
        <w:fldChar w:fldCharType="separate"/>
      </w:r>
      <w:r w:rsidR="00907ADF" w:rsidRPr="00907ADF">
        <w:t>(K. K. Agama 2023)</w:t>
      </w:r>
      <w:r w:rsidRPr="00B02F3C">
        <w:fldChar w:fldCharType="end"/>
      </w:r>
      <w:r w:rsidRPr="00B02F3C">
        <w:t>.</w:t>
      </w:r>
    </w:p>
    <w:p w14:paraId="56FD07E3" w14:textId="77777777" w:rsidR="00B02F3C" w:rsidRPr="00B02F3C" w:rsidRDefault="00B02F3C" w:rsidP="00907ADF">
      <w:pPr>
        <w:ind w:firstLine="720"/>
        <w:jc w:val="both"/>
      </w:pPr>
      <w:r w:rsidRPr="00B02F3C">
        <w:t xml:space="preserve">In terms of teaching staff, there were 12,048 ustadz (teachers) in 2020, including 8,869 awwaliyah ustadz and 3,179 wustha ustadz. In 2021, this rose to 12,405 ustadz (9,047 awwaliyah, 3,358 wustha), and by 2022, the number reached 12,948 ustadz (9,469 awwaliyah, 3,479 wustha) </w:t>
      </w:r>
      <w:r w:rsidRPr="00B02F3C">
        <w:fldChar w:fldCharType="begin"/>
      </w:r>
      <w:r w:rsidR="00907ADF">
        <w:instrText xml:space="preserve"> ADDIN ZOTERO_ITEM CSL_CITATION {"citationID":"zR4tGuE5","properties":{"formattedCitation":"(K. K. Agama 2023)","plainCitation":"(K. K. Agama 2023)","noteIndex":0},"citationItems":[{"id":150,"uris":["http://zotero.org/users/local/AXpBhYh1/items/LJAM8982"],"itemData":{"id":150,"type":"book","event-place":"Sampang","publisher":"Kantor Kementerian Agama Kabupaten Sampang","publisher-place":"Sampang","title":"Data Madrasah Diniyah Kabupaten Sampang","author":[{"family":"Agama","given":"Kantor Kementerian"}],"issued":{"date-parts":[["2023"]]}}}],"schema":"https://github.com/citation-style-language/schema/raw/master/csl-citation.json"} </w:instrText>
      </w:r>
      <w:r w:rsidRPr="00B02F3C">
        <w:fldChar w:fldCharType="separate"/>
      </w:r>
      <w:r w:rsidR="00907ADF" w:rsidRPr="00907ADF">
        <w:t>(K. K. Agama 2023)</w:t>
      </w:r>
      <w:r w:rsidRPr="00B02F3C">
        <w:fldChar w:fldCharType="end"/>
      </w:r>
      <w:r w:rsidRPr="00B02F3C">
        <w:t>. A summary of these data can be presented in the following table:</w:t>
      </w:r>
    </w:p>
    <w:p w14:paraId="44247225" w14:textId="77777777" w:rsidR="00B02F3C" w:rsidRPr="00B02F3C" w:rsidRDefault="00B02F3C" w:rsidP="00B02F3C">
      <w:pPr>
        <w:ind w:firstLine="720"/>
        <w:jc w:val="both"/>
      </w:pPr>
    </w:p>
    <w:tbl>
      <w:tblPr>
        <w:tblStyle w:val="TableGrid"/>
        <w:tblW w:w="63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
        <w:gridCol w:w="938"/>
        <w:gridCol w:w="736"/>
        <w:gridCol w:w="732"/>
        <w:gridCol w:w="736"/>
        <w:gridCol w:w="732"/>
        <w:gridCol w:w="736"/>
        <w:gridCol w:w="760"/>
      </w:tblGrid>
      <w:tr w:rsidR="00B02F3C" w:rsidRPr="00B02F3C" w14:paraId="02074318" w14:textId="77777777" w:rsidTr="00B02F3C">
        <w:trPr>
          <w:jc w:val="center"/>
        </w:trPr>
        <w:tc>
          <w:tcPr>
            <w:tcW w:w="954" w:type="dxa"/>
            <w:vMerge w:val="restart"/>
            <w:tcBorders>
              <w:top w:val="single" w:sz="4" w:space="0" w:color="auto"/>
            </w:tcBorders>
          </w:tcPr>
          <w:p w14:paraId="453BD7BF" w14:textId="77777777" w:rsidR="00B02F3C" w:rsidRPr="00B02F3C" w:rsidRDefault="00B02F3C" w:rsidP="001F129C">
            <w:pPr>
              <w:spacing w:line="276" w:lineRule="auto"/>
              <w:jc w:val="center"/>
              <w:rPr>
                <w:sz w:val="16"/>
                <w:szCs w:val="16"/>
              </w:rPr>
            </w:pPr>
            <w:r w:rsidRPr="00B02F3C">
              <w:rPr>
                <w:sz w:val="16"/>
                <w:szCs w:val="16"/>
              </w:rPr>
              <w:t>Madrasah Diniya</w:t>
            </w:r>
          </w:p>
        </w:tc>
        <w:tc>
          <w:tcPr>
            <w:tcW w:w="938" w:type="dxa"/>
            <w:vMerge w:val="restart"/>
            <w:tcBorders>
              <w:top w:val="single" w:sz="4" w:space="0" w:color="auto"/>
            </w:tcBorders>
          </w:tcPr>
          <w:p w14:paraId="23D0A037" w14:textId="77777777" w:rsidR="00B02F3C" w:rsidRPr="00B02F3C" w:rsidRDefault="00B02F3C" w:rsidP="001F129C">
            <w:pPr>
              <w:spacing w:line="276" w:lineRule="auto"/>
              <w:jc w:val="center"/>
              <w:rPr>
                <w:sz w:val="16"/>
                <w:szCs w:val="16"/>
              </w:rPr>
            </w:pPr>
            <w:r w:rsidRPr="00B02F3C">
              <w:rPr>
                <w:sz w:val="16"/>
                <w:szCs w:val="16"/>
              </w:rPr>
              <w:t>Data of Institutions</w:t>
            </w:r>
          </w:p>
        </w:tc>
        <w:tc>
          <w:tcPr>
            <w:tcW w:w="1468" w:type="dxa"/>
            <w:gridSpan w:val="2"/>
            <w:tcBorders>
              <w:top w:val="single" w:sz="4" w:space="0" w:color="auto"/>
              <w:bottom w:val="single" w:sz="4" w:space="0" w:color="auto"/>
            </w:tcBorders>
          </w:tcPr>
          <w:p w14:paraId="159F320E" w14:textId="77777777" w:rsidR="00B02F3C" w:rsidRPr="00B02F3C" w:rsidRDefault="00B02F3C" w:rsidP="001F129C">
            <w:pPr>
              <w:jc w:val="center"/>
              <w:rPr>
                <w:sz w:val="16"/>
                <w:szCs w:val="16"/>
              </w:rPr>
            </w:pPr>
            <w:r w:rsidRPr="00B02F3C">
              <w:rPr>
                <w:sz w:val="16"/>
                <w:szCs w:val="16"/>
              </w:rPr>
              <w:t>2020</w:t>
            </w:r>
          </w:p>
        </w:tc>
        <w:tc>
          <w:tcPr>
            <w:tcW w:w="1468" w:type="dxa"/>
            <w:gridSpan w:val="2"/>
            <w:tcBorders>
              <w:top w:val="single" w:sz="4" w:space="0" w:color="auto"/>
              <w:bottom w:val="single" w:sz="4" w:space="0" w:color="auto"/>
            </w:tcBorders>
          </w:tcPr>
          <w:p w14:paraId="174FEEEC" w14:textId="77777777" w:rsidR="00B02F3C" w:rsidRPr="00B02F3C" w:rsidRDefault="00B02F3C" w:rsidP="001F129C">
            <w:pPr>
              <w:jc w:val="center"/>
              <w:rPr>
                <w:sz w:val="16"/>
                <w:szCs w:val="16"/>
              </w:rPr>
            </w:pPr>
            <w:r w:rsidRPr="00B02F3C">
              <w:rPr>
                <w:sz w:val="16"/>
                <w:szCs w:val="16"/>
              </w:rPr>
              <w:t>2020</w:t>
            </w:r>
          </w:p>
        </w:tc>
        <w:tc>
          <w:tcPr>
            <w:tcW w:w="1496" w:type="dxa"/>
            <w:gridSpan w:val="2"/>
            <w:tcBorders>
              <w:top w:val="single" w:sz="4" w:space="0" w:color="auto"/>
              <w:bottom w:val="single" w:sz="4" w:space="0" w:color="auto"/>
            </w:tcBorders>
          </w:tcPr>
          <w:p w14:paraId="708D912C" w14:textId="77777777" w:rsidR="00B02F3C" w:rsidRPr="00B02F3C" w:rsidRDefault="00B02F3C" w:rsidP="001F129C">
            <w:pPr>
              <w:jc w:val="center"/>
              <w:rPr>
                <w:sz w:val="16"/>
                <w:szCs w:val="16"/>
              </w:rPr>
            </w:pPr>
            <w:r w:rsidRPr="00B02F3C">
              <w:rPr>
                <w:sz w:val="16"/>
                <w:szCs w:val="16"/>
              </w:rPr>
              <w:t>2020</w:t>
            </w:r>
          </w:p>
        </w:tc>
      </w:tr>
      <w:tr w:rsidR="00B02F3C" w:rsidRPr="00B02F3C" w14:paraId="42A186F8" w14:textId="77777777" w:rsidTr="00B02F3C">
        <w:trPr>
          <w:jc w:val="center"/>
        </w:trPr>
        <w:tc>
          <w:tcPr>
            <w:tcW w:w="954" w:type="dxa"/>
            <w:vMerge/>
          </w:tcPr>
          <w:p w14:paraId="6BA597CE" w14:textId="77777777" w:rsidR="00B02F3C" w:rsidRPr="00B02F3C" w:rsidRDefault="00B02F3C" w:rsidP="001F129C">
            <w:pPr>
              <w:jc w:val="center"/>
              <w:rPr>
                <w:sz w:val="16"/>
                <w:szCs w:val="16"/>
              </w:rPr>
            </w:pPr>
          </w:p>
        </w:tc>
        <w:tc>
          <w:tcPr>
            <w:tcW w:w="938" w:type="dxa"/>
            <w:vMerge/>
          </w:tcPr>
          <w:p w14:paraId="4ABD9A7F" w14:textId="77777777" w:rsidR="00B02F3C" w:rsidRPr="00B02F3C" w:rsidRDefault="00B02F3C" w:rsidP="001F129C">
            <w:pPr>
              <w:jc w:val="center"/>
              <w:rPr>
                <w:sz w:val="16"/>
                <w:szCs w:val="16"/>
              </w:rPr>
            </w:pPr>
          </w:p>
        </w:tc>
        <w:tc>
          <w:tcPr>
            <w:tcW w:w="1468" w:type="dxa"/>
            <w:gridSpan w:val="2"/>
            <w:tcBorders>
              <w:top w:val="single" w:sz="4" w:space="0" w:color="auto"/>
              <w:bottom w:val="single" w:sz="4" w:space="0" w:color="auto"/>
            </w:tcBorders>
          </w:tcPr>
          <w:p w14:paraId="66DCD0D4" w14:textId="77777777" w:rsidR="00B02F3C" w:rsidRPr="00B02F3C" w:rsidRDefault="00B02F3C" w:rsidP="001F129C">
            <w:pPr>
              <w:jc w:val="center"/>
              <w:rPr>
                <w:sz w:val="16"/>
                <w:szCs w:val="16"/>
              </w:rPr>
            </w:pPr>
            <w:r w:rsidRPr="00B02F3C">
              <w:rPr>
                <w:sz w:val="16"/>
                <w:szCs w:val="16"/>
              </w:rPr>
              <w:t>Data of</w:t>
            </w:r>
          </w:p>
        </w:tc>
        <w:tc>
          <w:tcPr>
            <w:tcW w:w="1468" w:type="dxa"/>
            <w:gridSpan w:val="2"/>
            <w:tcBorders>
              <w:top w:val="single" w:sz="4" w:space="0" w:color="auto"/>
              <w:bottom w:val="single" w:sz="4" w:space="0" w:color="auto"/>
            </w:tcBorders>
          </w:tcPr>
          <w:p w14:paraId="404434ED" w14:textId="77777777" w:rsidR="00B02F3C" w:rsidRPr="00B02F3C" w:rsidRDefault="00B02F3C" w:rsidP="001F129C">
            <w:pPr>
              <w:jc w:val="center"/>
              <w:rPr>
                <w:sz w:val="16"/>
                <w:szCs w:val="16"/>
              </w:rPr>
            </w:pPr>
            <w:r w:rsidRPr="00B02F3C">
              <w:rPr>
                <w:sz w:val="16"/>
                <w:szCs w:val="16"/>
              </w:rPr>
              <w:t>Data of</w:t>
            </w:r>
          </w:p>
        </w:tc>
        <w:tc>
          <w:tcPr>
            <w:tcW w:w="1496" w:type="dxa"/>
            <w:gridSpan w:val="2"/>
            <w:tcBorders>
              <w:top w:val="single" w:sz="4" w:space="0" w:color="auto"/>
              <w:bottom w:val="single" w:sz="4" w:space="0" w:color="auto"/>
            </w:tcBorders>
          </w:tcPr>
          <w:p w14:paraId="13AF2EC2" w14:textId="77777777" w:rsidR="00B02F3C" w:rsidRPr="00B02F3C" w:rsidRDefault="00B02F3C" w:rsidP="001F129C">
            <w:pPr>
              <w:jc w:val="center"/>
              <w:rPr>
                <w:sz w:val="16"/>
                <w:szCs w:val="16"/>
              </w:rPr>
            </w:pPr>
            <w:r w:rsidRPr="00B02F3C">
              <w:rPr>
                <w:sz w:val="16"/>
                <w:szCs w:val="16"/>
              </w:rPr>
              <w:t>Data of</w:t>
            </w:r>
          </w:p>
        </w:tc>
      </w:tr>
      <w:tr w:rsidR="00B02F3C" w:rsidRPr="00B02F3C" w14:paraId="16A9679C" w14:textId="77777777" w:rsidTr="00B02F3C">
        <w:trPr>
          <w:jc w:val="center"/>
        </w:trPr>
        <w:tc>
          <w:tcPr>
            <w:tcW w:w="954" w:type="dxa"/>
            <w:vMerge/>
            <w:tcBorders>
              <w:bottom w:val="single" w:sz="4" w:space="0" w:color="auto"/>
            </w:tcBorders>
          </w:tcPr>
          <w:p w14:paraId="49C39E4D" w14:textId="77777777" w:rsidR="00B02F3C" w:rsidRPr="00B02F3C" w:rsidRDefault="00B02F3C" w:rsidP="001F129C">
            <w:pPr>
              <w:jc w:val="center"/>
              <w:rPr>
                <w:sz w:val="16"/>
                <w:szCs w:val="16"/>
              </w:rPr>
            </w:pPr>
          </w:p>
        </w:tc>
        <w:tc>
          <w:tcPr>
            <w:tcW w:w="938" w:type="dxa"/>
            <w:vMerge/>
            <w:tcBorders>
              <w:bottom w:val="single" w:sz="4" w:space="0" w:color="auto"/>
            </w:tcBorders>
          </w:tcPr>
          <w:p w14:paraId="709CD160" w14:textId="77777777" w:rsidR="00B02F3C" w:rsidRPr="00B02F3C" w:rsidRDefault="00B02F3C" w:rsidP="001F129C">
            <w:pPr>
              <w:jc w:val="center"/>
              <w:rPr>
                <w:sz w:val="16"/>
                <w:szCs w:val="16"/>
              </w:rPr>
            </w:pPr>
          </w:p>
        </w:tc>
        <w:tc>
          <w:tcPr>
            <w:tcW w:w="736" w:type="dxa"/>
            <w:tcBorders>
              <w:top w:val="single" w:sz="4" w:space="0" w:color="auto"/>
              <w:bottom w:val="single" w:sz="4" w:space="0" w:color="auto"/>
            </w:tcBorders>
          </w:tcPr>
          <w:p w14:paraId="4B19552C" w14:textId="77777777" w:rsidR="00B02F3C" w:rsidRPr="00B02F3C" w:rsidRDefault="00B02F3C" w:rsidP="001F129C">
            <w:pPr>
              <w:jc w:val="center"/>
              <w:rPr>
                <w:sz w:val="16"/>
                <w:szCs w:val="16"/>
              </w:rPr>
            </w:pPr>
            <w:r w:rsidRPr="00B02F3C">
              <w:rPr>
                <w:sz w:val="16"/>
                <w:szCs w:val="16"/>
              </w:rPr>
              <w:t>Student</w:t>
            </w:r>
          </w:p>
        </w:tc>
        <w:tc>
          <w:tcPr>
            <w:tcW w:w="732" w:type="dxa"/>
            <w:tcBorders>
              <w:top w:val="single" w:sz="4" w:space="0" w:color="auto"/>
              <w:bottom w:val="single" w:sz="4" w:space="0" w:color="auto"/>
            </w:tcBorders>
          </w:tcPr>
          <w:p w14:paraId="25E55838" w14:textId="77777777" w:rsidR="00B02F3C" w:rsidRPr="00B02F3C" w:rsidRDefault="00B02F3C" w:rsidP="001F129C">
            <w:pPr>
              <w:jc w:val="center"/>
              <w:rPr>
                <w:sz w:val="16"/>
                <w:szCs w:val="16"/>
              </w:rPr>
            </w:pPr>
            <w:r w:rsidRPr="00B02F3C">
              <w:rPr>
                <w:sz w:val="16"/>
                <w:szCs w:val="16"/>
              </w:rPr>
              <w:t>Teacher</w:t>
            </w:r>
          </w:p>
        </w:tc>
        <w:tc>
          <w:tcPr>
            <w:tcW w:w="736" w:type="dxa"/>
            <w:tcBorders>
              <w:top w:val="single" w:sz="4" w:space="0" w:color="auto"/>
              <w:bottom w:val="single" w:sz="4" w:space="0" w:color="auto"/>
            </w:tcBorders>
          </w:tcPr>
          <w:p w14:paraId="6A763103" w14:textId="77777777" w:rsidR="00B02F3C" w:rsidRPr="00B02F3C" w:rsidRDefault="00B02F3C" w:rsidP="001F129C">
            <w:pPr>
              <w:jc w:val="center"/>
              <w:rPr>
                <w:sz w:val="16"/>
                <w:szCs w:val="16"/>
              </w:rPr>
            </w:pPr>
            <w:r w:rsidRPr="00B02F3C">
              <w:rPr>
                <w:sz w:val="16"/>
                <w:szCs w:val="16"/>
              </w:rPr>
              <w:t>Student</w:t>
            </w:r>
          </w:p>
        </w:tc>
        <w:tc>
          <w:tcPr>
            <w:tcW w:w="732" w:type="dxa"/>
            <w:tcBorders>
              <w:top w:val="single" w:sz="4" w:space="0" w:color="auto"/>
              <w:bottom w:val="single" w:sz="4" w:space="0" w:color="auto"/>
            </w:tcBorders>
          </w:tcPr>
          <w:p w14:paraId="534323AB" w14:textId="77777777" w:rsidR="00B02F3C" w:rsidRPr="00B02F3C" w:rsidRDefault="00B02F3C" w:rsidP="001F129C">
            <w:pPr>
              <w:jc w:val="center"/>
              <w:rPr>
                <w:sz w:val="16"/>
                <w:szCs w:val="16"/>
              </w:rPr>
            </w:pPr>
            <w:r w:rsidRPr="00B02F3C">
              <w:rPr>
                <w:sz w:val="16"/>
                <w:szCs w:val="16"/>
              </w:rPr>
              <w:t>Teacher</w:t>
            </w:r>
          </w:p>
        </w:tc>
        <w:tc>
          <w:tcPr>
            <w:tcW w:w="736" w:type="dxa"/>
            <w:tcBorders>
              <w:top w:val="single" w:sz="4" w:space="0" w:color="auto"/>
              <w:bottom w:val="single" w:sz="4" w:space="0" w:color="auto"/>
            </w:tcBorders>
          </w:tcPr>
          <w:p w14:paraId="51BC4052" w14:textId="77777777" w:rsidR="00B02F3C" w:rsidRPr="00B02F3C" w:rsidRDefault="00B02F3C" w:rsidP="001F129C">
            <w:pPr>
              <w:jc w:val="center"/>
              <w:rPr>
                <w:sz w:val="16"/>
                <w:szCs w:val="16"/>
              </w:rPr>
            </w:pPr>
            <w:r w:rsidRPr="00B02F3C">
              <w:rPr>
                <w:sz w:val="16"/>
                <w:szCs w:val="16"/>
              </w:rPr>
              <w:t>Student</w:t>
            </w:r>
          </w:p>
        </w:tc>
        <w:tc>
          <w:tcPr>
            <w:tcW w:w="760" w:type="dxa"/>
          </w:tcPr>
          <w:p w14:paraId="3DFC6487" w14:textId="77777777" w:rsidR="00B02F3C" w:rsidRPr="00B02F3C" w:rsidRDefault="00B02F3C" w:rsidP="001F129C">
            <w:pPr>
              <w:ind w:left="720" w:hanging="720"/>
              <w:rPr>
                <w:sz w:val="16"/>
                <w:szCs w:val="16"/>
              </w:rPr>
            </w:pPr>
            <w:r w:rsidRPr="00B02F3C">
              <w:rPr>
                <w:sz w:val="16"/>
                <w:szCs w:val="16"/>
              </w:rPr>
              <w:t>Teacher</w:t>
            </w:r>
          </w:p>
        </w:tc>
      </w:tr>
      <w:tr w:rsidR="00B02F3C" w:rsidRPr="00B02F3C" w14:paraId="7DFEB58D" w14:textId="77777777" w:rsidTr="00B02F3C">
        <w:trPr>
          <w:jc w:val="center"/>
        </w:trPr>
        <w:tc>
          <w:tcPr>
            <w:tcW w:w="954" w:type="dxa"/>
            <w:tcBorders>
              <w:top w:val="single" w:sz="4" w:space="0" w:color="auto"/>
            </w:tcBorders>
          </w:tcPr>
          <w:p w14:paraId="7BF899F8" w14:textId="77777777" w:rsidR="00B02F3C" w:rsidRPr="00B02F3C" w:rsidRDefault="00B02F3C" w:rsidP="001F129C">
            <w:pPr>
              <w:spacing w:line="276" w:lineRule="auto"/>
              <w:jc w:val="center"/>
              <w:rPr>
                <w:sz w:val="16"/>
                <w:szCs w:val="16"/>
              </w:rPr>
            </w:pPr>
            <w:r w:rsidRPr="00B02F3C">
              <w:rPr>
                <w:sz w:val="16"/>
                <w:szCs w:val="16"/>
              </w:rPr>
              <w:t>Awwaliyah</w:t>
            </w:r>
          </w:p>
        </w:tc>
        <w:tc>
          <w:tcPr>
            <w:tcW w:w="938" w:type="dxa"/>
            <w:tcBorders>
              <w:top w:val="single" w:sz="4" w:space="0" w:color="auto"/>
            </w:tcBorders>
            <w:vAlign w:val="center"/>
          </w:tcPr>
          <w:p w14:paraId="0B37B82E" w14:textId="77777777" w:rsidR="00B02F3C" w:rsidRPr="00B02F3C" w:rsidRDefault="00B02F3C" w:rsidP="001F129C">
            <w:pPr>
              <w:spacing w:line="276" w:lineRule="auto"/>
              <w:jc w:val="center"/>
              <w:rPr>
                <w:sz w:val="16"/>
                <w:szCs w:val="16"/>
              </w:rPr>
            </w:pPr>
            <w:r w:rsidRPr="00B02F3C">
              <w:rPr>
                <w:sz w:val="16"/>
                <w:szCs w:val="16"/>
              </w:rPr>
              <w:t>1.325</w:t>
            </w:r>
          </w:p>
        </w:tc>
        <w:tc>
          <w:tcPr>
            <w:tcW w:w="736" w:type="dxa"/>
            <w:tcBorders>
              <w:top w:val="single" w:sz="4" w:space="0" w:color="auto"/>
            </w:tcBorders>
            <w:vAlign w:val="center"/>
          </w:tcPr>
          <w:p w14:paraId="73A18490" w14:textId="77777777" w:rsidR="00B02F3C" w:rsidRPr="00B02F3C" w:rsidRDefault="00B02F3C" w:rsidP="001F129C">
            <w:pPr>
              <w:spacing w:line="276" w:lineRule="auto"/>
              <w:jc w:val="center"/>
              <w:rPr>
                <w:sz w:val="16"/>
                <w:szCs w:val="16"/>
              </w:rPr>
            </w:pPr>
            <w:r w:rsidRPr="00B02F3C">
              <w:rPr>
                <w:sz w:val="16"/>
                <w:szCs w:val="16"/>
              </w:rPr>
              <w:t>124.455</w:t>
            </w:r>
          </w:p>
        </w:tc>
        <w:tc>
          <w:tcPr>
            <w:tcW w:w="732" w:type="dxa"/>
            <w:tcBorders>
              <w:top w:val="single" w:sz="4" w:space="0" w:color="auto"/>
            </w:tcBorders>
            <w:vAlign w:val="center"/>
          </w:tcPr>
          <w:p w14:paraId="16678FF0" w14:textId="77777777" w:rsidR="00B02F3C" w:rsidRPr="00B02F3C" w:rsidRDefault="00B02F3C" w:rsidP="001F129C">
            <w:pPr>
              <w:jc w:val="center"/>
              <w:rPr>
                <w:sz w:val="16"/>
                <w:szCs w:val="16"/>
              </w:rPr>
            </w:pPr>
            <w:r w:rsidRPr="00B02F3C">
              <w:rPr>
                <w:sz w:val="16"/>
                <w:szCs w:val="16"/>
              </w:rPr>
              <w:t>8.869</w:t>
            </w:r>
          </w:p>
        </w:tc>
        <w:tc>
          <w:tcPr>
            <w:tcW w:w="736" w:type="dxa"/>
            <w:tcBorders>
              <w:top w:val="single" w:sz="4" w:space="0" w:color="auto"/>
            </w:tcBorders>
            <w:vAlign w:val="center"/>
          </w:tcPr>
          <w:p w14:paraId="1E0994F9" w14:textId="77777777" w:rsidR="00B02F3C" w:rsidRPr="00B02F3C" w:rsidRDefault="00B02F3C" w:rsidP="001F129C">
            <w:pPr>
              <w:spacing w:line="276" w:lineRule="auto"/>
              <w:jc w:val="center"/>
              <w:rPr>
                <w:sz w:val="16"/>
                <w:szCs w:val="16"/>
              </w:rPr>
            </w:pPr>
            <w:r w:rsidRPr="00B02F3C">
              <w:rPr>
                <w:sz w:val="16"/>
                <w:szCs w:val="16"/>
              </w:rPr>
              <w:t>127.668</w:t>
            </w:r>
          </w:p>
        </w:tc>
        <w:tc>
          <w:tcPr>
            <w:tcW w:w="732" w:type="dxa"/>
            <w:tcBorders>
              <w:top w:val="single" w:sz="4" w:space="0" w:color="auto"/>
            </w:tcBorders>
            <w:vAlign w:val="center"/>
          </w:tcPr>
          <w:p w14:paraId="70A4E36E" w14:textId="77777777" w:rsidR="00B02F3C" w:rsidRPr="00B02F3C" w:rsidRDefault="00B02F3C" w:rsidP="001F129C">
            <w:pPr>
              <w:jc w:val="center"/>
              <w:rPr>
                <w:sz w:val="16"/>
                <w:szCs w:val="16"/>
              </w:rPr>
            </w:pPr>
            <w:r w:rsidRPr="00B02F3C">
              <w:rPr>
                <w:sz w:val="16"/>
                <w:szCs w:val="16"/>
              </w:rPr>
              <w:t>9.047</w:t>
            </w:r>
          </w:p>
        </w:tc>
        <w:tc>
          <w:tcPr>
            <w:tcW w:w="736" w:type="dxa"/>
            <w:tcBorders>
              <w:top w:val="single" w:sz="4" w:space="0" w:color="auto"/>
            </w:tcBorders>
            <w:vAlign w:val="center"/>
          </w:tcPr>
          <w:p w14:paraId="00B5DE0A" w14:textId="77777777" w:rsidR="00B02F3C" w:rsidRPr="00B02F3C" w:rsidRDefault="00B02F3C" w:rsidP="001F129C">
            <w:pPr>
              <w:jc w:val="center"/>
              <w:rPr>
                <w:sz w:val="16"/>
                <w:szCs w:val="16"/>
              </w:rPr>
            </w:pPr>
            <w:r w:rsidRPr="00B02F3C">
              <w:rPr>
                <w:sz w:val="16"/>
                <w:szCs w:val="16"/>
              </w:rPr>
              <w:t>128.393</w:t>
            </w:r>
          </w:p>
        </w:tc>
        <w:tc>
          <w:tcPr>
            <w:tcW w:w="760" w:type="dxa"/>
            <w:tcBorders>
              <w:top w:val="single" w:sz="4" w:space="0" w:color="auto"/>
            </w:tcBorders>
            <w:vAlign w:val="center"/>
          </w:tcPr>
          <w:p w14:paraId="5C13C879" w14:textId="77777777" w:rsidR="00B02F3C" w:rsidRPr="00B02F3C" w:rsidRDefault="00B02F3C" w:rsidP="001F129C">
            <w:pPr>
              <w:jc w:val="center"/>
              <w:rPr>
                <w:sz w:val="16"/>
                <w:szCs w:val="16"/>
              </w:rPr>
            </w:pPr>
            <w:r w:rsidRPr="00B02F3C">
              <w:rPr>
                <w:sz w:val="16"/>
                <w:szCs w:val="16"/>
              </w:rPr>
              <w:t>9.469</w:t>
            </w:r>
          </w:p>
        </w:tc>
      </w:tr>
      <w:tr w:rsidR="00B02F3C" w:rsidRPr="00B02F3C" w14:paraId="757B1306" w14:textId="77777777" w:rsidTr="00B02F3C">
        <w:trPr>
          <w:jc w:val="center"/>
        </w:trPr>
        <w:tc>
          <w:tcPr>
            <w:tcW w:w="954" w:type="dxa"/>
          </w:tcPr>
          <w:p w14:paraId="2F87E799" w14:textId="77777777" w:rsidR="00B02F3C" w:rsidRPr="00B02F3C" w:rsidRDefault="00B02F3C" w:rsidP="001F129C">
            <w:pPr>
              <w:spacing w:line="276" w:lineRule="auto"/>
              <w:jc w:val="center"/>
              <w:rPr>
                <w:sz w:val="16"/>
                <w:szCs w:val="16"/>
              </w:rPr>
            </w:pPr>
            <w:r w:rsidRPr="00B02F3C">
              <w:rPr>
                <w:sz w:val="16"/>
                <w:szCs w:val="16"/>
              </w:rPr>
              <w:t>Wustha</w:t>
            </w:r>
          </w:p>
        </w:tc>
        <w:tc>
          <w:tcPr>
            <w:tcW w:w="938" w:type="dxa"/>
            <w:vAlign w:val="center"/>
          </w:tcPr>
          <w:p w14:paraId="0BCC9859" w14:textId="77777777" w:rsidR="00B02F3C" w:rsidRPr="00B02F3C" w:rsidRDefault="00B02F3C" w:rsidP="001F129C">
            <w:pPr>
              <w:spacing w:line="276" w:lineRule="auto"/>
              <w:jc w:val="center"/>
              <w:rPr>
                <w:sz w:val="16"/>
                <w:szCs w:val="16"/>
              </w:rPr>
            </w:pPr>
            <w:r w:rsidRPr="00B02F3C">
              <w:rPr>
                <w:sz w:val="16"/>
                <w:szCs w:val="16"/>
              </w:rPr>
              <w:t>629</w:t>
            </w:r>
          </w:p>
        </w:tc>
        <w:tc>
          <w:tcPr>
            <w:tcW w:w="736" w:type="dxa"/>
            <w:vAlign w:val="center"/>
          </w:tcPr>
          <w:p w14:paraId="42FD57E9" w14:textId="77777777" w:rsidR="00B02F3C" w:rsidRPr="00B02F3C" w:rsidRDefault="00B02F3C" w:rsidP="001F129C">
            <w:pPr>
              <w:spacing w:line="276" w:lineRule="auto"/>
              <w:jc w:val="center"/>
              <w:rPr>
                <w:sz w:val="16"/>
                <w:szCs w:val="16"/>
              </w:rPr>
            </w:pPr>
            <w:r w:rsidRPr="00B02F3C">
              <w:rPr>
                <w:sz w:val="16"/>
                <w:szCs w:val="16"/>
              </w:rPr>
              <w:t>31.727</w:t>
            </w:r>
          </w:p>
        </w:tc>
        <w:tc>
          <w:tcPr>
            <w:tcW w:w="732" w:type="dxa"/>
            <w:vAlign w:val="center"/>
          </w:tcPr>
          <w:p w14:paraId="0C226DB9" w14:textId="77777777" w:rsidR="00B02F3C" w:rsidRPr="00B02F3C" w:rsidRDefault="00B02F3C" w:rsidP="001F129C">
            <w:pPr>
              <w:jc w:val="center"/>
              <w:rPr>
                <w:sz w:val="16"/>
                <w:szCs w:val="16"/>
              </w:rPr>
            </w:pPr>
            <w:r w:rsidRPr="00B02F3C">
              <w:rPr>
                <w:sz w:val="16"/>
                <w:szCs w:val="16"/>
              </w:rPr>
              <w:t>3.179</w:t>
            </w:r>
          </w:p>
        </w:tc>
        <w:tc>
          <w:tcPr>
            <w:tcW w:w="736" w:type="dxa"/>
            <w:vAlign w:val="center"/>
          </w:tcPr>
          <w:p w14:paraId="1FD81126" w14:textId="77777777" w:rsidR="00B02F3C" w:rsidRPr="00B02F3C" w:rsidRDefault="00B02F3C" w:rsidP="001F129C">
            <w:pPr>
              <w:spacing w:line="276" w:lineRule="auto"/>
              <w:jc w:val="center"/>
              <w:rPr>
                <w:sz w:val="16"/>
                <w:szCs w:val="16"/>
              </w:rPr>
            </w:pPr>
            <w:r w:rsidRPr="00B02F3C">
              <w:rPr>
                <w:sz w:val="16"/>
                <w:szCs w:val="16"/>
              </w:rPr>
              <w:t>32.726</w:t>
            </w:r>
          </w:p>
        </w:tc>
        <w:tc>
          <w:tcPr>
            <w:tcW w:w="732" w:type="dxa"/>
            <w:vAlign w:val="center"/>
          </w:tcPr>
          <w:p w14:paraId="3F16A876" w14:textId="77777777" w:rsidR="00B02F3C" w:rsidRPr="00B02F3C" w:rsidRDefault="00B02F3C" w:rsidP="001F129C">
            <w:pPr>
              <w:jc w:val="center"/>
              <w:rPr>
                <w:sz w:val="16"/>
                <w:szCs w:val="16"/>
              </w:rPr>
            </w:pPr>
            <w:r w:rsidRPr="00B02F3C">
              <w:rPr>
                <w:sz w:val="16"/>
                <w:szCs w:val="16"/>
              </w:rPr>
              <w:t>3.358</w:t>
            </w:r>
          </w:p>
        </w:tc>
        <w:tc>
          <w:tcPr>
            <w:tcW w:w="736" w:type="dxa"/>
            <w:vAlign w:val="center"/>
          </w:tcPr>
          <w:p w14:paraId="63497F8C" w14:textId="77777777" w:rsidR="00B02F3C" w:rsidRPr="00B02F3C" w:rsidRDefault="00B02F3C" w:rsidP="001F129C">
            <w:pPr>
              <w:jc w:val="center"/>
              <w:rPr>
                <w:sz w:val="16"/>
                <w:szCs w:val="16"/>
              </w:rPr>
            </w:pPr>
            <w:r w:rsidRPr="00B02F3C">
              <w:rPr>
                <w:sz w:val="16"/>
                <w:szCs w:val="16"/>
              </w:rPr>
              <w:t>33.654</w:t>
            </w:r>
          </w:p>
        </w:tc>
        <w:tc>
          <w:tcPr>
            <w:tcW w:w="760" w:type="dxa"/>
            <w:vAlign w:val="center"/>
          </w:tcPr>
          <w:p w14:paraId="15AEFF0B" w14:textId="77777777" w:rsidR="00B02F3C" w:rsidRPr="00B02F3C" w:rsidRDefault="00B02F3C" w:rsidP="001F129C">
            <w:pPr>
              <w:jc w:val="center"/>
              <w:rPr>
                <w:sz w:val="16"/>
                <w:szCs w:val="16"/>
              </w:rPr>
            </w:pPr>
            <w:r w:rsidRPr="00B02F3C">
              <w:rPr>
                <w:sz w:val="16"/>
                <w:szCs w:val="16"/>
              </w:rPr>
              <w:t>3.479</w:t>
            </w:r>
          </w:p>
        </w:tc>
      </w:tr>
      <w:tr w:rsidR="00B02F3C" w:rsidRPr="00B02F3C" w14:paraId="2A858BC8" w14:textId="77777777" w:rsidTr="00B02F3C">
        <w:trPr>
          <w:jc w:val="center"/>
        </w:trPr>
        <w:tc>
          <w:tcPr>
            <w:tcW w:w="954" w:type="dxa"/>
            <w:tcBorders>
              <w:bottom w:val="single" w:sz="4" w:space="0" w:color="auto"/>
            </w:tcBorders>
          </w:tcPr>
          <w:p w14:paraId="0D95B8B5" w14:textId="77777777" w:rsidR="00B02F3C" w:rsidRPr="00B02F3C" w:rsidRDefault="00B02F3C" w:rsidP="001F129C">
            <w:pPr>
              <w:jc w:val="center"/>
              <w:rPr>
                <w:sz w:val="16"/>
                <w:szCs w:val="16"/>
              </w:rPr>
            </w:pPr>
            <w:r w:rsidRPr="00B02F3C">
              <w:rPr>
                <w:sz w:val="16"/>
                <w:szCs w:val="16"/>
              </w:rPr>
              <w:t>Grand Total</w:t>
            </w:r>
          </w:p>
        </w:tc>
        <w:tc>
          <w:tcPr>
            <w:tcW w:w="938" w:type="dxa"/>
            <w:tcBorders>
              <w:bottom w:val="single" w:sz="4" w:space="0" w:color="auto"/>
            </w:tcBorders>
            <w:vAlign w:val="center"/>
          </w:tcPr>
          <w:p w14:paraId="43DB9E0B" w14:textId="77777777" w:rsidR="00B02F3C" w:rsidRPr="00B02F3C" w:rsidRDefault="00B02F3C" w:rsidP="001F129C">
            <w:pPr>
              <w:jc w:val="center"/>
              <w:rPr>
                <w:sz w:val="16"/>
                <w:szCs w:val="16"/>
              </w:rPr>
            </w:pPr>
            <w:r w:rsidRPr="00B02F3C">
              <w:rPr>
                <w:sz w:val="16"/>
                <w:szCs w:val="16"/>
              </w:rPr>
              <w:t>1.954</w:t>
            </w:r>
          </w:p>
        </w:tc>
        <w:tc>
          <w:tcPr>
            <w:tcW w:w="736" w:type="dxa"/>
            <w:tcBorders>
              <w:bottom w:val="single" w:sz="4" w:space="0" w:color="auto"/>
            </w:tcBorders>
            <w:vAlign w:val="center"/>
          </w:tcPr>
          <w:p w14:paraId="5B4ADEDE" w14:textId="77777777" w:rsidR="00B02F3C" w:rsidRPr="00B02F3C" w:rsidRDefault="00B02F3C" w:rsidP="001F129C">
            <w:pPr>
              <w:jc w:val="center"/>
              <w:rPr>
                <w:sz w:val="16"/>
                <w:szCs w:val="16"/>
              </w:rPr>
            </w:pPr>
            <w:r w:rsidRPr="00B02F3C">
              <w:rPr>
                <w:sz w:val="16"/>
                <w:szCs w:val="16"/>
              </w:rPr>
              <w:t>156.182</w:t>
            </w:r>
          </w:p>
        </w:tc>
        <w:tc>
          <w:tcPr>
            <w:tcW w:w="732" w:type="dxa"/>
            <w:tcBorders>
              <w:bottom w:val="single" w:sz="4" w:space="0" w:color="auto"/>
            </w:tcBorders>
            <w:vAlign w:val="center"/>
          </w:tcPr>
          <w:p w14:paraId="6254C071" w14:textId="77777777" w:rsidR="00B02F3C" w:rsidRPr="00B02F3C" w:rsidRDefault="00B02F3C" w:rsidP="001F129C">
            <w:pPr>
              <w:jc w:val="center"/>
              <w:rPr>
                <w:sz w:val="16"/>
                <w:szCs w:val="16"/>
              </w:rPr>
            </w:pPr>
            <w:r w:rsidRPr="00B02F3C">
              <w:rPr>
                <w:sz w:val="16"/>
                <w:szCs w:val="16"/>
              </w:rPr>
              <w:t>12.048</w:t>
            </w:r>
          </w:p>
        </w:tc>
        <w:tc>
          <w:tcPr>
            <w:tcW w:w="736" w:type="dxa"/>
            <w:tcBorders>
              <w:bottom w:val="single" w:sz="4" w:space="0" w:color="auto"/>
            </w:tcBorders>
            <w:vAlign w:val="center"/>
          </w:tcPr>
          <w:p w14:paraId="68678810" w14:textId="77777777" w:rsidR="00B02F3C" w:rsidRPr="00B02F3C" w:rsidRDefault="00B02F3C" w:rsidP="001F129C">
            <w:pPr>
              <w:jc w:val="center"/>
              <w:rPr>
                <w:sz w:val="16"/>
                <w:szCs w:val="16"/>
              </w:rPr>
            </w:pPr>
            <w:r w:rsidRPr="00B02F3C">
              <w:rPr>
                <w:sz w:val="16"/>
                <w:szCs w:val="16"/>
              </w:rPr>
              <w:t>160.394</w:t>
            </w:r>
          </w:p>
        </w:tc>
        <w:tc>
          <w:tcPr>
            <w:tcW w:w="732" w:type="dxa"/>
            <w:tcBorders>
              <w:bottom w:val="single" w:sz="4" w:space="0" w:color="auto"/>
            </w:tcBorders>
            <w:vAlign w:val="center"/>
          </w:tcPr>
          <w:p w14:paraId="66DBC5EC" w14:textId="77777777" w:rsidR="00B02F3C" w:rsidRPr="00B02F3C" w:rsidRDefault="00B02F3C" w:rsidP="001F129C">
            <w:pPr>
              <w:jc w:val="center"/>
              <w:rPr>
                <w:sz w:val="16"/>
                <w:szCs w:val="16"/>
              </w:rPr>
            </w:pPr>
            <w:r w:rsidRPr="00B02F3C">
              <w:rPr>
                <w:sz w:val="16"/>
                <w:szCs w:val="16"/>
              </w:rPr>
              <w:t>12.405</w:t>
            </w:r>
          </w:p>
        </w:tc>
        <w:tc>
          <w:tcPr>
            <w:tcW w:w="736" w:type="dxa"/>
            <w:tcBorders>
              <w:bottom w:val="single" w:sz="4" w:space="0" w:color="auto"/>
            </w:tcBorders>
            <w:vAlign w:val="center"/>
          </w:tcPr>
          <w:p w14:paraId="1844CF18" w14:textId="77777777" w:rsidR="00B02F3C" w:rsidRPr="00B02F3C" w:rsidRDefault="00B02F3C" w:rsidP="001F129C">
            <w:pPr>
              <w:jc w:val="center"/>
              <w:rPr>
                <w:sz w:val="16"/>
                <w:szCs w:val="16"/>
              </w:rPr>
            </w:pPr>
            <w:r w:rsidRPr="00B02F3C">
              <w:rPr>
                <w:sz w:val="16"/>
                <w:szCs w:val="16"/>
              </w:rPr>
              <w:t>162.047</w:t>
            </w:r>
          </w:p>
        </w:tc>
        <w:tc>
          <w:tcPr>
            <w:tcW w:w="760" w:type="dxa"/>
            <w:tcBorders>
              <w:bottom w:val="single" w:sz="4" w:space="0" w:color="auto"/>
            </w:tcBorders>
            <w:vAlign w:val="center"/>
          </w:tcPr>
          <w:p w14:paraId="22C995D3" w14:textId="77777777" w:rsidR="00B02F3C" w:rsidRPr="00B02F3C" w:rsidRDefault="00B02F3C" w:rsidP="001F129C">
            <w:pPr>
              <w:jc w:val="center"/>
              <w:rPr>
                <w:sz w:val="16"/>
                <w:szCs w:val="16"/>
              </w:rPr>
            </w:pPr>
            <w:r w:rsidRPr="00B02F3C">
              <w:rPr>
                <w:sz w:val="16"/>
                <w:szCs w:val="16"/>
              </w:rPr>
              <w:t>12.948</w:t>
            </w:r>
          </w:p>
        </w:tc>
      </w:tr>
    </w:tbl>
    <w:p w14:paraId="6050401C" w14:textId="77777777" w:rsidR="00B02F3C" w:rsidRPr="00B02F3C" w:rsidRDefault="00B02F3C" w:rsidP="00907ADF">
      <w:pPr>
        <w:jc w:val="center"/>
      </w:pPr>
      <w:r w:rsidRPr="00B02F3C">
        <w:t xml:space="preserve">Table Data of Institutions, Students, and Teachers of </w:t>
      </w:r>
      <w:r w:rsidRPr="00B02F3C">
        <w:rPr>
          <w:i/>
          <w:iCs/>
        </w:rPr>
        <w:t>Madrasah Diniyah</w:t>
      </w:r>
      <w:r w:rsidRPr="00B02F3C">
        <w:t xml:space="preserve"> in Sampang Regency </w:t>
      </w:r>
      <w:r w:rsidRPr="00B02F3C">
        <w:rPr>
          <w:i/>
          <w:iCs/>
        </w:rPr>
        <w:fldChar w:fldCharType="begin"/>
      </w:r>
      <w:r w:rsidR="00907ADF">
        <w:rPr>
          <w:i/>
          <w:iCs/>
        </w:rPr>
        <w:instrText xml:space="preserve"> ADDIN ZOTERO_ITEM CSL_CITATION {"citationID":"llGeweg7","properties":{"formattedCitation":"(K. K. Agama 2023)","plainCitation":"(K. K. Agama 2023)","noteIndex":0},"citationItems":[{"id":150,"uris":["http://zotero.org/users/local/AXpBhYh1/items/LJAM8982"],"itemData":{"id":150,"type":"book","event-place":"Sampang","publisher":"Kantor Kementerian Agama Kabupaten Sampang","publisher-place":"Sampang","title":"Data Madrasah Diniyah Kabupaten Sampang","author":[{"family":"Agama","given":"Kantor Kementerian"}],"issued":{"date-parts":[["2023"]]}}}],"schema":"https://github.com/citation-style-language/schema/raw/master/csl-citation.json"} </w:instrText>
      </w:r>
      <w:r w:rsidRPr="00B02F3C">
        <w:rPr>
          <w:i/>
          <w:iCs/>
        </w:rPr>
        <w:fldChar w:fldCharType="separate"/>
      </w:r>
      <w:r w:rsidR="00907ADF" w:rsidRPr="00907ADF">
        <w:t>(K. K. Agama 2023)</w:t>
      </w:r>
      <w:r w:rsidRPr="00B02F3C">
        <w:rPr>
          <w:i/>
          <w:iCs/>
        </w:rPr>
        <w:fldChar w:fldCharType="end"/>
      </w:r>
    </w:p>
    <w:p w14:paraId="01B864D1" w14:textId="77777777" w:rsidR="00B02F3C" w:rsidRPr="00B02F3C" w:rsidRDefault="00B02F3C" w:rsidP="00B02F3C">
      <w:pPr>
        <w:ind w:firstLine="720"/>
        <w:jc w:val="both"/>
      </w:pPr>
      <w:r w:rsidRPr="00B02F3C">
        <w:t>The data on students and teachers in madrasah diniyah from 2020 to 2022 clearly reveal a consistent upward trend. Year by year, both enrollment and staffing levels have grown—evidence that these institutions are not only surviving but thriving. This growth is not merely administrative; it reflects something deeper: madrasah diniyah have become a living, breathing part of the social landscape in Sampang.</w:t>
      </w:r>
    </w:p>
    <w:p w14:paraId="1A0055F5" w14:textId="77777777" w:rsidR="00B02F3C" w:rsidRPr="00B02F3C" w:rsidRDefault="00B02F3C" w:rsidP="00B02F3C">
      <w:pPr>
        <w:ind w:firstLine="720"/>
        <w:jc w:val="both"/>
      </w:pPr>
      <w:r w:rsidRPr="00B02F3C">
        <w:t xml:space="preserve">Every academic year, approximately 160,000 students and 12,000 teachers are actively involved in madrasah diniyah. If we consider each student has two parents, that adds another 320,000 individuals. Likewise, </w:t>
      </w:r>
      <w:r w:rsidRPr="00B02F3C">
        <w:lastRenderedPageBreak/>
        <w:t>teachers also come from families—adding roughly 24,000 more. Altogether, this means that nearly 350,000 people are directly connected to madrasah diniyah in Sampang Regency. When compared with the total population of the regency—976,020 people—this means that around 36% of Sampang’s citizens are part of the madrasah diniyah ecosystem. These are not just numbers—they are people, families, and communities engaged in and shaped by religious education.</w:t>
      </w:r>
    </w:p>
    <w:p w14:paraId="19EE5C0B" w14:textId="77777777" w:rsidR="00B02F3C" w:rsidRPr="00B02F3C" w:rsidRDefault="00B02F3C" w:rsidP="00B02F3C">
      <w:pPr>
        <w:ind w:firstLine="720"/>
        <w:jc w:val="both"/>
      </w:pPr>
      <w:r w:rsidRPr="00B02F3C">
        <w:t>This massive involvement helps explain why madrasah diniyah cannot be dismissed or ignored. Their influence is far-reaching, and their continued existence is critical to the social fabric of the region. Recognizing this, the Sampang Regency Government deemed it both reasonable and necessary to issue a strategic policy to safeguard the sustainability and continued growth of madrasah diniyah. Regional Regulation No. 7 of 2019 is one such policy—establishing a legal basis for developing programs that strengthen the role of madrasah diniyah as a driver of regional progress.</w:t>
      </w:r>
    </w:p>
    <w:p w14:paraId="684DD9C6" w14:textId="77777777" w:rsidR="00B02F3C" w:rsidRPr="00B02F3C" w:rsidRDefault="00B02F3C" w:rsidP="00907ADF">
      <w:pPr>
        <w:ind w:firstLine="720"/>
        <w:jc w:val="both"/>
      </w:pPr>
      <w:r w:rsidRPr="00B02F3C">
        <w:t xml:space="preserve">More than that, madrasah diniyah have drawn increased attention in response to another pressing issue: the low Human Development Index (HDI) in Sampang Regency. In 2019, Sampang’s HDI stood at 61.94, well below East Java Province’s average of 71.50 </w:t>
      </w:r>
      <w:r w:rsidRPr="00B02F3C">
        <w:fldChar w:fldCharType="begin"/>
      </w:r>
      <w:r w:rsidR="00907ADF">
        <w:instrText xml:space="preserve"> ADDIN ZOTERO_ITEM CSL_CITATION {"citationID":"9ZtZguHE","properties":{"formattedCitation":"(Nursiyono 2020)","plainCitation":"(Nursiyono 2020)","noteIndex":0},"citationItems":[{"id":139,"uris":["http://zotero.org/users/local/AXpBhYh1/items/IIW2H84N"],"itemData":{"id":139,"type":"book","event-place":"Surabaya","publisher":"Badan Pusat Statistik Jawa Timur","publisher-place":"Surabaya","title":"Indeks Pembangunan Manusia Jawa Timur 2019","author":[{"family":"Nursiyono","given":"Joko Ade"}],"issued":{"date-parts":[["2020"]]}}}],"schema":"https://github.com/citation-style-language/schema/raw/master/csl-citation.json"} </w:instrText>
      </w:r>
      <w:r w:rsidRPr="00B02F3C">
        <w:fldChar w:fldCharType="separate"/>
      </w:r>
      <w:r w:rsidR="00907ADF" w:rsidRPr="00907ADF">
        <w:t>(Nursiyono 2020)</w:t>
      </w:r>
      <w:r w:rsidRPr="00B02F3C">
        <w:fldChar w:fldCharType="end"/>
      </w:r>
      <w:r w:rsidRPr="00B02F3C">
        <w:t>. This prompted a re-evaluation of local educational priorities, and madrasah diniyah were identified as key stakeholders in efforts to elevate education quality and, by extension, raise the HDI.By empowering these institutions, the government aims not only to nurture spiritual values but also to contribute to broader development goals. Over time, it is hoped that such initiatives will push the HDI of Sampang closer to provincial levels—perhaps reaching the 70-point mark and beyond.In this light, the reality of madrasah diniyah is not just statistical—it is strategic. Their continued recognition and support form the backbone of an inclusive, community-driven approach to education and development in Sampang Regency.</w:t>
      </w:r>
    </w:p>
    <w:p w14:paraId="0DA88196" w14:textId="77777777" w:rsidR="00B02F3C" w:rsidRPr="00B02F3C" w:rsidRDefault="00B02F3C" w:rsidP="00B02F3C">
      <w:pPr>
        <w:jc w:val="both"/>
        <w:rPr>
          <w:b/>
          <w:bCs/>
        </w:rPr>
      </w:pPr>
    </w:p>
    <w:p w14:paraId="14800640" w14:textId="77777777" w:rsidR="00B02F3C" w:rsidRPr="00D92F76" w:rsidRDefault="00547419" w:rsidP="002847C4">
      <w:pPr>
        <w:pStyle w:val="ListParagraph"/>
        <w:numPr>
          <w:ilvl w:val="0"/>
          <w:numId w:val="2"/>
        </w:numPr>
        <w:jc w:val="both"/>
        <w:rPr>
          <w:rFonts w:eastAsiaTheme="minorHAnsi"/>
          <w:b/>
          <w:bCs/>
          <w:sz w:val="24"/>
          <w:szCs w:val="24"/>
        </w:rPr>
      </w:pPr>
      <w:r w:rsidRPr="00D92F76">
        <w:rPr>
          <w:b/>
          <w:bCs/>
          <w:sz w:val="24"/>
          <w:szCs w:val="24"/>
        </w:rPr>
        <w:t>Conclusion</w:t>
      </w:r>
    </w:p>
    <w:p w14:paraId="0E7C85EB" w14:textId="77777777" w:rsidR="00547419" w:rsidRDefault="00547419" w:rsidP="00B02F3C">
      <w:pPr>
        <w:ind w:firstLine="720"/>
        <w:jc w:val="both"/>
      </w:pPr>
    </w:p>
    <w:p w14:paraId="5A2A327B" w14:textId="77777777" w:rsidR="00B02F3C" w:rsidRPr="00B02F3C" w:rsidRDefault="00B02F3C" w:rsidP="00B02F3C">
      <w:pPr>
        <w:ind w:firstLine="720"/>
        <w:jc w:val="both"/>
      </w:pPr>
      <w:r w:rsidRPr="00B02F3C">
        <w:t>From the findings and discussion of this study it was concluded that Perdakab Sampang No. 7 of 2019 concerning madrasah diniyah takmiliya contains substances regarding: (a) Islamic religious education curriculum/material; (b) educator competence; (c) the welfare of educators; and (d) educational facilities and infrastructure and the background is: (a) Implementation of Government Decentralization; (b) Implementation of New Public Management; (c) Responses to Problem Identification Results, (d) People's Needs and Aspirations; and (e) Reality of Madrasah Diniyah.</w:t>
      </w:r>
    </w:p>
    <w:p w14:paraId="1FDF75AC" w14:textId="77777777" w:rsidR="00B02F3C" w:rsidRPr="00B02F3C" w:rsidRDefault="00B02F3C" w:rsidP="00B02F3C">
      <w:pPr>
        <w:ind w:firstLine="720"/>
        <w:jc w:val="both"/>
      </w:pPr>
    </w:p>
    <w:p w14:paraId="5AB20AEB" w14:textId="77777777" w:rsidR="00666511" w:rsidRDefault="00666511">
      <w:pPr>
        <w:pStyle w:val="BodyText"/>
        <w:spacing w:before="13"/>
        <w:ind w:left="0"/>
        <w:jc w:val="left"/>
      </w:pPr>
    </w:p>
    <w:p w14:paraId="7B59C57D" w14:textId="77777777" w:rsidR="00666511" w:rsidRPr="00D92F76" w:rsidRDefault="001F129C" w:rsidP="002847C4">
      <w:pPr>
        <w:pStyle w:val="Heading1"/>
        <w:ind w:left="0" w:firstLine="0"/>
        <w:rPr>
          <w:spacing w:val="-2"/>
        </w:rPr>
      </w:pPr>
      <w:r w:rsidRPr="00D92F76">
        <w:rPr>
          <w:spacing w:val="-2"/>
        </w:rPr>
        <w:t>References:</w:t>
      </w:r>
    </w:p>
    <w:p w14:paraId="3DFA50BC" w14:textId="77777777" w:rsidR="002847C4" w:rsidRDefault="002847C4" w:rsidP="002847C4">
      <w:pPr>
        <w:pStyle w:val="Heading1"/>
        <w:ind w:left="0" w:firstLine="0"/>
      </w:pPr>
    </w:p>
    <w:p w14:paraId="46F80DBE" w14:textId="77777777" w:rsidR="00547419" w:rsidRPr="00547419" w:rsidRDefault="00547419" w:rsidP="00547419">
      <w:pPr>
        <w:pStyle w:val="Bibliography"/>
        <w:jc w:val="both"/>
        <w:rPr>
          <w:sz w:val="20"/>
          <w:szCs w:val="20"/>
        </w:rPr>
      </w:pPr>
      <w:r w:rsidRPr="00547419">
        <w:rPr>
          <w:sz w:val="20"/>
          <w:szCs w:val="20"/>
        </w:rPr>
        <w:fldChar w:fldCharType="begin"/>
      </w:r>
      <w:r w:rsidRPr="00547419">
        <w:rPr>
          <w:sz w:val="20"/>
          <w:szCs w:val="20"/>
        </w:rPr>
        <w:instrText xml:space="preserve"> ADDIN ZOTERO_BIBL {"uncited":[],"omitted":[],"custom":[]} CSL_BIBLIOGRAPHY </w:instrText>
      </w:r>
      <w:r w:rsidRPr="00547419">
        <w:rPr>
          <w:sz w:val="20"/>
          <w:szCs w:val="20"/>
        </w:rPr>
        <w:fldChar w:fldCharType="separate"/>
      </w:r>
      <w:r w:rsidRPr="00547419">
        <w:rPr>
          <w:sz w:val="20"/>
          <w:szCs w:val="20"/>
        </w:rPr>
        <w:t xml:space="preserve">Agama, Kantor Kementerian. 2023. </w:t>
      </w:r>
      <w:r w:rsidRPr="00547419">
        <w:rPr>
          <w:i/>
          <w:iCs/>
          <w:sz w:val="20"/>
          <w:szCs w:val="20"/>
        </w:rPr>
        <w:t>Data Madrasah Diniyah Kabupaten Sampang</w:t>
      </w:r>
      <w:r w:rsidRPr="00547419">
        <w:rPr>
          <w:sz w:val="20"/>
          <w:szCs w:val="20"/>
        </w:rPr>
        <w:t>. Sampang: Kantor Kementerian Agama Kabupaten Sampang.</w:t>
      </w:r>
    </w:p>
    <w:p w14:paraId="35341CDF" w14:textId="77777777" w:rsidR="00547419" w:rsidRPr="00547419" w:rsidRDefault="00547419" w:rsidP="00547419">
      <w:pPr>
        <w:pStyle w:val="Bibliography"/>
        <w:jc w:val="both"/>
        <w:rPr>
          <w:sz w:val="20"/>
          <w:szCs w:val="20"/>
        </w:rPr>
      </w:pPr>
      <w:r w:rsidRPr="00547419">
        <w:rPr>
          <w:sz w:val="20"/>
          <w:szCs w:val="20"/>
        </w:rPr>
        <w:lastRenderedPageBreak/>
        <w:t xml:space="preserve">Agama, Kementerian. 2014. </w:t>
      </w:r>
      <w:r w:rsidRPr="00547419">
        <w:rPr>
          <w:i/>
          <w:iCs/>
          <w:sz w:val="20"/>
          <w:szCs w:val="20"/>
        </w:rPr>
        <w:t>PMA No. 13/2014</w:t>
      </w:r>
      <w:r w:rsidRPr="00547419">
        <w:rPr>
          <w:sz w:val="20"/>
          <w:szCs w:val="20"/>
        </w:rPr>
        <w:t>.</w:t>
      </w:r>
    </w:p>
    <w:p w14:paraId="2B44719A" w14:textId="77777777" w:rsidR="00547419" w:rsidRPr="00547419" w:rsidRDefault="00547419" w:rsidP="00547419">
      <w:pPr>
        <w:pStyle w:val="Bibliography"/>
        <w:jc w:val="both"/>
        <w:rPr>
          <w:sz w:val="20"/>
          <w:szCs w:val="20"/>
        </w:rPr>
      </w:pPr>
      <w:r w:rsidRPr="00547419">
        <w:rPr>
          <w:sz w:val="20"/>
          <w:szCs w:val="20"/>
        </w:rPr>
        <w:t xml:space="preserve">Agustino, Leo. 2012. </w:t>
      </w:r>
      <w:r w:rsidRPr="00547419">
        <w:rPr>
          <w:i/>
          <w:iCs/>
          <w:sz w:val="20"/>
          <w:szCs w:val="20"/>
        </w:rPr>
        <w:t>Dasar-Dasar Keibjakan Publik</w:t>
      </w:r>
      <w:r w:rsidRPr="00547419">
        <w:rPr>
          <w:sz w:val="20"/>
          <w:szCs w:val="20"/>
        </w:rPr>
        <w:t>. Bandung: Alfabeta.</w:t>
      </w:r>
    </w:p>
    <w:p w14:paraId="7BC6EB92" w14:textId="77777777" w:rsidR="00547419" w:rsidRPr="00547419" w:rsidRDefault="00547419" w:rsidP="00547419">
      <w:pPr>
        <w:pStyle w:val="Bibliography"/>
        <w:jc w:val="both"/>
        <w:rPr>
          <w:sz w:val="20"/>
          <w:szCs w:val="20"/>
        </w:rPr>
      </w:pPr>
      <w:r w:rsidRPr="00547419">
        <w:rPr>
          <w:sz w:val="20"/>
          <w:szCs w:val="20"/>
        </w:rPr>
        <w:t xml:space="preserve">Ali, Faried, dan Andi Syamsu Alam. 2012. </w:t>
      </w:r>
      <w:r w:rsidRPr="00547419">
        <w:rPr>
          <w:i/>
          <w:iCs/>
          <w:sz w:val="20"/>
          <w:szCs w:val="20"/>
        </w:rPr>
        <w:t>Studi Kebijakan Pemerintah</w:t>
      </w:r>
      <w:r w:rsidRPr="00547419">
        <w:rPr>
          <w:sz w:val="20"/>
          <w:szCs w:val="20"/>
        </w:rPr>
        <w:t>. Bandung: Refika Aditama.</w:t>
      </w:r>
    </w:p>
    <w:p w14:paraId="19483CF2" w14:textId="77777777" w:rsidR="00547419" w:rsidRPr="00547419" w:rsidRDefault="00547419" w:rsidP="00547419">
      <w:pPr>
        <w:pStyle w:val="Bibliography"/>
        <w:jc w:val="both"/>
        <w:rPr>
          <w:sz w:val="20"/>
          <w:szCs w:val="20"/>
        </w:rPr>
      </w:pPr>
      <w:r w:rsidRPr="00547419">
        <w:rPr>
          <w:sz w:val="20"/>
          <w:szCs w:val="20"/>
        </w:rPr>
        <w:t xml:space="preserve">Alia, Nur. 2016. “Madrasah Diniyah Takmiliyah Dalam Perspektif Standar Pelayanan Minimal Di Kabupaten Bogor.” </w:t>
      </w:r>
      <w:r w:rsidRPr="00547419">
        <w:rPr>
          <w:i/>
          <w:iCs/>
          <w:sz w:val="20"/>
          <w:szCs w:val="20"/>
        </w:rPr>
        <w:t>Jurnal PENAMAS</w:t>
      </w:r>
      <w:r w:rsidRPr="00547419">
        <w:rPr>
          <w:sz w:val="20"/>
          <w:szCs w:val="20"/>
        </w:rPr>
        <w:t xml:space="preserve"> 29 (3).</w:t>
      </w:r>
    </w:p>
    <w:p w14:paraId="0356E1F7" w14:textId="77777777" w:rsidR="00547419" w:rsidRPr="00547419" w:rsidRDefault="00547419" w:rsidP="00547419">
      <w:pPr>
        <w:pStyle w:val="Bibliography"/>
        <w:jc w:val="both"/>
        <w:rPr>
          <w:sz w:val="20"/>
          <w:szCs w:val="20"/>
        </w:rPr>
      </w:pPr>
      <w:r w:rsidRPr="00547419">
        <w:rPr>
          <w:sz w:val="20"/>
          <w:szCs w:val="20"/>
        </w:rPr>
        <w:t xml:space="preserve">Ashari, Muhammad Khakim, Moh Faizin, Usman Yudi, Yahya Aziz, Hadi Irhamni, dan Sukijan Athoillah. 2023. “Considering Local Government Policies Related to Madrasah Diniyah Takmiliyah in Indonesia.” </w:t>
      </w:r>
      <w:r w:rsidRPr="00547419">
        <w:rPr>
          <w:i/>
          <w:iCs/>
          <w:sz w:val="20"/>
          <w:szCs w:val="20"/>
        </w:rPr>
        <w:t>Tafkir: Interdisciplinary Journal of Islamic Education</w:t>
      </w:r>
      <w:r w:rsidRPr="00547419">
        <w:rPr>
          <w:sz w:val="20"/>
          <w:szCs w:val="20"/>
        </w:rPr>
        <w:t xml:space="preserve"> 4 (3): 414–29. https://doi.org/10.31538/tijie.v4i3.411.</w:t>
      </w:r>
    </w:p>
    <w:p w14:paraId="3727703C" w14:textId="77777777" w:rsidR="00547419" w:rsidRPr="00547419" w:rsidRDefault="00547419" w:rsidP="00547419">
      <w:pPr>
        <w:pStyle w:val="Bibliography"/>
        <w:jc w:val="both"/>
        <w:rPr>
          <w:sz w:val="20"/>
          <w:szCs w:val="20"/>
        </w:rPr>
      </w:pPr>
      <w:r w:rsidRPr="00547419">
        <w:rPr>
          <w:sz w:val="20"/>
          <w:szCs w:val="20"/>
        </w:rPr>
        <w:t xml:space="preserve">Aziz, Abdul, dan David Arnold. 2003. </w:t>
      </w:r>
      <w:r w:rsidRPr="00547419">
        <w:rPr>
          <w:i/>
          <w:iCs/>
          <w:sz w:val="20"/>
          <w:szCs w:val="20"/>
        </w:rPr>
        <w:t>Desentralisasi Pemerintahan: Pengalaman Negara-Negara Asia</w:t>
      </w:r>
      <w:r w:rsidRPr="00547419">
        <w:rPr>
          <w:sz w:val="20"/>
          <w:szCs w:val="20"/>
        </w:rPr>
        <w:t>. Bantul: Pustaka Edukasi.</w:t>
      </w:r>
    </w:p>
    <w:p w14:paraId="7F098DC7" w14:textId="77777777" w:rsidR="00547419" w:rsidRPr="00547419" w:rsidRDefault="00547419" w:rsidP="00547419">
      <w:pPr>
        <w:pStyle w:val="Bibliography"/>
        <w:jc w:val="both"/>
        <w:rPr>
          <w:sz w:val="20"/>
          <w:szCs w:val="20"/>
        </w:rPr>
      </w:pPr>
      <w:r w:rsidRPr="00547419">
        <w:rPr>
          <w:sz w:val="20"/>
          <w:szCs w:val="20"/>
        </w:rPr>
        <w:t xml:space="preserve">Azra, Azyumardi. 2012. </w:t>
      </w:r>
      <w:r w:rsidRPr="00547419">
        <w:rPr>
          <w:i/>
          <w:iCs/>
          <w:sz w:val="20"/>
          <w:szCs w:val="20"/>
        </w:rPr>
        <w:t>Pendidikan Islam: Tradisi dan Modernisasi di Tengah Tantangan Milenium III</w:t>
      </w:r>
      <w:r w:rsidRPr="00547419">
        <w:rPr>
          <w:sz w:val="20"/>
          <w:szCs w:val="20"/>
        </w:rPr>
        <w:t>. Jakarta: Kencana Prenadamedia Group.</w:t>
      </w:r>
    </w:p>
    <w:p w14:paraId="2C90FF49" w14:textId="77777777" w:rsidR="00547419" w:rsidRPr="00547419" w:rsidRDefault="00547419" w:rsidP="00547419">
      <w:pPr>
        <w:pStyle w:val="Bibliography"/>
        <w:jc w:val="both"/>
        <w:rPr>
          <w:sz w:val="20"/>
          <w:szCs w:val="20"/>
        </w:rPr>
      </w:pPr>
      <w:r w:rsidRPr="00547419">
        <w:rPr>
          <w:sz w:val="20"/>
          <w:szCs w:val="20"/>
        </w:rPr>
        <w:t xml:space="preserve">Cheema, G. Shabbir, dan Dennis A. Rondinelli. 2007. “Form Government Decentralization to Decentralization Governance.” Dalam </w:t>
      </w:r>
      <w:r w:rsidRPr="00547419">
        <w:rPr>
          <w:i/>
          <w:iCs/>
          <w:sz w:val="20"/>
          <w:szCs w:val="20"/>
        </w:rPr>
        <w:t>Decentralizing Governance Emerging Concept and Practice</w:t>
      </w:r>
      <w:r w:rsidRPr="00547419">
        <w:rPr>
          <w:sz w:val="20"/>
          <w:szCs w:val="20"/>
        </w:rPr>
        <w:t>. Washington DC: Brooking Institution Press.</w:t>
      </w:r>
    </w:p>
    <w:p w14:paraId="519E4DE3" w14:textId="77777777" w:rsidR="00547419" w:rsidRPr="00547419" w:rsidRDefault="00547419" w:rsidP="00547419">
      <w:pPr>
        <w:pStyle w:val="Bibliography"/>
        <w:jc w:val="both"/>
        <w:rPr>
          <w:sz w:val="20"/>
          <w:szCs w:val="20"/>
        </w:rPr>
      </w:pPr>
      <w:r w:rsidRPr="00547419">
        <w:rPr>
          <w:sz w:val="20"/>
          <w:szCs w:val="20"/>
        </w:rPr>
        <w:t xml:space="preserve">Collin, P.H. 2004. </w:t>
      </w:r>
      <w:r w:rsidRPr="00547419">
        <w:rPr>
          <w:i/>
          <w:iCs/>
          <w:sz w:val="20"/>
          <w:szCs w:val="20"/>
        </w:rPr>
        <w:t>Dictionary of Politics and Government</w:t>
      </w:r>
      <w:r w:rsidRPr="00547419">
        <w:rPr>
          <w:sz w:val="20"/>
          <w:szCs w:val="20"/>
        </w:rPr>
        <w:t>. London: Bloomsbury Publishing Plc.</w:t>
      </w:r>
    </w:p>
    <w:p w14:paraId="411EEA69" w14:textId="77777777" w:rsidR="00547419" w:rsidRPr="00547419" w:rsidRDefault="00547419" w:rsidP="00547419">
      <w:pPr>
        <w:pStyle w:val="Bibliography"/>
        <w:jc w:val="both"/>
        <w:rPr>
          <w:sz w:val="20"/>
          <w:szCs w:val="20"/>
        </w:rPr>
      </w:pPr>
      <w:r w:rsidRPr="00547419">
        <w:rPr>
          <w:sz w:val="20"/>
          <w:szCs w:val="20"/>
        </w:rPr>
        <w:t xml:space="preserve">Danisworo, Tunggul Ganggas. 2023. “GOVERNING RELIGION: Critics of Indonesia’s Government Social Cohesion and Religious Harmony Policy.” </w:t>
      </w:r>
      <w:r w:rsidRPr="00547419">
        <w:rPr>
          <w:i/>
          <w:iCs/>
          <w:sz w:val="20"/>
          <w:szCs w:val="20"/>
        </w:rPr>
        <w:t>Aliansi: Jurnal Politik, Keamanan Dan Hubungan Internasional</w:t>
      </w:r>
      <w:r w:rsidRPr="00547419">
        <w:rPr>
          <w:sz w:val="20"/>
          <w:szCs w:val="20"/>
        </w:rPr>
        <w:t xml:space="preserve"> 2 (2): 76. https://doi.org/10.24198/aliansi.v2i2.43996.</w:t>
      </w:r>
    </w:p>
    <w:p w14:paraId="5A139C07" w14:textId="77777777" w:rsidR="00547419" w:rsidRPr="00547419" w:rsidRDefault="00547419" w:rsidP="00547419">
      <w:pPr>
        <w:pStyle w:val="Bibliography"/>
        <w:jc w:val="both"/>
        <w:rPr>
          <w:sz w:val="20"/>
          <w:szCs w:val="20"/>
        </w:rPr>
      </w:pPr>
      <w:r w:rsidRPr="00547419">
        <w:rPr>
          <w:sz w:val="20"/>
          <w:szCs w:val="20"/>
        </w:rPr>
        <w:t xml:space="preserve">Djumhur, I., dan H. Danasuparta. 1984. </w:t>
      </w:r>
      <w:r w:rsidRPr="00547419">
        <w:rPr>
          <w:i/>
          <w:iCs/>
          <w:sz w:val="20"/>
          <w:szCs w:val="20"/>
        </w:rPr>
        <w:t>Sejarah Pendidikan</w:t>
      </w:r>
      <w:r w:rsidRPr="00547419">
        <w:rPr>
          <w:sz w:val="20"/>
          <w:szCs w:val="20"/>
        </w:rPr>
        <w:t>. Bandung: CV. Ilmu.</w:t>
      </w:r>
    </w:p>
    <w:p w14:paraId="3D55A93C" w14:textId="77777777" w:rsidR="00547419" w:rsidRPr="00547419" w:rsidRDefault="00547419" w:rsidP="00547419">
      <w:pPr>
        <w:pStyle w:val="Bibliography"/>
        <w:jc w:val="both"/>
        <w:rPr>
          <w:sz w:val="20"/>
          <w:szCs w:val="20"/>
        </w:rPr>
      </w:pPr>
      <w:r w:rsidRPr="00547419">
        <w:rPr>
          <w:sz w:val="20"/>
          <w:szCs w:val="20"/>
        </w:rPr>
        <w:t xml:space="preserve">Dunn, William N. 2003. </w:t>
      </w:r>
      <w:r w:rsidRPr="00547419">
        <w:rPr>
          <w:i/>
          <w:iCs/>
          <w:sz w:val="20"/>
          <w:szCs w:val="20"/>
        </w:rPr>
        <w:t>Pengantar Analisis Kebijakan Publik</w:t>
      </w:r>
      <w:r w:rsidRPr="00547419">
        <w:rPr>
          <w:sz w:val="20"/>
          <w:szCs w:val="20"/>
        </w:rPr>
        <w:t>. Yogyakarta: UGM.</w:t>
      </w:r>
    </w:p>
    <w:p w14:paraId="1A4A43D5" w14:textId="77777777" w:rsidR="00547419" w:rsidRPr="00547419" w:rsidRDefault="00547419" w:rsidP="00547419">
      <w:pPr>
        <w:pStyle w:val="Bibliography"/>
        <w:jc w:val="both"/>
        <w:rPr>
          <w:sz w:val="20"/>
          <w:szCs w:val="20"/>
        </w:rPr>
      </w:pPr>
      <w:r w:rsidRPr="00547419">
        <w:rPr>
          <w:sz w:val="20"/>
          <w:szCs w:val="20"/>
        </w:rPr>
        <w:t xml:space="preserve">Etzioni, A. 2015. “Metodologi Unik Penelitian Kebijakan.” Dalam </w:t>
      </w:r>
      <w:r w:rsidRPr="00547419">
        <w:rPr>
          <w:i/>
          <w:iCs/>
          <w:sz w:val="20"/>
          <w:szCs w:val="20"/>
        </w:rPr>
        <w:t>Handbook of Public Policy</w:t>
      </w:r>
      <w:r w:rsidRPr="00547419">
        <w:rPr>
          <w:sz w:val="20"/>
          <w:szCs w:val="20"/>
        </w:rPr>
        <w:t>. Bandung: Nusamedia.</w:t>
      </w:r>
    </w:p>
    <w:p w14:paraId="2E18FE79" w14:textId="77777777" w:rsidR="00547419" w:rsidRPr="00547419" w:rsidRDefault="00547419" w:rsidP="00547419">
      <w:pPr>
        <w:pStyle w:val="Bibliography"/>
        <w:jc w:val="both"/>
        <w:rPr>
          <w:sz w:val="20"/>
          <w:szCs w:val="20"/>
        </w:rPr>
      </w:pPr>
      <w:r w:rsidRPr="00547419">
        <w:rPr>
          <w:sz w:val="20"/>
          <w:szCs w:val="20"/>
        </w:rPr>
        <w:t xml:space="preserve">Fathurrahman, M. 2016. “Efektivitas Implementasi Kebijakan Penyelenggaraan Program Wajib Belajar Madrasah Diniyah Awaliyah Di Kabupaten Pandeglang.” </w:t>
      </w:r>
      <w:r w:rsidRPr="00547419">
        <w:rPr>
          <w:i/>
          <w:iCs/>
          <w:sz w:val="20"/>
          <w:szCs w:val="20"/>
        </w:rPr>
        <w:t>Tanzhim: Jurnal Penelitian Manajemen Pendidikan</w:t>
      </w:r>
      <w:r w:rsidRPr="00547419">
        <w:rPr>
          <w:sz w:val="20"/>
          <w:szCs w:val="20"/>
        </w:rPr>
        <w:t xml:space="preserve"> 1 (1).</w:t>
      </w:r>
    </w:p>
    <w:p w14:paraId="0FE7355C" w14:textId="77777777" w:rsidR="00547419" w:rsidRPr="00547419" w:rsidRDefault="00547419" w:rsidP="00547419">
      <w:pPr>
        <w:pStyle w:val="Bibliography"/>
        <w:jc w:val="both"/>
        <w:rPr>
          <w:sz w:val="20"/>
          <w:szCs w:val="20"/>
        </w:rPr>
      </w:pPr>
      <w:r w:rsidRPr="00547419">
        <w:rPr>
          <w:sz w:val="20"/>
          <w:szCs w:val="20"/>
        </w:rPr>
        <w:t xml:space="preserve">Haque, Aaisha, dan Solomon Arulraj David. 2022. “Effective Curriculum Implementation for Optimal Teaching and Learning Experience: A Study from a Private School in Dubai.” </w:t>
      </w:r>
      <w:r w:rsidRPr="00547419">
        <w:rPr>
          <w:i/>
          <w:iCs/>
          <w:sz w:val="20"/>
          <w:szCs w:val="20"/>
        </w:rPr>
        <w:t>International Journal of Curriculum and Instruction</w:t>
      </w:r>
      <w:r w:rsidRPr="00547419">
        <w:rPr>
          <w:sz w:val="20"/>
          <w:szCs w:val="20"/>
        </w:rPr>
        <w:t xml:space="preserve"> 15 (1).</w:t>
      </w:r>
    </w:p>
    <w:p w14:paraId="33F6D640" w14:textId="77777777" w:rsidR="00547419" w:rsidRPr="00547419" w:rsidRDefault="00547419" w:rsidP="00547419">
      <w:pPr>
        <w:pStyle w:val="Bibliography"/>
        <w:jc w:val="both"/>
        <w:rPr>
          <w:sz w:val="20"/>
          <w:szCs w:val="20"/>
        </w:rPr>
      </w:pPr>
      <w:r w:rsidRPr="00547419">
        <w:rPr>
          <w:sz w:val="20"/>
          <w:szCs w:val="20"/>
        </w:rPr>
        <w:t xml:space="preserve">Holcombe, Randall G. 2021. “Elite Influence on General Political Preferences.” </w:t>
      </w:r>
      <w:r w:rsidRPr="00547419">
        <w:rPr>
          <w:i/>
          <w:iCs/>
          <w:sz w:val="20"/>
          <w:szCs w:val="20"/>
        </w:rPr>
        <w:t>Journal of Government and Economics</w:t>
      </w:r>
      <w:r w:rsidRPr="00547419">
        <w:rPr>
          <w:sz w:val="20"/>
          <w:szCs w:val="20"/>
        </w:rPr>
        <w:t xml:space="preserve"> 3:100021. https://doi.org/10.1016/j.jge.2021.100021.</w:t>
      </w:r>
    </w:p>
    <w:p w14:paraId="1F862833" w14:textId="77777777" w:rsidR="00547419" w:rsidRPr="00547419" w:rsidRDefault="00547419" w:rsidP="00547419">
      <w:pPr>
        <w:pStyle w:val="Bibliography"/>
        <w:jc w:val="both"/>
        <w:rPr>
          <w:sz w:val="20"/>
          <w:szCs w:val="20"/>
        </w:rPr>
      </w:pPr>
      <w:r w:rsidRPr="00547419">
        <w:rPr>
          <w:sz w:val="20"/>
          <w:szCs w:val="20"/>
        </w:rPr>
        <w:t xml:space="preserve">Hosio, J.E. 2006. </w:t>
      </w:r>
      <w:r w:rsidRPr="00547419">
        <w:rPr>
          <w:i/>
          <w:iCs/>
          <w:sz w:val="20"/>
          <w:szCs w:val="20"/>
        </w:rPr>
        <w:t>Kebijakan Publik dan Desentralisasi</w:t>
      </w:r>
      <w:r w:rsidRPr="00547419">
        <w:rPr>
          <w:sz w:val="20"/>
          <w:szCs w:val="20"/>
        </w:rPr>
        <w:t>. Yogyakarta: LBM.</w:t>
      </w:r>
    </w:p>
    <w:p w14:paraId="78C0E2EC" w14:textId="77777777" w:rsidR="00547419" w:rsidRPr="00547419" w:rsidRDefault="00547419" w:rsidP="00547419">
      <w:pPr>
        <w:pStyle w:val="Bibliography"/>
        <w:jc w:val="both"/>
        <w:rPr>
          <w:sz w:val="20"/>
          <w:szCs w:val="20"/>
        </w:rPr>
      </w:pPr>
      <w:r w:rsidRPr="00547419">
        <w:rPr>
          <w:sz w:val="20"/>
          <w:szCs w:val="20"/>
        </w:rPr>
        <w:t xml:space="preserve">Huda, Ni’matul. 2013. </w:t>
      </w:r>
      <w:r w:rsidRPr="00547419">
        <w:rPr>
          <w:i/>
          <w:iCs/>
          <w:sz w:val="20"/>
          <w:szCs w:val="20"/>
        </w:rPr>
        <w:t>Otonomi Daerah: Filosofi, Sejarah Perkembangan, dan Problematika</w:t>
      </w:r>
      <w:r w:rsidRPr="00547419">
        <w:rPr>
          <w:sz w:val="20"/>
          <w:szCs w:val="20"/>
        </w:rPr>
        <w:t>. Yogyakarta: Pustaka Pelajar.</w:t>
      </w:r>
    </w:p>
    <w:p w14:paraId="1ACE72FE" w14:textId="77777777" w:rsidR="00547419" w:rsidRPr="00547419" w:rsidRDefault="00547419" w:rsidP="00547419">
      <w:pPr>
        <w:pStyle w:val="Bibliography"/>
        <w:jc w:val="both"/>
        <w:rPr>
          <w:sz w:val="20"/>
          <w:szCs w:val="20"/>
        </w:rPr>
      </w:pPr>
      <w:r w:rsidRPr="00547419">
        <w:rPr>
          <w:sz w:val="20"/>
          <w:szCs w:val="20"/>
        </w:rPr>
        <w:t xml:space="preserve">Ikhwan, Afiful, Ava Swastika Fahriana, Musyarapah, M. Mukhlis Fahruddin, dan Dian Iskandar Jaelani. 2019. “Innovation of Islamic Education Through the Implementation of Mandatory Program Madrasah Diniyah (Non-Formal Religious Education Institutions) In Formal Institution.” Dalam </w:t>
      </w:r>
      <w:r w:rsidRPr="00547419">
        <w:rPr>
          <w:i/>
          <w:iCs/>
          <w:sz w:val="20"/>
          <w:szCs w:val="20"/>
        </w:rPr>
        <w:t>Proceedings of the 1st International Conference on Life, Innovation, Change and Knowledge (ICLICK 2018)</w:t>
      </w:r>
      <w:r w:rsidRPr="00547419">
        <w:rPr>
          <w:sz w:val="20"/>
          <w:szCs w:val="20"/>
        </w:rPr>
        <w:t>. Bandung, Indonesia: Atlantis Press. https://doi.org/10.2991/iclick-18.2019.66.</w:t>
      </w:r>
    </w:p>
    <w:p w14:paraId="7D1E4C77" w14:textId="77777777" w:rsidR="00547419" w:rsidRPr="00547419" w:rsidRDefault="00547419" w:rsidP="00547419">
      <w:pPr>
        <w:pStyle w:val="Bibliography"/>
        <w:jc w:val="both"/>
        <w:rPr>
          <w:sz w:val="20"/>
          <w:szCs w:val="20"/>
        </w:rPr>
      </w:pPr>
      <w:r w:rsidRPr="00547419">
        <w:rPr>
          <w:sz w:val="20"/>
          <w:szCs w:val="20"/>
        </w:rPr>
        <w:t xml:space="preserve">Ismail, Ismail. 2017. “Politik Pendidikan Islam Di Daerah: Analisis Kebijakan Pemerintah Provinsi Jawa Timur Dalam Pengembangan Madrasah Diniyah.” </w:t>
      </w:r>
      <w:r w:rsidRPr="00547419">
        <w:rPr>
          <w:sz w:val="20"/>
          <w:szCs w:val="20"/>
        </w:rPr>
        <w:lastRenderedPageBreak/>
        <w:t>Dissertatioan, Surabaya: UIN Sunan Ampel Surabaya, Indonesia.</w:t>
      </w:r>
    </w:p>
    <w:p w14:paraId="0E687B67" w14:textId="77777777" w:rsidR="00547419" w:rsidRPr="00547419" w:rsidRDefault="00547419" w:rsidP="00547419">
      <w:pPr>
        <w:pStyle w:val="Bibliography"/>
        <w:jc w:val="both"/>
        <w:rPr>
          <w:sz w:val="20"/>
          <w:szCs w:val="20"/>
        </w:rPr>
      </w:pPr>
      <w:r w:rsidRPr="00547419">
        <w:rPr>
          <w:sz w:val="20"/>
          <w:szCs w:val="20"/>
        </w:rPr>
        <w:t xml:space="preserve">Ismail, Ismail, dan Ahmad Fauzi. 2022. “ISLAMIC EDUCATION AND DECENTRALIZATION OF GOVERNMENT Study of Local Government Policy in the Implementation of Islamic Religious Education in Indonesia.” </w:t>
      </w:r>
      <w:r w:rsidRPr="00547419">
        <w:rPr>
          <w:i/>
          <w:iCs/>
          <w:sz w:val="20"/>
          <w:szCs w:val="20"/>
        </w:rPr>
        <w:t>FIKROTUNA: Jurnal Pendidikan Dan Manajemen Islam</w:t>
      </w:r>
      <w:r w:rsidRPr="00547419">
        <w:rPr>
          <w:sz w:val="20"/>
          <w:szCs w:val="20"/>
        </w:rPr>
        <w:t xml:space="preserve"> 15 (1).</w:t>
      </w:r>
    </w:p>
    <w:p w14:paraId="5952CFCB" w14:textId="77777777" w:rsidR="00547419" w:rsidRPr="00547419" w:rsidRDefault="00547419" w:rsidP="00547419">
      <w:pPr>
        <w:pStyle w:val="Bibliography"/>
        <w:jc w:val="both"/>
        <w:rPr>
          <w:sz w:val="20"/>
          <w:szCs w:val="20"/>
        </w:rPr>
      </w:pPr>
      <w:r w:rsidRPr="00547419">
        <w:rPr>
          <w:sz w:val="20"/>
          <w:szCs w:val="20"/>
        </w:rPr>
        <w:t xml:space="preserve">Lemmon, Maria C. Escobar-. 2006. “Executives, Legislative, dan Decentralization.” </w:t>
      </w:r>
      <w:r w:rsidRPr="00547419">
        <w:rPr>
          <w:i/>
          <w:iCs/>
          <w:sz w:val="20"/>
          <w:szCs w:val="20"/>
        </w:rPr>
        <w:t>Policy Studies Journal</w:t>
      </w:r>
      <w:r w:rsidRPr="00547419">
        <w:rPr>
          <w:sz w:val="20"/>
          <w:szCs w:val="20"/>
        </w:rPr>
        <w:t xml:space="preserve"> 34 (2): 245.</w:t>
      </w:r>
    </w:p>
    <w:p w14:paraId="58FA937C" w14:textId="77777777" w:rsidR="00547419" w:rsidRPr="00547419" w:rsidRDefault="00547419" w:rsidP="00547419">
      <w:pPr>
        <w:pStyle w:val="Bibliography"/>
        <w:jc w:val="both"/>
        <w:rPr>
          <w:sz w:val="20"/>
          <w:szCs w:val="20"/>
        </w:rPr>
      </w:pPr>
      <w:r w:rsidRPr="00547419">
        <w:rPr>
          <w:sz w:val="20"/>
          <w:szCs w:val="20"/>
        </w:rPr>
        <w:t xml:space="preserve">Masturin, Masturin. 2024. “The Power of Two Learning Strategy in Islamic Religious Education Material Shaping Character Student.” </w:t>
      </w:r>
      <w:r w:rsidRPr="00547419">
        <w:rPr>
          <w:i/>
          <w:iCs/>
          <w:sz w:val="20"/>
          <w:szCs w:val="20"/>
        </w:rPr>
        <w:t>Nazhruna: Jurnal Pendidikan Islam</w:t>
      </w:r>
      <w:r w:rsidRPr="00547419">
        <w:rPr>
          <w:sz w:val="20"/>
          <w:szCs w:val="20"/>
        </w:rPr>
        <w:t xml:space="preserve"> 7 (2): 250–69. https://doi.org/10.31538/nzh.v7i2.4678.</w:t>
      </w:r>
    </w:p>
    <w:p w14:paraId="1FF8D5BD" w14:textId="77777777" w:rsidR="00547419" w:rsidRPr="00547419" w:rsidRDefault="00547419" w:rsidP="00547419">
      <w:pPr>
        <w:pStyle w:val="Bibliography"/>
        <w:jc w:val="both"/>
        <w:rPr>
          <w:sz w:val="20"/>
          <w:szCs w:val="20"/>
        </w:rPr>
      </w:pPr>
      <w:r w:rsidRPr="00547419">
        <w:rPr>
          <w:sz w:val="20"/>
          <w:szCs w:val="20"/>
        </w:rPr>
        <w:t xml:space="preserve">Mills, C. Wright. 1956. </w:t>
      </w:r>
      <w:r w:rsidRPr="00547419">
        <w:rPr>
          <w:i/>
          <w:iCs/>
          <w:sz w:val="20"/>
          <w:szCs w:val="20"/>
        </w:rPr>
        <w:t>The Power Elit</w:t>
      </w:r>
      <w:r w:rsidRPr="00547419">
        <w:rPr>
          <w:sz w:val="20"/>
          <w:szCs w:val="20"/>
        </w:rPr>
        <w:t>. New York: Oxford University Press.</w:t>
      </w:r>
    </w:p>
    <w:p w14:paraId="282C7766" w14:textId="77777777" w:rsidR="00547419" w:rsidRPr="00547419" w:rsidRDefault="00547419" w:rsidP="00547419">
      <w:pPr>
        <w:pStyle w:val="Bibliography"/>
        <w:jc w:val="both"/>
        <w:rPr>
          <w:sz w:val="20"/>
          <w:szCs w:val="20"/>
        </w:rPr>
      </w:pPr>
      <w:r w:rsidRPr="00547419">
        <w:rPr>
          <w:sz w:val="20"/>
          <w:szCs w:val="20"/>
        </w:rPr>
        <w:t xml:space="preserve">Muhaemin, Muhaemin. 2012. “Problematika Madrasah Diniyah (MD) Di Kota Palopo Sulawesi Selatan Pasca Otonomi Daerah.” </w:t>
      </w:r>
      <w:r w:rsidRPr="00547419">
        <w:rPr>
          <w:i/>
          <w:iCs/>
          <w:sz w:val="20"/>
          <w:szCs w:val="20"/>
        </w:rPr>
        <w:t>INFERENSI: Jurnal Penelitian Sosial Keagamaan</w:t>
      </w:r>
      <w:r w:rsidRPr="00547419">
        <w:rPr>
          <w:sz w:val="20"/>
          <w:szCs w:val="20"/>
        </w:rPr>
        <w:t xml:space="preserve"> 6 (2).</w:t>
      </w:r>
    </w:p>
    <w:p w14:paraId="4CED3F53" w14:textId="77777777" w:rsidR="00547419" w:rsidRPr="00547419" w:rsidRDefault="00547419" w:rsidP="00547419">
      <w:pPr>
        <w:pStyle w:val="Bibliography"/>
        <w:jc w:val="both"/>
        <w:rPr>
          <w:sz w:val="20"/>
          <w:szCs w:val="20"/>
        </w:rPr>
      </w:pPr>
      <w:r w:rsidRPr="00547419">
        <w:rPr>
          <w:sz w:val="20"/>
          <w:szCs w:val="20"/>
        </w:rPr>
        <w:t xml:space="preserve">Nugroho, Riant. 2014. </w:t>
      </w:r>
      <w:r w:rsidRPr="00547419">
        <w:rPr>
          <w:i/>
          <w:iCs/>
          <w:sz w:val="20"/>
          <w:szCs w:val="20"/>
        </w:rPr>
        <w:t>Public Policy: Teori, Manajemen, Dinamika, Analisis, Konvergensi, dan Kimia Kebijakan</w:t>
      </w:r>
      <w:r w:rsidRPr="00547419">
        <w:rPr>
          <w:sz w:val="20"/>
          <w:szCs w:val="20"/>
        </w:rPr>
        <w:t>. Jakarta: Elex Media Komputindo.</w:t>
      </w:r>
    </w:p>
    <w:p w14:paraId="44A320A1" w14:textId="77777777" w:rsidR="00547419" w:rsidRPr="00547419" w:rsidRDefault="00547419" w:rsidP="00547419">
      <w:pPr>
        <w:pStyle w:val="Bibliography"/>
        <w:jc w:val="both"/>
        <w:rPr>
          <w:sz w:val="20"/>
          <w:szCs w:val="20"/>
        </w:rPr>
      </w:pPr>
      <w:r w:rsidRPr="00547419">
        <w:rPr>
          <w:sz w:val="20"/>
          <w:szCs w:val="20"/>
        </w:rPr>
        <w:t xml:space="preserve">Nursiyono, Joko Ade. 2020. </w:t>
      </w:r>
      <w:r w:rsidRPr="00547419">
        <w:rPr>
          <w:i/>
          <w:iCs/>
          <w:sz w:val="20"/>
          <w:szCs w:val="20"/>
        </w:rPr>
        <w:t>Indeks Pembangunan Manusia Jawa Timur 2019</w:t>
      </w:r>
      <w:r w:rsidRPr="00547419">
        <w:rPr>
          <w:sz w:val="20"/>
          <w:szCs w:val="20"/>
        </w:rPr>
        <w:t>. Surabaya: Badan Pusat Statistik Jawa Timur.</w:t>
      </w:r>
    </w:p>
    <w:p w14:paraId="41279349" w14:textId="77777777" w:rsidR="00547419" w:rsidRPr="00547419" w:rsidRDefault="00547419" w:rsidP="00547419">
      <w:pPr>
        <w:pStyle w:val="Bibliography"/>
        <w:jc w:val="both"/>
        <w:rPr>
          <w:sz w:val="20"/>
          <w:szCs w:val="20"/>
        </w:rPr>
      </w:pPr>
      <w:r w:rsidRPr="00547419">
        <w:rPr>
          <w:sz w:val="20"/>
          <w:szCs w:val="20"/>
        </w:rPr>
        <w:t xml:space="preserve">Parsons, Wayne. 2014. </w:t>
      </w:r>
      <w:r w:rsidRPr="00547419">
        <w:rPr>
          <w:i/>
          <w:iCs/>
          <w:sz w:val="20"/>
          <w:szCs w:val="20"/>
        </w:rPr>
        <w:t>Public Policy: Pengantar Teori dan Praktik Analisis Kebijakan</w:t>
      </w:r>
      <w:r w:rsidRPr="00547419">
        <w:rPr>
          <w:sz w:val="20"/>
          <w:szCs w:val="20"/>
        </w:rPr>
        <w:t>. Jakarta: Kencana Prenadamedia Group.</w:t>
      </w:r>
    </w:p>
    <w:p w14:paraId="264A2659" w14:textId="77777777" w:rsidR="00547419" w:rsidRPr="00547419" w:rsidRDefault="00547419" w:rsidP="00547419">
      <w:pPr>
        <w:pStyle w:val="Bibliography"/>
        <w:jc w:val="both"/>
        <w:rPr>
          <w:sz w:val="20"/>
          <w:szCs w:val="20"/>
        </w:rPr>
      </w:pPr>
      <w:r w:rsidRPr="00547419">
        <w:rPr>
          <w:sz w:val="20"/>
          <w:szCs w:val="20"/>
        </w:rPr>
        <w:t xml:space="preserve">Rohman, Arif, dan Teguh Wiyono. 2010. </w:t>
      </w:r>
      <w:r w:rsidRPr="00547419">
        <w:rPr>
          <w:i/>
          <w:iCs/>
          <w:sz w:val="20"/>
          <w:szCs w:val="20"/>
        </w:rPr>
        <w:t>Education Policy in Decentralization Era</w:t>
      </w:r>
      <w:r w:rsidRPr="00547419">
        <w:rPr>
          <w:sz w:val="20"/>
          <w:szCs w:val="20"/>
        </w:rPr>
        <w:t>. Yogyakarta: Pustaka Pelajar.</w:t>
      </w:r>
    </w:p>
    <w:p w14:paraId="05ADDB1C" w14:textId="77777777" w:rsidR="00547419" w:rsidRPr="00547419" w:rsidRDefault="00547419" w:rsidP="00547419">
      <w:pPr>
        <w:pStyle w:val="Bibliography"/>
        <w:jc w:val="both"/>
        <w:rPr>
          <w:sz w:val="20"/>
          <w:szCs w:val="20"/>
        </w:rPr>
      </w:pPr>
      <w:r w:rsidRPr="00547419">
        <w:rPr>
          <w:sz w:val="20"/>
          <w:szCs w:val="20"/>
        </w:rPr>
        <w:t xml:space="preserve">Rosenberg, Shawn W. 2007. </w:t>
      </w:r>
      <w:r w:rsidRPr="00547419">
        <w:rPr>
          <w:i/>
          <w:iCs/>
          <w:sz w:val="20"/>
          <w:szCs w:val="20"/>
        </w:rPr>
        <w:t>Deliberation, Participation and Democracy: Can the People Govern?</w:t>
      </w:r>
      <w:r w:rsidRPr="00547419">
        <w:rPr>
          <w:sz w:val="20"/>
          <w:szCs w:val="20"/>
        </w:rPr>
        <w:t xml:space="preserve"> New York: PALGRAVE MACMILLAN.</w:t>
      </w:r>
    </w:p>
    <w:p w14:paraId="79BB6C2D" w14:textId="77777777" w:rsidR="00547419" w:rsidRPr="00547419" w:rsidRDefault="00547419" w:rsidP="00547419">
      <w:pPr>
        <w:pStyle w:val="Bibliography"/>
        <w:jc w:val="both"/>
        <w:rPr>
          <w:sz w:val="20"/>
          <w:szCs w:val="20"/>
        </w:rPr>
      </w:pPr>
      <w:r w:rsidRPr="00547419">
        <w:rPr>
          <w:sz w:val="20"/>
          <w:szCs w:val="20"/>
        </w:rPr>
        <w:t xml:space="preserve">Sampang, Pemerintah Kabupaten. 2019. </w:t>
      </w:r>
      <w:r w:rsidRPr="00547419">
        <w:rPr>
          <w:i/>
          <w:iCs/>
          <w:sz w:val="20"/>
          <w:szCs w:val="20"/>
        </w:rPr>
        <w:t>Perdakab Sampang No. 7/2019</w:t>
      </w:r>
      <w:r w:rsidRPr="00547419">
        <w:rPr>
          <w:sz w:val="20"/>
          <w:szCs w:val="20"/>
        </w:rPr>
        <w:t>.</w:t>
      </w:r>
    </w:p>
    <w:p w14:paraId="26320498" w14:textId="77777777" w:rsidR="00547419" w:rsidRPr="00547419" w:rsidRDefault="00547419" w:rsidP="00547419">
      <w:pPr>
        <w:pStyle w:val="Bibliography"/>
        <w:jc w:val="both"/>
        <w:rPr>
          <w:sz w:val="20"/>
          <w:szCs w:val="20"/>
        </w:rPr>
      </w:pPr>
      <w:r w:rsidRPr="00547419">
        <w:rPr>
          <w:sz w:val="20"/>
          <w:szCs w:val="20"/>
        </w:rPr>
        <w:t xml:space="preserve">Sidney, Mara S. 2015. “Perumusan Kebijakan: Desain dan Alat.” Dalam </w:t>
      </w:r>
      <w:r w:rsidRPr="00547419">
        <w:rPr>
          <w:i/>
          <w:iCs/>
          <w:sz w:val="20"/>
          <w:szCs w:val="20"/>
        </w:rPr>
        <w:t>Handbook Analisis Kebijakan Publik: Teori, Politik dan Metode</w:t>
      </w:r>
      <w:r w:rsidRPr="00547419">
        <w:rPr>
          <w:sz w:val="20"/>
          <w:szCs w:val="20"/>
        </w:rPr>
        <w:t>. Bandung: Nusamedia.</w:t>
      </w:r>
    </w:p>
    <w:p w14:paraId="67E6F3A3" w14:textId="77777777" w:rsidR="00547419" w:rsidRPr="00547419" w:rsidRDefault="00547419" w:rsidP="00547419">
      <w:pPr>
        <w:pStyle w:val="Bibliography"/>
        <w:jc w:val="both"/>
        <w:rPr>
          <w:sz w:val="20"/>
          <w:szCs w:val="20"/>
        </w:rPr>
      </w:pPr>
      <w:r w:rsidRPr="00547419">
        <w:rPr>
          <w:sz w:val="20"/>
          <w:szCs w:val="20"/>
        </w:rPr>
        <w:t>Simatupang, Rentanida Renata. 2010. “Evaluation Of Decentralization Outcomes In Indonesia: Analysis Of Health And Education Sectors.” USA: Georgia State University.</w:t>
      </w:r>
    </w:p>
    <w:p w14:paraId="221DABCD" w14:textId="77777777" w:rsidR="00547419" w:rsidRPr="00547419" w:rsidRDefault="00547419" w:rsidP="00547419">
      <w:pPr>
        <w:pStyle w:val="Bibliography"/>
        <w:jc w:val="both"/>
        <w:rPr>
          <w:sz w:val="20"/>
          <w:szCs w:val="20"/>
        </w:rPr>
      </w:pPr>
      <w:r w:rsidRPr="00547419">
        <w:rPr>
          <w:sz w:val="20"/>
          <w:szCs w:val="20"/>
        </w:rPr>
        <w:t xml:space="preserve">Sirozi, M. 2010. </w:t>
      </w:r>
      <w:r w:rsidRPr="00547419">
        <w:rPr>
          <w:i/>
          <w:iCs/>
          <w:sz w:val="20"/>
          <w:szCs w:val="20"/>
        </w:rPr>
        <w:t>Politik Pendidikan</w:t>
      </w:r>
      <w:r w:rsidRPr="00547419">
        <w:rPr>
          <w:sz w:val="20"/>
          <w:szCs w:val="20"/>
        </w:rPr>
        <w:t>. Jakarta: Rajagrafindo Persada.</w:t>
      </w:r>
    </w:p>
    <w:p w14:paraId="6754AD6A" w14:textId="77777777" w:rsidR="00547419" w:rsidRPr="00547419" w:rsidRDefault="00547419" w:rsidP="00547419">
      <w:pPr>
        <w:pStyle w:val="Bibliography"/>
        <w:jc w:val="both"/>
        <w:rPr>
          <w:sz w:val="20"/>
          <w:szCs w:val="20"/>
        </w:rPr>
      </w:pPr>
      <w:r w:rsidRPr="00547419">
        <w:rPr>
          <w:sz w:val="20"/>
          <w:szCs w:val="20"/>
        </w:rPr>
        <w:t xml:space="preserve">Steenbrink, Karel A. 1994. </w:t>
      </w:r>
      <w:r w:rsidRPr="00547419">
        <w:rPr>
          <w:i/>
          <w:iCs/>
          <w:sz w:val="20"/>
          <w:szCs w:val="20"/>
        </w:rPr>
        <w:t>Pesantren, Madrasah, Sekolah: Pendidikan Islam Dalam Kurun Moderen</w:t>
      </w:r>
      <w:r w:rsidRPr="00547419">
        <w:rPr>
          <w:sz w:val="20"/>
          <w:szCs w:val="20"/>
        </w:rPr>
        <w:t>. Jakarta: LP3ES.</w:t>
      </w:r>
    </w:p>
    <w:p w14:paraId="368DA276" w14:textId="77777777" w:rsidR="00547419" w:rsidRPr="00547419" w:rsidRDefault="00547419" w:rsidP="00547419">
      <w:pPr>
        <w:pStyle w:val="Bibliography"/>
        <w:jc w:val="both"/>
        <w:rPr>
          <w:sz w:val="20"/>
          <w:szCs w:val="20"/>
        </w:rPr>
      </w:pPr>
      <w:r w:rsidRPr="00547419">
        <w:rPr>
          <w:sz w:val="20"/>
          <w:szCs w:val="20"/>
        </w:rPr>
        <w:t xml:space="preserve">Tilaar, H.A.R., dan Riant Nugroho. 2012. </w:t>
      </w:r>
      <w:r w:rsidRPr="00547419">
        <w:rPr>
          <w:i/>
          <w:iCs/>
          <w:sz w:val="20"/>
          <w:szCs w:val="20"/>
        </w:rPr>
        <w:t>Kebijakan Pendidikan: Pengantar Untuk Memahami Kebijakan Pendidikan dan Kebijakan Pendidikan Sebagai Kebijakan Publik</w:t>
      </w:r>
      <w:r w:rsidRPr="00547419">
        <w:rPr>
          <w:sz w:val="20"/>
          <w:szCs w:val="20"/>
        </w:rPr>
        <w:t>. Yogyakarta: Pustaka Pelajar.</w:t>
      </w:r>
    </w:p>
    <w:p w14:paraId="729E525E" w14:textId="77777777" w:rsidR="00547419" w:rsidRPr="00547419" w:rsidRDefault="00547419" w:rsidP="00547419">
      <w:pPr>
        <w:pStyle w:val="Bibliography"/>
        <w:jc w:val="both"/>
        <w:rPr>
          <w:sz w:val="20"/>
          <w:szCs w:val="20"/>
        </w:rPr>
      </w:pPr>
      <w:r w:rsidRPr="00547419">
        <w:rPr>
          <w:sz w:val="20"/>
          <w:szCs w:val="20"/>
        </w:rPr>
        <w:t xml:space="preserve">Toi, Atsuko. 2010. “An empirical study of the effects of decentralization in Indonesian junior secondary education.” </w:t>
      </w:r>
      <w:r w:rsidRPr="00547419">
        <w:rPr>
          <w:i/>
          <w:iCs/>
          <w:sz w:val="20"/>
          <w:szCs w:val="20"/>
        </w:rPr>
        <w:t>Educ Res Policy Prac</w:t>
      </w:r>
      <w:r w:rsidRPr="00547419">
        <w:rPr>
          <w:sz w:val="20"/>
          <w:szCs w:val="20"/>
        </w:rPr>
        <w:t xml:space="preserve"> 9.</w:t>
      </w:r>
    </w:p>
    <w:p w14:paraId="3ECAE79F" w14:textId="77777777" w:rsidR="00547419" w:rsidRPr="00547419" w:rsidRDefault="00547419" w:rsidP="00547419">
      <w:pPr>
        <w:pStyle w:val="Bibliography"/>
        <w:jc w:val="both"/>
        <w:rPr>
          <w:sz w:val="20"/>
          <w:szCs w:val="20"/>
        </w:rPr>
      </w:pPr>
      <w:r w:rsidRPr="00547419">
        <w:rPr>
          <w:sz w:val="20"/>
          <w:szCs w:val="20"/>
        </w:rPr>
        <w:t xml:space="preserve">Winarno, Budi. 2014. </w:t>
      </w:r>
      <w:r w:rsidRPr="00547419">
        <w:rPr>
          <w:i/>
          <w:iCs/>
          <w:sz w:val="20"/>
          <w:szCs w:val="20"/>
        </w:rPr>
        <w:t>Kebijakan Publik: Teori Proses, dan Studi Kasus</w:t>
      </w:r>
      <w:r w:rsidRPr="00547419">
        <w:rPr>
          <w:sz w:val="20"/>
          <w:szCs w:val="20"/>
        </w:rPr>
        <w:t>. Yogyakarta: CAPS.</w:t>
      </w:r>
    </w:p>
    <w:p w14:paraId="092481D4" w14:textId="77777777" w:rsidR="00547419" w:rsidRPr="00547419" w:rsidRDefault="00547419" w:rsidP="00547419">
      <w:pPr>
        <w:pStyle w:val="Bibliography"/>
        <w:jc w:val="both"/>
        <w:rPr>
          <w:sz w:val="20"/>
          <w:szCs w:val="20"/>
        </w:rPr>
      </w:pPr>
      <w:r w:rsidRPr="00547419">
        <w:rPr>
          <w:sz w:val="20"/>
          <w:szCs w:val="20"/>
        </w:rPr>
        <w:t xml:space="preserve">Wu, Yujuan, dan Jacquline Tham. 2023. “The Impact of Environmental Regulation, Environment, Social and Government Performance, and Technological Innovation on Enterprise Resilience under a Green Recovery.” </w:t>
      </w:r>
      <w:r w:rsidRPr="00547419">
        <w:rPr>
          <w:i/>
          <w:iCs/>
          <w:sz w:val="20"/>
          <w:szCs w:val="20"/>
        </w:rPr>
        <w:t>Heliyon</w:t>
      </w:r>
      <w:r w:rsidRPr="00547419">
        <w:rPr>
          <w:sz w:val="20"/>
          <w:szCs w:val="20"/>
        </w:rPr>
        <w:t xml:space="preserve"> 9 (10): e20278. https://doi.org/10.1016/j.heliyon.2023.e20278.</w:t>
      </w:r>
    </w:p>
    <w:p w14:paraId="589544EE" w14:textId="77777777" w:rsidR="00907ADF" w:rsidRPr="00547419" w:rsidRDefault="00547419" w:rsidP="00547419">
      <w:pPr>
        <w:pStyle w:val="Heading1"/>
        <w:ind w:left="0" w:firstLine="0"/>
        <w:jc w:val="both"/>
        <w:rPr>
          <w:sz w:val="20"/>
          <w:szCs w:val="20"/>
        </w:rPr>
      </w:pPr>
      <w:r w:rsidRPr="00547419">
        <w:rPr>
          <w:sz w:val="20"/>
          <w:szCs w:val="20"/>
        </w:rPr>
        <w:fldChar w:fldCharType="end"/>
      </w:r>
    </w:p>
    <w:sectPr w:rsidR="00907ADF" w:rsidRPr="00547419">
      <w:pgSz w:w="8510" w:h="14180"/>
      <w:pgMar w:top="1320" w:right="850" w:bottom="1000" w:left="708" w:header="563" w:footer="8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5C836" w14:textId="77777777" w:rsidR="003853DE" w:rsidRDefault="003853DE">
      <w:r>
        <w:separator/>
      </w:r>
    </w:p>
  </w:endnote>
  <w:endnote w:type="continuationSeparator" w:id="0">
    <w:p w14:paraId="6DA25B00" w14:textId="77777777" w:rsidR="003853DE" w:rsidRDefault="00385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FE8FE" w14:textId="77777777" w:rsidR="003853DE" w:rsidRDefault="003853DE">
      <w:r>
        <w:separator/>
      </w:r>
    </w:p>
  </w:footnote>
  <w:footnote w:type="continuationSeparator" w:id="0">
    <w:p w14:paraId="4371A0D3" w14:textId="77777777" w:rsidR="003853DE" w:rsidRDefault="00385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05FD9"/>
    <w:multiLevelType w:val="multilevel"/>
    <w:tmpl w:val="FE20B102"/>
    <w:lvl w:ilvl="0">
      <w:start w:val="1"/>
      <w:numFmt w:val="decimal"/>
      <w:lvlText w:val="%1."/>
      <w:lvlJc w:val="left"/>
      <w:pPr>
        <w:ind w:left="360" w:hanging="360"/>
      </w:pPr>
      <w:rPr>
        <w:rFonts w:hint="default"/>
        <w:b/>
        <w:bCs w:val="0"/>
        <w:w w:val="105"/>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 w15:restartNumberingAfterBreak="0">
    <w:nsid w:val="53E96B72"/>
    <w:multiLevelType w:val="multilevel"/>
    <w:tmpl w:val="17B4B670"/>
    <w:lvl w:ilvl="0">
      <w:start w:val="1"/>
      <w:numFmt w:val="decimal"/>
      <w:lvlText w:val="%1."/>
      <w:lvlJc w:val="left"/>
      <w:pPr>
        <w:ind w:left="246" w:hanging="246"/>
        <w:jc w:val="left"/>
      </w:pPr>
      <w:rPr>
        <w:rFonts w:ascii="Times New Roman" w:eastAsia="Times New Roman" w:hAnsi="Times New Roman" w:cs="Times New Roman" w:hint="default"/>
        <w:b/>
        <w:bCs/>
        <w:i w:val="0"/>
        <w:iCs w:val="0"/>
        <w:spacing w:val="0"/>
        <w:w w:val="103"/>
        <w:sz w:val="24"/>
        <w:szCs w:val="24"/>
        <w:lang w:val="en-US" w:eastAsia="en-US" w:bidi="ar-SA"/>
      </w:rPr>
    </w:lvl>
    <w:lvl w:ilvl="1">
      <w:start w:val="1"/>
      <w:numFmt w:val="decimal"/>
      <w:lvlText w:val="%1.%2."/>
      <w:lvlJc w:val="left"/>
      <w:pPr>
        <w:ind w:left="850" w:hanging="396"/>
        <w:jc w:val="left"/>
      </w:pPr>
      <w:rPr>
        <w:rFonts w:ascii="Times New Roman" w:eastAsia="Times New Roman" w:hAnsi="Times New Roman" w:cs="Times New Roman" w:hint="default"/>
        <w:b/>
        <w:bCs/>
        <w:i w:val="0"/>
        <w:iCs w:val="0"/>
        <w:spacing w:val="-1"/>
        <w:w w:val="103"/>
        <w:sz w:val="22"/>
        <w:szCs w:val="22"/>
        <w:lang w:val="en-US" w:eastAsia="en-US" w:bidi="ar-SA"/>
      </w:rPr>
    </w:lvl>
    <w:lvl w:ilvl="2">
      <w:numFmt w:val="bullet"/>
      <w:lvlText w:val="•"/>
      <w:lvlJc w:val="left"/>
      <w:pPr>
        <w:ind w:left="1519" w:hanging="396"/>
      </w:pPr>
      <w:rPr>
        <w:rFonts w:hint="default"/>
        <w:lang w:val="en-US" w:eastAsia="en-US" w:bidi="ar-SA"/>
      </w:rPr>
    </w:lvl>
    <w:lvl w:ilvl="3">
      <w:numFmt w:val="bullet"/>
      <w:lvlText w:val="•"/>
      <w:lvlJc w:val="left"/>
      <w:pPr>
        <w:ind w:left="2180" w:hanging="396"/>
      </w:pPr>
      <w:rPr>
        <w:rFonts w:hint="default"/>
        <w:lang w:val="en-US" w:eastAsia="en-US" w:bidi="ar-SA"/>
      </w:rPr>
    </w:lvl>
    <w:lvl w:ilvl="4">
      <w:numFmt w:val="bullet"/>
      <w:lvlText w:val="•"/>
      <w:lvlJc w:val="left"/>
      <w:pPr>
        <w:ind w:left="2841" w:hanging="396"/>
      </w:pPr>
      <w:rPr>
        <w:rFonts w:hint="default"/>
        <w:lang w:val="en-US" w:eastAsia="en-US" w:bidi="ar-SA"/>
      </w:rPr>
    </w:lvl>
    <w:lvl w:ilvl="5">
      <w:numFmt w:val="bullet"/>
      <w:lvlText w:val="•"/>
      <w:lvlJc w:val="left"/>
      <w:pPr>
        <w:ind w:left="3502" w:hanging="396"/>
      </w:pPr>
      <w:rPr>
        <w:rFonts w:hint="default"/>
        <w:lang w:val="en-US" w:eastAsia="en-US" w:bidi="ar-SA"/>
      </w:rPr>
    </w:lvl>
    <w:lvl w:ilvl="6">
      <w:numFmt w:val="bullet"/>
      <w:lvlText w:val="•"/>
      <w:lvlJc w:val="left"/>
      <w:pPr>
        <w:ind w:left="4163" w:hanging="396"/>
      </w:pPr>
      <w:rPr>
        <w:rFonts w:hint="default"/>
        <w:lang w:val="en-US" w:eastAsia="en-US" w:bidi="ar-SA"/>
      </w:rPr>
    </w:lvl>
    <w:lvl w:ilvl="7">
      <w:numFmt w:val="bullet"/>
      <w:lvlText w:val="•"/>
      <w:lvlJc w:val="left"/>
      <w:pPr>
        <w:ind w:left="4824" w:hanging="396"/>
      </w:pPr>
      <w:rPr>
        <w:rFonts w:hint="default"/>
        <w:lang w:val="en-US" w:eastAsia="en-US" w:bidi="ar-SA"/>
      </w:rPr>
    </w:lvl>
    <w:lvl w:ilvl="8">
      <w:numFmt w:val="bullet"/>
      <w:lvlText w:val="•"/>
      <w:lvlJc w:val="left"/>
      <w:pPr>
        <w:ind w:left="5484" w:hanging="396"/>
      </w:pPr>
      <w:rPr>
        <w:rFonts w:hint="default"/>
        <w:lang w:val="en-US" w:eastAsia="en-US" w:bidi="ar-SA"/>
      </w:rPr>
    </w:lvl>
  </w:abstractNum>
  <w:num w:numId="1" w16cid:durableId="2023433032">
    <w:abstractNumId w:val="1"/>
  </w:num>
  <w:num w:numId="2" w16cid:durableId="19283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66511"/>
    <w:rsid w:val="000022EB"/>
    <w:rsid w:val="00024356"/>
    <w:rsid w:val="00072DDC"/>
    <w:rsid w:val="000D4E9D"/>
    <w:rsid w:val="001F129C"/>
    <w:rsid w:val="002847C4"/>
    <w:rsid w:val="003129A7"/>
    <w:rsid w:val="003853DE"/>
    <w:rsid w:val="003C6566"/>
    <w:rsid w:val="00547419"/>
    <w:rsid w:val="00666511"/>
    <w:rsid w:val="00907ADF"/>
    <w:rsid w:val="00AF3340"/>
    <w:rsid w:val="00B02F3C"/>
    <w:rsid w:val="00C71EA7"/>
    <w:rsid w:val="00D92F76"/>
    <w:rsid w:val="00EB1BFF"/>
    <w:rsid w:val="00EE613F"/>
    <w:rsid w:val="00F87D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75C4"/>
  <w15:docId w15:val="{E7A43EA1-10F0-49CD-AC67-06DB0DB31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1"/>
      <w:ind w:left="386" w:hanging="245"/>
      <w:outlineLvl w:val="0"/>
    </w:pPr>
    <w:rPr>
      <w:b/>
      <w:bCs/>
      <w:sz w:val="24"/>
      <w:szCs w:val="24"/>
    </w:rPr>
  </w:style>
  <w:style w:type="paragraph" w:styleId="Heading2">
    <w:name w:val="heading 2"/>
    <w:basedOn w:val="Normal"/>
    <w:uiPriority w:val="1"/>
    <w:qFormat/>
    <w:pPr>
      <w:spacing w:before="80"/>
      <w:ind w:left="988" w:hanging="393"/>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1"/>
      <w:jc w:val="both"/>
    </w:pPr>
  </w:style>
  <w:style w:type="paragraph" w:styleId="Title">
    <w:name w:val="Title"/>
    <w:basedOn w:val="Normal"/>
    <w:uiPriority w:val="1"/>
    <w:qFormat/>
    <w:pPr>
      <w:spacing w:before="60"/>
      <w:ind w:left="2217" w:right="2127"/>
      <w:jc w:val="center"/>
    </w:pPr>
    <w:rPr>
      <w:b/>
      <w:bCs/>
      <w:sz w:val="30"/>
      <w:szCs w:val="30"/>
    </w:rPr>
  </w:style>
  <w:style w:type="paragraph" w:styleId="ListParagraph">
    <w:name w:val="List Paragraph"/>
    <w:basedOn w:val="Normal"/>
    <w:uiPriority w:val="34"/>
    <w:qFormat/>
    <w:pPr>
      <w:ind w:left="386" w:hanging="245"/>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E613F"/>
    <w:rPr>
      <w:color w:val="0000FF" w:themeColor="hyperlink"/>
      <w:u w:val="single"/>
    </w:rPr>
  </w:style>
  <w:style w:type="paragraph" w:styleId="Header">
    <w:name w:val="header"/>
    <w:basedOn w:val="Normal"/>
    <w:link w:val="HeaderChar"/>
    <w:uiPriority w:val="99"/>
    <w:unhideWhenUsed/>
    <w:rsid w:val="00C71EA7"/>
    <w:pPr>
      <w:tabs>
        <w:tab w:val="center" w:pos="4680"/>
        <w:tab w:val="right" w:pos="9360"/>
      </w:tabs>
    </w:pPr>
  </w:style>
  <w:style w:type="character" w:customStyle="1" w:styleId="HeaderChar">
    <w:name w:val="Header Char"/>
    <w:basedOn w:val="DefaultParagraphFont"/>
    <w:link w:val="Header"/>
    <w:uiPriority w:val="99"/>
    <w:rsid w:val="00C71EA7"/>
    <w:rPr>
      <w:rFonts w:ascii="Times New Roman" w:eastAsia="Times New Roman" w:hAnsi="Times New Roman" w:cs="Times New Roman"/>
    </w:rPr>
  </w:style>
  <w:style w:type="paragraph" w:styleId="Footer">
    <w:name w:val="footer"/>
    <w:basedOn w:val="Normal"/>
    <w:link w:val="FooterChar"/>
    <w:uiPriority w:val="99"/>
    <w:unhideWhenUsed/>
    <w:rsid w:val="00C71EA7"/>
    <w:pPr>
      <w:tabs>
        <w:tab w:val="center" w:pos="4680"/>
        <w:tab w:val="right" w:pos="9360"/>
      </w:tabs>
    </w:pPr>
  </w:style>
  <w:style w:type="character" w:customStyle="1" w:styleId="FooterChar">
    <w:name w:val="Footer Char"/>
    <w:basedOn w:val="DefaultParagraphFont"/>
    <w:link w:val="Footer"/>
    <w:uiPriority w:val="99"/>
    <w:rsid w:val="00C71EA7"/>
    <w:rPr>
      <w:rFonts w:ascii="Times New Roman" w:eastAsia="Times New Roman" w:hAnsi="Times New Roman" w:cs="Times New Roman"/>
    </w:rPr>
  </w:style>
  <w:style w:type="table" w:styleId="TableGrid">
    <w:name w:val="Table Grid"/>
    <w:basedOn w:val="TableNormal"/>
    <w:uiPriority w:val="59"/>
    <w:rsid w:val="00B02F3C"/>
    <w:pPr>
      <w:widowControl/>
      <w:autoSpaceDE/>
      <w:autoSpaceDN/>
    </w:pPr>
    <w:rPr>
      <w:rFonts w:eastAsia="Times New Roman"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547419"/>
    <w:pPr>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yajlisismail@alkhairat.ac.id" TargetMode="External"/><Relationship Id="rId3" Type="http://schemas.openxmlformats.org/officeDocument/2006/relationships/settings" Target="settings.xml"/><Relationship Id="rId7" Type="http://schemas.openxmlformats.org/officeDocument/2006/relationships/hyperlink" Target="mailto:yajlisismail@alkhairat.a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18</Pages>
  <Words>17800</Words>
  <Characters>113032</Characters>
  <Application>Microsoft Office Word</Application>
  <DocSecurity>0</DocSecurity>
  <Lines>2173</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X240</cp:lastModifiedBy>
  <cp:revision>11</cp:revision>
  <dcterms:created xsi:type="dcterms:W3CDTF">2025-04-17T13:31:00Z</dcterms:created>
  <dcterms:modified xsi:type="dcterms:W3CDTF">2025-05-05T13:04:00Z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2025-03-06T00:00:00Z</vt:filetime>
  </property>
  <property fmtid="{D5CDD505-2E9C-101B-9397-08002B2CF9AE}" pid="3" name="LastSaved">
    <vt:filetime>2025-04-17T00:00:00Z</vt:filetime>
  </property>
  <property fmtid="{D5CDD505-2E9C-101B-9397-08002B2CF9AE}" pid="4" name="Producer">
    <vt:lpwstr>macOS Version 12.6.3 (Build 21G419) Quartz PDFContext</vt:lpwstr>
  </property>
  <property fmtid="{D5CDD505-2E9C-101B-9397-08002B2CF9AE}" pid="5" name="ZOTERO_PREF_1">
    <vt:lpwstr>&lt;data data-version="3" zotero-version="7.0.15"&gt;&lt;session id="nnn34LCC"/&gt;&lt;style id="http://www.zotero.org/styles/chicago-author-date" locale="id-ID" hasBibliography="1" bibliographyStyleHasBeenSet="1"/&gt;&lt;prefs&gt;&lt;pref name="fieldType" value="Field"/&gt;&lt;pref name</vt:lpwstr>
  </property>
  <property fmtid="{D5CDD505-2E9C-101B-9397-08002B2CF9AE}" pid="6" name="ZOTERO_PREF_2">
    <vt:lpwstr>="automaticJournalAbbreviations" value="true"/&gt;&lt;/prefs&gt;&lt;/data&gt;</vt:lpwstr>
  </property>
  <property fmtid="{D5CDD505-2E9C-101B-9397-08002B2CF9AE}" pid="7" name="GrammarlyDocumentId">
    <vt:lpwstr>bc748796-48ff-45b7-9f6a-f107a2a3505f</vt:lpwstr>
  </property>
</Properties>
</file>