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68A92" w14:textId="1226B9AA" w:rsidR="00DE1E48" w:rsidRPr="00122F5F" w:rsidRDefault="00DE1E48" w:rsidP="00122F5F">
      <w:pPr>
        <w:rPr>
          <w:rFonts w:ascii="Calibri Light" w:hAnsi="Calibri Light" w:cs="Calibri Light"/>
          <w:b/>
          <w:bCs/>
          <w:sz w:val="24"/>
          <w:szCs w:val="24"/>
        </w:rPr>
      </w:pPr>
    </w:p>
    <w:p w14:paraId="7CEEE232" w14:textId="27FB9843" w:rsidR="00DE1E48" w:rsidRPr="00122F5F" w:rsidRDefault="00447121" w:rsidP="00122F5F">
      <w:pPr>
        <w:rPr>
          <w:rFonts w:ascii="Calibri Light" w:hAnsi="Calibri Light" w:cs="Calibri Light"/>
          <w:b/>
          <w:bCs/>
          <w:iCs/>
          <w:sz w:val="28"/>
          <w:szCs w:val="28"/>
          <w:lang w:val="id-ID"/>
        </w:rPr>
      </w:pPr>
      <w:r w:rsidRPr="00447121">
        <w:rPr>
          <w:rFonts w:ascii="Calibri Light" w:hAnsi="Calibri Light" w:cs="Calibri Light"/>
          <w:b/>
          <w:bCs/>
          <w:sz w:val="28"/>
          <w:szCs w:val="28"/>
        </w:rPr>
        <w:t>Ensuring Fair and Ethical Legal Protection for Organ Donors in Indonesia: An Islamic Perspective</w:t>
      </w:r>
      <w:r w:rsidRPr="00447121">
        <w:rPr>
          <w:rFonts w:ascii="Calibri Light" w:hAnsi="Calibri Light" w:cs="Calibri Light"/>
          <w:b/>
          <w:bCs/>
          <w:sz w:val="28"/>
          <w:szCs w:val="28"/>
        </w:rPr>
        <w:t xml:space="preserve"> </w:t>
      </w:r>
      <w:r w:rsidR="00260D64" w:rsidRPr="00540F02">
        <w:rPr>
          <w:rFonts w:ascii="Calibri Light" w:hAnsi="Calibri Light" w:cs="Calibri Light"/>
          <w:color w:val="A6A6A6"/>
          <w:sz w:val="24"/>
          <w:szCs w:val="24"/>
        </w:rPr>
        <w:t>(1</w:t>
      </w:r>
      <w:r w:rsidR="00260D64" w:rsidRPr="00540F02">
        <w:rPr>
          <w:rFonts w:ascii="Calibri Light" w:hAnsi="Calibri Light" w:cs="Calibri Light"/>
          <w:color w:val="A6A6A6"/>
          <w:sz w:val="24"/>
          <w:szCs w:val="24"/>
          <w:lang w:val="id-ID"/>
        </w:rPr>
        <w:t xml:space="preserve">4 </w:t>
      </w:r>
      <w:r w:rsidR="00260D64" w:rsidRPr="00540F02">
        <w:rPr>
          <w:rFonts w:ascii="Calibri Light" w:hAnsi="Calibri Light" w:cs="Calibri Light"/>
          <w:color w:val="A6A6A6"/>
          <w:sz w:val="24"/>
          <w:szCs w:val="24"/>
        </w:rPr>
        <w:t>Bold-</w:t>
      </w:r>
      <w:r w:rsidR="00122F5F" w:rsidRPr="00540F02">
        <w:rPr>
          <w:rFonts w:ascii="Calibri Light" w:hAnsi="Calibri Light" w:cs="Calibri Light"/>
          <w:color w:val="A6A6A6"/>
          <w:sz w:val="24"/>
          <w:szCs w:val="24"/>
        </w:rPr>
        <w:t>Calibri Light</w:t>
      </w:r>
      <w:r w:rsidR="00260D64" w:rsidRPr="00540F02">
        <w:rPr>
          <w:rFonts w:ascii="Calibri Light" w:hAnsi="Calibri Light" w:cs="Calibri Light"/>
          <w:color w:val="A6A6A6"/>
          <w:sz w:val="24"/>
          <w:szCs w:val="24"/>
        </w:rPr>
        <w:t>)</w:t>
      </w:r>
    </w:p>
    <w:p w14:paraId="73688C3A" w14:textId="77777777" w:rsidR="00DE1E48" w:rsidRPr="00122F5F" w:rsidRDefault="00DE1E48" w:rsidP="001D7DEE">
      <w:pPr>
        <w:jc w:val="center"/>
        <w:rPr>
          <w:rFonts w:ascii="Calibri Light" w:hAnsi="Calibri Light" w:cs="Calibri Light"/>
          <w:sz w:val="24"/>
          <w:szCs w:val="24"/>
        </w:rPr>
      </w:pPr>
    </w:p>
    <w:p w14:paraId="0CD874D9" w14:textId="5CAE13B8" w:rsidR="008C45DE" w:rsidRPr="00540F02" w:rsidRDefault="00E62F24" w:rsidP="00122F5F">
      <w:pPr>
        <w:rPr>
          <w:rFonts w:ascii="Calibri Light" w:hAnsi="Calibri Light" w:cs="Calibri Light"/>
          <w:color w:val="A6A6A6"/>
          <w:sz w:val="24"/>
          <w:szCs w:val="24"/>
        </w:rPr>
      </w:pPr>
      <w:r w:rsidRPr="00E62F24">
        <w:rPr>
          <w:rFonts w:ascii="Calibri Light" w:hAnsi="Calibri Light" w:cs="Calibri Light"/>
          <w:b/>
          <w:bCs/>
          <w:sz w:val="24"/>
          <w:szCs w:val="24"/>
        </w:rPr>
        <w:t>Agus Susanto</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E62F24">
        <w:rPr>
          <w:rFonts w:ascii="Calibri Light" w:hAnsi="Calibri Light" w:cs="Calibri Light"/>
          <w:b/>
          <w:bCs/>
          <w:sz w:val="24"/>
          <w:szCs w:val="24"/>
        </w:rPr>
        <w:t xml:space="preserve">Retno </w:t>
      </w:r>
      <w:proofErr w:type="spellStart"/>
      <w:r w:rsidRPr="00E62F24">
        <w:rPr>
          <w:rFonts w:ascii="Calibri Light" w:hAnsi="Calibri Light" w:cs="Calibri Light"/>
          <w:b/>
          <w:bCs/>
          <w:sz w:val="24"/>
          <w:szCs w:val="24"/>
        </w:rPr>
        <w:t>Mawarini</w:t>
      </w:r>
      <w:proofErr w:type="spellEnd"/>
      <w:r w:rsidRPr="00E62F24">
        <w:rPr>
          <w:rFonts w:ascii="Calibri Light" w:hAnsi="Calibri Light" w:cs="Calibri Light"/>
          <w:b/>
          <w:bCs/>
          <w:sz w:val="24"/>
          <w:szCs w:val="24"/>
        </w:rPr>
        <w:t xml:space="preserve"> Sukmariningsih</w:t>
      </w:r>
      <w:r w:rsidR="008C45DE" w:rsidRPr="00122F5F">
        <w:rPr>
          <w:rFonts w:ascii="Calibri Light" w:hAnsi="Calibri Light" w:cs="Calibri Light"/>
          <w:b/>
          <w:bCs/>
          <w:sz w:val="24"/>
          <w:szCs w:val="24"/>
          <w:vertAlign w:val="superscript"/>
        </w:rPr>
        <w:t>2</w:t>
      </w:r>
      <w:r w:rsidRPr="00E62F24">
        <w:rPr>
          <w:rFonts w:ascii="Calibri Light" w:hAnsi="Calibri Light" w:cs="Calibri Light"/>
          <w:b/>
          <w:bCs/>
          <w:sz w:val="24"/>
          <w:szCs w:val="24"/>
        </w:rPr>
        <w:t xml:space="preserve"> </w:t>
      </w:r>
      <w:r w:rsidRPr="00E62F24">
        <w:rPr>
          <w:rFonts w:ascii="Calibri Light" w:hAnsi="Calibri Light" w:cs="Calibri Light"/>
          <w:b/>
          <w:bCs/>
          <w:sz w:val="24"/>
          <w:szCs w:val="24"/>
        </w:rPr>
        <w:t xml:space="preserve">MC Inge </w:t>
      </w:r>
      <w:proofErr w:type="spellStart"/>
      <w:r w:rsidRPr="00E62F24">
        <w:rPr>
          <w:rFonts w:ascii="Calibri Light" w:hAnsi="Calibri Light" w:cs="Calibri Light"/>
          <w:b/>
          <w:bCs/>
          <w:sz w:val="24"/>
          <w:szCs w:val="24"/>
        </w:rPr>
        <w:t>Hartini</w:t>
      </w:r>
      <w:proofErr w:type="spellEnd"/>
      <w:r>
        <w:rPr>
          <w:rFonts w:ascii="Calibri Light" w:hAnsi="Calibri Light" w:cs="Calibri Light"/>
          <w:b/>
          <w:bCs/>
          <w:sz w:val="24"/>
          <w:szCs w:val="24"/>
          <w:vertAlign w:val="superscript"/>
        </w:rPr>
        <w:t xml:space="preserve"> 3</w:t>
      </w:r>
      <w:r w:rsidRPr="00E62F24">
        <w:rPr>
          <w:rFonts w:ascii="Calibri Light" w:hAnsi="Calibri Light" w:cs="Calibri Light"/>
          <w:b/>
          <w:bCs/>
          <w:sz w:val="24"/>
          <w:szCs w:val="24"/>
        </w:rPr>
        <w:t xml:space="preserve"> </w:t>
      </w:r>
      <w:r>
        <w:rPr>
          <w:rFonts w:ascii="Calibri Light" w:hAnsi="Calibri Light" w:cs="Calibri Light"/>
          <w:b/>
          <w:bCs/>
          <w:sz w:val="24"/>
          <w:szCs w:val="24"/>
        </w:rPr>
        <w:t>Afif Noor</w:t>
      </w:r>
      <w:r w:rsidRPr="00122F5F">
        <w:rPr>
          <w:rFonts w:ascii="Calibri Light" w:hAnsi="Calibri Light" w:cs="Calibri Light"/>
          <w:b/>
          <w:bCs/>
          <w:sz w:val="24"/>
          <w:szCs w:val="24"/>
          <w:lang w:val="id-ID"/>
        </w:rPr>
        <w:t>*</w:t>
      </w:r>
      <w:r>
        <w:rPr>
          <w:rFonts w:ascii="Calibri Light" w:hAnsi="Calibri Light" w:cs="Calibri Light"/>
          <w:b/>
          <w:bCs/>
          <w:sz w:val="24"/>
          <w:szCs w:val="24"/>
          <w:vertAlign w:val="superscript"/>
        </w:rPr>
        <w:t>4</w:t>
      </w:r>
      <w:r w:rsidR="008C45DE" w:rsidRPr="00122F5F">
        <w:rPr>
          <w:rFonts w:ascii="Calibri Light" w:hAnsi="Calibri Light" w:cs="Calibri Light"/>
          <w:b/>
          <w:bCs/>
          <w:sz w:val="24"/>
          <w:szCs w:val="24"/>
        </w:rPr>
        <w:t xml:space="preserve"> </w:t>
      </w:r>
      <w:r w:rsidR="008C45DE" w:rsidRPr="00540F02">
        <w:rPr>
          <w:rFonts w:ascii="Calibri Light" w:hAnsi="Calibri Light" w:cs="Calibri Light"/>
          <w:color w:val="A6A6A6"/>
          <w:sz w:val="24"/>
          <w:szCs w:val="24"/>
        </w:rPr>
        <w:t xml:space="preserve">(12 Bold- </w:t>
      </w:r>
      <w:r w:rsidR="00863A78" w:rsidRPr="00863A78">
        <w:rPr>
          <w:rFonts w:ascii="Calibri Light" w:hAnsi="Calibri Light" w:cs="Calibri Light"/>
          <w:color w:val="A6A6A6"/>
          <w:sz w:val="24"/>
          <w:szCs w:val="24"/>
        </w:rPr>
        <w:t>Calibri Light</w:t>
      </w:r>
      <w:r w:rsidR="008C45DE" w:rsidRPr="00540F02">
        <w:rPr>
          <w:rFonts w:ascii="Calibri Light" w:hAnsi="Calibri Light" w:cs="Calibri Light"/>
          <w:color w:val="A6A6A6"/>
          <w:sz w:val="24"/>
          <w:szCs w:val="24"/>
        </w:rPr>
        <w:t>)</w:t>
      </w:r>
    </w:p>
    <w:p w14:paraId="67077256" w14:textId="499BD51F"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86076">
        <w:rPr>
          <w:rFonts w:ascii="Calibri Light" w:hAnsi="Calibri Light" w:cs="Calibri Light"/>
          <w:sz w:val="24"/>
          <w:szCs w:val="24"/>
          <w:vertAlign w:val="superscript"/>
        </w:rPr>
        <w:t>,</w:t>
      </w:r>
      <w:r w:rsidR="00E62F24">
        <w:rPr>
          <w:rFonts w:ascii="Calibri Light" w:hAnsi="Calibri Light" w:cs="Calibri Light"/>
          <w:sz w:val="24"/>
          <w:szCs w:val="24"/>
          <w:vertAlign w:val="superscript"/>
        </w:rPr>
        <w:t>2</w:t>
      </w:r>
      <w:r w:rsidR="00986076">
        <w:rPr>
          <w:rFonts w:ascii="Calibri Light" w:hAnsi="Calibri Light" w:cs="Calibri Light"/>
          <w:sz w:val="24"/>
          <w:szCs w:val="24"/>
          <w:vertAlign w:val="superscript"/>
        </w:rPr>
        <w:t>,</w:t>
      </w:r>
      <w:r w:rsidR="00E62F24">
        <w:rPr>
          <w:rFonts w:ascii="Calibri Light" w:hAnsi="Calibri Light" w:cs="Calibri Light"/>
          <w:sz w:val="24"/>
          <w:szCs w:val="24"/>
          <w:vertAlign w:val="superscript"/>
        </w:rPr>
        <w:t>3</w:t>
      </w:r>
      <w:r w:rsidR="00E62F24">
        <w:rPr>
          <w:rFonts w:ascii="Calibri Light" w:hAnsi="Calibri Light" w:cs="Calibri Light"/>
          <w:sz w:val="24"/>
          <w:szCs w:val="24"/>
        </w:rPr>
        <w:t xml:space="preserve"> Universitas 17 Agustus 1945 Semarang,</w:t>
      </w:r>
      <w:r w:rsidRPr="00122F5F">
        <w:rPr>
          <w:rFonts w:ascii="Calibri Light" w:hAnsi="Calibri Light" w:cs="Calibri Light"/>
          <w:sz w:val="24"/>
          <w:szCs w:val="24"/>
        </w:rPr>
        <w:t xml:space="preserve"> </w:t>
      </w:r>
      <w:r w:rsidR="00E62F24" w:rsidRPr="00E62F24">
        <w:rPr>
          <w:rFonts w:ascii="Calibri Light" w:hAnsi="Calibri Light" w:cs="Calibri Light"/>
          <w:sz w:val="24"/>
          <w:szCs w:val="24"/>
        </w:rPr>
        <w:t xml:space="preserve">Jl. </w:t>
      </w:r>
      <w:proofErr w:type="spellStart"/>
      <w:r w:rsidR="00E62F24" w:rsidRPr="00E62F24">
        <w:rPr>
          <w:rFonts w:ascii="Calibri Light" w:hAnsi="Calibri Light" w:cs="Calibri Light"/>
          <w:sz w:val="24"/>
          <w:szCs w:val="24"/>
        </w:rPr>
        <w:t>Pawiyatan</w:t>
      </w:r>
      <w:proofErr w:type="spellEnd"/>
      <w:r w:rsidR="00E62F24" w:rsidRPr="00E62F24">
        <w:rPr>
          <w:rFonts w:ascii="Calibri Light" w:hAnsi="Calibri Light" w:cs="Calibri Light"/>
          <w:sz w:val="24"/>
          <w:szCs w:val="24"/>
        </w:rPr>
        <w:t xml:space="preserve"> </w:t>
      </w:r>
      <w:proofErr w:type="spellStart"/>
      <w:r w:rsidR="00E62F24" w:rsidRPr="00E62F24">
        <w:rPr>
          <w:rFonts w:ascii="Calibri Light" w:hAnsi="Calibri Light" w:cs="Calibri Light"/>
          <w:sz w:val="24"/>
          <w:szCs w:val="24"/>
        </w:rPr>
        <w:t>Luhur</w:t>
      </w:r>
      <w:proofErr w:type="spellEnd"/>
      <w:r w:rsidR="00E62F24" w:rsidRPr="00E62F24">
        <w:rPr>
          <w:rFonts w:ascii="Calibri Light" w:hAnsi="Calibri Light" w:cs="Calibri Light"/>
          <w:sz w:val="24"/>
          <w:szCs w:val="24"/>
        </w:rPr>
        <w:t xml:space="preserve">, Bendan </w:t>
      </w:r>
      <w:proofErr w:type="spellStart"/>
      <w:r w:rsidR="00E62F24" w:rsidRPr="00E62F24">
        <w:rPr>
          <w:rFonts w:ascii="Calibri Light" w:hAnsi="Calibri Light" w:cs="Calibri Light"/>
          <w:sz w:val="24"/>
          <w:szCs w:val="24"/>
        </w:rPr>
        <w:t>Dhuwur</w:t>
      </w:r>
      <w:proofErr w:type="spellEnd"/>
      <w:r w:rsidR="00E62F24" w:rsidRPr="00E62F24">
        <w:rPr>
          <w:rFonts w:ascii="Calibri Light" w:hAnsi="Calibri Light" w:cs="Calibri Light"/>
          <w:sz w:val="24"/>
          <w:szCs w:val="24"/>
        </w:rPr>
        <w:t>, Semarang</w:t>
      </w:r>
      <w:r w:rsidR="00E62F24">
        <w:rPr>
          <w:rFonts w:ascii="Calibri Light" w:hAnsi="Calibri Light" w:cs="Calibri Light"/>
          <w:sz w:val="24"/>
          <w:szCs w:val="24"/>
        </w:rPr>
        <w:t xml:space="preserve">, Indonesia </w:t>
      </w:r>
      <w:r w:rsidRPr="00540F02">
        <w:rPr>
          <w:rFonts w:ascii="Calibri Light" w:hAnsi="Calibri Light" w:cs="Calibri Light"/>
          <w:color w:val="A6A6A6"/>
          <w:sz w:val="24"/>
          <w:szCs w:val="24"/>
        </w:rPr>
        <w:t>(12)</w:t>
      </w:r>
    </w:p>
    <w:p w14:paraId="23BA2E5A" w14:textId="3F7A240B" w:rsidR="00CF57D6" w:rsidRPr="00540F02" w:rsidRDefault="00E62F24" w:rsidP="00122F5F">
      <w:pPr>
        <w:rPr>
          <w:rFonts w:ascii="Calibri Light" w:hAnsi="Calibri Light" w:cs="Calibri Light"/>
          <w:color w:val="A6A6A6"/>
          <w:sz w:val="24"/>
          <w:szCs w:val="24"/>
          <w:lang w:val="id-ID"/>
        </w:rPr>
      </w:pPr>
      <w:r>
        <w:rPr>
          <w:rFonts w:ascii="Calibri Light" w:hAnsi="Calibri Light" w:cs="Calibri Light"/>
          <w:sz w:val="24"/>
          <w:szCs w:val="24"/>
          <w:vertAlign w:val="superscript"/>
        </w:rPr>
        <w:t>4</w:t>
      </w:r>
      <w:r>
        <w:rPr>
          <w:rFonts w:ascii="Calibri Light" w:hAnsi="Calibri Light" w:cs="Calibri Light"/>
          <w:sz w:val="24"/>
          <w:szCs w:val="24"/>
        </w:rPr>
        <w:t xml:space="preserve"> Universitas Islam Negeri </w:t>
      </w:r>
      <w:proofErr w:type="spellStart"/>
      <w:r>
        <w:rPr>
          <w:rFonts w:ascii="Calibri Light" w:hAnsi="Calibri Light" w:cs="Calibri Light"/>
          <w:sz w:val="24"/>
          <w:szCs w:val="24"/>
        </w:rPr>
        <w:t>Walisongo</w:t>
      </w:r>
      <w:proofErr w:type="spellEnd"/>
      <w:r>
        <w:rPr>
          <w:rFonts w:ascii="Calibri Light" w:hAnsi="Calibri Light" w:cs="Calibri Light"/>
          <w:sz w:val="24"/>
          <w:szCs w:val="24"/>
        </w:rPr>
        <w:t xml:space="preserve"> Semarang, </w:t>
      </w:r>
      <w:r w:rsidR="00447121" w:rsidRPr="00447121">
        <w:rPr>
          <w:rFonts w:ascii="Calibri Light" w:hAnsi="Calibri Light" w:cs="Calibri Light"/>
          <w:sz w:val="24"/>
          <w:szCs w:val="24"/>
        </w:rPr>
        <w:t>Jl. Prof. Dr. Hamka</w:t>
      </w:r>
      <w:r w:rsidR="00447121">
        <w:rPr>
          <w:rFonts w:ascii="Calibri Light" w:hAnsi="Calibri Light" w:cs="Calibri Light"/>
          <w:sz w:val="24"/>
          <w:szCs w:val="24"/>
        </w:rPr>
        <w:t xml:space="preserve"> Km2</w:t>
      </w:r>
      <w:r w:rsidR="00FD7FF2">
        <w:rPr>
          <w:rFonts w:ascii="Calibri Light" w:hAnsi="Calibri Light" w:cs="Calibri Light"/>
          <w:sz w:val="24"/>
          <w:szCs w:val="24"/>
        </w:rPr>
        <w:t>,</w:t>
      </w:r>
      <w:r w:rsidR="00447121">
        <w:rPr>
          <w:rFonts w:ascii="Calibri Light" w:hAnsi="Calibri Light" w:cs="Calibri Light"/>
          <w:sz w:val="24"/>
          <w:szCs w:val="24"/>
        </w:rPr>
        <w:t xml:space="preserve"> </w:t>
      </w:r>
      <w:proofErr w:type="spellStart"/>
      <w:r w:rsidR="00447121" w:rsidRPr="00447121">
        <w:rPr>
          <w:rFonts w:ascii="Calibri Light" w:hAnsi="Calibri Light" w:cs="Calibri Light"/>
          <w:sz w:val="24"/>
          <w:szCs w:val="24"/>
        </w:rPr>
        <w:t>Ngaliyan</w:t>
      </w:r>
      <w:proofErr w:type="spellEnd"/>
      <w:r w:rsidR="00447121" w:rsidRPr="00447121">
        <w:rPr>
          <w:rFonts w:ascii="Calibri Light" w:hAnsi="Calibri Light" w:cs="Calibri Light"/>
          <w:sz w:val="24"/>
          <w:szCs w:val="24"/>
        </w:rPr>
        <w:t xml:space="preserve">, Semarang, </w:t>
      </w:r>
      <w:proofErr w:type="gramStart"/>
      <w:r w:rsidR="00447121">
        <w:rPr>
          <w:rFonts w:ascii="Calibri Light" w:hAnsi="Calibri Light" w:cs="Calibri Light"/>
          <w:sz w:val="24"/>
          <w:szCs w:val="24"/>
        </w:rPr>
        <w:t>Indonesia</w:t>
      </w:r>
      <w:r w:rsidR="00B905EC" w:rsidRPr="00540F02">
        <w:rPr>
          <w:rFonts w:ascii="Calibri Light" w:hAnsi="Calibri Light" w:cs="Calibri Light"/>
          <w:color w:val="A6A6A6"/>
          <w:sz w:val="24"/>
          <w:szCs w:val="24"/>
        </w:rPr>
        <w:t>(</w:t>
      </w:r>
      <w:proofErr w:type="gramEnd"/>
      <w:r w:rsidR="00B905EC" w:rsidRPr="00540F02">
        <w:rPr>
          <w:rFonts w:ascii="Calibri Light" w:hAnsi="Calibri Light" w:cs="Calibri Light"/>
          <w:color w:val="A6A6A6"/>
          <w:sz w:val="24"/>
          <w:szCs w:val="24"/>
        </w:rPr>
        <w:t>12)</w:t>
      </w:r>
    </w:p>
    <w:p w14:paraId="3890F5C2" w14:textId="6619DC9A"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w:t>
      </w:r>
      <w:r w:rsidR="00447121">
        <w:rPr>
          <w:rFonts w:ascii="Calibri Light" w:hAnsi="Calibri Light" w:cs="Calibri Light"/>
          <w:color w:val="A6A6A6"/>
          <w:sz w:val="24"/>
          <w:szCs w:val="24"/>
          <w:lang w:val="id-ID"/>
        </w:rPr>
        <w:t xml:space="preserve"> </w:t>
      </w:r>
      <w:hyperlink r:id="rId8" w:history="1">
        <w:r w:rsidR="00447121" w:rsidRPr="002A5BB2">
          <w:rPr>
            <w:rStyle w:val="Hyperlink"/>
            <w:rFonts w:ascii="Calibri Light" w:hAnsi="Calibri Light" w:cs="Calibri Light"/>
            <w:sz w:val="24"/>
            <w:szCs w:val="24"/>
            <w:lang w:val="id-ID"/>
          </w:rPr>
          <w:t>afif_noor@walisongo.ac.id</w:t>
        </w:r>
      </w:hyperlink>
      <w:r w:rsidR="00447121">
        <w:rPr>
          <w:rFonts w:ascii="Calibri Light" w:hAnsi="Calibri Light" w:cs="Calibri Light"/>
          <w:color w:val="A6A6A6"/>
          <w:sz w:val="24"/>
          <w:szCs w:val="24"/>
          <w:lang w:val="id-ID"/>
        </w:rPr>
        <w:t xml:space="preserve"> </w:t>
      </w:r>
    </w:p>
    <w:p w14:paraId="2C30DCC2" w14:textId="77777777" w:rsidR="00DE1E48" w:rsidRPr="00122F5F" w:rsidRDefault="00DE1E48" w:rsidP="001D7DEE">
      <w:pPr>
        <w:jc w:val="center"/>
        <w:rPr>
          <w:rFonts w:ascii="Calibri Light" w:hAnsi="Calibri Light" w:cs="Calibri Light"/>
          <w:sz w:val="24"/>
          <w:szCs w:val="24"/>
        </w:rPr>
      </w:pPr>
    </w:p>
    <w:p w14:paraId="6991CAAD"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191944A3"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96AE95E"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587B848" w14:textId="77777777" w:rsidR="00863A78" w:rsidRPr="00863A78" w:rsidRDefault="00863A78" w:rsidP="00863A78">
      <w:pPr>
        <w:ind w:right="737"/>
        <w:rPr>
          <w:rFonts w:ascii="Calibri Light" w:hAnsi="Calibri Light" w:cs="Calibri Light"/>
          <w:b/>
          <w:bCs/>
        </w:rPr>
      </w:pPr>
    </w:p>
    <w:p w14:paraId="12B562D3" w14:textId="19BD930A" w:rsidR="00863A78" w:rsidRPr="00863A78" w:rsidRDefault="00A46DF3"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2E0AEE79" wp14:editId="6B7C4706">
            <wp:extent cx="260350" cy="25400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539CE2C3"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3604143D" w14:textId="77777777" w:rsidTr="00540F02">
        <w:tc>
          <w:tcPr>
            <w:tcW w:w="9004" w:type="dxa"/>
            <w:tcBorders>
              <w:left w:val="nil"/>
              <w:right w:val="nil"/>
            </w:tcBorders>
          </w:tcPr>
          <w:p w14:paraId="44B42FD3" w14:textId="77777777" w:rsidR="00863A78" w:rsidRPr="00540F02" w:rsidRDefault="00863A78" w:rsidP="00540F02">
            <w:pPr>
              <w:ind w:right="2"/>
              <w:jc w:val="both"/>
              <w:rPr>
                <w:rFonts w:ascii="Calibri Light" w:hAnsi="Calibri Light" w:cs="Calibri Light"/>
                <w:sz w:val="12"/>
                <w:szCs w:val="12"/>
              </w:rPr>
            </w:pPr>
          </w:p>
          <w:p w14:paraId="4F9B9B73" w14:textId="4BC59F39" w:rsidR="00863A78" w:rsidRPr="00540F02" w:rsidRDefault="00863A78" w:rsidP="00FD7FF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1FA776E7" w14:textId="77777777" w:rsidR="00863A78" w:rsidRPr="00540F02" w:rsidRDefault="00863A78" w:rsidP="00540F02">
            <w:pPr>
              <w:ind w:right="2"/>
              <w:jc w:val="both"/>
              <w:rPr>
                <w:rFonts w:ascii="Calibri Light" w:hAnsi="Calibri Light" w:cs="Calibri Light"/>
                <w:color w:val="0462C1"/>
                <w:u w:val="single" w:color="0462C1"/>
              </w:rPr>
            </w:pPr>
          </w:p>
          <w:p w14:paraId="76893383"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88A2041" w14:textId="77777777" w:rsidR="00863A78" w:rsidRPr="00540F02" w:rsidRDefault="00863A78" w:rsidP="00540F02">
            <w:pPr>
              <w:ind w:right="2"/>
              <w:jc w:val="both"/>
              <w:rPr>
                <w:rFonts w:ascii="Calibri Light" w:hAnsi="Calibri Light" w:cs="Calibri Light"/>
                <w:b/>
                <w:bCs/>
                <w:sz w:val="12"/>
                <w:szCs w:val="12"/>
              </w:rPr>
            </w:pPr>
          </w:p>
        </w:tc>
      </w:tr>
    </w:tbl>
    <w:p w14:paraId="55892B98" w14:textId="77777777" w:rsidR="00863A78" w:rsidRDefault="00863A78" w:rsidP="00863A78">
      <w:pPr>
        <w:ind w:right="737"/>
        <w:rPr>
          <w:rFonts w:ascii="Calibri Light" w:hAnsi="Calibri Light" w:cs="Calibri Light"/>
          <w:b/>
          <w:bCs/>
          <w:sz w:val="24"/>
          <w:szCs w:val="24"/>
        </w:rPr>
      </w:pPr>
    </w:p>
    <w:p w14:paraId="0A5A5258" w14:textId="136D092A"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D7FF2" w:rsidRPr="00FD7FF2">
        <w:rPr>
          <w:rFonts w:ascii="Calibri Light" w:hAnsi="Calibri Light" w:cs="Calibri Light"/>
          <w:i/>
          <w:iCs/>
          <w:noProof/>
          <w:color w:val="000000"/>
          <w:sz w:val="24"/>
          <w:szCs w:val="24"/>
        </w:rPr>
        <w:t>Organ transplantation, a life-saving medical intervention that significantly improves the quality of life for patients with organ failure, requires a robust legal framework. This framework is crucial to ensure justice, ethical treatment, and the protection of organ donors, particularly within the unique cultural and religious context of Indonesia. While Law No. 17 of 2023 on Health and its implementing regulations provide a legal basis, they do not fully address the comprehensive protection needed for living and deceased donors, including post-donation care, compensation mechanisms, and legal recognition of altruistic contributions. Adopting a normative juridical approach supported by comparative analysis and Islamic legal principles, this article aims to identify regulatory gaps and ethical challenges. The study reveals that the current framework lacks sufficient guarantees of reciprocal justice and does not fully reflect the maqāṣid al-sharī‘ah principles such as ḥifẓ al-nafs (protection of life), ʿadālah (justice), and karāmah insāniyyah (human dignity). The article strongly advocates reforming donor protection policies by integrating national law, international best practices, and Islamic values. It emphasizes the urgency and importance of strengthening legal clarity, ethical oversight, and public education to establish a transplant system that is just, humane, and aligned with both constitutional mandates and religious ethics.</w:t>
      </w:r>
      <w:r w:rsidR="00FD7FF2">
        <w:rPr>
          <w:rFonts w:ascii="Calibri Light" w:hAnsi="Calibri Light" w:cs="Calibri Light"/>
          <w:i/>
          <w:iCs/>
          <w:noProof/>
          <w:color w:val="000000"/>
          <w:sz w:val="24"/>
          <w:szCs w:val="24"/>
        </w:rPr>
        <w:t xml:space="preserve"> </w:t>
      </w:r>
      <w:r w:rsidR="00334520" w:rsidRPr="00540F02">
        <w:rPr>
          <w:rFonts w:ascii="Calibri Light" w:hAnsi="Calibri Light" w:cs="Calibri Light"/>
          <w:color w:val="A6A6A6"/>
          <w:sz w:val="24"/>
          <w:szCs w:val="24"/>
          <w:lang w:val="id-ID"/>
        </w:rPr>
        <w:t>(</w:t>
      </w:r>
      <w:r w:rsidR="00334520" w:rsidRPr="00540F02">
        <w:rPr>
          <w:rFonts w:ascii="Calibri Light" w:hAnsi="Calibri Light" w:cs="Calibri Light"/>
          <w:i/>
          <w:iCs/>
          <w:color w:val="A6A6A6"/>
          <w:sz w:val="24"/>
          <w:szCs w:val="24"/>
          <w:lang w:val="id-ID"/>
        </w:rPr>
        <w:t xml:space="preserve">12 </w:t>
      </w:r>
      <w:r w:rsidR="00334520" w:rsidRPr="00540F02">
        <w:rPr>
          <w:rFonts w:ascii="Calibri Light" w:hAnsi="Calibri Light" w:cs="Calibri Light"/>
          <w:i/>
          <w:iCs/>
          <w:color w:val="A6A6A6"/>
          <w:sz w:val="22"/>
          <w:szCs w:val="22"/>
          <w:lang w:val="id-ID"/>
        </w:rPr>
        <w:t>Italic</w:t>
      </w:r>
      <w:r w:rsidR="00334520"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334520" w:rsidRPr="00540F02">
        <w:rPr>
          <w:rFonts w:ascii="Calibri Light" w:hAnsi="Calibri Light" w:cs="Calibri Light"/>
          <w:color w:val="A6A6A6"/>
          <w:sz w:val="24"/>
          <w:szCs w:val="24"/>
          <w:lang w:val="id-ID"/>
        </w:rPr>
        <w:t>)</w:t>
      </w:r>
    </w:p>
    <w:p w14:paraId="4615B191" w14:textId="5A84F3D5" w:rsidR="00DE1E48" w:rsidRPr="000E3950" w:rsidRDefault="00FD7FF2" w:rsidP="00FD7FF2">
      <w:pPr>
        <w:ind w:right="-1"/>
        <w:jc w:val="both"/>
        <w:rPr>
          <w:rFonts w:ascii="Calibri Light" w:hAnsi="Calibri Light" w:cs="Calibri Light"/>
          <w:noProof/>
          <w:sz w:val="24"/>
          <w:szCs w:val="24"/>
        </w:rPr>
      </w:pPr>
      <w:r w:rsidRPr="000E3950">
        <w:rPr>
          <w:rFonts w:ascii="Calibri Light" w:hAnsi="Calibri Light" w:cs="Calibri Light"/>
          <w:noProof/>
          <w:sz w:val="24"/>
          <w:szCs w:val="24"/>
        </w:rPr>
        <w:t xml:space="preserve">Transplantasi organ, sebagai intervensi medis penyelamat jiwa yang secara signifikan meningkatkan kualitas hidup pasien dengan kegagalan organ, memerlukan kerangka hukum yang kokoh. Kerangka ini sangat penting untuk menjamin keadilan, perlakuan yang etis, dan perlindungan terhadap para pendonor organ, khususnya dalam konteks budaya dan religius yang khas di Indonesia. Meskipun Undang-Undang No. 17 Tahun 2023 tentang Kesehatan beserta peraturan pelaksanaannya telah memberikan dasar hukum, regulasi tersebut belum </w:t>
      </w:r>
      <w:r w:rsidRPr="000E3950">
        <w:rPr>
          <w:rFonts w:ascii="Calibri Light" w:hAnsi="Calibri Light" w:cs="Calibri Light"/>
          <w:noProof/>
          <w:sz w:val="24"/>
          <w:szCs w:val="24"/>
        </w:rPr>
        <w:lastRenderedPageBreak/>
        <w:t>sepenuhnya menjamin perlindungan komprehensif bagi pendonor hidup maupun pendonor yang telah meninggal, termasuk aspek perawatan pascadonasi, mekanisme kompensasi, dan pengakuan hukum terhadap kontribusi altruistik.</w:t>
      </w:r>
      <w:r w:rsidRPr="000E3950">
        <w:rPr>
          <w:rFonts w:ascii="Calibri Light" w:hAnsi="Calibri Light" w:cs="Calibri Light"/>
          <w:noProof/>
          <w:sz w:val="24"/>
          <w:szCs w:val="24"/>
        </w:rPr>
        <w:t xml:space="preserve"> </w:t>
      </w:r>
      <w:r w:rsidRPr="000E3950">
        <w:rPr>
          <w:rFonts w:ascii="Calibri Light" w:hAnsi="Calibri Light" w:cs="Calibri Light"/>
          <w:noProof/>
          <w:sz w:val="24"/>
          <w:szCs w:val="24"/>
        </w:rPr>
        <w:t xml:space="preserve">Dengan mengadopsi pendekatan yuridis normatif yang didukung oleh analisis komparatif dan prinsip-prinsip hukum Islam, artikel ini bertujuan mengidentifikasi kekosongan regulasi serta tantangan etis yang dihadapi. Kajian ini menunjukkan bahwa kerangka hukum yang ada belum memberikan jaminan keadilan timbal balik yang memadai dan belum sepenuhnya mencerminkan prinsip-prinsip </w:t>
      </w:r>
      <w:r w:rsidRPr="000E3950">
        <w:rPr>
          <w:rFonts w:ascii="Calibri Light" w:hAnsi="Calibri Light" w:cs="Calibri Light"/>
          <w:i/>
          <w:iCs/>
          <w:noProof/>
          <w:sz w:val="24"/>
          <w:szCs w:val="24"/>
        </w:rPr>
        <w:t>maqāṣid al-sharī‘ah</w:t>
      </w:r>
      <w:r w:rsidRPr="000E3950">
        <w:rPr>
          <w:rFonts w:ascii="Calibri Light" w:hAnsi="Calibri Light" w:cs="Calibri Light"/>
          <w:noProof/>
          <w:sz w:val="24"/>
          <w:szCs w:val="24"/>
        </w:rPr>
        <w:t xml:space="preserve"> seperti </w:t>
      </w:r>
      <w:r w:rsidRPr="000E3950">
        <w:rPr>
          <w:rFonts w:ascii="Calibri Light" w:hAnsi="Calibri Light" w:cs="Calibri Light"/>
          <w:i/>
          <w:iCs/>
          <w:noProof/>
          <w:sz w:val="24"/>
          <w:szCs w:val="24"/>
        </w:rPr>
        <w:t>ḥifẓ al-nafs</w:t>
      </w:r>
      <w:r w:rsidRPr="000E3950">
        <w:rPr>
          <w:rFonts w:ascii="Calibri Light" w:hAnsi="Calibri Light" w:cs="Calibri Light"/>
          <w:noProof/>
          <w:sz w:val="24"/>
          <w:szCs w:val="24"/>
        </w:rPr>
        <w:t xml:space="preserve"> (perlindungan jiwa), </w:t>
      </w:r>
      <w:r w:rsidRPr="000E3950">
        <w:rPr>
          <w:rFonts w:ascii="Calibri Light" w:hAnsi="Calibri Light" w:cs="Calibri Light"/>
          <w:i/>
          <w:iCs/>
          <w:noProof/>
          <w:sz w:val="24"/>
          <w:szCs w:val="24"/>
        </w:rPr>
        <w:t>ʿadālah</w:t>
      </w:r>
      <w:r w:rsidRPr="000E3950">
        <w:rPr>
          <w:rFonts w:ascii="Calibri Light" w:hAnsi="Calibri Light" w:cs="Calibri Light"/>
          <w:noProof/>
          <w:sz w:val="24"/>
          <w:szCs w:val="24"/>
        </w:rPr>
        <w:t xml:space="preserve"> (keadilan), dan </w:t>
      </w:r>
      <w:r w:rsidRPr="000E3950">
        <w:rPr>
          <w:rFonts w:ascii="Calibri Light" w:hAnsi="Calibri Light" w:cs="Calibri Light"/>
          <w:i/>
          <w:iCs/>
          <w:noProof/>
          <w:sz w:val="24"/>
          <w:szCs w:val="24"/>
        </w:rPr>
        <w:t>karāmah insāniyyah</w:t>
      </w:r>
      <w:r w:rsidRPr="000E3950">
        <w:rPr>
          <w:rFonts w:ascii="Calibri Light" w:hAnsi="Calibri Light" w:cs="Calibri Light"/>
          <w:noProof/>
          <w:sz w:val="24"/>
          <w:szCs w:val="24"/>
        </w:rPr>
        <w:t xml:space="preserve"> (martabat kemanusiaan). Artikel ini dengan tegas mendorong reformasi kebijakan perlindungan pendonor melalui integrasi antara hukum nasional, praktik terbaik internasional, dan nilai-nilai Islam. Penekanan diberikan pada urgensi penguatan kejelasan hukum, pengawasan etis, dan edukasi publik guna membangun sistem transplantasi organ yang adil, manusiawi, dan sejalan dengan amanat konstitusi serta etika keagamaan.</w:t>
      </w:r>
      <w:r w:rsidR="00A46DF3" w:rsidRPr="000E3950">
        <w:rPr>
          <w:rFonts w:ascii="Calibri Light" w:hAnsi="Calibri Light" w:cs="Calibri Light"/>
          <w:noProof/>
          <w:sz w:val="24"/>
          <w:szCs w:val="24"/>
        </w:rPr>
        <w:t xml:space="preserve"> </w:t>
      </w:r>
      <w:r w:rsidR="00003189" w:rsidRPr="00A12570">
        <w:rPr>
          <w:rFonts w:ascii="Calibri Light" w:hAnsi="Calibri Light" w:cs="Calibri Light"/>
          <w:color w:val="D9D9D9" w:themeColor="background1" w:themeShade="D9"/>
          <w:sz w:val="24"/>
          <w:szCs w:val="24"/>
          <w:lang w:val="id-ID"/>
        </w:rPr>
        <w:t xml:space="preserve">Indonesia-- </w:t>
      </w:r>
      <w:r w:rsidR="00334520" w:rsidRPr="00A12570">
        <w:rPr>
          <w:rFonts w:ascii="Calibri Light" w:hAnsi="Calibri Light" w:cs="Calibri Light"/>
          <w:color w:val="D9D9D9" w:themeColor="background1" w:themeShade="D9"/>
          <w:sz w:val="24"/>
          <w:szCs w:val="24"/>
        </w:rPr>
        <w:t>(1</w:t>
      </w:r>
      <w:r w:rsidR="00540F02" w:rsidRPr="00A12570">
        <w:rPr>
          <w:rFonts w:ascii="Calibri Light" w:hAnsi="Calibri Light" w:cs="Calibri Light"/>
          <w:color w:val="D9D9D9" w:themeColor="background1" w:themeShade="D9"/>
          <w:sz w:val="24"/>
          <w:szCs w:val="24"/>
        </w:rPr>
        <w:t>2-Calibri Light</w:t>
      </w:r>
      <w:r w:rsidR="00334520" w:rsidRPr="00A12570">
        <w:rPr>
          <w:rFonts w:ascii="Calibri Light" w:hAnsi="Calibri Light" w:cs="Calibri Light"/>
          <w:color w:val="D9D9D9" w:themeColor="background1" w:themeShade="D9"/>
          <w:sz w:val="24"/>
          <w:szCs w:val="24"/>
        </w:rPr>
        <w:t>)</w:t>
      </w:r>
    </w:p>
    <w:p w14:paraId="4949D8F9" w14:textId="77777777" w:rsidR="00486707" w:rsidRPr="00122F5F" w:rsidRDefault="00486707" w:rsidP="001D7DEE">
      <w:pPr>
        <w:ind w:left="709" w:right="737"/>
        <w:jc w:val="both"/>
        <w:rPr>
          <w:rFonts w:ascii="Calibri Light" w:hAnsi="Calibri Light" w:cs="Calibri Light"/>
          <w:i/>
          <w:iCs/>
          <w:sz w:val="24"/>
          <w:szCs w:val="24"/>
          <w:lang w:val="id-ID"/>
        </w:rPr>
      </w:pPr>
    </w:p>
    <w:p w14:paraId="3115A55F" w14:textId="3D9228A5"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D7FF2" w:rsidRPr="00FD7FF2">
        <w:rPr>
          <w:rStyle w:val="shorttext"/>
          <w:rFonts w:ascii="Calibri Light" w:hAnsi="Calibri Light" w:cs="Calibri Light"/>
          <w:i/>
          <w:iCs/>
          <w:sz w:val="24"/>
          <w:szCs w:val="24"/>
          <w:lang w:val="en"/>
        </w:rPr>
        <w:t>Legal protection</w:t>
      </w:r>
      <w:r w:rsidR="00FD7FF2">
        <w:rPr>
          <w:rStyle w:val="shorttext"/>
          <w:rFonts w:ascii="Calibri Light" w:hAnsi="Calibri Light" w:cs="Calibri Light"/>
          <w:i/>
          <w:iCs/>
          <w:sz w:val="24"/>
          <w:szCs w:val="24"/>
          <w:lang w:val="en"/>
        </w:rPr>
        <w:t xml:space="preserve">, </w:t>
      </w:r>
      <w:r w:rsidR="00FD7FF2" w:rsidRPr="00FD7FF2">
        <w:rPr>
          <w:rStyle w:val="shorttext"/>
          <w:rFonts w:ascii="Calibri Light" w:hAnsi="Calibri Light" w:cs="Calibri Light"/>
          <w:i/>
          <w:iCs/>
          <w:sz w:val="24"/>
          <w:szCs w:val="24"/>
          <w:lang w:val="en"/>
        </w:rPr>
        <w:t>Organ donor; Justice</w:t>
      </w:r>
      <w:r w:rsidR="00FD7FF2">
        <w:rPr>
          <w:rStyle w:val="shorttext"/>
          <w:rFonts w:ascii="Calibri Light" w:hAnsi="Calibri Light" w:cs="Calibri Light"/>
          <w:i/>
          <w:iCs/>
          <w:sz w:val="24"/>
          <w:szCs w:val="24"/>
          <w:lang w:val="en"/>
        </w:rPr>
        <w:t xml:space="preserve">, </w:t>
      </w:r>
      <w:r w:rsidR="00FD7FF2" w:rsidRPr="00FD7FF2">
        <w:rPr>
          <w:rStyle w:val="shorttext"/>
          <w:rFonts w:ascii="Calibri Light" w:hAnsi="Calibri Light" w:cs="Calibri Light"/>
          <w:i/>
          <w:iCs/>
          <w:sz w:val="24"/>
          <w:szCs w:val="24"/>
          <w:lang w:val="en"/>
        </w:rPr>
        <w:t>Ethics</w:t>
      </w:r>
      <w:r w:rsidR="00FD7FF2">
        <w:rPr>
          <w:rStyle w:val="shorttext"/>
          <w:rFonts w:ascii="Calibri Light" w:hAnsi="Calibri Light" w:cs="Calibri Light"/>
          <w:i/>
          <w:iCs/>
          <w:sz w:val="24"/>
          <w:szCs w:val="24"/>
          <w:lang w:val="en"/>
        </w:rPr>
        <w:t xml:space="preserve">, </w:t>
      </w:r>
      <w:proofErr w:type="spellStart"/>
      <w:r w:rsidR="00FD7FF2" w:rsidRPr="00FD7FF2">
        <w:rPr>
          <w:rStyle w:val="shorttext"/>
          <w:rFonts w:ascii="Calibri Light" w:hAnsi="Calibri Light" w:cs="Calibri Light"/>
          <w:i/>
          <w:iCs/>
          <w:sz w:val="24"/>
          <w:szCs w:val="24"/>
          <w:lang w:val="en"/>
        </w:rPr>
        <w:t>Maqāṣid</w:t>
      </w:r>
      <w:proofErr w:type="spellEnd"/>
      <w:r w:rsidR="00FD7FF2" w:rsidRPr="00FD7FF2">
        <w:rPr>
          <w:rStyle w:val="shorttext"/>
          <w:rFonts w:ascii="Calibri Light" w:hAnsi="Calibri Light" w:cs="Calibri Light"/>
          <w:i/>
          <w:iCs/>
          <w:sz w:val="24"/>
          <w:szCs w:val="24"/>
          <w:lang w:val="en"/>
        </w:rPr>
        <w:t xml:space="preserve"> al-</w:t>
      </w:r>
      <w:proofErr w:type="spellStart"/>
      <w:proofErr w:type="gramStart"/>
      <w:r w:rsidR="00FD7FF2" w:rsidRPr="00FD7FF2">
        <w:rPr>
          <w:rStyle w:val="shorttext"/>
          <w:rFonts w:ascii="Calibri Light" w:hAnsi="Calibri Light" w:cs="Calibri Light"/>
          <w:i/>
          <w:iCs/>
          <w:sz w:val="24"/>
          <w:szCs w:val="24"/>
          <w:lang w:val="en"/>
        </w:rPr>
        <w:t>sharī‘</w:t>
      </w:r>
      <w:proofErr w:type="gramEnd"/>
      <w:r w:rsidR="00FD7FF2" w:rsidRPr="00FD7FF2">
        <w:rPr>
          <w:rStyle w:val="shorttext"/>
          <w:rFonts w:ascii="Calibri Light" w:hAnsi="Calibri Light" w:cs="Calibri Light"/>
          <w:i/>
          <w:iCs/>
          <w:sz w:val="24"/>
          <w:szCs w:val="24"/>
          <w:lang w:val="en"/>
        </w:rPr>
        <w:t>ah</w:t>
      </w:r>
      <w:proofErr w:type="spellEnd"/>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2675E9FB" w14:textId="77777777" w:rsidR="00F1027C" w:rsidRPr="00122F5F" w:rsidRDefault="00F1027C" w:rsidP="00F1027C">
      <w:pPr>
        <w:jc w:val="center"/>
        <w:rPr>
          <w:rFonts w:ascii="Calibri Light" w:hAnsi="Calibri Light" w:cs="Calibri Light"/>
          <w:i/>
          <w:iCs/>
          <w:lang w:val="id-ID"/>
        </w:rPr>
      </w:pPr>
    </w:p>
    <w:p w14:paraId="0E419F67"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F36C052" w14:textId="34987E69" w:rsid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Organ transplantation, a monumental medical advancement, is instrumental in saving lives and improving the quality of life for patients grappling with organ failure</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{"citationItems":[{"id":"ITEM-1","itemData":{"DOI":"10.15294/jils.v9i2.19157","abstract":"Organ transplantation serves as a critical solution for patients in need of organ donors. However, the pressing demand for organs, coupled with donors' economic hardships, has raised concerns about organ transplants being conducted for commercial purposes. This study aims to analyze the legal framework governing organ transplantation and explore the practices observed within society. Using secondary data comprising legislation, scholarly articles, scientific research, and online news reports, this study identifies significant inconsistencies and potential ambiguities within the regulatory framework. Current legal provisions stipulate that organ transplants must be conducted solely for humanitarian purposes and explicitly prohibit commercialization. Yet, government regulations create a loophole by allowing donors to receive awards, which could be exploited for commercial gains. To prevent the commercialization of organ transplants, it is essential to ensure that the relationship between donors and recipients is based on familial or kinship ties. Such relationships foster the principles of voluntariness and altruism, which are central to ethically sound transplantation practices. Strengthening the legal framework to eliminate ambiguities and promoting public awareness about ethical transplantation practices are imperative steps to uphold the integrity of organ donation and transplantation. This study underscores the importance of aligning regulatory frameworks with ethical principles to address the challenges posed by commercialization while ensuring equitable access to life-saving organ transplants.","author":[{"dropping-particle":"","family":"Bakhtiar, Handar Subhandi, Maddussila","given":"Samsu Alam","non-dropping-particle":"","parse-names":false,"suffix":""}],"container-title":"Journal of Indonesian Legal Studies","id":"ITEM-1","issue":"2","issued":{"date-parts":[["2024"]]},"page":"1067-1106","title":"Manipulation of Legal Regulations in Commodification of Organ Transplants: Indonesia Perspective","type":"article-journal","volume":"9"},"uris":["http://www.mendeley.com/documents/?uuid=c9222975-df2f-4f83-b6fc-c61414d817ba"]}],"mendeley":{"formattedCitation":"(Bakhtiar, Handar Subhandi, Maddussila, 2024)","plainTextFormattedCitation":"(Bakhtiar, Handar Subhandi, Maddussila, 2024)","previouslyFormattedCitation":"(Bakhtiar, Handar Subhandi, Maddussila, 2024)"},"properties":{"noteIndex":0},"schema":"https://github.com/citation-style-language/schema/raw/master/csl-citation.json"}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(Bakhtiar, Handar Subhandi, Maddussila, 2024)</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w:t>
      </w:r>
      <w:r w:rsidRPr="00A46DF3">
        <w:rPr>
          <w:rFonts w:ascii="Calibri Light" w:hAnsi="Calibri Light" w:cs="Calibri Light"/>
          <w:color w:val="0E101A"/>
          <w:sz w:val="24"/>
          <w:szCs w:val="24"/>
        </w:rPr>
        <w:t xml:space="preserve"> However, the success of transplantation is heavily reliant on the availability of donor organs</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{"citationItems":[{"id":"ITEM-1","itemData":{"DOI":"10.56367/oag-040-11001","author":[{"dropping-particle":"","family":"Lakkis","given":"Fadi G","non-dropping-particle":"","parse-names":false,"suffix":""}],"container-title":"Open Access Government","id":"ITEM-1","issue":"1","issued":{"date-parts":[["2023"]]},"page":"28-29","title":"The successes and challenges of organ transplantation","type":"article-journal","volume":"40"},"uris":["http://www.mendeley.com/documents/?uuid=dcb242d9-6540-481a-ab43-c46f5d4aeee6"]}],"mendeley":{"formattedCitation":"(Lakkis, 2023)","plainTextFormattedCitation":"(Lakkis, 2023)","previouslyFormattedCitation":"(Lakkis, 2023)"},"properties":{"noteIndex":0},"schema":"https://github.com/citation-style-language/schema/raw/master/csl-citation.json"}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bCs/>
          <w:noProof/>
          <w:color w:val="0E101A"/>
          <w:sz w:val="24"/>
          <w:szCs w:val="24"/>
        </w:rPr>
        <w:t>(Lakkis, 2023)</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In Indonesia, the demand for organ transplantation is surging, yet the number of organ donors remains severely limited. In 2023, over 172,000 organ transplant procedures were performed globally. Kidney transplantation, the most common type, accounted for about 65% of all transplants, with liver transplants making up approximately 24%</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{"citationItems":[{"id":"ITEM-1","itemData":{"URL":"https://www.statista.com/statistics/398645/global-estimation-of-organ-transplantations/#:~:text=The kidney is the most,can be challenging and complex.&amp;text=Kidney transplantation%2C or renal transplantation,better access to such procedures.&amp;text=Organs ca","author":[{"dropping-particle":"","family":"Elflein","given":"John","non-dropping-particle":"","parse-names":false,"suffix":""}],"container-title":"statista.com","id":"ITEM-1","issued":{"date-parts":[["2025"]]},"title":"Global number of organ transplantations 2023","type":"webpage"},"uris":["http://www.mendeley.com/documents/?uuid=e19d7378-8f83-453a-9dd3-e3dcf6bbdc42"]}],"mendeley":{"formattedCitation":"(Elflein, 2025)","plainTextFormattedCitation":"(Elflein, 2025)","previouslyFormattedCitation":"(Elflein, 2025)"},"properties":{"noteIndex":0},"schema":"https://github.com/citation-style-language/schema/raw/master/csl-citation.json"}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(Elflein, 2025)</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The scarcity of donor organs is a critical issue that needs urgent attention from both medical and legal standpoints</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{"citationItems":[{"id":"ITEM-1","itemData":{"DOI":"10.1016/j.ejim.2024.11.010","ISSN":"18790828","abstract":"Organ transplantation is a critical medical procedure that saves and improves lives, yet the system faces significant challenges that result in many missed opportunities. This comprehensive review examines the factors contributing to these missed opportunities and the concerns of potential donors. The shortage of donors remains a major issue, exacerbated by low registration rates, family consent refusals, and strict medical and health criteria. Inefficiencies within the organ procurement and transplantation process, including logistical delays and suboptimal matching systems, further hinder the availability of organs. Public misconceptions and cultural and religious beliefs also negatively impact donor willingness. Moreover, potential donors and their families face ethical, psychological, and procedural concerns. Ethical dilemmas revolve around issues of autonomy and informed consent, while psychological concerns include fear and anxiety about the donation process and its impact on families. Procedural issues, such as transparency, legal hurdles, and post-donation follow-up, add to the complexities of organ donation. This review explores potential solutions to address these challenges, such as enhancing public education campaigns to dispel myths, and providing incentives for proactive registration. It also recommends improving the performance of organ procurement organizations, optimizing logistics for organ transport, and developing advanced matching algorithms to ensure equitable organ allocation. Addressing donor concerns through robust ethical standards, comprehensive psychological support, and clear communication strategies is essential. By adopting these multifaceted strategies, the organ transplantation system can be made more efficient and supportive, increasing the availability of organs and ultimately saving more lives. This review underscores the need for integrated and targeted approaches to overcome the existing barriers in organ transplantation.","author":[{"dropping-particle":"","family":"Olawade","given":"David B.","non-dropping-particle":"","parse-names":false,"suffix":""},{"dropping-particle":"","family":"Marinze","given":"Sheila","non-dropping-particle":"","parse-names":false,"suffix":""},{"dropping-particle":"","family":"Qureshi","given":"Nabeel","non-dropping-particle":"","parse-names":false,"suffix":""},{"dropping-particle":"","family":"Weerasinghe","given":"Kusal","non-dropping-particle":"","parse-names":false,"suffix":""},{"dropping-particle":"","family":"Teke","given":"Jennifer","non-dropping-particle":"","parse-names":false,"suffix":""}],"container-title":"European Journal of Internal Medicine","id":"ITEM-1","issue":"August 2024","issued":{"date-parts":[["2024"]]},"page":"14-24","publisher":"Elsevier B.V.","title":"Transforming organ donation and transplantation: Strategies for increasing donor participation and system efficiency","type":"article-journal","volume":"133"},"uris":["http://www.mendeley.com/documents/?uuid=400609b6-98c4-48f2-9e7d-8e466c98c340"]}],"mendeley":{"formattedCitation":"(Olawade et al., 2024)","plainTextFormattedCitation":"(Olawade et al., 2024)","previouslyFormattedCitation":"(Olawade et al., 2024)"},"properties":{"noteIndex":0},"schema":"https://github.com/citation-style-language/schema/raw/master/csl-citation.json"}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(Olawade et al., 2024)</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w:t>
      </w:r>
    </w:p>
    <w:p w14:paraId="5D0DF9B7" w14:textId="4DBEC0F5" w:rsidR="00A46DF3" w:rsidRP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In Indonesia, the need for kidney transplants is escalating, mirroring the rising prevalence of chronic kidney disease due to factors such as diabetes mellitus, hypertension, and unhealthy lifestyles. Data from the 2013 Basic Health Research (</w:t>
      </w:r>
      <w:proofErr w:type="spellStart"/>
      <w:r w:rsidRPr="00A46DF3">
        <w:rPr>
          <w:rFonts w:ascii="Calibri Light" w:hAnsi="Calibri Light" w:cs="Calibri Light"/>
          <w:color w:val="0E101A"/>
          <w:sz w:val="24"/>
          <w:szCs w:val="24"/>
        </w:rPr>
        <w:t>Riskesdas</w:t>
      </w:r>
      <w:proofErr w:type="spellEnd"/>
      <w:r w:rsidRPr="00A46DF3">
        <w:rPr>
          <w:rFonts w:ascii="Calibri Light" w:hAnsi="Calibri Light" w:cs="Calibri Light"/>
          <w:color w:val="0E101A"/>
          <w:sz w:val="24"/>
          <w:szCs w:val="24"/>
        </w:rPr>
        <w:t>) revealed that the prevalence of kidney failure among Indonesians was 0.2%, or 2 per 1,000 people, totaling 499,800 individuals</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{"citationItems":[{"id":"ITEM-1","itemData":{"ISBN":"9786022355687","author":[{"dropping-particle":"","family":"Budiman","given":"Basuki","non-dropping-particle":"","parse-names":false,"suffix":""}],"container-title":"Badan Penelitian dan Pengembangan Kesehatan Kementerian Kesehatan RI","id":"ITEM-1","issued":{"date-parts":[["2013"]]},"title":"Riset Kesehatan Dasar Dalam Angka","type":"report"},"uris":["http://www.mendeley.com/documents/?uuid=69678618-877e-4687-ba35-96b8953fadc8"]}],"mendeley":{"formattedCitation":"(Budiman, 2013)","plainTextFormattedCitation":"(Budiman, 2013)","previouslyFormattedCitation":"(Budiman, 2013)"},"properties":{"noteIndex":0},"schema":"https://github.com/citation-style-language/schema/raw/master/csl-citation.json"}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(Budiman, 2013)</w:t>
      </w:r>
      <w:r w:rsidRPr="00A46DF3">
        <w:rPr>
          <w:rStyle w:val="FootnoteReference"/>
          <w:rFonts w:ascii="Calibri Light" w:hAnsi="Calibri Light" w:cs="Calibri Light"/>
          <w:color w:val="0E101A"/>
          <w:sz w:val="24"/>
          <w:szCs w:val="24"/>
        </w:rPr>
        <w:fldChar w:fldCharType="end"/>
      </w:r>
      <w:r>
        <w:rPr>
          <w:rFonts w:ascii="Calibri Light" w:hAnsi="Calibri Light" w:cs="Calibri Light"/>
          <w:sz w:val="24"/>
          <w:szCs w:val="24"/>
        </w:rPr>
        <w:t>.</w:t>
      </w:r>
      <w:r w:rsidRPr="00A46DF3">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By 2018, the prevalence of kidney failure had surged to 0.38% or approximately 713,783 people</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{"citationItems":[{"id":"ITEM-1","itemData":{"abstract":"Badan Penelitian dan Pengembangan Kesehatan (Badan Litbangkes) merupakan salah satu unit eselon 1 di Kementerian Kesehatan yang mempunyai visi sebagai pengawal kebijakan dan legitimator program pembangunan kesehatan berbasis bukti. Visi tersebut memberikan gambaran bahwa melalui kegiatan penelitian, Badan Litbangkes mempunyai peran juga dalam menata arah kebijakan, program, dan kegiatan pembangunan kesehatan. Salah satu misi Badan Litbangkes adalah menghasilkan rekomendasi untuk pembangunan kesehatan dengan menyusun arah pembangunan kesehatan berdasarkan data yang berkualitas.","author":[{"dropping-particle":"","family":"Kementerian Kesehatan RI","given":"","non-dropping-particle":"","parse-names":false,"suffix":""}],"container-title":"Lembaga Penerbit Balitbangkes","id":"ITEM-1","issued":{"date-parts":[["2018"]]},"page":"hal 156","title":"Laporan Riskesdas 2018 Nasional.pdf","type":"article"},"uris":["http://www.mendeley.com/documents/?uuid=405395ad-b0d3-4bb1-ac38-833351f73766"]}],"mendeley":{"formattedCitation":"(Kementerian Kesehatan RI, 2018)","plainTextFormattedCitation":"(Kementerian Kesehatan RI, 2018)","previouslyFormattedCitation":"(Kementerian Kesehatan RI, 2018)"},"properties":{"noteIndex":0},"schema":"https://github.com/citation-style-language/schema/raw/master/csl-citation.json"}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(Kementerian Kesehatan RI, 2018)</w:t>
      </w:r>
      <w:r w:rsidRPr="00A46DF3">
        <w:rPr>
          <w:rStyle w:val="FootnoteReference"/>
          <w:rFonts w:ascii="Calibri Light" w:hAnsi="Calibri Light" w:cs="Calibri Light"/>
          <w:color w:val="0E101A"/>
          <w:sz w:val="24"/>
          <w:szCs w:val="24"/>
        </w:rPr>
        <w:fldChar w:fldCharType="end"/>
      </w:r>
      <w:r>
        <w:rPr>
          <w:rFonts w:ascii="Calibri Light" w:hAnsi="Calibri Light" w:cs="Calibri Light"/>
          <w:sz w:val="24"/>
          <w:szCs w:val="24"/>
        </w:rPr>
        <w:t>.</w:t>
      </w:r>
      <w:r w:rsidRPr="00A46DF3">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A survey by the Indonesian Society of Nephrology (</w:t>
      </w:r>
      <w:proofErr w:type="spellStart"/>
      <w:r w:rsidRPr="00A46DF3">
        <w:rPr>
          <w:rFonts w:ascii="Calibri Light" w:hAnsi="Calibri Light" w:cs="Calibri Light"/>
          <w:color w:val="0E101A"/>
          <w:sz w:val="24"/>
          <w:szCs w:val="24"/>
        </w:rPr>
        <w:t>Pernefri</w:t>
      </w:r>
      <w:proofErr w:type="spellEnd"/>
      <w:r w:rsidRPr="00A46DF3">
        <w:rPr>
          <w:rFonts w:ascii="Calibri Light" w:hAnsi="Calibri Light" w:cs="Calibri Light"/>
          <w:color w:val="0E101A"/>
          <w:sz w:val="24"/>
          <w:szCs w:val="24"/>
        </w:rPr>
        <w:t>) found that about 12.5% of the population, or roughly 25 million Indonesians, are experiencing declining kidney function. Kidney failure patients have also significantly increased, from 19,612 cases in 2014 to around 100,000 cases in 2019</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{"citationItems":[{"id":"ITEM-1","itemData":{"DOI":"10.33024/mnj.v6i5.11070","ISSN":"2655-2728","abstract":"ABSTRACT The prevalence of chronic kidney failure in Lampung province is 22,171 and ranking 19th in Indonesia. There are 50-80% of patients with hemodialysis experience sleep disturbances, such as difficulty getting to sleep, waking up early, always sleepy during the day, and movement of feet while sleeping.  There were differences in the quality of sleep of patients with chronic kidney failure with comorbid hypertension and diabetes mellitus who are undergoing hemodialysis at Pertamina Hospital Bintang Amin Bandar Lampung in 2023. This study used a descriptive correlation method with cross-sectional approach. The research was conducted on 57 respondents using techniques of total sampling. The sampling technique used a sleep quality questionnaire, namely the Pittsburgh Sleep Quality Index (PSQI) questionnaire.  The results showed that there were 36 respondents with comorbid hypertension and 21 respondents with comorbid diabetes mellitus. The sleep quality of 36 respondents with comorbid hypertension showed an average value of 7.86+1.807 (poor sleep quality); 36 31 (86.1%) experienced poor sleep quality. Whereas 21 respondents with comorbid diabetes mellitus showed an average value of 4.63 + 1.936 (good sleep quality) and of these 21 there were 17 (81.0) experienced good sleep quality. The results of the bivariate test using the Mann-Whitney Test found a significant difference (p-value 0.000) between the sleep quality of patients with chronic renal failure and comorbid hypertension and diabetes mellitus.  The sleep quality of respondents with chronic kidney failure who underwent hemodialysis at Pertamina Bintang Amin Hospital with comorbid hypertension was worse than comorbid diabetes mellitus. Keywords: Chronic Renal Failure, hemodialysis, Sleep Quality.  ABSTRAK Prevalensi Gagal Ginjal Kronik Provinsi Lampung terdapat 22.171 jiwa yang menderita gagal ginjal kronik dan menduduki urutan ke 19 di Indonesia. Terdapat 50- 80% pasien dengan Gagal Ginjal Kronik yang menjalani hemodialisa mengalami gangguan tidur yaitu seperti sulit ketika memulai tidur, bangun lebih awal, selalu mengantuk di siang hari serta adanya gerakan kaki ketika tidur.  Terdapat perbedaan kualitas tidur pasien gagal ginjal kronik dengan komorbid hipertensi dan diabetes mellitus yang menjalani hemodialisa di rumah sakit pertamina Bintang Amin Bandar Lampung Tahun 2023. Penelitian ini menggunakan metode deskrptif korelasi dengan pendekatan studi Cross-Sectional. Penelitian dilakukan terha…","author":[{"dropping-particle":"","family":"Erpiyana","given":"Refsi","non-dropping-particle":"","parse-names":false,"suffix":""},{"dropping-particle":"","family":"Djamaludin","given":"Djunizar","non-dropping-particle":"","parse-names":false,"suffix":""},{"dropping-particle":"","family":"Andoko","given":"Andoko","non-dropping-particle":"","parse-names":false,"suffix":""}],"container-title":"Malahayati Nursing Journal","id":"ITEM-1","issue":"5","issued":{"date-parts":[["2024"]]},"page":"2024-2035","title":"Perbandingan Kualitas Tidur Pasien Gagal Ginjal Kronik dengan Komorbid Hipertensi dan Diabetes Mellitus yang Menjalani Hemodialisa di Rumah Sakit Pertamina Bintang Amin Bandar Lampung","type":"article-journal","volume":"6"},"uris":["http://www.mendeley.com/documents/?uuid=bafb861e-20ae-4c8d-9e24-6f91b88cfb5d"]}],"mendeley":{"formattedCitation":"(Erpiyana et al., 2024)","plainTextFormattedCitation":"(Erpiyana et al., 2024)","previouslyFormattedCitation":"(Erpiyana et al., 2024)"},"properties":{"noteIndex":0},"schema":"https://github.com/citation-style-language/schema/raw/master/csl-citation.json"}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(Erpiyana et al., 2024)</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This data underscores the pressing need for organ transplantation as a life-saving medical intervention.</w:t>
      </w:r>
    </w:p>
    <w:p w14:paraId="7C31DC5C" w14:textId="34D4AF3B" w:rsidR="00A46DF3" w:rsidRP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Amid the escalating demand for organ transplantation, the role of living donors—both related and unrelated—has become increasingly crucial in supporting the national transplantation system</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{"citationItems":[{"id":"ITEM-1","itemData":{"DOI":"10.1038/s41581-021-00425-3","ISBN":"0123456789","ISSN":"1759507X","PMID":"33953367","abstract":"Although overall donation and transplantation activity is higher in Europe than on other continents, differences between European countries in almost every aspect of transplantation activity (for example, in the number of transplantations, the number of people with a functioning graft, in rates of living versus deceased donation, and in the use of expanded criteria donors) suggest that there is ample room for improvement. Herein we review the policy and clinical measures that should be considered to increase access to transplantation and improve post-transplantation outcomes. This Roadmap, generated by a group of major European stakeholders collaborating within a Thematic Network, presents an outline of the challenges to increasing transplantation rates and proposes 12 key areas along with specific measures that should be considered to promote transplantation. This framework can be adopted by countries and institutions that are interested in advancing transplantation, both within and outside the European Union. Within this framework, a priority ranking of initiatives is suggested that could serve as the basis for a new European Union Action Plan on Organ Donation and Transplantation.","author":[{"dropping-particle":"","family":"Vanholder","given":"Raymond","non-dropping-particle":"","parse-names":false,"suffix":""},{"dropping-particle":"","family":"Domínguez-Gil","given":"Beatriz","non-dropping-particle":"","parse-names":false,"suffix":""},{"dropping-particle":"","family":"Busic","given":"Mirela","non-dropping-particle":"","parse-names":false,"suffix":""},{"dropping-particle":"","family":"Cortez-Pinto","given":"Helena","non-dropping-particle":"","parse-names":false,"suffix":""},{"dropping-particle":"","family":"Craig","given":"Jonathan C.","non-dropping-particle":"","parse-names":false,"suffix":""},{"dropping-particle":"","family":"Jager","given":"Kitty J.","non-dropping-particle":"","parse-names":false,"suffix":""},{"dropping-particle":"","family":"Mahillo","given":"Beatriz","non-dropping-particle":"","parse-names":false,"suffix":""},{"dropping-particle":"","family":"Stel","given":"Vianda S.","non-dropping-particle":"","parse-names":false,"suffix":""},{"dropping-particle":"","family":"Valentin","given":"Maria O.","non-dropping-particle":"","parse-names":false,"suffix":""},{"dropping-particle":"","family":"Zoccali","given":"Carmine","non-dropping-particle":"","parse-names":false,"suffix":""},{"dropping-particle":"","family":"Oniscu","given":"Gabriel C.","non-dropping-particle":"","parse-names":false,"suffix":""}],"container-title":"Nature Reviews Nephrology","id":"ITEM-1","issue":"8","issued":{"date-parts":[["2021"]]},"page":"554-568","publisher":"Springer US","title":"Organ donation and transplantation: a multi-stakeholder call to action","type":"article-journal","volume":"17"},"uris":["http://www.mendeley.com/documents/?uuid=94bddf83-d872-45de-87cd-a315d18c3fe4"]}],"mendeley":{"formattedCitation":"(Vanholder et al., 2021)","plainTextFormattedCitation":"(Vanholder et al., 2021)","previouslyFormattedCitation":"(Vanholder et al., 2021)"},"properties":{"noteIndex":0},"schema":"https://github.com/citation-style-language/schema/raw/master/csl-citation.json"}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(Vanholder et al., 2021)</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 xml:space="preserve">However, behind this medical urgency lie numerous unresolved legal issues, particularly protecting donors' rights. Many donors have </w:t>
      </w:r>
      <w:r w:rsidRPr="00A46DF3">
        <w:rPr>
          <w:rFonts w:ascii="Calibri Light" w:hAnsi="Calibri Light" w:cs="Calibri Light"/>
          <w:color w:val="0E101A"/>
          <w:sz w:val="24"/>
          <w:szCs w:val="24"/>
        </w:rPr>
        <w:lastRenderedPageBreak/>
        <w:t>not received adequate legal safeguards, including post-donation health care, social security, and the right to complete and accurate information</w:t>
      </w:r>
      <w:r>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{"citationItems":[{"id":"ITEM-1","itemData":{"DOI":"10.4103/0970-1591.56203","ISSN":"09701591","abstract":"The legislation called the Transplantation of Human Organ Act (THO) was passed in India in 1994 to streamline organ donation and transplantation activities. Broadly, the act accepted brain death as a form of death and made the sale of organs a punishable offence. With the acceptance of brain death, it became possible to not only undertake kidney transplantations but also start other solid organ transplants like liver, heart, lungs, and pancreas. Despite the THO legislation, organ commerce and kidney scandals are regularly reported in the Indian media. In most instances, the implementation of the law has been flawed and more often than once its provisions have been abused. Parallel to the living related and unrelated donation program, the deceased donation program has slowly evolved in a few states. In approximately one-third of all liver transplants, the organs have come from the deceased donor program as have all the hearts and pancreas transplants. In these states, a few hospitals along with committed NGOs have kept the momentum of the deceased donor program. The MOHAN Foundation (NGO based in Tamil Nadu and Andhra Pradesh) has facilitated 400 of the 1,300 deceased organ transplants performed in the country over the last 14 years. To overcome organ shortage, developed countries are re-looking at the ethics of unrelated programs and there seems to be a move towards making this an acceptable legal alternative. The supply of deceased donors in these countries has peaked and there has been no further increase over the last few years. India is currently having a deceased donation rate of 0.05 to 0.08 per million population. We need to find a solution on how we can utilize the potentially large pool of trauma-related brain deaths for organ donation. This year in the state of Tamil Nadu, the Government has passed seven special orders. These orders are expected to streamline the activity of deceased donors and help increase their numbers. Recently, on July 30, 2008, the Government brought in a few new amendments as a Gazette with the purpose of putting a stop to organ commerce. The ethics of commerce in organ donation and transplant tourism has been widely criticized by international bodies. The legal and ethical principles that we follow universally with organ donation and transplantation are also important for the future as these may be used to resolve our conflicts related to emerging sciences such as cloning, tissue engineering, and stem cells.","author":[{"dropping-particle":"","family":"Shroff","given":"Sunil","non-dropping-particle":"","parse-names":false,"suffix":""}],"container-title":"Indian Journal of Urology","id":"ITEM-1","issue":"3","issued":{"date-parts":[["2009"]]},"page":"348-355","title":"Legal and ethical aspects of organ donation and transplantation","type":"article-journal","volume":"25"},"uris":["http://www.mendeley.com/documents/?uuid=eb670f1f-41e2-42f8-bef0-df66b732eaad"]}],"mendeley":{"formattedCitation":"(Shroff, 2009)","plainTextFormattedCitation":"(Shroff, 2009)","previouslyFormattedCitation":"(Shroff, 2009)"},"properties":{"noteIndex":0},"schema":"https://github.com/citation-style-language/schema/raw/master/csl-citation.json"}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(Shroff, 2009)</w:t>
      </w:r>
      <w:r w:rsidRPr="00A46DF3">
        <w:rPr>
          <w:rStyle w:val="FootnoteReference"/>
          <w:rFonts w:ascii="Calibri Light" w:hAnsi="Calibri Light" w:cs="Calibri Light"/>
          <w:color w:val="0E101A"/>
          <w:sz w:val="24"/>
          <w:szCs w:val="24"/>
        </w:rPr>
        <w:fldChar w:fldCharType="end"/>
      </w:r>
      <w:r>
        <w:rPr>
          <w:rFonts w:ascii="Calibri Light" w:hAnsi="Calibri Light" w:cs="Calibri Light"/>
          <w:color w:val="0E101A"/>
          <w:sz w:val="24"/>
          <w:szCs w:val="24"/>
        </w:rPr>
        <w:t>.</w:t>
      </w:r>
      <w:r w:rsidRPr="00A46DF3">
        <w:rPr>
          <w:rFonts w:ascii="Calibri Light" w:hAnsi="Calibri Light" w:cs="Calibri Light"/>
          <w:color w:val="0E101A"/>
          <w:sz w:val="24"/>
          <w:szCs w:val="24"/>
        </w:rPr>
        <w:t xml:space="preserve"> This situation raises concerns about potential exploitation and violations of human dignity and human rights. Therefore, an urgent need is to formulate a comprehensive legal protection framework for living donors as an integral part of Indonesia's transplantation system.</w:t>
      </w:r>
    </w:p>
    <w:p w14:paraId="1FDFB16E" w14:textId="77777777" w:rsidR="00A46DF3" w:rsidRP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Such protection is necessary because living donors face physical, psychological, and social risks and long-term consequences. Following the donation procedure, donors are often not provided with long-term health guarantees, psychological support, or sufficient legal protection in the event of complications or future health issues. This disparity in treatment between recipients and donors is a manifest injustice, raising serious concerns over distributive justice and fairness. From a legal perspective, a system that fails to protect donors equitably violates fundamental human rights, particularly the right to health, safety, and equal protection under the law.</w:t>
      </w:r>
    </w:p>
    <w:p w14:paraId="63A6941D" w14:textId="77777777" w:rsidR="00A46DF3" w:rsidRP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Indonesia's legal framework for organ transplantation is governed by several regulations, such as Law No. 17 of 2023 on Health, Government Regulation No. 28 of 2024 as its implementing regulation, and Minister of Health Regulation No. 38 of 2016 on implementing Organ Transplantation. However, these regulations primarily emphasize procedural compliance and the prevention of organ trafficking, while the long-term protection of donors remains neither explicitly addressed nor comprehensively regulated. This lack of comprehensive regulation, often referred to as a 'legal vacuum,' presents a significant risk for donors, particularly in the event of post-transplant complications or socio-economic hardship.</w:t>
      </w:r>
    </w:p>
    <w:p w14:paraId="3F694683" w14:textId="4103D92E" w:rsidR="00D5226B"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Justice is a central ethical concern in organ transplantation, requiring a balanced approach between safeguarding recipients' rights and honoring donors' sacrifice</w:t>
      </w:r>
      <w:r w:rsidR="00030424">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A749D0">
        <w:rPr>
          <w:rFonts w:ascii="Calibri Light" w:hAnsi="Calibri Light" w:cs="Calibri Light"/>
          <w:color w:val="0E101A"/>
          <w:sz w:val="24"/>
          <w:szCs w:val="24"/>
        </w:rPr>
        <w:instrText>ADDIN CSL_CITATION {"citationItems":[{"id":"ITEM-1","itemData":{"ISBN":"9780309270724","author":[{"dropping-particle":"","family":"Kizer","given":"Kenneth W","non-dropping-particle":"","parse-names":false,"suffix":""},{"dropping-particle":"","family":"English","given":"Rebecca A","non-dropping-particle":"","parse-names":false,"suffix":""},{"dropping-particle":"","family":"Hackmann","given":"Meredith","non-dropping-particle":"","parse-names":false,"suffix":""}],"id":"ITEM-1","issued":{"date-parts":[["2022"]]},"title":"Board on Health Sciences Policy Board on Health Care Services Health and Medicine Division A Consensus Study Report of","type":"book"},"uris":["http://www.mendeley.com/documents/?uuid=77e5f0ce-1b8c-4fd8-bae2-1ef2eb0be428"]}],"mendeley":{"formattedCitation":"(Kizer et al., 2022)","plainTextFormattedCitation":"(Kizer et al., 2022)","previouslyFormattedCitation":"(Kizer et al., 2022)"},"properties":{"noteIndex":0},"schema":"https://github.com/citation-style-language/schema/raw/master/csl-citation.json"}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00030424" w:rsidRPr="00030424">
        <w:rPr>
          <w:rFonts w:ascii="Calibri Light" w:hAnsi="Calibri Light" w:cs="Calibri Light"/>
          <w:noProof/>
          <w:color w:val="0E101A"/>
          <w:sz w:val="24"/>
          <w:szCs w:val="24"/>
        </w:rPr>
        <w:t>(Kizer et al., 2022)</w:t>
      </w:r>
      <w:r w:rsidRPr="00A46DF3">
        <w:rPr>
          <w:rStyle w:val="FootnoteReference"/>
          <w:rFonts w:ascii="Calibri Light" w:hAnsi="Calibri Light" w:cs="Calibri Light"/>
          <w:color w:val="0E101A"/>
          <w:sz w:val="24"/>
          <w:szCs w:val="24"/>
        </w:rPr>
        <w:fldChar w:fldCharType="end"/>
      </w:r>
      <w:r w:rsidR="00030424">
        <w:rPr>
          <w:rFonts w:ascii="Calibri Light" w:hAnsi="Calibri Light" w:cs="Calibri Light"/>
          <w:color w:val="0E101A"/>
          <w:sz w:val="24"/>
          <w:szCs w:val="24"/>
        </w:rPr>
        <w:t>.</w:t>
      </w:r>
      <w:r w:rsidRPr="00A46DF3">
        <w:rPr>
          <w:rFonts w:ascii="Calibri Light" w:hAnsi="Calibri Light" w:cs="Calibri Light"/>
          <w:color w:val="0E101A"/>
          <w:sz w:val="24"/>
          <w:szCs w:val="24"/>
        </w:rPr>
        <w:t xml:space="preserve"> Many countries have adopted reciprocal justice mechanisms, which promote fairness and encourage participation by prioritizing allocation for registered donors. If implemented in Indonesia, these mechanisms could protect donors and boost donation rates, thereby enhancing the fairness and efficiency of the transplantation system.</w:t>
      </w:r>
    </w:p>
    <w:p w14:paraId="1BA7AAC0" w14:textId="77777777" w:rsidR="00030424"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Legal reform in this domain must also consider Indonesia's cultural and religious context. As a country with the world's largest Muslim population, Islamic values must be integrated into the legal discourse on organ transplantation. Islam views the act of saving a life as a noble deed (</w:t>
      </w:r>
      <w:proofErr w:type="spellStart"/>
      <w:r w:rsidRPr="00A46DF3">
        <w:rPr>
          <w:rFonts w:ascii="Calibri Light" w:hAnsi="Calibri Light" w:cs="Calibri Light"/>
          <w:i/>
          <w:iCs/>
          <w:color w:val="0E101A"/>
          <w:sz w:val="24"/>
          <w:szCs w:val="24"/>
        </w:rPr>
        <w:t>ḥifẓ</w:t>
      </w:r>
      <w:proofErr w:type="spellEnd"/>
      <w:r w:rsidRPr="00A46DF3">
        <w:rPr>
          <w:rFonts w:ascii="Calibri Light" w:hAnsi="Calibri Light" w:cs="Calibri Light"/>
          <w:i/>
          <w:iCs/>
          <w:color w:val="0E101A"/>
          <w:sz w:val="24"/>
          <w:szCs w:val="24"/>
        </w:rPr>
        <w:t xml:space="preserve"> al-</w:t>
      </w:r>
      <w:proofErr w:type="spellStart"/>
      <w:r w:rsidRPr="00A46DF3">
        <w:rPr>
          <w:rFonts w:ascii="Calibri Light" w:hAnsi="Calibri Light" w:cs="Calibri Light"/>
          <w:i/>
          <w:iCs/>
          <w:color w:val="0E101A"/>
          <w:sz w:val="24"/>
          <w:szCs w:val="24"/>
        </w:rPr>
        <w:t>nafs</w:t>
      </w:r>
      <w:proofErr w:type="spellEnd"/>
      <w:r w:rsidRPr="00A46DF3">
        <w:rPr>
          <w:rFonts w:ascii="Calibri Light" w:hAnsi="Calibri Light" w:cs="Calibri Light"/>
          <w:color w:val="0E101A"/>
          <w:sz w:val="24"/>
          <w:szCs w:val="24"/>
        </w:rPr>
        <w:t>), one of the core objectives (</w:t>
      </w:r>
      <w:proofErr w:type="spellStart"/>
      <w:r w:rsidRPr="00A46DF3">
        <w:rPr>
          <w:rFonts w:ascii="Calibri Light" w:hAnsi="Calibri Light" w:cs="Calibri Light"/>
          <w:i/>
          <w:iCs/>
          <w:color w:val="0E101A"/>
          <w:sz w:val="24"/>
          <w:szCs w:val="24"/>
        </w:rPr>
        <w:t>maqāṣid</w:t>
      </w:r>
      <w:proofErr w:type="spellEnd"/>
      <w:r w:rsidRPr="00A46DF3">
        <w:rPr>
          <w:rFonts w:ascii="Calibri Light" w:hAnsi="Calibri Light" w:cs="Calibri Light"/>
          <w:color w:val="0E101A"/>
          <w:sz w:val="24"/>
          <w:szCs w:val="24"/>
        </w:rPr>
        <w:t>) of Islamic law. Nevertheless, Islam also mandates the protection of human dignity (</w:t>
      </w:r>
      <w:proofErr w:type="spellStart"/>
      <w:r w:rsidRPr="00A46DF3">
        <w:rPr>
          <w:rFonts w:ascii="Calibri Light" w:hAnsi="Calibri Light" w:cs="Calibri Light"/>
          <w:i/>
          <w:iCs/>
          <w:color w:val="0E101A"/>
          <w:sz w:val="24"/>
          <w:szCs w:val="24"/>
        </w:rPr>
        <w:t>karāmah</w:t>
      </w:r>
      <w:proofErr w:type="spellEnd"/>
      <w:r w:rsidRPr="00A46DF3">
        <w:rPr>
          <w:rFonts w:ascii="Calibri Light" w:hAnsi="Calibri Light" w:cs="Calibri Light"/>
          <w:i/>
          <w:iCs/>
          <w:color w:val="0E101A"/>
          <w:sz w:val="24"/>
          <w:szCs w:val="24"/>
        </w:rPr>
        <w:t xml:space="preserve"> </w:t>
      </w:r>
      <w:proofErr w:type="spellStart"/>
      <w:r w:rsidRPr="00A46DF3">
        <w:rPr>
          <w:rFonts w:ascii="Calibri Light" w:hAnsi="Calibri Light" w:cs="Calibri Light"/>
          <w:i/>
          <w:iCs/>
          <w:color w:val="0E101A"/>
          <w:sz w:val="24"/>
          <w:szCs w:val="24"/>
        </w:rPr>
        <w:t>insāniyyah</w:t>
      </w:r>
      <w:proofErr w:type="spellEnd"/>
      <w:r w:rsidRPr="00A46DF3">
        <w:rPr>
          <w:rFonts w:ascii="Calibri Light" w:hAnsi="Calibri Light" w:cs="Calibri Light"/>
          <w:color w:val="0E101A"/>
          <w:sz w:val="24"/>
          <w:szCs w:val="24"/>
        </w:rPr>
        <w:t>), bodily integrity, and the prevention of harm (</w:t>
      </w:r>
      <w:proofErr w:type="spellStart"/>
      <w:r w:rsidRPr="00A46DF3">
        <w:rPr>
          <w:rFonts w:ascii="Calibri Light" w:hAnsi="Calibri Light" w:cs="Calibri Light"/>
          <w:i/>
          <w:iCs/>
          <w:color w:val="0E101A"/>
          <w:sz w:val="24"/>
          <w:szCs w:val="24"/>
        </w:rPr>
        <w:t>lā</w:t>
      </w:r>
      <w:proofErr w:type="spellEnd"/>
      <w:r w:rsidRPr="00A46DF3">
        <w:rPr>
          <w:rFonts w:ascii="Calibri Light" w:hAnsi="Calibri Light" w:cs="Calibri Light"/>
          <w:i/>
          <w:iCs/>
          <w:color w:val="0E101A"/>
          <w:sz w:val="24"/>
          <w:szCs w:val="24"/>
        </w:rPr>
        <w:t xml:space="preserve"> </w:t>
      </w:r>
      <w:proofErr w:type="spellStart"/>
      <w:r w:rsidRPr="00A46DF3">
        <w:rPr>
          <w:rFonts w:ascii="Calibri Light" w:hAnsi="Calibri Light" w:cs="Calibri Light"/>
          <w:i/>
          <w:iCs/>
          <w:color w:val="0E101A"/>
          <w:sz w:val="24"/>
          <w:szCs w:val="24"/>
        </w:rPr>
        <w:t>ḍarar</w:t>
      </w:r>
      <w:proofErr w:type="spellEnd"/>
      <w:r w:rsidRPr="00A46DF3">
        <w:rPr>
          <w:rFonts w:ascii="Calibri Light" w:hAnsi="Calibri Light" w:cs="Calibri Light"/>
          <w:i/>
          <w:iCs/>
          <w:color w:val="0E101A"/>
          <w:sz w:val="24"/>
          <w:szCs w:val="24"/>
        </w:rPr>
        <w:t xml:space="preserve"> </w:t>
      </w:r>
      <w:proofErr w:type="spellStart"/>
      <w:r w:rsidRPr="00A46DF3">
        <w:rPr>
          <w:rFonts w:ascii="Calibri Light" w:hAnsi="Calibri Light" w:cs="Calibri Light"/>
          <w:i/>
          <w:iCs/>
          <w:color w:val="0E101A"/>
          <w:sz w:val="24"/>
          <w:szCs w:val="24"/>
        </w:rPr>
        <w:t>wa</w:t>
      </w:r>
      <w:proofErr w:type="spellEnd"/>
      <w:r w:rsidRPr="00A46DF3">
        <w:rPr>
          <w:rFonts w:ascii="Calibri Light" w:hAnsi="Calibri Light" w:cs="Calibri Light"/>
          <w:i/>
          <w:iCs/>
          <w:color w:val="0E101A"/>
          <w:sz w:val="24"/>
          <w:szCs w:val="24"/>
        </w:rPr>
        <w:t xml:space="preserve"> </w:t>
      </w:r>
      <w:proofErr w:type="spellStart"/>
      <w:r w:rsidRPr="00A46DF3">
        <w:rPr>
          <w:rFonts w:ascii="Calibri Light" w:hAnsi="Calibri Light" w:cs="Calibri Light"/>
          <w:i/>
          <w:iCs/>
          <w:color w:val="0E101A"/>
          <w:sz w:val="24"/>
          <w:szCs w:val="24"/>
        </w:rPr>
        <w:t>lā</w:t>
      </w:r>
      <w:proofErr w:type="spellEnd"/>
      <w:r w:rsidRPr="00A46DF3">
        <w:rPr>
          <w:rFonts w:ascii="Calibri Light" w:hAnsi="Calibri Light" w:cs="Calibri Light"/>
          <w:i/>
          <w:iCs/>
          <w:color w:val="0E101A"/>
          <w:sz w:val="24"/>
          <w:szCs w:val="24"/>
        </w:rPr>
        <w:t xml:space="preserve"> </w:t>
      </w:r>
      <w:proofErr w:type="spellStart"/>
      <w:r w:rsidRPr="00A46DF3">
        <w:rPr>
          <w:rFonts w:ascii="Calibri Light" w:hAnsi="Calibri Light" w:cs="Calibri Light"/>
          <w:i/>
          <w:iCs/>
          <w:color w:val="0E101A"/>
          <w:sz w:val="24"/>
          <w:szCs w:val="24"/>
        </w:rPr>
        <w:t>ḍirār</w:t>
      </w:r>
      <w:proofErr w:type="spellEnd"/>
      <w:r w:rsidRPr="00A46DF3">
        <w:rPr>
          <w:rFonts w:ascii="Calibri Light" w:hAnsi="Calibri Light" w:cs="Calibri Light"/>
          <w:color w:val="0E101A"/>
          <w:sz w:val="24"/>
          <w:szCs w:val="24"/>
        </w:rPr>
        <w:t>)</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{"citationItems":[{"id":"ITEM-1","itemData":{"DOI":"10.1163/15733831-12341987","ISBN":"1573383112","ISSN":"15733831","abstract":"The issue of dignity is pivotal not only in matters concerning mortality but also in various critical domains from the moment of human birth. It necessitates an interdisciplinary and holistic examination, considering its religious, philosophical, moral, and legal dimensions. This paper aims to contribute to the discourse by evaluating the concept of human dignity from an Islamic legal perspective. Modern views are not extensively covered, as the objective is to present classical approaches that have influenced current debates, rather than addressing contemporary discussions directly. We aim to explore how the concept of human dignity is reflected, particularly in human actions, which can only be adequately conveyed through Islamic legal texts. Furthermore, the paper examines the practical manifestations of this theory through specific examples.","author":[{"dropping-particle":"","family":"Erkoç Baydar","given":"Tuba","non-dropping-particle":"","parse-names":false,"suffix":""}],"container-title":"Mission Studies","id":"ITEM-1","issue":"3","issued":{"date-parts":[["2024"]]},"page":"348-360","title":"Human Dignity from an Islamic Perspective: Concepts and Theoretical Base","type":"article-journal","volume":"41"},"uris":["http://www.mendeley.com/documents/?uuid=85848a11-fac5-462e-a715-9fc26ee0a0bd"]}],"mendeley":{"formattedCitation":"(Erkoç Baydar, 2024)","plainTextFormattedCitation":"(Erkoç Baydar, 2024)","previouslyFormattedCitation":"(Erkoç Baydar, 2024)"},"properties":{"noteIndex":0},"schema":"https://github.com/citation-style-language/schema/raw/master/csl-citation.json"}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w:t>
      </w:r>
      <w:proofErr w:type="spellStart"/>
      <w:r w:rsidRPr="00A46DF3">
        <w:rPr>
          <w:rFonts w:ascii="Calibri Light" w:hAnsi="Calibri Light" w:cs="Calibri Light"/>
          <w:noProof/>
          <w:color w:val="0E101A"/>
          <w:sz w:val="24"/>
          <w:szCs w:val="24"/>
        </w:rPr>
        <w:t>Erkoç</w:t>
      </w:r>
      <w:proofErr w:type="spellEnd"/>
      <w:r w:rsidRPr="00A46DF3">
        <w:rPr>
          <w:rFonts w:ascii="Calibri Light" w:hAnsi="Calibri Light" w:cs="Calibri Light"/>
          <w:noProof/>
          <w:color w:val="0E101A"/>
          <w:sz w:val="24"/>
          <w:szCs w:val="24"/>
        </w:rPr>
        <w:t xml:space="preserve"> Baydar, 2024</w:t>
      </w:r>
      <w:r w:rsidR="00D5226B">
        <w:rPr>
          <w:rFonts w:ascii="Calibri Light" w:hAnsi="Calibri Light" w:cs="Calibri Light"/>
          <w:noProof/>
          <w:color w:val="0E101A"/>
          <w:sz w:val="24"/>
          <w:szCs w:val="24"/>
        </w:rPr>
        <w:t>)</w:t>
      </w:r>
      <w:r w:rsidRPr="00A46DF3">
        <w:rPr>
          <w:rStyle w:val="FootnoteReference"/>
          <w:rFonts w:ascii="Calibri Light" w:hAnsi="Calibri Light" w:cs="Calibri Light"/>
          <w:color w:val="0E101A"/>
          <w:sz w:val="24"/>
          <w:szCs w:val="24"/>
        </w:rPr>
        <w:fldChar w:fldCharType="end"/>
      </w:r>
      <w:r w:rsidRPr="00A46DF3">
        <w:rPr>
          <w:rFonts w:ascii="Calibri Light" w:hAnsi="Calibri Light" w:cs="Calibri Light"/>
          <w:color w:val="0E101A"/>
          <w:sz w:val="24"/>
          <w:szCs w:val="24"/>
        </w:rPr>
        <w:t>—principles that should be reflected in national legislation. Organ donation is permissible under Islamic law when it meets criteria such as voluntariness, non-commercialization, and informed consent</w:t>
      </w:r>
      <w:r w:rsidR="00030424">
        <w:rPr>
          <w:rFonts w:ascii="Calibri Light" w:hAnsi="Calibri Light" w:cs="Calibri Light"/>
          <w:color w:val="0E101A"/>
          <w:sz w:val="24"/>
          <w:szCs w:val="24"/>
        </w:rPr>
        <w:t xml:space="preserve"> </w:t>
      </w:r>
      <w:r w:rsidRPr="00A46DF3">
        <w:rPr>
          <w:rStyle w:val="FootnoteReference"/>
          <w:rFonts w:ascii="Calibri Light" w:hAnsi="Calibri Light" w:cs="Calibri Light"/>
          <w:color w:val="0E101A"/>
          <w:sz w:val="24"/>
          <w:szCs w:val="24"/>
        </w:rPr>
        <w:fldChar w:fldCharType="begin" w:fldLock="1"/>
      </w:r>
      <w:r w:rsidR="00030424">
        <w:rPr>
          <w:rFonts w:ascii="Calibri Light" w:hAnsi="Calibri Light" w:cs="Calibri Light"/>
          <w:color w:val="0E101A"/>
          <w:sz w:val="24"/>
          <w:szCs w:val="24"/>
        </w:rPr>
        <w:instrText>ADDIN CSL_CITATION {"citationItems":[{"id":"ITEM-1","itemData":{"author":[{"dropping-particle":"","family":"Mahmoud","given":"Azza","non-dropping-particle":"","parse-names":false,"suffix":""}],"id":"ITEM-1","issued":{"date-parts":[["2022"]]},"title":"Chapman University Digital Commons Islamic Bioethics : National Regulations and Guidelines of Human Stem Cell Research in the Muslim World Islamic Bioethics : National Regulations and Guidelines of Human Stem Cell Research in the Muslim World","type":"thesis"},"uris":["http://www.mendeley.com/documents/?uuid=1d6179f9-0a3a-41e6-9cb9-cc9344ba23e8"]}],"mendeley":{"formattedCitation":"(Mahmoud, 2022)","plainTextFormattedCitation":"(Mahmoud, 2022)","previouslyFormattedCitation":"(Mahmoud, 2022)"},"properties":{"noteIndex":0},"schema":"https://github.com/citation-style-language/schema/raw/master/csl-citation.json"}</w:instrText>
      </w:r>
      <w:r w:rsidRPr="00A46DF3">
        <w:rPr>
          <w:rStyle w:val="FootnoteReference"/>
          <w:rFonts w:ascii="Calibri Light" w:hAnsi="Calibri Light" w:cs="Calibri Light"/>
          <w:color w:val="0E101A"/>
          <w:sz w:val="24"/>
          <w:szCs w:val="24"/>
        </w:rPr>
        <w:fldChar w:fldCharType="separate"/>
      </w:r>
      <w:r w:rsidRPr="00A46DF3">
        <w:rPr>
          <w:rFonts w:ascii="Calibri Light" w:hAnsi="Calibri Light" w:cs="Calibri Light"/>
          <w:noProof/>
          <w:color w:val="0E101A"/>
          <w:sz w:val="24"/>
          <w:szCs w:val="24"/>
        </w:rPr>
        <w:t>(Mahmoud, 2022)</w:t>
      </w:r>
      <w:r w:rsidRPr="00A46DF3">
        <w:rPr>
          <w:rStyle w:val="FootnoteReference"/>
          <w:rFonts w:ascii="Calibri Light" w:hAnsi="Calibri Light" w:cs="Calibri Light"/>
          <w:color w:val="0E101A"/>
          <w:sz w:val="24"/>
          <w:szCs w:val="24"/>
        </w:rPr>
        <w:fldChar w:fldCharType="end"/>
      </w:r>
      <w:r w:rsidR="00030424">
        <w:rPr>
          <w:rFonts w:ascii="Calibri Light" w:hAnsi="Calibri Light" w:cs="Calibri Light"/>
          <w:color w:val="0E101A"/>
          <w:sz w:val="24"/>
          <w:szCs w:val="24"/>
        </w:rPr>
        <w:t xml:space="preserve">. </w:t>
      </w:r>
      <w:r w:rsidRPr="00A46DF3">
        <w:rPr>
          <w:rFonts w:ascii="Calibri Light" w:hAnsi="Calibri Light" w:cs="Calibri Light"/>
          <w:color w:val="0E101A"/>
          <w:sz w:val="24"/>
          <w:szCs w:val="24"/>
        </w:rPr>
        <w:t>Hence, ensuring ethical and fair legal protection for donors, including post-donation health care, social security, and the right to complete and accurate information, is a legal necessity and a religious obligation.</w:t>
      </w:r>
    </w:p>
    <w:p w14:paraId="068CE0E1" w14:textId="2A5861AB" w:rsidR="008C45DE" w:rsidRPr="00A46DF3" w:rsidRDefault="00A46DF3" w:rsidP="00C66671">
      <w:pPr>
        <w:spacing w:before="120" w:after="120"/>
        <w:ind w:left="425"/>
        <w:jc w:val="both"/>
        <w:rPr>
          <w:rFonts w:ascii="Calibri Light" w:hAnsi="Calibri Light" w:cs="Calibri Light"/>
          <w:color w:val="0E101A"/>
          <w:sz w:val="24"/>
          <w:szCs w:val="24"/>
        </w:rPr>
      </w:pPr>
      <w:r w:rsidRPr="00A46DF3">
        <w:rPr>
          <w:rFonts w:ascii="Calibri Light" w:hAnsi="Calibri Light" w:cs="Calibri Light"/>
          <w:color w:val="0E101A"/>
          <w:sz w:val="24"/>
          <w:szCs w:val="24"/>
        </w:rPr>
        <w:t xml:space="preserve">This study aims to critically examine the current legal framework governing organ donor protection in Indonesia, identify regulatory gaps, and offer reform strategies based on legal justice, human rights, and Islamic ethics principles. By doing so, the study seeks to develop a holistic legal framework that ensures fair, ethical, and spiritually grounded protection for </w:t>
      </w:r>
      <w:r w:rsidRPr="00A46DF3">
        <w:rPr>
          <w:rFonts w:ascii="Calibri Light" w:hAnsi="Calibri Light" w:cs="Calibri Light"/>
          <w:color w:val="0E101A"/>
          <w:sz w:val="24"/>
          <w:szCs w:val="24"/>
        </w:rPr>
        <w:lastRenderedPageBreak/>
        <w:t>organ donors—covering medical, social, economic, and religious aspects. In integrating Islamic jurisprudence with contemporary legal principles, Indonesia can build a sustainable transplantation system that is efficient, equitable, and aligned with the values of justice, compassion, and faith.</w:t>
      </w:r>
      <w:r w:rsidR="00030424">
        <w:rPr>
          <w:rFonts w:ascii="Calibri Light" w:hAnsi="Calibri Light" w:cs="Calibri Light"/>
          <w:color w:val="0E101A"/>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007A65BF"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229C6801"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23D47FFE" w14:textId="7791DAB6" w:rsidR="00030424" w:rsidRPr="00030424" w:rsidRDefault="00030424" w:rsidP="00030424">
      <w:pPr>
        <w:spacing w:before="120" w:after="120"/>
        <w:ind w:left="426"/>
        <w:jc w:val="both"/>
        <w:rPr>
          <w:rFonts w:ascii="Calibri Light" w:hAnsi="Calibri Light" w:cs="Calibri Light"/>
          <w:sz w:val="24"/>
          <w:szCs w:val="24"/>
        </w:rPr>
      </w:pPr>
      <w:r w:rsidRPr="00030424">
        <w:rPr>
          <w:rFonts w:ascii="Calibri Light" w:hAnsi="Calibri Light" w:cs="Calibri Light"/>
          <w:sz w:val="24"/>
          <w:szCs w:val="24"/>
        </w:rPr>
        <w:t>This research is distinguished by its use of a normative juridical method, a systematic approach that analyzes legal norms and principles to ensure fair and ethical legal protection. The method examines statutory laws, government regulations</w:t>
      </w:r>
      <w:r>
        <w:rPr>
          <w:rFonts w:ascii="Calibri Light" w:hAnsi="Calibri Light" w:cs="Calibri Light"/>
          <w:sz w:val="24"/>
          <w:szCs w:val="24"/>
        </w:rPr>
        <w:t>,</w:t>
      </w:r>
      <w:r w:rsidRPr="00030424">
        <w:rPr>
          <w:rFonts w:ascii="Calibri Light" w:hAnsi="Calibri Light" w:cs="Calibri Light"/>
          <w:sz w:val="24"/>
          <w:szCs w:val="24"/>
        </w:rPr>
        <w:t xml:space="preserve"> international instruments, and ethical frameworks related to organ </w:t>
      </w:r>
      <w:r w:rsidR="000436A4">
        <w:rPr>
          <w:rFonts w:ascii="Calibri Light" w:hAnsi="Calibri Light" w:cs="Calibri Light"/>
          <w:sz w:val="24"/>
          <w:szCs w:val="24"/>
        </w:rPr>
        <w:t>donor</w:t>
      </w:r>
      <w:r w:rsidRPr="00030424">
        <w:rPr>
          <w:rFonts w:ascii="Calibri Light" w:hAnsi="Calibri Light" w:cs="Calibri Light"/>
          <w:sz w:val="24"/>
          <w:szCs w:val="24"/>
        </w:rPr>
        <w:t>. It focuses on Law No. 17 of 2023 on Health and its implementing regulations, as well as comparative transplantation frameworks in countries like Iran, Chile, and Singapore. These countries were selected for their innovative, structured approaches that combine legal clarity, ethical safeguards, and—especially in Iran's case—religious alignment, offering valuable insights for potential adaptation in Indonesia. The research also incorporates a conceptual approach to understanding the underlying theories of legal justice, distributive equity, and medical ethics that influence regulatory policies.</w:t>
      </w:r>
    </w:p>
    <w:p w14:paraId="654EA37C" w14:textId="2A3EF942" w:rsidR="00D26ADD" w:rsidRPr="00122F5F" w:rsidRDefault="00030424" w:rsidP="00030424">
      <w:pPr>
        <w:spacing w:before="120" w:after="120"/>
        <w:ind w:left="426"/>
        <w:jc w:val="both"/>
        <w:rPr>
          <w:rFonts w:ascii="Calibri Light" w:hAnsi="Calibri Light" w:cs="Calibri Light"/>
          <w:sz w:val="24"/>
          <w:szCs w:val="24"/>
        </w:rPr>
      </w:pPr>
      <w:r w:rsidRPr="00030424">
        <w:rPr>
          <w:rFonts w:ascii="Calibri Light" w:hAnsi="Calibri Light" w:cs="Calibri Light"/>
          <w:sz w:val="24"/>
          <w:szCs w:val="24"/>
        </w:rPr>
        <w:t xml:space="preserve">In addition to positive law, this study integrates an Islamic normative approach to align legal recommendations with Indonesia's socio-religious context. It involves an examination of primary Islamic legal sources—the Qur'an, Hadith—and authoritative fatwas. Key Islamic legal principles such as </w:t>
      </w:r>
      <w:proofErr w:type="spellStart"/>
      <w:r w:rsidRPr="00030424">
        <w:rPr>
          <w:rFonts w:ascii="Calibri Light" w:hAnsi="Calibri Light" w:cs="Calibri Light"/>
          <w:i/>
          <w:iCs/>
          <w:sz w:val="24"/>
          <w:szCs w:val="24"/>
        </w:rPr>
        <w:t>ḥifẓ</w:t>
      </w:r>
      <w:proofErr w:type="spellEnd"/>
      <w:r w:rsidRPr="00030424">
        <w:rPr>
          <w:rFonts w:ascii="Calibri Light" w:hAnsi="Calibri Light" w:cs="Calibri Light"/>
          <w:i/>
          <w:iCs/>
          <w:sz w:val="24"/>
          <w:szCs w:val="24"/>
        </w:rPr>
        <w:t xml:space="preserve"> al-</w:t>
      </w:r>
      <w:proofErr w:type="spellStart"/>
      <w:r w:rsidRPr="00030424">
        <w:rPr>
          <w:rFonts w:ascii="Calibri Light" w:hAnsi="Calibri Light" w:cs="Calibri Light"/>
          <w:i/>
          <w:iCs/>
          <w:sz w:val="24"/>
          <w:szCs w:val="24"/>
        </w:rPr>
        <w:t>nafs</w:t>
      </w:r>
      <w:proofErr w:type="spellEnd"/>
      <w:r w:rsidRPr="00030424">
        <w:rPr>
          <w:rFonts w:ascii="Calibri Light" w:hAnsi="Calibri Light" w:cs="Calibri Light"/>
          <w:sz w:val="24"/>
          <w:szCs w:val="24"/>
        </w:rPr>
        <w:t xml:space="preserve"> (protection of life), </w:t>
      </w:r>
      <w:proofErr w:type="spellStart"/>
      <w:r w:rsidRPr="00030424">
        <w:rPr>
          <w:rFonts w:ascii="Calibri Light" w:hAnsi="Calibri Light" w:cs="Calibri Light"/>
          <w:i/>
          <w:iCs/>
          <w:sz w:val="24"/>
          <w:szCs w:val="24"/>
        </w:rPr>
        <w:t>ʿadālah</w:t>
      </w:r>
      <w:proofErr w:type="spellEnd"/>
      <w:r w:rsidRPr="00030424">
        <w:rPr>
          <w:rFonts w:ascii="Calibri Light" w:hAnsi="Calibri Light" w:cs="Calibri Light"/>
          <w:sz w:val="24"/>
          <w:szCs w:val="24"/>
        </w:rPr>
        <w:t xml:space="preserve"> (justice), </w:t>
      </w:r>
      <w:proofErr w:type="spellStart"/>
      <w:r w:rsidRPr="00030424">
        <w:rPr>
          <w:rFonts w:ascii="Calibri Light" w:hAnsi="Calibri Light" w:cs="Calibri Light"/>
          <w:i/>
          <w:iCs/>
          <w:sz w:val="24"/>
          <w:szCs w:val="24"/>
        </w:rPr>
        <w:t>iḥsān</w:t>
      </w:r>
      <w:proofErr w:type="spellEnd"/>
      <w:r w:rsidRPr="00030424">
        <w:rPr>
          <w:rFonts w:ascii="Calibri Light" w:hAnsi="Calibri Light" w:cs="Calibri Light"/>
          <w:i/>
          <w:iCs/>
          <w:sz w:val="24"/>
          <w:szCs w:val="24"/>
        </w:rPr>
        <w:t xml:space="preserve"> </w:t>
      </w:r>
      <w:r w:rsidRPr="00030424">
        <w:rPr>
          <w:rFonts w:ascii="Calibri Light" w:hAnsi="Calibri Light" w:cs="Calibri Light"/>
          <w:sz w:val="24"/>
          <w:szCs w:val="24"/>
        </w:rPr>
        <w:t xml:space="preserve">(benevolence), and </w:t>
      </w:r>
      <w:proofErr w:type="spellStart"/>
      <w:r w:rsidRPr="00030424">
        <w:rPr>
          <w:rFonts w:ascii="Calibri Light" w:hAnsi="Calibri Light" w:cs="Calibri Light"/>
          <w:i/>
          <w:iCs/>
          <w:sz w:val="24"/>
          <w:szCs w:val="24"/>
        </w:rPr>
        <w:t>karāmah</w:t>
      </w:r>
      <w:proofErr w:type="spellEnd"/>
      <w:r w:rsidRPr="00030424">
        <w:rPr>
          <w:rFonts w:ascii="Calibri Light" w:hAnsi="Calibri Light" w:cs="Calibri Light"/>
          <w:i/>
          <w:iCs/>
          <w:sz w:val="24"/>
          <w:szCs w:val="24"/>
        </w:rPr>
        <w:t xml:space="preserve"> </w:t>
      </w:r>
      <w:proofErr w:type="spellStart"/>
      <w:r w:rsidRPr="00030424">
        <w:rPr>
          <w:rFonts w:ascii="Calibri Light" w:hAnsi="Calibri Light" w:cs="Calibri Light"/>
          <w:i/>
          <w:iCs/>
          <w:sz w:val="24"/>
          <w:szCs w:val="24"/>
        </w:rPr>
        <w:t>insāniyyah</w:t>
      </w:r>
      <w:proofErr w:type="spellEnd"/>
      <w:r w:rsidRPr="00030424">
        <w:rPr>
          <w:rFonts w:ascii="Calibri Light" w:hAnsi="Calibri Light" w:cs="Calibri Light"/>
          <w:sz w:val="24"/>
          <w:szCs w:val="24"/>
        </w:rPr>
        <w:t xml:space="preserve"> (human dignity) are used to assess whether the current legal framework sufficiently safeguards donor rights both ethically and spiritually. Legal materials are analyzed qualitatively and descriptively, while the prescriptive aspect of this research is used to offer reform recommendations. These recommendations, with their practical implications, aim to promote a transplant system in Indonesia that is not only legally sound, ethically just, and religiously acceptable, but also feasible and beneficial for all stakeholders.</w:t>
      </w:r>
      <w:r w:rsidR="00D26ADD"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008C3DC2"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14E2C3EF"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5A837347"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547ABFC3" w14:textId="5B4509FA"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Organ transplantation has emerged as a critical issue in global health law</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{"citationItems":[{"id":"ITEM-1","itemData":{"DOI":"10.5500/wjt.v15.i1.93253","ISSN":"22203230","abstract":"Over the past six decades, liver transplantation (LT) has evolved from an experimental procedure into a standardized and life-saving intervention, reshaping the landscape of organ transplantation. Driven by pioneering breakthroughs, technological advancements, and a deepened understanding of immunology, LT has seen remarkable progress. Some of the most notable breakthroughs in the field include advances in immunosuppression, a revised model for end-stage liver disease, and artificial intelligence (AI)-integrated imaging modalities serving diagnostic and therapeutic roles in LT, paired with ever-evolving technological advances. Additionally, the refinement of transplantation procedures, resulting in the introduction of alternative transplantation methods, such as living donor LT, split LT, and the use of marginal grafts, has addressed the challenge of organ shortage. Moreover, precision medicine, guiding personalized immunosuppressive strategies, has significantly improved patient and graft survival rates while addressing emergent issues, such as short-term complications and early allograft dysfunction, leading to a more refined strategy and enhanced postoperative recovery. Looking ahead, ongoing research explores regenerative medicine, diagnostic tools, and AI to optimize organ allocation and post-transplantation car. In summary, the past six decades have marked a transformative journey in LT with a commitment to advancing science, medicine, and patient-centered care, offering hope and extending life to individuals worldwide.","author":[{"dropping-particle":"","family":"Gadour","given":"Eyad","non-dropping-particle":"","parse-names":false,"suffix":""}],"container-title":"World Journal of Transplantation","id":"ITEM-1","issue":"1","issued":{"date-parts":[["2025"]]},"page":"1-24","title":"Lesson learnt from 60 years of liver transplantation: Advancements, challenges, and future directions","type":"article-journal","volume":"15"},"uris":["http://www.mendeley.com/documents/?uuid=bc7cedab-31a8-4b8b-9454-8b55c42654b6"]}],"mendeley":{"formattedCitation":"(Gadour, 2025)","plainTextFormattedCitation":"(Gadour, 2025)","previouslyFormattedCitation":"(Gadour, 2025)"},"properties":{"noteIndex":0},"schema":"https://github.com/citation-style-language/schema/raw/master/csl-citation.json"}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(Gadour, 2025)</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particularly because it intersects directly with protecting fundamental human rights—most notably the right to life and health. International legal instruments such as the Universal Declaration on Bioethics and Human Rights, emphasize respecting human dignity, bodily integrity, and individual autonomy in biomedical practices, including organ transplantation. The declaration stipulates that medical interventions must be grounded in voluntary and informed consent. Complementing this, the WHO Guiding Principles on Human Cell, Tissue, and Organ Transplantation (2010) outline key ethical standards such as transparency, equity in distribution, and the prohibition of exploitation—particularly among socially or economically vulnerable populations. These instruments provide a normative foundation for states, including Indonesia, to ensure that organ donation systems are rooted in fairness, consent, and protection from abuse.</w:t>
      </w:r>
    </w:p>
    <w:p w14:paraId="041B8D36" w14:textId="0DB974F3"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lastRenderedPageBreak/>
        <w:t>Legal protection is pivotal in safeguarding individuals from arbitrary practices and exploitation, particularly in contexts involving vulnerable parties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{"citationItems":[{"id":"ITEM-1","itemData":{"DOI":"10.57239/PJLSS-2024-22.2.00563","ISSN":"22217630","abstract":"The confinement of people with mental illness (PwMI) in Indonesia is a severe violation of human rights. This practice often occurs due to a lack of public understanding and adequate support for legal protection for PwMI. This research aims to explore strategic steps that can be taken to improve legal protection for PwMI and address the practice of confinement. The research method used is a qualitative approach with document analysis of legal documents and related literature. The data collected was analyzed qualitatively, emphasizing interpretation and understanding of the applicable legal rules. The results show that although there is a regulation prohibiting confinement, its implementation in the field still needs to improve. Influencing factors include social stigma, lack of training for health workers, and lack of access to quality mental health services. This study recommends strengthening regulations and policies, increasing public education on mental health, and improving adequate mental health facilities. However, it also emphasizes the crucial role of community involvement in handling PwMI. By actively participating in the solution, the community can create a more inclusive environment and support the successful protection of PwMI, making them an integral part of the process.","author":[{"dropping-particle":"","family":"Sutikno","given":"Edi","non-dropping-particle":"","parse-names":false,"suffix":""},{"dropping-particle":"","family":"Irianto","given":"Sigit","non-dropping-particle":"","parse-names":false,"suffix":""},{"dropping-particle":"","family":"Kusumaningrum","given":"Anggraeni Endah","non-dropping-particle":"","parse-names":false,"suffix":""},{"dropping-particle":"","family":"Noor","given":"Afif","non-dropping-particle":"","parse-names":false,"suffix":""}],"container-title":"Pakistan Journal of Life and Social Sciences","id":"ITEM-1","issue":"2","issued":{"date-parts":[["2024"]]},"page":"7478-7486","title":"Improving Legal Protection for People with Mental Illness: Addressing Confinement Practices and Promoting Human Rights Protections","type":"article-journal","volume":"22"},"uris":["http://www.mendeley.com/documents/?uuid=4e697fa2-56c2-4a52-ad14-6fc557502eb5"]}],"mendeley":{"formattedCitation":"(Sutikno et al., 2024)","plainTextFormattedCitation":"(Sutikno et al., 2024)","previouslyFormattedCitation":"(Sutikno et al., 2024)"},"properties":{"noteIndex":0},"schema":"https://github.com/citation-style-language/schema/raw/master/csl-citation.json"}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(Sutikno et al., 2024)</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According to </w:t>
      </w:r>
      <w:proofErr w:type="spellStart"/>
      <w:r w:rsidRPr="000436A4">
        <w:rPr>
          <w:rFonts w:ascii="Calibri Light" w:eastAsia="Aptos" w:hAnsi="Calibri Light" w:cs="Calibri Light"/>
          <w:kern w:val="2"/>
          <w:sz w:val="24"/>
          <w:szCs w:val="24"/>
          <w:lang w:eastAsia="en-US"/>
          <w14:ligatures w14:val="standardContextual"/>
        </w:rPr>
        <w:t>Satjipto</w:t>
      </w:r>
      <w:proofErr w:type="spellEnd"/>
      <w:r w:rsidRPr="000436A4">
        <w:rPr>
          <w:rFonts w:ascii="Calibri Light" w:eastAsia="Aptos" w:hAnsi="Calibri Light" w:cs="Calibri Light"/>
          <w:kern w:val="2"/>
          <w:sz w:val="24"/>
          <w:szCs w:val="24"/>
          <w:lang w:eastAsia="en-US"/>
          <w14:ligatures w14:val="standardContextual"/>
        </w:rPr>
        <w:t xml:space="preserve"> Rahardjo, the law is not merely a set of rigid norms, but a dynamic tool committed to protecting the weak and marginalized</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{"citationItems":[{"id":"ITEM-1","itemData":{"author":[{"dropping-particle":"","family":"Rahardjo","given":"Satjipto","non-dropping-particle":"","parse-names":false,"suffix":""}],"id":"ITEM-1","issued":{"date-parts":[["2000"]]},"number-of-pages":"54","publisher":"PT. Citra Aditya Bhakti","publisher-place":"Bandung","title":"Ilmu Hukum","type":"book"},"uris":["http://www.mendeley.com/documents/?uuid=03592e16-edbd-4a69-9ded-4c39536ce30b"]}],"mendeley":{"formattedCitation":"(Rahardjo, 2000)","plainTextFormattedCitation":"(Rahardjo, 2000)","previouslyFormattedCitation":"(Rahardjo, 2000)"},"properties":{"noteIndex":0},"schema":"https://github.com/citation-style-language/schema/raw/master/csl-citation.json"}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(Rahardjo, 2000)</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Organ donors often fall into this category due to economic hardships, familial pressures, or lack of information. As such, any ethical transplantation system must be accompanied by a robust legal framework that guarantees dignity, autonomy, and post-donation support. This view resonates with Islamic legal ethics, which also obligate the protection of </w:t>
      </w:r>
      <w:r w:rsidRPr="000436A4">
        <w:rPr>
          <w:rFonts w:ascii="Calibri Light" w:eastAsia="Aptos" w:hAnsi="Calibri Light" w:cs="Calibri Light"/>
          <w:i/>
          <w:iCs/>
          <w:kern w:val="2"/>
          <w:sz w:val="24"/>
          <w:szCs w:val="24"/>
          <w:lang w:eastAsia="en-US"/>
          <w14:ligatures w14:val="standardContextual"/>
        </w:rPr>
        <w:t>al-</w:t>
      </w:r>
      <w:proofErr w:type="spellStart"/>
      <w:r w:rsidRPr="000436A4">
        <w:rPr>
          <w:rFonts w:ascii="Calibri Light" w:eastAsia="Aptos" w:hAnsi="Calibri Light" w:cs="Calibri Light"/>
          <w:i/>
          <w:iCs/>
          <w:kern w:val="2"/>
          <w:sz w:val="24"/>
          <w:szCs w:val="24"/>
          <w:lang w:eastAsia="en-US"/>
          <w14:ligatures w14:val="standardContextual"/>
        </w:rPr>
        <w:t>ḍuʿafāʾ</w:t>
      </w:r>
      <w:proofErr w:type="spellEnd"/>
      <w:r w:rsidRPr="000436A4">
        <w:rPr>
          <w:rFonts w:ascii="Calibri Light" w:eastAsia="Aptos" w:hAnsi="Calibri Light" w:cs="Calibri Light"/>
          <w:kern w:val="2"/>
          <w:sz w:val="24"/>
          <w:szCs w:val="24"/>
          <w:lang w:eastAsia="en-US"/>
          <w14:ligatures w14:val="standardContextual"/>
        </w:rPr>
        <w:t xml:space="preserve"> (the vulnerable) and uphold the sanctity of human life (</w:t>
      </w:r>
      <w:proofErr w:type="spellStart"/>
      <w:r w:rsidRPr="000436A4">
        <w:rPr>
          <w:rFonts w:ascii="Calibri Light" w:eastAsia="Aptos" w:hAnsi="Calibri Light" w:cs="Calibri Light"/>
          <w:i/>
          <w:iCs/>
          <w:kern w:val="2"/>
          <w:sz w:val="24"/>
          <w:szCs w:val="24"/>
          <w:lang w:eastAsia="en-US"/>
          <w14:ligatures w14:val="standardContextual"/>
        </w:rPr>
        <w:t>ḥifẓ</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r w:rsidRPr="000436A4">
        <w:rPr>
          <w:rFonts w:ascii="Calibri Light" w:eastAsia="Aptos" w:hAnsi="Calibri Light" w:cs="Calibri Light"/>
          <w:i/>
          <w:iCs/>
          <w:kern w:val="2"/>
          <w:sz w:val="24"/>
          <w:szCs w:val="24"/>
          <w:lang w:eastAsia="en-US"/>
          <w14:ligatures w14:val="standardContextual"/>
        </w:rPr>
        <w:t>nafs</w:t>
      </w:r>
      <w:proofErr w:type="spellEnd"/>
      <w:r w:rsidRPr="000436A4">
        <w:rPr>
          <w:rFonts w:ascii="Calibri Light" w:eastAsia="Aptos" w:hAnsi="Calibri Light" w:cs="Calibri Light"/>
          <w:kern w:val="2"/>
          <w:sz w:val="24"/>
          <w:szCs w:val="24"/>
          <w:lang w:eastAsia="en-US"/>
          <w14:ligatures w14:val="standardContextual"/>
        </w:rPr>
        <w:t xml:space="preserve">) as a primary objective of the </w:t>
      </w:r>
      <w:proofErr w:type="spellStart"/>
      <w:r w:rsidRPr="000436A4">
        <w:rPr>
          <w:rFonts w:ascii="Calibri Light" w:eastAsia="Aptos" w:hAnsi="Calibri Light" w:cs="Calibri Light"/>
          <w:i/>
          <w:iCs/>
          <w:kern w:val="2"/>
          <w:sz w:val="24"/>
          <w:szCs w:val="24"/>
          <w:lang w:eastAsia="en-US"/>
          <w14:ligatures w14:val="standardContextual"/>
        </w:rPr>
        <w:t>maqāṣid</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proofErr w:type="gramStart"/>
      <w:r w:rsidRPr="000436A4">
        <w:rPr>
          <w:rFonts w:ascii="Calibri Light" w:eastAsia="Aptos" w:hAnsi="Calibri Light" w:cs="Calibri Light"/>
          <w:i/>
          <w:iCs/>
          <w:kern w:val="2"/>
          <w:sz w:val="24"/>
          <w:szCs w:val="24"/>
          <w:lang w:eastAsia="en-US"/>
          <w14:ligatures w14:val="standardContextual"/>
        </w:rPr>
        <w:t>sharī‘</w:t>
      </w:r>
      <w:proofErr w:type="gramEnd"/>
      <w:r w:rsidRPr="000436A4">
        <w:rPr>
          <w:rFonts w:ascii="Calibri Light" w:eastAsia="Aptos" w:hAnsi="Calibri Light" w:cs="Calibri Light"/>
          <w:i/>
          <w:iCs/>
          <w:kern w:val="2"/>
          <w:sz w:val="24"/>
          <w:szCs w:val="24"/>
          <w:lang w:eastAsia="en-US"/>
          <w14:ligatures w14:val="standardContextual"/>
        </w:rPr>
        <w:t>ah</w:t>
      </w:r>
      <w:proofErr w:type="spellEnd"/>
      <w:r w:rsidRPr="000436A4">
        <w:rPr>
          <w:rFonts w:ascii="Calibri Light" w:eastAsia="Aptos" w:hAnsi="Calibri Light" w:cs="Calibri Light"/>
          <w:kern w:val="2"/>
          <w:sz w:val="24"/>
          <w:szCs w:val="24"/>
          <w:lang w:eastAsia="en-US"/>
          <w14:ligatures w14:val="standardContextual"/>
        </w:rPr>
        <w:t xml:space="preserve"> (higher objectives of Islamic law).</w:t>
      </w:r>
    </w:p>
    <w:p w14:paraId="3004FD47" w14:textId="0B7F0F49"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Justice, both as a legal and moral principle, remains central to the discourse on organ transplantation. John Rawls' theory of justice stresses that individuals must be treated as equals under the law,</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{"citationItems":[{"id":"ITEM-1","itemData":{"ISBN":"0674000773","abstract":"Persepsi adalah suatu proses pengenalan atau identifikasi sesuatu dengan menggunakan panca indera (Drever, 2010). persepsi merupakan inti komunikasi. Persepsi memiliki peran yang sangat penting dalam keberhasilan komunikasi. Artinya, kecermatan dalam mempersepsikan stimuli inderawi mengantarkan kepada keberhasilan komunikasi. Sebaliknya, kegagalan dalam mempersepsi stimulus, menyebabkan mis-komunikasi (Suranto, 2011)","author":[{"dropping-particle":"","family":"Rawls","given":"John","non-dropping-particle":"","parse-names":false,"suffix":""}],"id":"ITEM-1","issued":{"date-parts":[["1999"]]},"number-of-pages":"6","publisher":"The Belknap Press of Harvard University Press","publisher-place":"Cambridge","title":"A Theory of Justice","type":"book"},"uris":["http://www.mendeley.com/documents/?uuid=22be0b2c-bfd7-4e8f-b23d-0f2d6d2ebc7b"]}],"mendeley":{"formattedCitation":"(Rawls, 1999)","plainTextFormattedCitation":"(Rawls, 1999)","previouslyFormattedCitation":"(Rawls, 1999)"},"properties":{"noteIndex":0},"schema":"https://github.com/citation-style-language/schema/raw/master/csl-citation.json"}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(Rawls, 1999)</w:t>
      </w:r>
      <w:r w:rsidRPr="000436A4">
        <w:rPr>
          <w:rFonts w:ascii="Calibri Light" w:eastAsia="Aptos" w:hAnsi="Calibri Light" w:cs="Calibri Light"/>
          <w:kern w:val="2"/>
          <w:sz w:val="24"/>
          <w:szCs w:val="24"/>
          <w:vertAlign w:val="superscript"/>
          <w:lang w:eastAsia="en-US"/>
          <w14:ligatures w14:val="standardContextual"/>
        </w:rPr>
        <w:fldChar w:fldCharType="end"/>
      </w:r>
      <w:r w:rsidRPr="000436A4">
        <w:rPr>
          <w:rFonts w:ascii="Calibri Light" w:eastAsia="Aptos" w:hAnsi="Calibri Light" w:cs="Calibri Light"/>
          <w:kern w:val="2"/>
          <w:sz w:val="24"/>
          <w:szCs w:val="24"/>
          <w:lang w:eastAsia="en-US"/>
          <w14:ligatures w14:val="standardContextual"/>
        </w:rPr>
        <w:t xml:space="preserve"> a principle extending to the medical context where recipients and donors must be protected from harm and granted legal safeguards. This emphasis on legal justice provides all involved reassurance and a sense of security</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{"citationItems":[{"id":"ITEM-1","itemData":{"DOI":"10.48161/Issn.2709-8206","ISSN":"27098206","abstract":"he health and safety of school children in Indonesia in the consumption of snacks in the school environment is an important aspect that needs to be carefully guarded. Ensuring that children receive healthy, safe, and nutritious snacks requires rigorous legal tools. This article reviews the existing legal framework and enforcement measures needed to ensure the health and safety of schoolchildren during snack consumption. While there are already regulations governing snacks, law enforcement, andpublic awareness in this regard remain a challenge. The government needs to improve law enforcement efforts by conducting strong coordination, strict supervision of food manufacturers, and providing counseling to parents and students on the importance of choosing healthy snacks. With strong regulations and effective law enforcement, we can ensure that schoolchildren in Indonesia consume healthy and safe snacks and support their proper growth and development for a healthier and more competitive young generation for the betterment of the nation.","author":[{"dropping-particle":"","family":"Haque, Iif Taufiq Putra, Sarsintorini, Suparno, Noor","given":"Afif","non-dropping-particle":"El","parse-names":false,"suffix":""}],"container-title":"Qubahan Academic Journal","id":"ITEM-1","issue":"4","issued":{"date-parts":[["2023"]]},"page":"206-218","title":"Ensuring the Health and Safety of Indonesian School Children: Legal Protections in Snack Consumption","type":"article-journal","volume":"3"},"uris":["http://www.mendeley.com/documents/?uuid=7c657dd5-23e5-4a67-9408-e38b8eb98c17"]}],"mendeley":{"formattedCitation":"(El Haque, Iif Taufiq Putra, Sarsintorini, Suparno, Noor, 2023)","manualFormatting":"(El Haque et al., 2023)","plainTextFormattedCitation":"(El Haque, Iif Taufiq Putra, Sarsintorini, Suparno, Noor, 2023)","previouslyFormattedCitation":"(El Haque, Iif Taufiq Putra, Sarsintorini, Suparno, Noor, 2023)"},"properties":{"noteIndex":0},"schema":"https://github.com/citation-style-language/schema/raw/master/csl-citation.json"}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(El Haque</w:t>
      </w:r>
      <w:r w:rsidR="00B12823">
        <w:rPr>
          <w:rFonts w:ascii="Calibri Light" w:eastAsia="Aptos" w:hAnsi="Calibri Light" w:cs="Calibri Light"/>
          <w:noProof/>
          <w:kern w:val="2"/>
          <w:sz w:val="24"/>
          <w:szCs w:val="24"/>
          <w:lang w:eastAsia="en-US"/>
          <w14:ligatures w14:val="standardContextual"/>
        </w:rPr>
        <w:t xml:space="preserve"> et al., </w:t>
      </w:r>
      <w:r w:rsidRPr="000436A4">
        <w:rPr>
          <w:rFonts w:ascii="Calibri Light" w:eastAsia="Aptos" w:hAnsi="Calibri Light" w:cs="Calibri Light"/>
          <w:noProof/>
          <w:kern w:val="2"/>
          <w:sz w:val="24"/>
          <w:szCs w:val="24"/>
          <w:lang w:eastAsia="en-US"/>
          <w14:ligatures w14:val="standardContextual"/>
        </w:rPr>
        <w:t>2023)</w:t>
      </w:r>
      <w:r w:rsidRPr="000436A4">
        <w:rPr>
          <w:rFonts w:ascii="Calibri Light" w:eastAsia="Aptos" w:hAnsi="Calibri Light" w:cs="Calibri Light"/>
          <w:kern w:val="2"/>
          <w:sz w:val="24"/>
          <w:szCs w:val="24"/>
          <w:vertAlign w:val="superscript"/>
          <w:lang w:eastAsia="en-US"/>
          <w14:ligatures w14:val="standardContextual"/>
        </w:rPr>
        <w:fldChar w:fldCharType="end"/>
      </w:r>
      <w:r w:rsidRPr="000436A4">
        <w:rPr>
          <w:rFonts w:ascii="Calibri Light" w:eastAsia="Aptos" w:hAnsi="Calibri Light" w:cs="Calibri Light"/>
          <w:kern w:val="2"/>
          <w:sz w:val="24"/>
          <w:szCs w:val="24"/>
          <w:lang w:eastAsia="en-US"/>
          <w14:ligatures w14:val="standardContextual"/>
        </w:rPr>
        <w:t xml:space="preserve"> Beauchamp and Childress, in their framework of Principles of Biomedical Ethics (2013), articulate three core dimensions of justice in health care: distributive, procedural, and compensatory justice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{"citationItems":[{"id":"ITEM-1","itemData":{"author":[{"dropping-particle":"","family":"Beauchamp, Tom L., Childress","given":"James F.","non-dropping-particle":"","parse-names":false,"suffix":""}],"id":"ITEM-1","issued":{"date-parts":[["2019"]]},"publisher":"Oxford University Press","publisher-place":"London","title":"Principles of Biomedical Ethics","type":"book"},"uris":["http://www.mendeley.com/documents/?uuid=ffb0d369-486d-421a-a54f-0a6d690e5619"]}],"mendeley":{"formattedCitation":"(Beauchamp, Tom L., Childress, 2019)","plainTextFormattedCitation":"(Beauchamp, Tom L., Childress, 2019)","previouslyFormattedCitation":"(Beauchamp, Tom L., Childress, 2019)"},"properties":{"noteIndex":0},"schema":"https://github.com/citation-style-language/schema/raw/master/csl-citation.json"}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(Beauchamp, Tom L., Childress, 2019)</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In the transplantation context, distributive justice refers to the fair allocation of scarce organs based on medical need rather than socioeconomic status; procedural justice involves transparent and accountable decision-making; and compensatory justice requires that harm or sacrifice—such as that experienced by living donors—be fairly acknowledged through support and restitution.</w:t>
      </w:r>
    </w:p>
    <w:p w14:paraId="4A754A29"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 xml:space="preserve">From an Islamic perspective, these dimensions are reflected in Sharia-based values. Distributive justice aligns with </w:t>
      </w:r>
      <w:proofErr w:type="spellStart"/>
      <w:r w:rsidRPr="000436A4">
        <w:rPr>
          <w:rFonts w:ascii="Calibri Light" w:eastAsia="Aptos" w:hAnsi="Calibri Light" w:cs="Calibri Light"/>
          <w:i/>
          <w:iCs/>
          <w:kern w:val="2"/>
          <w:sz w:val="24"/>
          <w:szCs w:val="24"/>
          <w:lang w:eastAsia="en-US"/>
          <w14:ligatures w14:val="standardContextual"/>
        </w:rPr>
        <w:t>ʿadālah</w:t>
      </w:r>
      <w:proofErr w:type="spellEnd"/>
      <w:r w:rsidRPr="000436A4">
        <w:rPr>
          <w:rFonts w:ascii="Calibri Light" w:eastAsia="Aptos" w:hAnsi="Calibri Light" w:cs="Calibri Light"/>
          <w:kern w:val="2"/>
          <w:sz w:val="24"/>
          <w:szCs w:val="24"/>
          <w:lang w:eastAsia="en-US"/>
          <w14:ligatures w14:val="standardContextual"/>
        </w:rPr>
        <w:t xml:space="preserve"> (equity), while procedural integrity resonates with </w:t>
      </w:r>
      <w:proofErr w:type="spellStart"/>
      <w:r w:rsidRPr="000436A4">
        <w:rPr>
          <w:rFonts w:ascii="Calibri Light" w:eastAsia="Aptos" w:hAnsi="Calibri Light" w:cs="Calibri Light"/>
          <w:i/>
          <w:iCs/>
          <w:kern w:val="2"/>
          <w:sz w:val="24"/>
          <w:szCs w:val="24"/>
          <w:lang w:eastAsia="en-US"/>
          <w14:ligatures w14:val="standardContextual"/>
        </w:rPr>
        <w:t>amānah</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(trustworthiness) and </w:t>
      </w:r>
      <w:proofErr w:type="spellStart"/>
      <w:r w:rsidRPr="000436A4">
        <w:rPr>
          <w:rFonts w:ascii="Calibri Light" w:eastAsia="Aptos" w:hAnsi="Calibri Light" w:cs="Calibri Light"/>
          <w:i/>
          <w:iCs/>
          <w:kern w:val="2"/>
          <w:sz w:val="24"/>
          <w:szCs w:val="24"/>
          <w:lang w:eastAsia="en-US"/>
          <w14:ligatures w14:val="standardContextual"/>
        </w:rPr>
        <w:t>shūrā</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(consultation). Compensatory justice is compatible with the concept of</w:t>
      </w:r>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taʿwīḍ</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(reasonable compensation for harm), which does not violate the prohibition against organ trade but acknowledges the donor's sacrifice. Thus, integrating international ethical norms with Islamic legal principles provides a rich and morally coherent foundation for legal reforms to protect organ donors in Indonesia.</w:t>
      </w:r>
    </w:p>
    <w:p w14:paraId="05208D9F" w14:textId="77777777" w:rsidR="000436A4" w:rsidRPr="000436A4" w:rsidRDefault="000436A4" w:rsidP="000436A4">
      <w:pPr>
        <w:autoSpaceDE/>
        <w:autoSpaceDN/>
        <w:spacing w:before="120" w:after="120"/>
        <w:ind w:left="425"/>
        <w:jc w:val="both"/>
        <w:rPr>
          <w:rFonts w:ascii="Calibri Light" w:eastAsia="Aptos" w:hAnsi="Calibri Light" w:cs="Calibri Light"/>
          <w:b/>
          <w:bCs/>
          <w:kern w:val="2"/>
          <w:sz w:val="24"/>
          <w:szCs w:val="24"/>
          <w:lang w:eastAsia="en-US"/>
          <w14:ligatures w14:val="standardContextual"/>
        </w:rPr>
      </w:pPr>
      <w:r w:rsidRPr="000436A4">
        <w:rPr>
          <w:rFonts w:ascii="Calibri Light" w:eastAsia="Aptos" w:hAnsi="Calibri Light" w:cs="Calibri Light"/>
          <w:b/>
          <w:bCs/>
          <w:kern w:val="2"/>
          <w:sz w:val="24"/>
          <w:szCs w:val="24"/>
          <w:lang w:eastAsia="en-US"/>
          <w14:ligatures w14:val="standardContextual"/>
        </w:rPr>
        <w:t>Legal Framework on Organ Transplantation in Indonesia</w:t>
      </w:r>
    </w:p>
    <w:p w14:paraId="4CE5BFB6" w14:textId="4496FF1F"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Organ transplantation is a medical procedure with profound humanitarian and ethical value</w:t>
      </w:r>
      <w:r w:rsidR="000E3950">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 xml:space="preserve">ADDIN CSL_CITATION {"citationItems":[{"id":"ITEM-1","itemData":{"author":[{"dropping-particle":"","family":"Rouahna","given":"Nadia","non-dropping-particle":"","parse-names":false,"suffix":""}],"container-title":"Revue des Sciences Humaines","id":"ITEM-1","issue":"June","issued":{"date-parts":[["2025"]]},"page":"55-72","title":"The controls of the Human Organs Removal and Transplantation Under the Algerian Health Code </w:instrText>
      </w:r>
      <w:r w:rsidR="00A749D0">
        <w:rPr>
          <w:rFonts w:ascii="Calibri Light" w:eastAsia="Aptos" w:hAnsi="Calibri Light" w:cs="Calibri Light"/>
          <w:kern w:val="2"/>
          <w:sz w:val="24"/>
          <w:szCs w:val="24"/>
          <w:rtl/>
          <w:lang w:eastAsia="en-US"/>
          <w14:ligatures w14:val="standardContextual"/>
        </w:rPr>
        <w:instrText>ص</w:instrText>
      </w:r>
      <w:r w:rsidR="00A749D0">
        <w:rPr>
          <w:rFonts w:ascii="Calibri Light" w:eastAsia="Aptos" w:hAnsi="Calibri Light" w:cs="Calibri Light" w:hint="cs"/>
          <w:kern w:val="2"/>
          <w:sz w:val="24"/>
          <w:szCs w:val="24"/>
          <w:rtl/>
          <w:lang w:eastAsia="en-US"/>
          <w14:ligatures w14:val="standardContextual"/>
        </w:rPr>
        <w:instrText>ﺧﻠﻣ</w:instrText>
      </w:r>
      <w:r w:rsidR="00A749D0">
        <w:rPr>
          <w:rFonts w:ascii="Calibri Light" w:eastAsia="Aptos" w:hAnsi="Calibri Light" w:cs="Calibri Light"/>
          <w:kern w:val="2"/>
          <w:sz w:val="24"/>
          <w:szCs w:val="24"/>
          <w:lang w:eastAsia="en-US"/>
          <w14:ligatures w14:val="standardContextual"/>
        </w:rPr>
        <w:instrText xml:space="preserve"> Introduction :","type":"article-journal"},"uris":["http://www.mendeley.com/documents/?uuid=a4b03cf8-10fe-4459-bc43-9c14d9c17162"]}],"mendeley":{"formattedCitation":"(Rouahna, 2025)","plainTextFormattedCitation":"(Rouahna, 2025)","previouslyFormattedCitation":"(Rouahna, 2025)"},"properties":{"noteIndex":0},"schema":"https://github.com/citation-style-language/schema/raw/master/csl-citation.json"}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(Rouahna, 2025)</w:t>
      </w:r>
      <w:r w:rsidRPr="000436A4">
        <w:rPr>
          <w:rFonts w:ascii="Calibri Light" w:eastAsia="Aptos" w:hAnsi="Calibri Light" w:cs="Calibri Light"/>
          <w:kern w:val="2"/>
          <w:sz w:val="24"/>
          <w:szCs w:val="24"/>
          <w:vertAlign w:val="superscript"/>
          <w:lang w:eastAsia="en-US"/>
          <w14:ligatures w14:val="standardContextual"/>
        </w:rPr>
        <w:fldChar w:fldCharType="end"/>
      </w:r>
      <w:r w:rsidR="000E3950">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It involves the transfer of organs or tissues from a donor to a recipient to treat serious illnesses and restore vital bodily functions. Organs—such as the heart, kidneys, liver, and lungs—comprise tissues that perform specific tasks. In contrast, tissues are cellular structures that can be categorized based on their regenerative capabilities. Some tissues, like skin and blood, can regenerate naturally, while others, such as the heart and brain, cannot. Transplantation serves as an alternative therapy for patients with organ failure and often offers better outcomes than conservative treatments. The source of organs may be either living donors or cadaveric (deceased) donors. In this context, the donation is not only medically significant but also morally commendable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{"citationItems":[{"id":"ITEM-1","itemData":{"DOI":"10.1111/bioe.12774","ISSN":"14678519","PMID":"32557682","abstract":"Given the need for organs, public organizations use social marketing strategies to increase the number of donors. Their campaigns employ a variety of moral appeals. However, their effects on audiences are unclear. We identified 14 campaigns in Germany from over the last 20 years. Our approach combined a multimodal analysis of categorized posters with a qualitative analysis of responses, collected in interviews or focus groups, of 53 persons who were either skeptical or undecided about organ donation. The combined analyses revealed that the posters failed to motivate laypersons in general to donate, and were even less effective on skeptical or undecided individuals. We explain this in terms of the types of moral messages found on posters and the limits of such social marketing strategies. Furthermore, we discuss certain ethical aspects of organ donation campaigns pertaining to communicating norms and trust in public institutions.","author":[{"dropping-particle":"","family":"Hansen","given":"Solveig Lena","non-dropping-particle":"","parse-names":false,"suffix":""},{"dropping-particle":"","family":"Pfaller","given":"Larissa","non-dropping-particle":"","parse-names":false,"suffix":""},{"dropping-particle":"","family":"Schicktanz","given":"Silke","non-dropping-particle":"","parse-names":false,"suffix":""}],"container-title":"Bioethics","id":"ITEM-1","issue":"2","issued":{"date-parts":[["2021"]]},"page":"161-172","title":"Critical analysis of communication strategies in public health promotion: An empirical-ethical study on organ donation in Germany","type":"article-journal","volume":"35"},"uris":["http://www.mendeley.com/documents/?uuid=2b1b9225-afc2-46c5-b654-676d3d3385a1"]}],"mendeley":{"formattedCitation":"(Hansen et al., 2021)","plainTextFormattedCitation":"(Hansen et al., 2021)","previouslyFormattedCitation":"(Hansen et al., 2021)"},"properties":{"noteIndex":0},"schema":"https://github.com/citation-style-language/schema/raw/master/csl-citation.json"}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(Hansen et al., 2021)</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particularly when viewed from the lens of Islamic ethics as a form of </w:t>
      </w:r>
      <w:proofErr w:type="spellStart"/>
      <w:r w:rsidRPr="000436A4">
        <w:rPr>
          <w:rFonts w:ascii="Calibri Light" w:eastAsia="Aptos" w:hAnsi="Calibri Light" w:cs="Calibri Light"/>
          <w:i/>
          <w:iCs/>
          <w:kern w:val="2"/>
          <w:sz w:val="24"/>
          <w:szCs w:val="24"/>
          <w:lang w:eastAsia="en-US"/>
          <w14:ligatures w14:val="standardContextual"/>
        </w:rPr>
        <w:t>ḥifẓ</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r w:rsidRPr="000436A4">
        <w:rPr>
          <w:rFonts w:ascii="Calibri Light" w:eastAsia="Aptos" w:hAnsi="Calibri Light" w:cs="Calibri Light"/>
          <w:i/>
          <w:iCs/>
          <w:kern w:val="2"/>
          <w:sz w:val="24"/>
          <w:szCs w:val="24"/>
          <w:lang w:eastAsia="en-US"/>
          <w14:ligatures w14:val="standardContextual"/>
        </w:rPr>
        <w:t>nafs</w:t>
      </w:r>
      <w:proofErr w:type="spellEnd"/>
      <w:r w:rsidRPr="000436A4">
        <w:rPr>
          <w:rFonts w:ascii="Calibri Light" w:eastAsia="Aptos" w:hAnsi="Calibri Light" w:cs="Calibri Light"/>
          <w:kern w:val="2"/>
          <w:sz w:val="24"/>
          <w:szCs w:val="24"/>
          <w:lang w:eastAsia="en-US"/>
          <w14:ligatures w14:val="standardContextual"/>
        </w:rPr>
        <w:t>—the protection of life.</w:t>
      </w:r>
    </w:p>
    <w:p w14:paraId="24F896BD"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lastRenderedPageBreak/>
        <w:t>The Government of Indonesia has established a robust regulatory framework governing organ transplantation to ensure legal certainty and ethical implementation. Key instruments include Law No. 17 of 2023 on Health, Government Regulation No. 28 of 2024, and Minister of Health Regulation No. 38 of 2016. These regulations affirm the state's crucial role in protecting recipients, living donors, and medical personnel. Article 123 of Law No. 17/2023 legally permits organ and tissue transplantation as a recognized treatment to restore health. Furthermore, Article 124 mandates that transplantation must be conducted solely for medical purposes, based on humanitarian considerations, and preceded by the donor's consent or that of their family. This strong governmental oversight provides all involved a sense of reassurance and security.</w:t>
      </w:r>
    </w:p>
    <w:p w14:paraId="6FBBA088" w14:textId="03EA4984"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The government encourages voluntary donation as a noble contribution to public health and explicitly prohibits any commercial transaction involving human organs. Article 183 of Law No. 17/2023 criminalizes financial compensation for organ donation, which aligns with Islamic legal opinion (fatwa) prohibiting the commodification of the human body. Nevertheless, the distinction between voluntary and coerced or incentivized donation remains problematic in practice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{"citationItems":[{"id":"ITEM-1","itemData":{"DOI":"10.https://doi.org/10.48161/qaj.v3n3a155","ISSN":"27098206","abstract":"Human organ trading has become an increasingly complex and controversial issue in the era of globalization. This article aims to explore an in-depth understanding of human organ trading through ethical perspectives and in the context of Indonesia's legal framework. By combining ethical and legal studies, this article summarizes ethical views on human organ trading and analyzes the relevance of Indonesia's legal framework in addressing the challenges of such trading. In the process, it considers the implications of moral and religious values for human organ trading. Through an interdisciplinary approach, the article seeks to compile the contributions of ethics and law in forming a comprehensive view of this complex issue. It is hoped that a deeper understanding of ethical perspectives and legal frameworks will provide richer insights into human organ trading and encourage constructive debate to address the issue.","author":[{"dropping-particle":"","family":"Indriyanto, Dedy; Tedjosaputro, Liliana; Tumangkar, Totok; Noor","given":"Afif","non-dropping-particle":"","parse-names":false,"suffix":""}],"container-title":"Qubahan Academic Journal","id":"ITEM-1","issue":"4","issued":{"date-parts":[["2023"]]},"page":"206-218","title":"Understanding Human Organ Trading: Ethical Perspective and Indonesia's Legal Framework","type":"article-journal","volume":"3"},"uris":["http://www.mendeley.com/documents/?uuid=6b7891e3-c12d-43d9-8bef-d30865ad6ce4"]}],"mendeley":{"formattedCitation":"(Indriyanto, Dedy; Tedjosaputro, Liliana; Tumangkar, Totok; Noor, 2023)","manualFormatting":"(Indriyanto et al., 2023)","plainTextFormattedCitation":"(Indriyanto, Dedy; Tedjosaputro, Liliana; Tumangkar, Totok; Noor, 2023)","previouslyFormattedCitation":"(Indriyanto, Dedy; Tedjosaputro, Liliana; Tumangkar, Totok; Noor, 2023)"},"properties":{"noteIndex":0},"schema":"https://github.com/citation-style-language/schema/raw/master/csl-citation.json"}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(Indriyanto</w:t>
      </w:r>
      <w:r w:rsidR="00B12823">
        <w:rPr>
          <w:rFonts w:ascii="Calibri Light" w:eastAsia="Aptos" w:hAnsi="Calibri Light" w:cs="Calibri Light"/>
          <w:noProof/>
          <w:kern w:val="2"/>
          <w:sz w:val="24"/>
          <w:szCs w:val="24"/>
          <w:lang w:eastAsia="en-US"/>
          <w14:ligatures w14:val="standardContextual"/>
        </w:rPr>
        <w:t xml:space="preserve"> et al., 20</w:t>
      </w:r>
      <w:r w:rsidRPr="000436A4">
        <w:rPr>
          <w:rFonts w:ascii="Calibri Light" w:eastAsia="Aptos" w:hAnsi="Calibri Light" w:cs="Calibri Light"/>
          <w:noProof/>
          <w:kern w:val="2"/>
          <w:sz w:val="24"/>
          <w:szCs w:val="24"/>
          <w:lang w:eastAsia="en-US"/>
          <w14:ligatures w14:val="standardContextual"/>
        </w:rPr>
        <w:t>23)</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Reports of low-income individuals donating organs under economic pressure reveal structural weaknesses in the current system, such as inadequate oversight and enforcement of regulations. These situations not only violate legal principles but also Islamic ethical norms, which strongly oppose exploitation (</w:t>
      </w:r>
      <w:proofErr w:type="spellStart"/>
      <w:r w:rsidRPr="000436A4">
        <w:rPr>
          <w:rFonts w:ascii="Calibri Light" w:eastAsia="Aptos" w:hAnsi="Calibri Light" w:cs="Calibri Light"/>
          <w:i/>
          <w:iCs/>
          <w:kern w:val="2"/>
          <w:sz w:val="24"/>
          <w:szCs w:val="24"/>
          <w:lang w:eastAsia="en-US"/>
          <w14:ligatures w14:val="standardContextual"/>
        </w:rPr>
        <w:t>istighlāl</w:t>
      </w:r>
      <w:proofErr w:type="spellEnd"/>
      <w:r w:rsidRPr="000436A4">
        <w:rPr>
          <w:rFonts w:ascii="Calibri Light" w:eastAsia="Aptos" w:hAnsi="Calibri Light" w:cs="Calibri Light"/>
          <w:kern w:val="2"/>
          <w:sz w:val="24"/>
          <w:szCs w:val="24"/>
          <w:lang w:eastAsia="en-US"/>
          <w14:ligatures w14:val="standardContextual"/>
        </w:rPr>
        <w:t>) of the weak. The absence of a national data and monitoring system has enabled unregulated practices to persist, underscoring the urgent need for robust oversight through an independent, accountable authority.</w:t>
      </w:r>
    </w:p>
    <w:p w14:paraId="0C0A7360" w14:textId="10D59B3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A critical gap in Indonesia's transplantation laws is the lack of long-term protection for donors after surgery. Many living donors report complications such as reduced kidney function, infections, or mental health issues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{"citationItems":[{"id":"ITEM-1","itemData":{"DOI":"10.1177/20543581211037429","ISSN":"20543581","abstract":"Background: Although living kidney donation is safe, some donors experience perioperative complications. Objective: This study explored how perioperative complications affected donor-reported health-related quality of life, depression, and anxiety. Design: This research was a conducted as a prospective cohort study. Setting: Twelve transplant centers across Canada. Patients: A total of 912 living kidney donors were included in this study. Measurements: Short Form 36 health survey, Beck Depression Inventory and Beck Anxiety Inventory. Methods: Living kidney donors were prospectively enrolled predonation between 2009 to 2014. Donor perioperative complications were graded using the Clavien-Dindo classification system. Mental and physical health-related quality of life was assessed with the 3 measurements; measurements were taken predonation and at 3- and 12-months postdonation. Results: Seventy-four donors (8%) experienced a perioperative complication; most were minor (n = 67 [91%]), and all minor complications resolved before hospital discharge. The presence (versus absence) of a perioperative complication was associated with lower mental health-related quality of life and higher depression symptoms 3-month postdonation; neither of these differences persisted at 12-month. Perioperative complications were not associated with any changes in physical health-related quality of life or anxiety 3-month postdonation. Limitations: Minor complications may have been missed and information on complications postdischarge were not collected. No minimal clinically significant change has been defined for kidney donors across the 3 measurements. Conclusions: These findings highlight a potential opportunity to better support the psychosocial needs of donors who experience perioperative complications in the months following donation. Trial registration: NCT00319579 and NCT00936078.","author":[{"dropping-particle":"","family":"Garcia-Ochoa","given":"Carlos","non-dropping-particle":"","parse-names":false,"suffix":""},{"dropping-particle":"","family":"Feldman","given":"Liane S.","non-dropping-particle":"","parse-names":false,"suffix":""},{"dropping-particle":"","family":"Nguan","given":"Chris","non-dropping-particle":"","parse-names":false,"suffix":""},{"dropping-particle":"","family":"Monroy-Caudros","given":"Mauricio","non-dropping-particle":"","parse-names":false,"suffix":""},{"dropping-particle":"","family":"Arnold","given":"Jennifer B.","non-dropping-particle":"","parse-names":false,"suffix":""},{"dropping-particle":"","family":"Barnieh","given":"Lianne","non-dropping-particle":"","parse-names":false,"suffix":""},{"dropping-particle":"","family":"Boudville","given":"Neil","non-dropping-particle":"","parse-names":false,"suffix":""},{"dropping-particle":"","family":"Cuerden","given":"Meaghan S.","non-dropping-particle":"","parse-names":false,"suffix":""},{"dropping-particle":"","family":"Dipchand","given":"Christine","non-dropping-particle":"","parse-names":false,"suffix":""},{"dropping-particle":"","family":"Gill","given":"John S.","non-dropping-particle":"","parse-names":false,"suffix":""},{"dropping-particle":"","family":"Karpinski","given":"Martin","non-dropping-particle":"","parse-names":false,"suffix":""},{"dropping-particle":"","family":"Klarenbach","given":"Scott","non-dropping-particle":"","parse-names":false,"suffix":""},{"dropping-particle":"","family":"Knoll","given":"Greg","non-dropping-particle":"","parse-names":false,"suffix":""},{"dropping-particle":"","family":"Lok","given":"Charmaine E.","non-dropping-particle":"","parse-names":false,"suffix":""},{"dropping-particle":"","family":"Miller","given":"Matthew","non-dropping-particle":"","parse-names":false,"suffix":""},{"dropping-particle":"","family":"Prasad","given":"G. V.Ramesh","non-dropping-particle":"","parse-names":false,"suffix":""},{"dropping-particle":"","family":"Sontrop","given":"Jessica M.","non-dropping-particle":"","parse-names":false,"suffix":""},{"dropping-particle":"","family":"Storsley","given":"Leroy","non-dropping-particle":"","parse-names":false,"suffix":""},{"dropping-particle":"","family":"Garg","given":"Amit X.","non-dropping-particle":"","parse-names":false,"suffix":""}],"container-title":"Canadian Journal of Kidney Health and Disease","id":"ITEM-1","issued":{"date-parts":[["2021"]]},"title":"Impact of Perioperative Complications on Living Kidney Donor Health-Related Quality of Life and Mental Health: Results From a Prospective Cohort Study","type":"article-journal","volume":"8"},"uris":["http://www.mendeley.com/documents/?uuid=8a169f81-c101-4d37-ab48-1bf96758cef6"]}],"mendeley":{"formattedCitation":"(Garcia-Ochoa et al., 2021)","plainTextFormattedCitation":"(Garcia-Ochoa et al., 2021)","previouslyFormattedCitation":"(Garcia-Ochoa et al., 2021)"},"properties":{"noteIndex":0},"schema":"https://github.com/citation-style-language/schema/raw/master/csl-citation.json"}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(Garcia-Ochoa et al., 2021)</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However, hospitals or the state have no binding legal requirement to provide continued medical care, psychological support, or financial compensation. Health insurance coverage for donors is not guaranteed, leaving most to bear post-transplant expenses independently. This legal and ethical void undermines the altruistic spirit of donation and exposes donors—often those from vulnerable socio-economic backgrounds—to further hardship. The urgency and importance of this issue cannot be overstated, and Indonesia must adopt policies that ensure long-term health monitoring, lifetime health insurance, and employment protection for donors as a form of social justice (</w:t>
      </w:r>
      <w:proofErr w:type="spellStart"/>
      <w:r w:rsidRPr="000436A4">
        <w:rPr>
          <w:rFonts w:ascii="Calibri Light" w:eastAsia="Aptos" w:hAnsi="Calibri Light" w:cs="Calibri Light"/>
          <w:i/>
          <w:iCs/>
          <w:kern w:val="2"/>
          <w:sz w:val="24"/>
          <w:szCs w:val="24"/>
          <w:lang w:eastAsia="en-US"/>
          <w14:ligatures w14:val="standardContextual"/>
        </w:rPr>
        <w:t>ʿadālah</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ijtimāʿiyyah</w:t>
      </w:r>
      <w:proofErr w:type="spellEnd"/>
      <w:r w:rsidRPr="000436A4">
        <w:rPr>
          <w:rFonts w:ascii="Calibri Light" w:eastAsia="Aptos" w:hAnsi="Calibri Light" w:cs="Calibri Light"/>
          <w:kern w:val="2"/>
          <w:sz w:val="24"/>
          <w:szCs w:val="24"/>
          <w:lang w:eastAsia="en-US"/>
          <w14:ligatures w14:val="standardContextual"/>
        </w:rPr>
        <w:t>) and moral obligation (</w:t>
      </w:r>
      <w:proofErr w:type="spellStart"/>
      <w:r w:rsidRPr="000436A4">
        <w:rPr>
          <w:rFonts w:ascii="Calibri Light" w:eastAsia="Aptos" w:hAnsi="Calibri Light" w:cs="Calibri Light"/>
          <w:i/>
          <w:iCs/>
          <w:kern w:val="2"/>
          <w:sz w:val="24"/>
          <w:szCs w:val="24"/>
          <w:lang w:eastAsia="en-US"/>
          <w14:ligatures w14:val="standardContextual"/>
        </w:rPr>
        <w:t>taklīf</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sharʿī</w:t>
      </w:r>
      <w:proofErr w:type="spellEnd"/>
      <w:r w:rsidRPr="000436A4">
        <w:rPr>
          <w:rFonts w:ascii="Calibri Light" w:eastAsia="Aptos" w:hAnsi="Calibri Light" w:cs="Calibri Light"/>
          <w:kern w:val="2"/>
          <w:sz w:val="24"/>
          <w:szCs w:val="24"/>
          <w:lang w:eastAsia="en-US"/>
          <w14:ligatures w14:val="standardContextual"/>
        </w:rPr>
        <w:t>).</w:t>
      </w:r>
    </w:p>
    <w:p w14:paraId="72E8C500" w14:textId="77777777" w:rsidR="000436A4" w:rsidRPr="000436A4" w:rsidRDefault="000436A4" w:rsidP="000436A4">
      <w:pPr>
        <w:autoSpaceDE/>
        <w:autoSpaceDN/>
        <w:spacing w:before="120" w:after="120"/>
        <w:ind w:left="425"/>
        <w:jc w:val="both"/>
        <w:rPr>
          <w:rFonts w:ascii="Calibri Light" w:eastAsia="Aptos" w:hAnsi="Calibri Light" w:cs="Calibri Light"/>
          <w:b/>
          <w:bCs/>
          <w:kern w:val="2"/>
          <w:sz w:val="24"/>
          <w:szCs w:val="24"/>
          <w:lang w:eastAsia="en-US"/>
          <w14:ligatures w14:val="standardContextual"/>
        </w:rPr>
      </w:pPr>
      <w:r w:rsidRPr="000436A4">
        <w:rPr>
          <w:rFonts w:ascii="Calibri Light" w:eastAsia="Aptos" w:hAnsi="Calibri Light" w:cs="Calibri Light"/>
          <w:b/>
          <w:bCs/>
          <w:kern w:val="2"/>
          <w:sz w:val="24"/>
          <w:szCs w:val="24"/>
          <w:lang w:eastAsia="en-US"/>
          <w14:ligatures w14:val="standardContextual"/>
        </w:rPr>
        <w:t>Justice and Ethical Principles in Organ Donation</w:t>
      </w:r>
    </w:p>
    <w:p w14:paraId="2A139636" w14:textId="6EBAB87E" w:rsidR="00B12823"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Organ donation is a vital component of modern healthcare systems and plays a decisive role in saving lives and enhancing the quality of life for patients with terminal organ failure. However, this life-saving practice entails more than just clinical and logistical considerations—it demands a framework rooted in justice and ethics to ensure that transplantation procedures are carried out humanely, transparently, and equitably. The principle of justice must serve as a primary foundation, encompassing distributive and procedural justice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{"citationItems":[{"id":"ITEM-1","itemData":{"DOI":"10.1016/j.heliyon.2022.e09450","ISSN":"24058440","abstract":"The intention of this paper is to investigate the mediating role of work engagement between the four dimensions of organizational justice (OJ) and organizational citizenship behavior (OCB) dimensions. The current literature appears to have overlooked the mediating role of work engagement (WE) in the link between justice and organizational citizenship behavior (OCB) in higher education institutions (HEIs). As a result, it appears to be one of the primary studies of its kind to investigate the relationship between OJ dimensions (e.g., procedural, distributive, informational, and interpersonal justice) and OCB dimensions (e.g., OCBI and OCBO). Data were collected from 121 faculty members from ten private universities operating in Bangladesh. The PLS-SEM was employed to investigate hypotheses. The investigation found OJ is positively connected to WE. Besides, WE is significantly related to OCB. Moreover, WE mediated the relationship between OJ dimensions and OCB dimensions, except for the relationship between PJ and OCB dimensions. The study provides necessary guidelines for the organizations regarding how they might improve citizenship behavior by ensuring justice and engagement in the workplace. Therefore, the application of the findings might ensure better employee outcomes and organizational productivity.","author":[{"dropping-particle":"","family":"Rahman","given":"Md H.Asibur","non-dropping-particle":"","parse-names":false,"suffix":""},{"dropping-particle":"","family":"Karim","given":"Dewan Niamul","non-dropping-particle":"","parse-names":false,"suffix":""}],"container-title":"Heliyon","id":"ITEM-1","issue":"5","issued":{"date-parts":[["2022"]]},"page":"e09450","publisher":"The Author(s)","title":"Organizational justice and organizational citizenship behavior: the mediating role of work engagement","type":"article-journal","volume":"8"},"uris":["http://www.mendeley.com/documents/?uuid=29489f9d-9097-42b1-ab32-bc93286ecefc"]}],"mendeley":{"formattedCitation":"(Rahman &amp; Karim, 2022)","plainTextFormattedCitation":"(Rahman &amp; Karim, 2022)","previouslyFormattedCitation":"(Rahman &amp; Karim, 2022)"},"properties":{"noteIndex":0},"schema":"https://github.com/citation-style-language/schema/raw/master/csl-citation.json"}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(Rahman &amp; Karim, 2022)</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At its core, the principle of justice must guide </w:t>
      </w:r>
      <w:r w:rsidRPr="000436A4">
        <w:rPr>
          <w:rFonts w:ascii="Calibri Light" w:eastAsia="Aptos" w:hAnsi="Calibri Light" w:cs="Calibri Light"/>
          <w:kern w:val="2"/>
          <w:sz w:val="24"/>
          <w:szCs w:val="24"/>
          <w:lang w:eastAsia="en-US"/>
          <w14:ligatures w14:val="standardContextual"/>
        </w:rPr>
        <w:lastRenderedPageBreak/>
        <w:t>every aspect of organ donation, encompassing three key dimensions: distributive, procedural, and corrective justice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{"citationItems":[{"id":"ITEM-1","itemData":{"author":[{"dropping-particle":"","family":"Beauchamp, Tom L., Childress","given":"James F.","non-dropping-particle":"","parse-names":false,"suffix":""}],"id":"ITEM-1","issued":{"date-parts":[["2019"]]},"publisher":"Oxford University Press","publisher-place":"London","title":"Principles of Biomedical Ethics","type":"book"},"uris":["http://www.mendeley.com/documents/?uuid=ffb0d369-486d-421a-a54f-0a6d690e5619"]}],"mendeley":{"formattedCitation":"(Beauchamp, Tom L., Childress, 2019)","plainTextFormattedCitation":"(Beauchamp, Tom L., Childress, 2019)","previouslyFormattedCitation":"(Beauchamp, Tom L., Childress, 2019)"},"properties":{"noteIndex":0},"schema":"https://github.com/citation-style-language/schema/raw/master/csl-citation.json"}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(Beauchamp, Tom L., Childress, 2019)</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w:t>
      </w:r>
    </w:p>
    <w:p w14:paraId="687A5B39" w14:textId="733169F2" w:rsidR="000436A4" w:rsidRPr="000436A4"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Distributive justice refers to the fair and equitable allocation of organs based on objective medical criteria</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{"citationItems":[{"id":"ITEM-1","itemData":{"DOI":"10.1016/j.trre.2021.100638","ISSN":"15579816","PMID":"34246111","abstract":"Introduction: Accurate estimations of potential organ donors (POTDs) are required to improve transplant systems. This systematic review analyses current studies on national estimations of potential donors for transplantation as well as the practical and policy implications of detected differences. Method: A systematic review of literature published between 01.01.2010 and 01.04.2020 in PubMed was conducted. Data was extracted into a self-developed matrix, and further data retrieved on national population sizes, waiting lists and transplant activities. Results: Six studies were included. Investigated populations, underlying data collections and eligibility criteria for POTDs varied widely. Estimated POTDs per million population (p.m.p.) ranged from 25.8 to 333.6, conversion rates from 3.2% to 47.5% leading to 41.2 to 86.4 transplanted organs p.m.p. Patients on the waiting lists varied from 66.7 to 338.9 p.m.p., defining gaps between organ supply and demand in countries. Not all studies adhered to the definitions and processes of the critical pathway for deceased donation which is the latest international consensus statement on deceased organ donation. Conclusion: Differences in estimated POTDs and differences in supply and demand of donor organs between countries cannot be satisfactorily explained yet due to an obvious lack of evidence, consistent methodology, international consensus and robust underlying datasets. Future studies should be based on robust underlying data sets and aim for potential donor estimations that allow national comparisons due to the adherence to the international consensus on definitions, processes and methodology.","author":[{"dropping-particle":"","family":"Qu","given":"Zhi","non-dropping-particle":"","parse-names":false,"suffix":""},{"dropping-particle":"","family":"Oedingen","given":"Carina","non-dropping-particle":"","parse-names":false,"suffix":""},{"dropping-particle":"","family":"Bartling","given":"Tim","non-dropping-particle":"","parse-names":false,"suffix":""},{"dropping-particle":"","family":"Beneke","given":"Jan","non-dropping-particle":"","parse-names":false,"suffix":""},{"dropping-particle":"","family":"Zink","given":"Michael","non-dropping-particle":"","parse-names":false,"suffix":""},{"dropping-particle":"","family":"Krauth","given":"Christian","non-dropping-particle":"","parse-names":false,"suffix":""},{"dropping-particle":"","family":"Schrem","given":"Harald","non-dropping-particle":"","parse-names":false,"suffix":""}],"container-title":"Transplantation Reviews","id":"ITEM-1","issue":"4","issued":{"date-parts":[["2021"]]},"title":"Systematic review on potential brain dead donor estimations and conversion rates to actually realized organ donations","type":"article-journal","volume":"35"},"uris":["http://www.mendeley.com/documents/?uuid=20f5dd08-269d-40ef-bebe-e13917893676"]}],"mendeley":{"formattedCitation":"(Qu et al., 2021)","plainTextFormattedCitation":"(Qu et al., 2021)","previouslyFormattedCitation":"(Qu et al., 2021)"},"properties":{"noteIndex":0},"schema":"https://github.com/citation-style-language/schema/raw/master/csl-citation.json"}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(Qu et al., 2021)</w:t>
      </w:r>
      <w:r w:rsidRPr="000436A4">
        <w:rPr>
          <w:rFonts w:ascii="Calibri Light" w:eastAsia="Aptos" w:hAnsi="Calibri Light" w:cs="Calibri Light"/>
          <w:kern w:val="2"/>
          <w:sz w:val="24"/>
          <w:szCs w:val="24"/>
          <w:vertAlign w:val="superscript"/>
          <w:lang w:eastAsia="en-US"/>
          <w14:ligatures w14:val="standardContextual"/>
        </w:rPr>
        <w:fldChar w:fldCharType="end"/>
      </w:r>
      <w:r w:rsidRPr="000436A4">
        <w:rPr>
          <w:rFonts w:ascii="Calibri Light" w:eastAsia="Aptos" w:hAnsi="Calibri Light" w:cs="Calibri Light"/>
          <w:kern w:val="2"/>
          <w:sz w:val="24"/>
          <w:szCs w:val="24"/>
          <w:lang w:eastAsia="en-US"/>
          <w14:ligatures w14:val="standardContextual"/>
        </w:rPr>
        <w:t>—such as urgency, tissue compatibility, and likelihood of success—rather than on social status, financial capability, or personal connections. Procedural justice emphasizes transparent, accountable, and inclusive decision-making processes, ensuring that every patient on a transplant waiting list is treated equally and fairly. If these principles are neglected, the transplant system may devolve into an exploitative market where only the affluent have access to donor organs. At the same time, people with low incomes are excluded or, worse, commodified. Such inequality is not only a violation of legal justice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{"citationItems":[{"id":"ITEM-1","itemData":{"ISBN":"0674000773","abstract":"Persepsi adalah suatu proses pengenalan atau identifikasi sesuatu dengan menggunakan panca indera (Drever, 2010). persepsi merupakan inti komunikasi. Persepsi memiliki peran yang sangat penting dalam keberhasilan komunikasi. Artinya, kecermatan dalam mempersepsikan stimuli inderawi mengantarkan kepada keberhasilan komunikasi. Sebaliknya, kegagalan dalam mempersepsi stimulus, menyebabkan mis-komunikasi (Suranto, 2011)","author":[{"dropping-particle":"","family":"Rawls","given":"John","non-dropping-particle":"","parse-names":false,"suffix":""}],"id":"ITEM-1","issued":{"date-parts":[["1999"]]},"number-of-pages":"6","publisher":"The Belknap Press of Harvard University Press","publisher-place":"Cambridge","title":"A Theory of Justice","type":"book"},"uris":["http://www.mendeley.com/documents/?uuid=22be0b2c-bfd7-4e8f-b23d-0f2d6d2ebc7b"]}],"mendeley":{"formattedCitation":"(Rawls, 1999)","plainTextFormattedCitation":"(Rawls, 1999)","previouslyFormattedCitation":"(Rawls, 1999)"},"properties":{"noteIndex":0},"schema":"https://github.com/citation-style-language/schema/raw/master/csl-citation.json"}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(Rawls, 1999)</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but also undermines the integrity of the healthcare system and erodes public trust.</w:t>
      </w:r>
    </w:p>
    <w:p w14:paraId="390A9171" w14:textId="0E9BB689"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 xml:space="preserve">Governments and healthcare institutions are thus morally and legally obligated to establish transparent mechanisms for organ allocation, including independent oversight committees, national waiting lists, and audit trails that track allocation decisions. In Islamic ethics, this aligns with the principle of </w:t>
      </w:r>
      <w:proofErr w:type="spellStart"/>
      <w:r w:rsidRPr="000436A4">
        <w:rPr>
          <w:rFonts w:ascii="Calibri Light" w:eastAsia="Aptos" w:hAnsi="Calibri Light" w:cs="Calibri Light"/>
          <w:i/>
          <w:iCs/>
          <w:kern w:val="2"/>
          <w:sz w:val="24"/>
          <w:szCs w:val="24"/>
          <w:lang w:eastAsia="en-US"/>
          <w14:ligatures w14:val="standardContextual"/>
        </w:rPr>
        <w:t>ʿadālah</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(justice), which mandates fairness in distribution and prohibits </w:t>
      </w:r>
      <w:proofErr w:type="spellStart"/>
      <w:r w:rsidRPr="000436A4">
        <w:rPr>
          <w:rFonts w:ascii="Calibri Light" w:eastAsia="Aptos" w:hAnsi="Calibri Light" w:cs="Calibri Light"/>
          <w:i/>
          <w:iCs/>
          <w:kern w:val="2"/>
          <w:sz w:val="24"/>
          <w:szCs w:val="24"/>
          <w:lang w:eastAsia="en-US"/>
          <w14:ligatures w14:val="standardContextual"/>
        </w:rPr>
        <w:t>ẓulm</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(oppression or inequity)</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{"citationItems":[{"id":"ITEM-1","itemData":{"DOI":"10.47672/ejpcr.1481","abstract":"Purpose: Organ donation and transplantation are practices that are supported by all of the world's major religions, including Sikhism, Christianity, Hinduism, and Judaism. Recent developments in the fields of organ donation and organ transplantation have sparked a renewed sense of optimism for the treatment of critical illnesses. The jurists permitted organ transplants on the basis of certain principles, including ownership and categories of property. On the other hand, moralists strive to deny the ownership of human organs by using principles such as faith and Almighty Allah’s absolute authority. Then main objective of this research paper is on one hand to identify and emphasize arguments for and against organ donation and transplantation in the framework of scared provisions of Islam and its corresponding legal requirements and on the other hand to understand and teach the people that not only Islam allows organ donation but also encourage its followers to assist one another and make an effort to promote organ donations in society.\r Methodology: The doctrinal methodology. Explanatory and analytical research approaches are used in this work. It is worth mentioning that this research study is entirely based on library sources. Most of the sources are reputable and trustworthy textbooks, scholarly published and unpublished journal articles, law reports, and online websites related to the research area.\r Findings: According to the arguments as well as clear and explicit rulings, principles and authentic evidence from the Holy Quran, it is clear that the donation and transplantation of human body organs is permissible. The Holy religion of Islam persuades its followers to participate in charity, assist people, and donate organs to save the lives of those patients who are waiting for organ transplant.\r Recommendations: Theoretically, this work is very useful in contributing to the existing body of literature of knowledge. Practically, this work identifies the circumstances in which Muslim jurists not only allow but encourage its followers to assist one another and make an effort to promote organ donations in society in order to save people’s life. It is recommended that both the donor and the recipient of an organ must belong to the same nationality or legal jurisdiction in order to prevent the growth of an international organ trade, which would be far more difficult to regulate. Additionally, in order to protect the health of both the recipients and the do…","author":[{"dropping-particle":"","family":"Fazli","given":"Fazal","non-dropping-particle":"","parse-names":false,"suffix":""},{"dropping-particle":"","family":"Hemat","given":"Toryalai","non-dropping-particle":"","parse-names":false,"suffix":""}],"container-title":"European Journal of Philosophy, Culture and Religion","id":"ITEM-1","issue":"1","issued":{"date-parts":[["2023"]]},"page":"56-63","title":"Organ Donation and Transplantation and Their Ethics in the Light of Islamic Shariah","type":"article-journal","volume":"7"},"uris":["http://www.mendeley.com/documents/?uuid=63752a6c-9d81-482c-b3cf-b57ce811097e"]}],"mendeley":{"formattedCitation":"(Fazli &amp; Hemat, 2023)","plainTextFormattedCitation":"(Fazli &amp; Hemat, 2023)","previouslyFormattedCitation":"(Fazli &amp; Hemat, 2023)"},"properties":{"noteIndex":0},"schema":"https://github.com/citation-style-language/schema/raw/master/csl-citation.json"}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(Fazli &amp; Hemat, 2023)</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The Qur'an affirms, "Indeed, Allah commands you to render trusts to whom they are due and when you judge between people to judge with justice" (QS. An-</w:t>
      </w:r>
      <w:proofErr w:type="spellStart"/>
      <w:r w:rsidRPr="000436A4">
        <w:rPr>
          <w:rFonts w:ascii="Calibri Light" w:eastAsia="Aptos" w:hAnsi="Calibri Light" w:cs="Calibri Light"/>
          <w:kern w:val="2"/>
          <w:sz w:val="24"/>
          <w:szCs w:val="24"/>
          <w:lang w:eastAsia="en-US"/>
          <w14:ligatures w14:val="standardContextual"/>
        </w:rPr>
        <w:t>Nisā</w:t>
      </w:r>
      <w:proofErr w:type="spellEnd"/>
      <w:r w:rsidRPr="000436A4">
        <w:rPr>
          <w:rFonts w:ascii="Calibri Light" w:eastAsia="Aptos" w:hAnsi="Calibri Light" w:cs="Calibri Light"/>
          <w:kern w:val="2"/>
          <w:sz w:val="24"/>
          <w:szCs w:val="24"/>
          <w:lang w:eastAsia="en-US"/>
          <w14:ligatures w14:val="standardContextual"/>
        </w:rPr>
        <w:t>': 58), a directive that is deeply applicable to resource allocation in life-saving medical interventions like organ transplantation.</w:t>
      </w:r>
    </w:p>
    <w:p w14:paraId="657A7FEE"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 xml:space="preserve">Beyond distributive and procedural fairness, the concept of corrective justice is also vital. Corrective justice refers to efforts to redress or compensate individuals who suffer harm during the transplantation process—particularly donors who may face long-term health or social consequences. In this context, donors who develop medical complications, psychological distress, or loss of livelihood post-donation should be entitled to state-supported remedies such as lifelong medical monitoring, psychological care, and financial or employment protection. This principle resonates with the Islamic concept of </w:t>
      </w:r>
      <w:proofErr w:type="spellStart"/>
      <w:r w:rsidRPr="000436A4">
        <w:rPr>
          <w:rFonts w:ascii="Calibri Light" w:eastAsia="Aptos" w:hAnsi="Calibri Light" w:cs="Calibri Light"/>
          <w:i/>
          <w:iCs/>
          <w:kern w:val="2"/>
          <w:sz w:val="24"/>
          <w:szCs w:val="24"/>
          <w:lang w:eastAsia="en-US"/>
          <w14:ligatures w14:val="standardContextual"/>
        </w:rPr>
        <w:t>taʿwīḍ</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or rightful compensation for harm endured, which is not considered contrary to the non-commercial spirit of organ donation but rather a form of social protection for the </w:t>
      </w:r>
      <w:proofErr w:type="spellStart"/>
      <w:r w:rsidRPr="000436A4">
        <w:rPr>
          <w:rFonts w:ascii="Calibri Light" w:eastAsia="Aptos" w:hAnsi="Calibri Light" w:cs="Calibri Light"/>
          <w:i/>
          <w:iCs/>
          <w:kern w:val="2"/>
          <w:sz w:val="24"/>
          <w:szCs w:val="24"/>
          <w:lang w:eastAsia="en-US"/>
          <w14:ligatures w14:val="standardContextual"/>
        </w:rPr>
        <w:t>muḥsinīn</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(those who perform good deeds).</w:t>
      </w:r>
    </w:p>
    <w:p w14:paraId="278AAC2C" w14:textId="449E1A32"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The ethical dimension of organ donation must rest on three foundational principles of biomedical ethics: Respect for Autonomy, Non-Maleficence, and Beneficence</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{"citationItems":[{"id":"ITEM-1","itemData":{"author":[{"dropping-particle":"","family":"Beauchamp, Tom L., Childress","given":"James F.","non-dropping-particle":"","parse-names":false,"suffix":""}],"id":"ITEM-1","issued":{"date-parts":[["2019"]]},"publisher":"Oxford University Press","publisher-place":"London","title":"Principles of Biomedical Ethics","type":"book"},"uris":["http://www.mendeley.com/documents/?uuid=ffb0d369-486d-421a-a54f-0a6d690e5619"]}],"mendeley":{"formattedCitation":"(Beauchamp, Tom L., Childress, 2019)","plainTextFormattedCitation":"(Beauchamp, Tom L., Childress, 2019)","previouslyFormattedCitation":"(Beauchamp, Tom L., Childress, 2019)"},"properties":{"noteIndex":0},"schema":"https://github.com/citation-style-language/schema/raw/master/csl-citation.json"}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(Beauchamp, Tom L., Childress, 2019)</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Respect for autonomy mandates that individuals must have the right to make voluntary and informed decisions about </w:t>
      </w:r>
      <w:proofErr w:type="gramStart"/>
      <w:r w:rsidRPr="000436A4">
        <w:rPr>
          <w:rFonts w:ascii="Calibri Light" w:eastAsia="Aptos" w:hAnsi="Calibri Light" w:cs="Calibri Light"/>
          <w:kern w:val="2"/>
          <w:sz w:val="24"/>
          <w:szCs w:val="24"/>
          <w:lang w:eastAsia="en-US"/>
          <w14:ligatures w14:val="standardContextual"/>
        </w:rPr>
        <w:t>whether or not</w:t>
      </w:r>
      <w:proofErr w:type="gramEnd"/>
      <w:r w:rsidRPr="000436A4">
        <w:rPr>
          <w:rFonts w:ascii="Calibri Light" w:eastAsia="Aptos" w:hAnsi="Calibri Light" w:cs="Calibri Light"/>
          <w:kern w:val="2"/>
          <w:sz w:val="24"/>
          <w:szCs w:val="24"/>
          <w:lang w:eastAsia="en-US"/>
          <w14:ligatures w14:val="standardContextual"/>
        </w:rPr>
        <w:t xml:space="preserve"> to donate their organs. This necessitates access to transparent, complete, and unbiased information and protection from coercion, manipulation, or economic pressure. In Islamic jurisprudence, this is reflected in the principle of </w:t>
      </w:r>
      <w:proofErr w:type="spellStart"/>
      <w:r w:rsidRPr="000436A4">
        <w:rPr>
          <w:rFonts w:ascii="Calibri Light" w:eastAsia="Aptos" w:hAnsi="Calibri Light" w:cs="Calibri Light"/>
          <w:i/>
          <w:iCs/>
          <w:kern w:val="2"/>
          <w:sz w:val="24"/>
          <w:szCs w:val="24"/>
          <w:lang w:eastAsia="en-US"/>
          <w14:ligatures w14:val="standardContextual"/>
        </w:rPr>
        <w:t>ikhtiyār</w:t>
      </w:r>
      <w:proofErr w:type="spellEnd"/>
      <w:r w:rsidRPr="000436A4">
        <w:rPr>
          <w:rFonts w:ascii="Calibri Light" w:eastAsia="Aptos" w:hAnsi="Calibri Light" w:cs="Calibri Light"/>
          <w:kern w:val="2"/>
          <w:sz w:val="24"/>
          <w:szCs w:val="24"/>
          <w:lang w:eastAsia="en-US"/>
          <w14:ligatures w14:val="standardContextual"/>
        </w:rPr>
        <w:t xml:space="preserve"> (free will), where any act of giving—particularly involving the human body—must be based on genuine consent and intent.</w:t>
      </w:r>
    </w:p>
    <w:p w14:paraId="66271ABF" w14:textId="1FCFC254" w:rsidR="00B12823"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The principle of non-maleficence—"not harm"—requires that all reasonable steps be taken to minimize risk to donors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{"citationItems":[{"id":"ITEM-1","itemData":{"DOI":"10.1007/s11019-019-09904-8","ISBN":"0123456789","ISSN":"15728633","PMID":"31087205","abstract":"The dead donor rule (DDR) originally stated that organ donors must not be killed by and for organ donation. Scholars later added the requirement that vital organs should not be procured before death. Some now argue that the DDR is breached in donation after circulatory determination of death (DCDD) programs. DCDD programs do not breach the original version of the DDR because vital organs are procured only after circulation has ceased permanently as a consequence of withdrawal of life-sustaining therapy. We hold that the original rendition of the DDR banning killing by and for organ donation is the fundamental norm that should be maintained in transplantation ethics. We propose separating the DDR from two other fundamental normative rules: the duties to prevent harm and to obtain informed consent.","author":[{"dropping-particle":"","family":"Dalle Ave","given":"Anne L.","non-dropping-particle":"","parse-names":false,"suffix":""},{"dropping-particle":"","family":"Sulmasy","given":"Daniel P.","non-dropping-particle":"","parse-names":false,"suffix":""},{"dropping-particle":"","family":"Bernat","given":"James L.","non-dropping-particle":"","parse-names":false,"suffix":""}],"container-title":"Medicine, Health Care and Philosophy","id":"ITEM-1","issue":"1","issued":{"date-parts":[["2020"]]},"page":"43-50","publisher":"Springer Netherlands","title":"The ethical obligation of the dead donor rule","type":"article-journal","volume":"23"},"uris":["http://www.mendeley.com/documents/?uuid=451da1aa-5ddc-459f-a4b9-8499cf895849"]}],"mendeley":{"formattedCitation":"(Dalle Ave et al., 2020)","plainTextFormattedCitation":"(Dalle Ave et al., 2020)","previouslyFormattedCitation":"(Dalle Ave et al., 2020)"},"properties":{"noteIndex":0},"schema":"https://github.com/citation-style-language/schema/raw/master/csl-citation.json"}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(Dalle Ave et al., 2020)</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This includes thorough medical screening, psychological evaluations, and follow-up care to ensure long-term donor safety and well-being. In Islam, the principle of </w:t>
      </w:r>
      <w:proofErr w:type="spellStart"/>
      <w:r w:rsidRPr="000436A4">
        <w:rPr>
          <w:rFonts w:ascii="Calibri Light" w:eastAsia="Aptos" w:hAnsi="Calibri Light" w:cs="Calibri Light"/>
          <w:i/>
          <w:iCs/>
          <w:kern w:val="2"/>
          <w:sz w:val="24"/>
          <w:szCs w:val="24"/>
          <w:lang w:eastAsia="en-US"/>
          <w14:ligatures w14:val="standardContextual"/>
        </w:rPr>
        <w:t>lā</w:t>
      </w:r>
      <w:proofErr w:type="spellEnd"/>
      <w:r w:rsidRPr="000436A4">
        <w:rPr>
          <w:rFonts w:ascii="Calibri Light" w:eastAsia="Aptos" w:hAnsi="Calibri Light" w:cs="Calibri Light"/>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ḍarar</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wa</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lā</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ḍirār</w:t>
      </w:r>
      <w:proofErr w:type="spellEnd"/>
      <w:r w:rsidRPr="000436A4">
        <w:rPr>
          <w:rFonts w:ascii="Calibri Light" w:eastAsia="Aptos" w:hAnsi="Calibri Light" w:cs="Calibri Light"/>
          <w:kern w:val="2"/>
          <w:sz w:val="24"/>
          <w:szCs w:val="24"/>
          <w:lang w:eastAsia="en-US"/>
          <w14:ligatures w14:val="standardContextual"/>
        </w:rPr>
        <w:t xml:space="preserve"> (no harm and no reciprocating </w:t>
      </w:r>
      <w:r w:rsidRPr="000436A4">
        <w:rPr>
          <w:rFonts w:ascii="Calibri Light" w:eastAsia="Aptos" w:hAnsi="Calibri Light" w:cs="Calibri Light"/>
          <w:kern w:val="2"/>
          <w:sz w:val="24"/>
          <w:szCs w:val="24"/>
          <w:lang w:eastAsia="en-US"/>
          <w14:ligatures w14:val="standardContextual"/>
        </w:rPr>
        <w:lastRenderedPageBreak/>
        <w:t>harm) forms the legal maxim that reinforces this standard of medical ethics. The third principle, beneficence, obliges healthcare providers to act in the patient's and the donor's best interest by ensuring that the outcome of the transplantation process brings about significant and measurable benefits without unjust costs to others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{"citationItems":[{"id":"ITEM-1","itemData":{"DOI":"10.1186/s12910-022-00791-y","ISBN":"1291002200","ISSN":"14726939","PMID":"35790956","abstract":"Consent in medical practice is a process riddled with layers of complexities. To some extent, this is inevitable given that different medical conditions raise different sets of issues for doctors and patients. Informed consent and risk assessment are highly significant public health issues that have become even more prominent during the course of the Covid-19 pandemic. In this article we identity relevant factors for clinicians to consider when ensuring consent for solid organ transplantation. Consent to undergo solid organ transplantation is more complex than most surgical and other clinical interventions because of the many factors involved, the complexity of the options and the need to balance competing risks. We first out the context in which consent is given by the patient. We then outline the legal principles pertaining to consent in medical practice as it applies in the UK and the implication of recent legal judgments. The third section highlights specific complexities of consent in organ transplantation and identifies relevant factors in determining consent for organ transplantation. The fourth section offers practical recommendations. We propose a novel ‘multi-factor approach’ to informed consent in transplantation which includes understanding risk, effective communication, and robust review processes. Whilst understanding risk and communication are a given, our suggestion is that including review processes into the consent process is essential. By this we specifically mean identifying and creating room for discretion in decision-making to better ensure that informed consent is given in practice. Discretion implies that health care professionals use their judgement to use the legal judgements as guidance rather than prescriptive. Discretion is further defined by identifying the relevant options and scope of clinical and personal factors in specified transplantation decisions. In particular, we also highlight the need to pay attention to the institutional dimension in the consent process. To that end, our recommendations identify a gap in the current approaches to consent. The identification of areas of discretion in decision-making processes is essential for determining when patients need to be involved. In other words, clinicians and healthcare professionals need to consider carefully when there is room for direction and where there is little or no room for exercising discretion. In sum, our proposed approach is a modest contribution to the on…","author":[{"dropping-particle":"","family":"Raza","given":"Farrah","non-dropping-particle":"","parse-names":false,"suffix":""},{"dropping-particle":"","family":"Neuberger","given":"James","non-dropping-particle":"","parse-names":false,"suffix":""}],"container-title":"BMC Medical Ethics","id":"ITEM-1","issue":"1","issued":{"date-parts":[["2022"]]},"page":"1-10","publisher":"BioMed Central","title":"Consent in organ transplantation: putting legal obligations and guidelines into practice","type":"article-journal","volume":"23"},"uris":["http://www.mendeley.com/documents/?uuid=f82592bf-bc12-4b5d-a238-eb05839e61e3"]}],"mendeley":{"formattedCitation":"(Raza &amp; Neuberger, 2022)","plainTextFormattedCitation":"(Raza &amp; Neuberger, 2022)","previouslyFormattedCitation":"(Raza &amp; Neuberger, 2022)"},"properties":{"noteIndex":0},"schema":"https://github.com/citation-style-language/schema/raw/master/csl-citation.json"}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(Raza &amp; Neuberger, 2022)</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w:t>
      </w:r>
    </w:p>
    <w:p w14:paraId="1289A43A" w14:textId="4A74C7A7" w:rsidR="000436A4" w:rsidRPr="000436A4"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When these ethical principles are upheld—supported by justice in distribution, procedure, and compensation—organ donation becomes a medically effective practice and a reflection of human dignity, compassion, and social responsibility</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{"citationItems":[{"id":"ITEM-1","itemData":{"DOI":"10.1097/MOT.0000000000001058","ISBN":"0000000000","ISSN":"15317013","PMID":"36787240","abstract":"Purpose of review: There is no widely accepted single ethical principle for the fair allocation of scarce donor organs for transplantation. Although most allocation systems use combinations of allocation principles, there is a particular tension between 'prioritizing the worst-off' and 'maximizing total benefits'. It is often suggested that empirical research on public preferences should help solve the dilemma between equity and efficiency in allocation policy-making. Recent findings: This review shows that the evidence on public preferences for allocation principles is limited, and that the normative role of public preferences in donor organ allocation policy making is unclear. The review seeks to clarify the ethical dilemma to the transplant community, and draws attention to recent attempts at balancing and rank-ordering of allocation principles. Summary: This review suggests that policy makers should make explicit the relative weights attributed to equity and efficiency considerations in allocation policies, and monitor the effects of policy changes on important ethics outcomes, including equitable access among patient groups. Also, it draws attention to wider justice issues associated not with the distribution of donor organs among patients on waiting lists, but with barriers in referral for transplant evaluation and disparities among patient groups in access to waiting lists.","author":[{"dropping-particle":"","family":"Bunnik","given":"Eline M.","non-dropping-particle":"","parse-names":false,"suffix":""}],"container-title":"Current Opinion in Organ Transplantation","id":"ITEM-1","issue":"3","issued":{"date-parts":[["2023"]]},"page":"192-196","title":"Ethics of allocation of donor organs","type":"article-journal","volume":"28"},"uris":["http://www.mendeley.com/documents/?uuid=fa84c0a8-9c12-4422-b8bb-64abcc04742d"]}],"mendeley":{"formattedCitation":"(Bunnik, 2023)","plainTextFormattedCitation":"(Bunnik, 2023)","previouslyFormattedCitation":"(Bunnik, 2023)"},"properties":{"noteIndex":0},"schema":"https://github.com/citation-style-language/schema/raw/master/csl-citation.json"}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(Bunnik, 2023)</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In Islamic thought, organ donation is viewed as a noble act (</w:t>
      </w:r>
      <w:proofErr w:type="spellStart"/>
      <w:r w:rsidRPr="000436A4">
        <w:rPr>
          <w:rFonts w:ascii="Calibri Light" w:eastAsia="Aptos" w:hAnsi="Calibri Light" w:cs="Calibri Light"/>
          <w:i/>
          <w:iCs/>
          <w:kern w:val="2"/>
          <w:sz w:val="24"/>
          <w:szCs w:val="24"/>
          <w:lang w:eastAsia="en-US"/>
          <w14:ligatures w14:val="standardContextual"/>
        </w:rPr>
        <w:t>ṣadaqah</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jariyah</w:t>
      </w:r>
      <w:proofErr w:type="spellEnd"/>
      <w:r w:rsidRPr="000436A4">
        <w:rPr>
          <w:rFonts w:ascii="Calibri Light" w:eastAsia="Aptos" w:hAnsi="Calibri Light" w:cs="Calibri Light"/>
          <w:kern w:val="2"/>
          <w:sz w:val="24"/>
          <w:szCs w:val="24"/>
          <w:lang w:eastAsia="en-US"/>
          <w14:ligatures w14:val="standardContextual"/>
        </w:rPr>
        <w:t xml:space="preserve">) </w:t>
      </w:r>
      <w:proofErr w:type="gramStart"/>
      <w:r w:rsidRPr="000436A4">
        <w:rPr>
          <w:rFonts w:ascii="Calibri Light" w:eastAsia="Aptos" w:hAnsi="Calibri Light" w:cs="Calibri Light"/>
          <w:kern w:val="2"/>
          <w:sz w:val="24"/>
          <w:szCs w:val="24"/>
          <w:lang w:eastAsia="en-US"/>
          <w14:ligatures w14:val="standardContextual"/>
        </w:rPr>
        <w:t>as long as</w:t>
      </w:r>
      <w:proofErr w:type="gramEnd"/>
      <w:r w:rsidRPr="000436A4">
        <w:rPr>
          <w:rFonts w:ascii="Calibri Light" w:eastAsia="Aptos" w:hAnsi="Calibri Light" w:cs="Calibri Light"/>
          <w:kern w:val="2"/>
          <w:sz w:val="24"/>
          <w:szCs w:val="24"/>
          <w:lang w:eastAsia="en-US"/>
          <w14:ligatures w14:val="standardContextual"/>
        </w:rPr>
        <w:t xml:space="preserve"> it respects the sanctity of the human body, adheres to ethical procedures, and does not lead to harm or exploitation. Integrating universal bioethical principles with Islamic moral values offers a comprehensive framework for developing Indonesia's fair, trustworthy, and spiritually aligned organ transplantation system.</w:t>
      </w:r>
    </w:p>
    <w:p w14:paraId="28CD8E8C" w14:textId="77777777" w:rsidR="000436A4" w:rsidRPr="000436A4" w:rsidRDefault="000436A4" w:rsidP="000436A4">
      <w:pPr>
        <w:autoSpaceDE/>
        <w:autoSpaceDN/>
        <w:spacing w:before="120" w:after="120"/>
        <w:ind w:left="425"/>
        <w:rPr>
          <w:rFonts w:ascii="Calibri Light" w:eastAsia="Aptos" w:hAnsi="Calibri Light" w:cs="Calibri Light"/>
          <w:b/>
          <w:bCs/>
          <w:kern w:val="2"/>
          <w:sz w:val="24"/>
          <w:szCs w:val="24"/>
          <w:lang w:eastAsia="en-US"/>
          <w14:ligatures w14:val="standardContextual"/>
        </w:rPr>
      </w:pPr>
      <w:r w:rsidRPr="000436A4">
        <w:rPr>
          <w:rFonts w:ascii="Calibri Light" w:eastAsia="Aptos" w:hAnsi="Calibri Light" w:cs="Calibri Light"/>
          <w:b/>
          <w:bCs/>
          <w:kern w:val="2"/>
          <w:sz w:val="24"/>
          <w:szCs w:val="24"/>
          <w:lang w:eastAsia="en-US"/>
          <w14:ligatures w14:val="standardContextual"/>
        </w:rPr>
        <w:t>Comparative Analysis: Legal Protection for Organ Donors Abroad</w:t>
      </w:r>
    </w:p>
    <w:p w14:paraId="70E26035"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Organ donation is an integral component of contemporary healthcare systems, offering hope and extended life to patients suffering from terminal organ failure. Nevertheless, organ transplantation systems' effectiveness, fairness, and sustainability are heavily influenced by the degree of legal protection extended to donors. The comparative analysis of donor protection models in Iran, Chile, and Singapore reveals significant variations in how jurisdictions embed justice, ethics, and social values into their legal frameworks. While contextually rooted, these countries offer distinct regulatory architectures that converge on a common normative goal: ensuring that organ donors are treated with dignity, protected from exploitation, and encouraged through ethically sound mechanisms. For Indonesia—where organ donation is both a medical need and a religiously sensitive issue—these models provide critical lessons.</w:t>
      </w:r>
    </w:p>
    <w:p w14:paraId="3791B8CE" w14:textId="443C52A3"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Iran's transplantation framework, often termed the Iranian Model of Living Kidney Donation, exemplifies how Islamic law and positive legal norms can be harmonized to address donor shortages while upholding human dignity. The system is notable for its legal recognition of compensation for living unrelated kidney donors, a policy managed under the strict supervision of the Iranian Patients Kidney Foundation (IPKF)</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{"citationItems":[{"id":"ITEM-1","itemData":{"DOI":"10.1038/ki.2012.219","ISSN":"15231755","PMID":"22673884","abstract":"Organ shortage for transplantation remains a worldwide serious problem for kidney patients with end-stage renal failure, and several countries have tried different models to address this issue. Iran has 20 years of experience with one such model that involves the active role of the government and charity foundations. Patients with a desperate demand for a kidney have given rise to a black market of brokers and other forms of organ commercialism only accessible to those with sufficient financial resources. The current Iranian model has enabled most of the Iranian kidney transplant candidates, irrespective of socioeconomic class, to have access to kidney transplantation. The Iranian government has committed a large budget through funding hospital and staff at the Ministry of Health and Medical Education by supporting the brain death donation (BDD) program or redirecting part of the budget of living unrelated renal donation (LURD) to the BDD program. It has been shown that it did not prevent the development and progression of a BDD program. However, the LURD program is characterized by several controversial procedures (e.g., confrontation of donor and recipient at the end of the evaluation procedure along with some financial interactions) that should be ethically reviewed. Operational weaknesses such as the lack of a registration system and long-term follow-up of the donors are identified as the Achilles heel of the model. © 2012 International Society of Nephrology.","author":[{"dropping-particle":"","family":"Mahdavi-Mazdeh","given":"Mitra","non-dropping-particle":"","parse-names":false,"suffix":""}],"container-title":"Kidney International","id":"ITEM-1","issue":"6","issued":{"date-parts":[["2012"]]},"page":"627-634","publisher":"Nature Publishing Group","title":"The Iranian model of living renal transplantation","type":"article-journal","volume":"82"},"uris":["http://www.mendeley.com/documents/?uuid=b923b221-44a1-4232-acae-1b65b70cfcaf"]}],"mendeley":{"formattedCitation":"(Mahdavi-Mazdeh, 2012)","plainTextFormattedCitation":"(Mahdavi-Mazdeh, 2012)","previouslyFormattedCitation":"(Mahdavi-Mazdeh, 2012)"},"properties":{"noteIndex":0},"schema":"https://github.com/citation-style-language/schema/raw/master/csl-citation.json"}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(Mahdavi-</w:t>
      </w:r>
      <w:proofErr w:type="spellStart"/>
      <w:r w:rsidRPr="000436A4">
        <w:rPr>
          <w:rFonts w:ascii="Calibri Light" w:eastAsia="Aptos" w:hAnsi="Calibri Light" w:cs="Calibri Light"/>
          <w:noProof/>
          <w:kern w:val="2"/>
          <w:sz w:val="24"/>
          <w:szCs w:val="24"/>
          <w:lang w:eastAsia="en-US"/>
          <w14:ligatures w14:val="standardContextual"/>
        </w:rPr>
        <w:t>Mazdeh</w:t>
      </w:r>
      <w:proofErr w:type="spellEnd"/>
      <w:r w:rsidRPr="000436A4">
        <w:rPr>
          <w:rFonts w:ascii="Calibri Light" w:eastAsia="Aptos" w:hAnsi="Calibri Light" w:cs="Calibri Light"/>
          <w:noProof/>
          <w:kern w:val="2"/>
          <w:sz w:val="24"/>
          <w:szCs w:val="24"/>
          <w:lang w:eastAsia="en-US"/>
          <w14:ligatures w14:val="standardContextual"/>
        </w:rPr>
        <w:t>, 2012)</w:t>
      </w:r>
      <w:r w:rsidRPr="000436A4">
        <w:rPr>
          <w:rFonts w:ascii="Calibri Light" w:eastAsia="Aptos" w:hAnsi="Calibri Light" w:cs="Calibri Light"/>
          <w:kern w:val="2"/>
          <w:sz w:val="24"/>
          <w:szCs w:val="24"/>
          <w:vertAlign w:val="superscript"/>
          <w:lang w:eastAsia="en-US"/>
          <w14:ligatures w14:val="standardContextual"/>
        </w:rPr>
        <w:fldChar w:fldCharType="end"/>
      </w:r>
      <w:r w:rsidRPr="000436A4">
        <w:rPr>
          <w:rFonts w:ascii="Calibri Light" w:eastAsia="Aptos" w:hAnsi="Calibri Light" w:cs="Calibri Light"/>
          <w:kern w:val="2"/>
          <w:sz w:val="24"/>
          <w:szCs w:val="24"/>
          <w:lang w:eastAsia="en-US"/>
          <w14:ligatures w14:val="standardContextual"/>
        </w:rPr>
        <w:t>. This foundation ensures transparency, matches donors and recipients fairly, and excludes intermediaries, preventing black-market practices. Compensation is agreed upon privately but monitored by the state, and post-donation benefits—including a financial reward, health insurance, and military exemption—are provided through the Charity Foundation for Special Diseases (CFSD)</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{"citationItems":[{"id":"ITEM-1","itemData":{"DOI":"10.1097/TP.0000000000001164","ISBN":"0000000000","ISSN":"00411337","PMID":"27203584","abstract":"Limited organ availability in all countries has stimulated discussion about incentives to increase donation. Since 1988, Iran has operated the only government-sponsored paid living donor (LD) kidney transplant program. This article reviews aspects of the Living Unrelated Donor program and development of deceased donation in Iran. Available evidence indicates that in the partially regulated Iranian Model, the direct negotiation between donors and recipients fosters direct monetary relationship with no safeguards against mutual exploitation. Brokers, the black market and transplant tourism exist, and the waiting list has not been eliminated. Through comparison between the large deceased donor program in Shiraz and other centers in Iran, this article explores the association between paid donation and the development of a deceased donor program. Shiraz progressively eliminated paid donor transplants such that by 2011, 85% of kidney transplants in Shiraz compared with 27% across the rest of Iran's other centers were from deceased donors. Among 26 centers, Shiraz undertakes the largest number of deceased donor kidney transplants, most liver transplants, and all pancreas transplants. In conclusion, although many patients with end stage renal disease have received transplants through the paid living donation, the Iranian Model now has serious flaws and is potentially inhibiting substantial growth in deceased donor organ transplants in Iran.","author":[{"dropping-particle":"","family":"Ghahramani","given":"Nasrollah","non-dropping-particle":"","parse-names":false,"suffix":""}],"container-title":"Transplantation","id":"ITEM-1","issue":"6","issued":{"date-parts":[["2016"]]},"page":"1165-1169","title":"Paid Living Donation and Growth of Deceased Donor Programs","type":"article-journal","volume":"100"},"uris":["http://www.mendeley.com/documents/?uuid=03a4b2ef-5733-4053-b573-338816301637"]}],"mendeley":{"formattedCitation":"(Ghahramani, 2016)","plainTextFormattedCitation":"(Ghahramani, 2016)","previouslyFormattedCitation":"(Ghahramani, 2016)"},"properties":{"noteIndex":0},"schema":"https://github.com/citation-style-language/schema/raw/master/csl-citation.json"}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(Ghahramani, 2016)</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From the perspective of Islamic jurisprudence, this model aligns with the principle of </w:t>
      </w:r>
      <w:proofErr w:type="spellStart"/>
      <w:r w:rsidRPr="000436A4">
        <w:rPr>
          <w:rFonts w:ascii="Calibri Light" w:eastAsia="Aptos" w:hAnsi="Calibri Light" w:cs="Calibri Light"/>
          <w:i/>
          <w:iCs/>
          <w:kern w:val="2"/>
          <w:sz w:val="24"/>
          <w:szCs w:val="24"/>
          <w:lang w:eastAsia="en-US"/>
          <w14:ligatures w14:val="standardContextual"/>
        </w:rPr>
        <w:t>ḥifẓ</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r w:rsidRPr="000436A4">
        <w:rPr>
          <w:rFonts w:ascii="Calibri Light" w:eastAsia="Aptos" w:hAnsi="Calibri Light" w:cs="Calibri Light"/>
          <w:i/>
          <w:iCs/>
          <w:kern w:val="2"/>
          <w:sz w:val="24"/>
          <w:szCs w:val="24"/>
          <w:lang w:eastAsia="en-US"/>
          <w14:ligatures w14:val="standardContextual"/>
        </w:rPr>
        <w:t>nafs</w:t>
      </w:r>
      <w:proofErr w:type="spellEnd"/>
      <w:r w:rsidRPr="000436A4">
        <w:rPr>
          <w:rFonts w:ascii="Calibri Light" w:eastAsia="Aptos" w:hAnsi="Calibri Light" w:cs="Calibri Light"/>
          <w:i/>
          <w:iCs/>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(protection of life) and </w:t>
      </w:r>
      <w:proofErr w:type="spellStart"/>
      <w:r w:rsidRPr="000436A4">
        <w:rPr>
          <w:rFonts w:ascii="Calibri Light" w:eastAsia="Aptos" w:hAnsi="Calibri Light" w:cs="Calibri Light"/>
          <w:i/>
          <w:iCs/>
          <w:kern w:val="2"/>
          <w:sz w:val="24"/>
          <w:szCs w:val="24"/>
          <w:lang w:eastAsia="en-US"/>
          <w14:ligatures w14:val="standardContextual"/>
        </w:rPr>
        <w:t>ʿadālah</w:t>
      </w:r>
      <w:proofErr w:type="spellEnd"/>
      <w:r w:rsidRPr="000436A4">
        <w:rPr>
          <w:rFonts w:ascii="Calibri Light" w:eastAsia="Aptos" w:hAnsi="Calibri Light" w:cs="Calibri Light"/>
          <w:kern w:val="2"/>
          <w:sz w:val="24"/>
          <w:szCs w:val="24"/>
          <w:lang w:eastAsia="en-US"/>
          <w14:ligatures w14:val="standardContextual"/>
        </w:rPr>
        <w:t xml:space="preserve"> (justice), ensuring that the act of giving is safeguarded against economic coercion and rewarded appropriately without violating the prohibition on organ trade (</w:t>
      </w:r>
      <w:r w:rsidRPr="000436A4">
        <w:rPr>
          <w:rFonts w:ascii="Calibri Light" w:eastAsia="Aptos" w:hAnsi="Calibri Light" w:cs="Calibri Light"/>
          <w:i/>
          <w:iCs/>
          <w:kern w:val="2"/>
          <w:sz w:val="24"/>
          <w:szCs w:val="24"/>
          <w:lang w:eastAsia="en-US"/>
          <w14:ligatures w14:val="standardContextual"/>
        </w:rPr>
        <w:t>bai 'al-</w:t>
      </w:r>
      <w:proofErr w:type="spellStart"/>
      <w:proofErr w:type="gramStart"/>
      <w:r w:rsidRPr="000436A4">
        <w:rPr>
          <w:rFonts w:ascii="Calibri Light" w:eastAsia="Aptos" w:hAnsi="Calibri Light" w:cs="Calibri Light"/>
          <w:i/>
          <w:iCs/>
          <w:kern w:val="2"/>
          <w:sz w:val="24"/>
          <w:szCs w:val="24"/>
          <w:lang w:eastAsia="en-US"/>
          <w14:ligatures w14:val="standardContextual"/>
        </w:rPr>
        <w:t>a‘</w:t>
      </w:r>
      <w:proofErr w:type="gramEnd"/>
      <w:r w:rsidRPr="000436A4">
        <w:rPr>
          <w:rFonts w:ascii="Calibri Light" w:eastAsia="Aptos" w:hAnsi="Calibri Light" w:cs="Calibri Light"/>
          <w:i/>
          <w:iCs/>
          <w:kern w:val="2"/>
          <w:sz w:val="24"/>
          <w:szCs w:val="24"/>
          <w:lang w:eastAsia="en-US"/>
          <w14:ligatures w14:val="standardContextual"/>
        </w:rPr>
        <w:t>ḍā</w:t>
      </w:r>
      <w:proofErr w:type="spellEnd"/>
      <w:r w:rsidRPr="000436A4">
        <w:rPr>
          <w:rFonts w:ascii="Calibri Light" w:eastAsia="Aptos" w:hAnsi="Calibri Light" w:cs="Calibri Light"/>
          <w:i/>
          <w:iCs/>
          <w:kern w:val="2"/>
          <w:sz w:val="24"/>
          <w:szCs w:val="24"/>
          <w:lang w:eastAsia="en-US"/>
          <w14:ligatures w14:val="standardContextual"/>
        </w:rPr>
        <w:t>'</w:t>
      </w:r>
      <w:r w:rsidRPr="000436A4">
        <w:rPr>
          <w:rFonts w:ascii="Calibri Light" w:eastAsia="Aptos" w:hAnsi="Calibri Light" w:cs="Calibri Light"/>
          <w:kern w:val="2"/>
          <w:sz w:val="24"/>
          <w:szCs w:val="24"/>
          <w:lang w:eastAsia="en-US"/>
          <w14:ligatures w14:val="standardContextual"/>
        </w:rPr>
        <w:t>).</w:t>
      </w:r>
    </w:p>
    <w:p w14:paraId="6C6B91DF" w14:textId="3B9C4750"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Furthermore, Iran's approach to deceased donation is rooted in Islamic legal doctrines. If a deceased donor has not given prior consent, restitution (</w:t>
      </w:r>
      <w:proofErr w:type="spellStart"/>
      <w:r w:rsidRPr="000436A4">
        <w:rPr>
          <w:rFonts w:ascii="Calibri Light" w:eastAsia="Aptos" w:hAnsi="Calibri Light" w:cs="Calibri Light"/>
          <w:i/>
          <w:iCs/>
          <w:kern w:val="2"/>
          <w:sz w:val="24"/>
          <w:szCs w:val="24"/>
          <w:lang w:eastAsia="en-US"/>
          <w14:ligatures w14:val="standardContextual"/>
        </w:rPr>
        <w:t>diyat</w:t>
      </w:r>
      <w:proofErr w:type="spellEnd"/>
      <w:r w:rsidRPr="000436A4">
        <w:rPr>
          <w:rFonts w:ascii="Calibri Light" w:eastAsia="Aptos" w:hAnsi="Calibri Light" w:cs="Calibri Light"/>
          <w:kern w:val="2"/>
          <w:sz w:val="24"/>
          <w:szCs w:val="24"/>
          <w:lang w:eastAsia="en-US"/>
          <w14:ligatures w14:val="standardContextual"/>
        </w:rPr>
        <w:t>) may be provided to the family, reflecting the value of compensatory justice in Islamic criminal and civil law</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{"citationItems":[{"id":"ITEM-1","itemData":{"DOI":"10.1177/1357034X07082257","ISSN":"1357034X","author":[{"dropping-particle":"","family":"Tober","given":"Diane M.","non-dropping-particle":"","parse-names":false,"suffix":""}],"container-title":"Body and Society","id":"ITEM-1","issue":"3","issued":{"date-parts":[["2007"]]},"page":"151-170","title":"Kidneys and controversies in the Islamic Republic of Iran: The case of organ sale","type":"article-journal","volume":"13"},"uris":["http://www.mendeley.com/documents/?uuid=18dcb652-9a83-47c2-a234-ec17c540629c"]}],"mendeley":{"formattedCitation":"(Tober, 2007)","plainTextFormattedCitation":"(Tober, 2007)","previouslyFormattedCitation":"(Tober, 2007)"},"properties":{"noteIndex":0},"schema":"https://github.com/citation-style-language/schema/raw/master/csl-citation.json"}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(Tober, 2007)</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This practice mirrors the </w:t>
      </w:r>
      <w:proofErr w:type="spellStart"/>
      <w:r w:rsidRPr="000436A4">
        <w:rPr>
          <w:rFonts w:ascii="Calibri Light" w:eastAsia="Aptos" w:hAnsi="Calibri Light" w:cs="Calibri Light"/>
          <w:i/>
          <w:iCs/>
          <w:kern w:val="2"/>
          <w:sz w:val="24"/>
          <w:szCs w:val="24"/>
          <w:lang w:eastAsia="en-US"/>
          <w14:ligatures w14:val="standardContextual"/>
        </w:rPr>
        <w:t>maqāṣid</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proofErr w:type="gramStart"/>
      <w:r w:rsidRPr="000436A4">
        <w:rPr>
          <w:rFonts w:ascii="Calibri Light" w:eastAsia="Aptos" w:hAnsi="Calibri Light" w:cs="Calibri Light"/>
          <w:i/>
          <w:iCs/>
          <w:kern w:val="2"/>
          <w:sz w:val="24"/>
          <w:szCs w:val="24"/>
          <w:lang w:eastAsia="en-US"/>
          <w14:ligatures w14:val="standardContextual"/>
        </w:rPr>
        <w:t>sharī‘</w:t>
      </w:r>
      <w:proofErr w:type="gramEnd"/>
      <w:r w:rsidRPr="000436A4">
        <w:rPr>
          <w:rFonts w:ascii="Calibri Light" w:eastAsia="Aptos" w:hAnsi="Calibri Light" w:cs="Calibri Light"/>
          <w:i/>
          <w:iCs/>
          <w:kern w:val="2"/>
          <w:sz w:val="24"/>
          <w:szCs w:val="24"/>
          <w:lang w:eastAsia="en-US"/>
          <w14:ligatures w14:val="standardContextual"/>
        </w:rPr>
        <w:t>ah</w:t>
      </w:r>
      <w:proofErr w:type="spellEnd"/>
      <w:r w:rsidRPr="000436A4">
        <w:rPr>
          <w:rFonts w:ascii="Calibri Light" w:eastAsia="Aptos" w:hAnsi="Calibri Light" w:cs="Calibri Light"/>
          <w:kern w:val="2"/>
          <w:sz w:val="24"/>
          <w:szCs w:val="24"/>
          <w:lang w:eastAsia="en-US"/>
          <w14:ligatures w14:val="standardContextual"/>
        </w:rPr>
        <w:t xml:space="preserve"> framework, wherein all medical </w:t>
      </w:r>
      <w:r w:rsidRPr="000436A4">
        <w:rPr>
          <w:rFonts w:ascii="Calibri Light" w:eastAsia="Aptos" w:hAnsi="Calibri Light" w:cs="Calibri Light"/>
          <w:kern w:val="2"/>
          <w:sz w:val="24"/>
          <w:szCs w:val="24"/>
          <w:lang w:eastAsia="en-US"/>
          <w14:ligatures w14:val="standardContextual"/>
        </w:rPr>
        <w:lastRenderedPageBreak/>
        <w:t>interventions must preserve the sanctity of human life, bodily integrity, and social justice. As a result, the Iranian model is not only functional in addressing medical needs but also theologically and ethically coherent, making it particularly relevant and reassuring to Indonesia's context as a Muslim-majority nation.</w:t>
      </w:r>
    </w:p>
    <w:p w14:paraId="52CCD086" w14:textId="6597D0BD" w:rsidR="00B12823"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In contrast, Chile adopts a solidarity-driven presumed consent (opt-out) model with embedded priority allocation rules. Under the 2013 reform to its Organ Donor Law, all citizens are automatically considered organ donors unless they explicitly opt-out</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{"citationItems":[{"id":"ITEM-1","itemData":{"DOI":"10.2471/blt.14.139535","ISSN":"0042-9686","abstract":"Chile, a middle-income country, recently joined Israel and Singapore as the world's only countries to require reciprocity as a precondition for organ transplantation. The Chilean reform includes opt-out provisions designed to foster donation and priority for organ transplantation for registered people. Although the reform has had serious difficulties in achieving its mission, it can be reviewed by other countries that seek to address the serious shortage of organs. As increased organ donation can substantially enhance or save more lives, the effect on organ availability due to incentives arising from rules of preference should not be underestimated.\\n\\nAbstract available from the publisher.\\n\\nAbstract available from the publisher.\\n\\nAbstract available from the publisher.\\n\\nAbstract available from the publisher.\\n\\nAbstract available from the publisher.","author":[{"dropping-particle":"","family":"Zúñiga-Fajuri","given":"Alejandra","non-dropping-particle":"","parse-names":false,"suffix":""}],"container-title":"Bulletin of the World Health Organization","id":"ITEM-1","issue":"3","issued":{"date-parts":[["2015"]]},"page":"199-202","title":"Increasing organ donation by presumed consent and allocation priority: Chile","type":"article-journal","volume":"93"},"uris":["http://www.mendeley.com/documents/?uuid=f539cb96-054f-43e3-8b2b-917ba4756e24"]}],"mendeley":{"formattedCitation":"(Zúñiga-Fajuri, 2015)","plainTextFormattedCitation":"(Zúñiga-Fajuri, 2015)","previouslyFormattedCitation":"(Zúñiga-Fajuri, 2015)"},"properties":{"noteIndex":0},"schema":"https://github.com/citation-style-language/schema/raw/master/csl-citation.json"}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(Zúñiga-Fajuri, 2015)</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Additionally, registered donors are given priority in organ allocation—those who agree to donate receive preferential access should they later require a transplant. This system is based on reciprocal justice, a concept that ensures fairness by rewarding those who contribute to the system. It encourages public participation through a fair return mechanism. The model reflects the procedural and distributive justice notion articulated by Rawls,</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{"citationItems":[{"id":"ITEM-1","itemData":{"ISBN":"0674000773","abstract":"Persepsi adalah suatu proses pengenalan atau identifikasi sesuatu dengan menggunakan panca indera (Drever, 2010). persepsi merupakan inti komunikasi. Persepsi memiliki peran yang sangat penting dalam keberhasilan komunikasi. Artinya, kecermatan dalam mempersepsikan stimuli inderawi mengantarkan kepada keberhasilan komunikasi. Sebaliknya, kegagalan dalam mempersepsi stimulus, menyebabkan mis-komunikasi (Suranto, 2011)","author":[{"dropping-particle":"","family":"Rawls","given":"John","non-dropping-particle":"","parse-names":false,"suffix":""}],"id":"ITEM-1","issued":{"date-parts":[["1999"]]},"number-of-pages":"6","publisher":"The Belknap Press of Harvard University Press","publisher-place":"Cambridge","title":"A Theory of Justice","type":"book"},"uris":["http://www.mendeley.com/documents/?uuid=22be0b2c-bfd7-4e8f-b23d-0f2d6d2ebc7b"]}],"mendeley":{"formattedCitation":"(Rawls, 1999)","plainTextFormattedCitation":"(Rawls, 1999)","previouslyFormattedCitation":"(Rawls, 1999)"},"properties":{"noteIndex":0},"schema":"https://github.com/citation-style-language/schema/raw/master/csl-citation.json"}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(Rawls, 1999)</w:t>
      </w:r>
      <w:r w:rsidRPr="000436A4">
        <w:rPr>
          <w:rFonts w:ascii="Calibri Light" w:eastAsia="Aptos" w:hAnsi="Calibri Light" w:cs="Calibri Light"/>
          <w:kern w:val="2"/>
          <w:sz w:val="24"/>
          <w:szCs w:val="24"/>
          <w:vertAlign w:val="superscript"/>
          <w:lang w:eastAsia="en-US"/>
          <w14:ligatures w14:val="standardContextual"/>
        </w:rPr>
        <w:fldChar w:fldCharType="end"/>
      </w:r>
      <w:r w:rsidRPr="000436A4">
        <w:rPr>
          <w:rFonts w:ascii="Calibri Light" w:eastAsia="Aptos" w:hAnsi="Calibri Light" w:cs="Calibri Light"/>
          <w:kern w:val="2"/>
          <w:sz w:val="24"/>
          <w:szCs w:val="24"/>
          <w:lang w:eastAsia="en-US"/>
          <w14:ligatures w14:val="standardContextual"/>
        </w:rPr>
        <w:t xml:space="preserve"> who emphasizes the fairness of processes and the equitable distribution of scarce resources. Critics argue that reciprocity incentives might dilute altruistic motivations, but proponents such as Kolber suggest that these incentives foster a broader moral engagement by linking benefit with contribution</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{"citationItems":[{"id":"ITEM-1","itemData":{"author":[{"dropping-particle":"","family":"Kolber","given":"Adam J.","non-dropping-particle":"","parse-names":false,"suffix":""}],"container-title":"Rutgers Law Review","id":"ITEM-1","issued":{"date-parts":[["2003"]]},"page":"671","title":"A Matter of Priority: Transplanting Organs Preferentially to Registered Donors","type":"article-journal","volume":"55"},"uris":["http://www.mendeley.com/documents/?uuid=55605348-d4d7-4482-a0f2-2f24a519cf13"]}],"mendeley":{"formattedCitation":"(Kolber, 2003)","plainTextFormattedCitation":"(Kolber, 2003)","previouslyFormattedCitation":"(Kolber, 2003)"},"properties":{"noteIndex":0},"schema":"https://github.com/citation-style-language/schema/raw/master/csl-citation.json"}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(Kolber, 2003)</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w:t>
      </w:r>
    </w:p>
    <w:p w14:paraId="16927C1C" w14:textId="50B36985" w:rsidR="000436A4" w:rsidRPr="000436A4" w:rsidRDefault="000436A4" w:rsidP="00B12823">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Chile's approach is particularly effective in reinforcing social solidarity, as it communicates that participation in life-saving programs is a shared social responsibility. Organ allocation is treated as a public good, yet access is conditional upon civic contribution. While donation rates have not increased dramatically, countries with similar systems—France, Belgium, and Austria—have reported 25–30% higher than those using opt-in systems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{"citationItems":[{"id":"ITEM-1","itemData":{"DOI":"10.1016/j.jhealeco.2006.01.003","ISSN":"01676296","PMID":"16490267","abstract":"In the U.S., Great Britain and in many other countries, the gap between the demand and the supply of human organs for transplantation is on the rise, despite the efforts of governments and health agencies to promote donor registration. In some countries of continental Europe, however, cadaveric organ procurement is based on the principle of presumed consent. Under presumed consent legislation, a deceased individual is classified as a potential donor in absence of explicit opposition to donation before death. This article analyzes the impact of presumed consent laws on donation rates. For this purpose, we construct a dataset on organ donation rates and potential factors affecting organ donation for 22 countries over a 10-year period. We find that while differences in other determinants of organ donation explain much of the variation in donation rates, after controlling for those determinants presumed consent legislation has a positive and sizeable effect on organ donation rates. We use the panel structure of our dataset to test and reject the hypothesis that unmeasured determinants of organ donation rates confound our empirical results. © 2006 Elsevier B.V. All rights reserved.","author":[{"dropping-particle":"","family":"Abadie","given":"Alberto","non-dropping-particle":"","parse-names":false,"suffix":""},{"dropping-particle":"","family":"Gay","given":"Sebastien","non-dropping-particle":"","parse-names":false,"suffix":""}],"container-title":"Journal of Health Economics","id":"ITEM-1","issue":"4","issued":{"date-parts":[["2006"]]},"page":"599-620","title":"The impact of presumed consent legislation on cadaveric organ donation: A cross-country study","type":"article-journal","volume":"25"},"uris":["http://www.mendeley.com/documents/?uuid=10327098-636b-46d1-bafd-84cdc0bd04b5"]}],"mendeley":{"formattedCitation":"(Abadie &amp; Gay, 2006)","plainTextFormattedCitation":"(Abadie &amp; Gay, 2006)","previouslyFormattedCitation":"(Abadie &amp; Gay, 2006)"},"properties":{"noteIndex":0},"schema":"https://github.com/citation-style-language/schema/raw/master/csl-citation.json"}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(Abadie &amp; Gay, 2006)</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From a legal-theoretical standpoint, this model reflects the principle of utilitarian public welfare, where individual autonomy is preserved through opt-out options while maximizing social benefit remains a priority. This balance between personal rights and collective good is convincingly demonstrated in the Chilean model, which parallels the Islamic legal concept of </w:t>
      </w:r>
      <w:proofErr w:type="spellStart"/>
      <w:r w:rsidRPr="000436A4">
        <w:rPr>
          <w:rFonts w:ascii="Calibri Light" w:eastAsia="Aptos" w:hAnsi="Calibri Light" w:cs="Calibri Light"/>
          <w:i/>
          <w:iCs/>
          <w:kern w:val="2"/>
          <w:sz w:val="24"/>
          <w:szCs w:val="24"/>
          <w:lang w:eastAsia="en-US"/>
          <w14:ligatures w14:val="standardContextual"/>
        </w:rPr>
        <w:t>maslahah</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ʿāmmah</w:t>
      </w:r>
      <w:proofErr w:type="spellEnd"/>
      <w:r w:rsidRPr="000436A4">
        <w:rPr>
          <w:rFonts w:ascii="Calibri Light" w:eastAsia="Aptos" w:hAnsi="Calibri Light" w:cs="Calibri Light"/>
          <w:kern w:val="2"/>
          <w:sz w:val="24"/>
          <w:szCs w:val="24"/>
          <w:lang w:eastAsia="en-US"/>
          <w14:ligatures w14:val="standardContextual"/>
        </w:rPr>
        <w:t xml:space="preserve"> (public interest), wherein the community's welfare can justify state policy, provided individual dignity is not violated.</w:t>
      </w:r>
    </w:p>
    <w:p w14:paraId="0CAFFA0B" w14:textId="6A3716AA"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Singapore presents a high-efficiency legal system grounded in reciprocal justice and moral clarity. The Human Organ Transplant Act (HOTA), enacted in 1987, establishes a presumed consent framework with a strict rule: those who opt out of donation lose their priority in organ allocation</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{"citationItems":[{"id":"ITEM-1","itemData":{"author":[{"dropping-particle":"","family":"Iyer","given":"T.K.K.","non-dropping-particle":"","parse-names":false,"suffix":""}],"container-title":"Forensic Science International","id":"ITEM-1","issue":"December 1986","issued":{"date-parts":[["1987"]]},"page":"131-140","title":"Kidneys For Transplant - “Opting Out” Law In Singapore","type":"article-journal","volume":"35"},"uris":["http://www.mendeley.com/documents/?uuid=5e397657-f4a0-4247-aa00-374fc70b0555"]}],"mendeley":{"formattedCitation":"(Iyer, 1987)","plainTextFormattedCitation":"(Iyer, 1987)","previouslyFormattedCitation":"(Iyer, 1987)"},"properties":{"noteIndex":0},"schema":"https://github.com/citation-style-language/schema/raw/master/csl-citation.json"}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(Iyer, 1987)</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The primary objective of implementing this system is to increase public participation in organ donation programs, especially amid limited organ supplies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{"citationItems":[{"id":"ITEM-1","itemData":{"DOI":"10.2147/RMHP.S270234","ISSN":"11791594","abstract":"This paper argues that there is little difference between opt-in and opt-out organ donation systems for increasing donor numbers when used in isolation. Independently diverting to an opt-out system confers no obvious advantage and can harm efforts to bolster donations. Rather, it is essential to address barriers to organ donation on several levels along with a switch in system. Moreover, for many countries, it may be more beneficial to adequately capacitate the donation system already in place, rather than entertain a significant change with its attendant resource requirements. For decades, the international transplant community has been involved in vigorous debate as to the merits of moving from default opt-in systems to opt-out policies to grow organ donor numbers and better meet the everincreasing demand for lifesaving transplants. Opt-out is certainly en vogue, with Wales, England and Nova Scotia recently switching over, Scotland due to become opt-out in March 2021 and Northern Ireland and Canada seriously considering a similar move. Thanks to several countries making the switch from opt-in to opt-out over the last 20–30 years, there are sets of robust longitudinal data that aid in analysing the efficacy of donation systems. However, these data are often contradictory and largely inconclusive, suggesting other factors may be in play. This paper reviews some emerging trends in opt-in versus opt-out organ donation policies and considers recent data that elucidates some of the main contentions across each. Ethical frameworks underpinning donation systems, such as informed consent, trust and transparency, are discussed in detail. Substantial time is also devoted to opt-in vs opt-out systems in developing countries, which tend to be excluded from many analyses, and where the challenges faced are magnified by socio-economic constraints. This constitutes a major gap in recently published literature, as developing countries often lag far behind their developed counterparts in donor and transplant numbers.","author":[{"dropping-particle":"","family":"Etheredge","given":"Harriet Rosanne","non-dropping-particle":"","parse-names":false,"suffix":""}],"container-title":"Risk Management and Healthcare Policy","id":"ITEM-1","issued":{"date-parts":[["2021"]]},"page":"1985-1998","title":"Assessing global organ donation policies: Opt-in vs opt-out","type":"article-journal","volume":"14"},"uris":["http://www.mendeley.com/documents/?uuid=2debc0a4-578f-4d50-b1c8-8c50997ee3c3"]}],"mendeley":{"formattedCitation":"(Etheredge, 2021)","plainTextFormattedCitation":"(Etheredge, 2021)","previouslyFormattedCitation":"(Etheredge, 2021)"},"properties":{"noteIndex":0},"schema":"https://github.com/citation-style-language/schema/raw/master/csl-citation.json"}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noProof/>
          <w:kern w:val="2"/>
          <w:sz w:val="24"/>
          <w:szCs w:val="24"/>
          <w:lang w:eastAsia="en-US"/>
          <w14:ligatures w14:val="standardContextual"/>
        </w:rPr>
        <w:t>(Etheredge, 2021)</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However, concerns arise that if organ supply becomes sufficient due to the opt-out system, the priority rule might no longer be effective in deterring "free rider" behavior—those who wish to receive organs but are unwilling to donate. Nevertheless, combining the opt-out system and the priority principle in Singapore has proven quite successful in boosting donation rates from living and deceased donors</w:t>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{"citationItems":[{"id":"ITEM-1","itemData":{"author":[{"dropping-particle":"","family":"Chandler","given":"Jennifer A","non-dropping-particle":"","parse-names":false,"suffix":""}],"container-title":"Health Law Journal","id":"ITEM-1","issued":{"date-parts":[["2005"]]},"page":"244-246","title":"Priority Systems in the Allocation of Organs for Transplant : Should we reward those who have previously agreed to donate ? Forthcoming ( 2005 ) 13 Health Law Journal pp . Assistant Professor Faculty of Law , University of Ottawa Introduction Organ transp","type":"article-journal","volume":"13"},"uris":["http://www.mendeley.com/documents/?uuid=fffb52ba-afa7-44a5-9340-525fa9a4324f"]}],"mendeley":{"formattedCitation":"(Chandler, 2005)","plainTextFormattedCitation":"(Chandler, 2005)","previouslyFormattedCitation":"(Chandler, 2005)"},"properties":{"noteIndex":0},"schema":"https://github.com/citation-style-language/schema/raw/master/csl-citation.json"}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(Chandler, 2005)</w:t>
      </w:r>
      <w:r w:rsidRPr="000436A4">
        <w:rPr>
          <w:rFonts w:ascii="Calibri Light" w:eastAsia="Aptos" w:hAnsi="Calibri Light" w:cs="Calibri Light"/>
          <w:kern w:val="2"/>
          <w:sz w:val="24"/>
          <w:szCs w:val="24"/>
          <w:vertAlign w:val="superscript"/>
          <w:lang w:eastAsia="en-US"/>
          <w14:ligatures w14:val="standardContextual"/>
        </w:rPr>
        <w:fldChar w:fldCharType="end"/>
      </w:r>
      <w:r w:rsidR="00B12823">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 xml:space="preserve">The priority </w:t>
      </w:r>
      <w:r w:rsidR="00B12823" w:rsidRPr="000436A4">
        <w:rPr>
          <w:rFonts w:ascii="Calibri Light" w:eastAsia="Aptos" w:hAnsi="Calibri Light" w:cs="Calibri Light"/>
          <w:kern w:val="2"/>
          <w:sz w:val="24"/>
          <w:szCs w:val="24"/>
          <w:lang w:eastAsia="en-US"/>
          <w14:ligatures w14:val="standardContextual"/>
        </w:rPr>
        <w:t>principal</w:t>
      </w:r>
      <w:r w:rsidRPr="000436A4">
        <w:rPr>
          <w:rFonts w:ascii="Calibri Light" w:eastAsia="Aptos" w:hAnsi="Calibri Light" w:cs="Calibri Light"/>
          <w:kern w:val="2"/>
          <w:sz w:val="24"/>
          <w:szCs w:val="24"/>
          <w:lang w:eastAsia="en-US"/>
          <w14:ligatures w14:val="standardContextual"/>
        </w:rPr>
        <w:t xml:space="preserve"> acts as a moral signal and strong incentive for the public: refusing to be a donor directly reduces one's chance of receiving an organ in the future. This is viewed as a form of reciprocal justice, emphasizing that anyone who wishes to benefit from the organ transplantation system must also be willing to contribute.</w:t>
      </w:r>
    </w:p>
    <w:p w14:paraId="5618307E"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 xml:space="preserve">The increase in donor numbers in Singapore following the implementation of this system indicates that the policy is effective in raising public awareness. Although the impact of the </w:t>
      </w:r>
      <w:r w:rsidRPr="000436A4">
        <w:rPr>
          <w:rFonts w:ascii="Calibri Light" w:eastAsia="Aptos" w:hAnsi="Calibri Light" w:cs="Calibri Light"/>
          <w:kern w:val="2"/>
          <w:sz w:val="24"/>
          <w:szCs w:val="24"/>
          <w:lang w:eastAsia="en-US"/>
          <w14:ligatures w14:val="standardContextual"/>
        </w:rPr>
        <w:lastRenderedPageBreak/>
        <w:t>priority rule cannot be entirely separated from the overall effect of the opt-out system, initial results show a positive trend. Pragmatically, the public has begun to understand that the willingness to donate is part of community members' moral and social responsibility.</w:t>
      </w:r>
    </w:p>
    <w:p w14:paraId="790929F6" w14:textId="192A8A5F"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Furthermore, this legal system provides a transparent and fair allocation process, as priority status is determined by an individual's contribution to the system. In other words, those who declare their willingness to donate are prioritized as recipients when organs become available. This principle is grounded in efficiency considerations and the value of distributive justice—those scarce resources, such as organs for transplantation, should be given to those who are also willing to give</w:t>
      </w:r>
      <w:r>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vertAlign w:val="superscript"/>
          <w:lang w:eastAsia="en-US"/>
          <w14:ligatures w14:val="standardContextual"/>
        </w:rPr>
        <w:fldChar w:fldCharType="begin" w:fldLock="1"/>
      </w:r>
      <w:r w:rsidR="00A749D0">
        <w:rPr>
          <w:rFonts w:ascii="Calibri Light" w:eastAsia="Aptos" w:hAnsi="Calibri Light" w:cs="Calibri Light"/>
          <w:kern w:val="2"/>
          <w:sz w:val="24"/>
          <w:szCs w:val="24"/>
          <w:lang w:eastAsia="en-US"/>
          <w14:ligatures w14:val="standardContextual"/>
        </w:rPr>
        <w:instrText>ADDIN CSL_CITATION {"citationItems":[{"id":"ITEM-1","itemData":{"DOI":"10.1038/s41581-021-00425-3","ISBN":"0123456789","ISSN":"1759507X","PMID":"33953367","abstract":"Although overall donation and transplantation activity is higher in Europe than on other continents, differences between European countries in almost every aspect of transplantation activity (for example, in the number of transplantations, the number of people with a functioning graft, in rates of living versus deceased donation, and in the use of expanded criteria donors) suggest that there is ample room for improvement. Herein we review the policy and clinical measures that should be considered to increase access to transplantation and improve post-transplantation outcomes. This Roadmap, generated by a group of major European stakeholders collaborating within a Thematic Network, presents an outline of the challenges to increasing transplantation rates and proposes 12 key areas along with specific measures that should be considered to promote transplantation. This framework can be adopted by countries and institutions that are interested in advancing transplantation, both within and outside the European Union. Within this framework, a priority ranking of initiatives is suggested that could serve as the basis for a new European Union Action Plan on Organ Donation and Transplantation.","author":[{"dropping-particle":"","family":"Vanholder","given":"Raymond","non-dropping-particle":"","parse-names":false,"suffix":""},{"dropping-particle":"","family":"Domínguez-Gil","given":"Beatriz","non-dropping-particle":"","parse-names":false,"suffix":""},{"dropping-particle":"","family":"Busic","given":"Mirela","non-dropping-particle":"","parse-names":false,"suffix":""},{"dropping-particle":"","family":"Cortez-Pinto","given":"Helena","non-dropping-particle":"","parse-names":false,"suffix":""},{"dropping-particle":"","family":"Craig","given":"Jonathan C.","non-dropping-particle":"","parse-names":false,"suffix":""},{"dropping-particle":"","family":"Jager","given":"Kitty J.","non-dropping-particle":"","parse-names":false,"suffix":""},{"dropping-particle":"","family":"Mahillo","given":"Beatriz","non-dropping-particle":"","parse-names":false,"suffix":""},{"dropping-particle":"","family":"Stel","given":"Vianda S.","non-dropping-particle":"","parse-names":false,"suffix":""},{"dropping-particle":"","family":"Valentin","given":"Maria O.","non-dropping-particle":"","parse-names":false,"suffix":""},{"dropping-particle":"","family":"Zoccali","given":"Carmine","non-dropping-particle":"","parse-names":false,"suffix":""},{"dropping-particle":"","family":"Oniscu","given":"Gabriel C.","non-dropping-particle":"","parse-names":false,"suffix":""}],"container-title":"Nature Reviews Nephrology","id":"ITEM-1","issue":"8","issued":{"date-parts":[["2021"]]},"page":"554-568","publisher":"Springer US","title":"Organ donation and transplantation: a multi-stakeholder call to action","type":"article-journal","volume":"17"},"uris":["http://www.mendeley.com/documents/?uuid=94bddf83-d872-45de-87cd-a315d18c3fe4"]}],"mendeley":{"formattedCitation":"(Vanholder et al., 2021)","plainTextFormattedCitation":"(Vanholder et al., 2021)","previouslyFormattedCitation":"(Vanholder et al., 2021)"},"properties":{"noteIndex":0},"schema":"https://github.com/citation-style-language/schema/raw/master/csl-citation.json"}</w:instrText>
      </w:r>
      <w:r w:rsidRPr="000436A4">
        <w:rPr>
          <w:rFonts w:ascii="Calibri Light" w:eastAsia="Aptos" w:hAnsi="Calibri Light" w:cs="Calibri Light"/>
          <w:kern w:val="2"/>
          <w:sz w:val="24"/>
          <w:szCs w:val="24"/>
          <w:vertAlign w:val="superscript"/>
          <w:lang w:eastAsia="en-US"/>
          <w14:ligatures w14:val="standardContextual"/>
        </w:rPr>
        <w:fldChar w:fldCharType="separate"/>
      </w:r>
      <w:r w:rsidRPr="000436A4">
        <w:rPr>
          <w:rFonts w:ascii="Calibri Light" w:eastAsia="Aptos" w:hAnsi="Calibri Light" w:cs="Calibri Light"/>
          <w:bCs/>
          <w:noProof/>
          <w:kern w:val="2"/>
          <w:sz w:val="24"/>
          <w:szCs w:val="24"/>
          <w:lang w:eastAsia="en-US"/>
          <w14:ligatures w14:val="standardContextual"/>
        </w:rPr>
        <w:t>(Vanholder et al., 2021)</w:t>
      </w:r>
      <w:r w:rsidRPr="000436A4">
        <w:rPr>
          <w:rFonts w:ascii="Calibri Light" w:eastAsia="Aptos" w:hAnsi="Calibri Light" w:cs="Calibri Light"/>
          <w:kern w:val="2"/>
          <w:sz w:val="24"/>
          <w:szCs w:val="24"/>
          <w:vertAlign w:val="superscript"/>
          <w:lang w:eastAsia="en-US"/>
          <w14:ligatures w14:val="standardContextual"/>
        </w:rPr>
        <w:fldChar w:fldCharType="end"/>
      </w:r>
      <w:r>
        <w:rPr>
          <w:rFonts w:ascii="Calibri Light" w:eastAsia="Aptos" w:hAnsi="Calibri Light" w:cs="Calibri Light"/>
          <w:kern w:val="2"/>
          <w:sz w:val="24"/>
          <w:szCs w:val="24"/>
          <w:lang w:eastAsia="en-US"/>
          <w14:ligatures w14:val="standardContextual"/>
        </w:rPr>
        <w:t xml:space="preserve">. </w:t>
      </w:r>
      <w:r w:rsidRPr="000436A4">
        <w:rPr>
          <w:rFonts w:ascii="Calibri Light" w:eastAsia="Aptos" w:hAnsi="Calibri Light" w:cs="Calibri Light"/>
          <w:kern w:val="2"/>
          <w:sz w:val="24"/>
          <w:szCs w:val="24"/>
          <w:lang w:eastAsia="en-US"/>
          <w14:ligatures w14:val="standardContextual"/>
        </w:rPr>
        <w:t>This concept has also gained moral support from the broader public, who believe it is unfair for someone to receive an organ while refusing to become a donor. Therefore, the willingness to donate in return for organ eligibility is regarded as a reasonable moral condition within a fair and sustainable organ transplantation system.</w:t>
      </w:r>
    </w:p>
    <w:p w14:paraId="6F9BBA8D"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 xml:space="preserve">The prioritization principle in Singapore reflects what legal theorists call reciprocal legal obligations, where access to state benefits is contingent upon participation. This not only reinforces fairness but also minimizes manipulation of the system. From the standpoint of Islamic ethics, this resonates with the principle of </w:t>
      </w:r>
      <w:proofErr w:type="spellStart"/>
      <w:r w:rsidRPr="000436A4">
        <w:rPr>
          <w:rFonts w:ascii="Calibri Light" w:eastAsia="Aptos" w:hAnsi="Calibri Light" w:cs="Calibri Light"/>
          <w:i/>
          <w:iCs/>
          <w:kern w:val="2"/>
          <w:sz w:val="24"/>
          <w:szCs w:val="24"/>
          <w:lang w:eastAsia="en-US"/>
          <w14:ligatures w14:val="standardContextual"/>
        </w:rPr>
        <w:t>takāful</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ijtimāʿī</w:t>
      </w:r>
      <w:proofErr w:type="spellEnd"/>
      <w:r w:rsidRPr="000436A4">
        <w:rPr>
          <w:rFonts w:ascii="Calibri Light" w:eastAsia="Aptos" w:hAnsi="Calibri Light" w:cs="Calibri Light"/>
          <w:kern w:val="2"/>
          <w:sz w:val="24"/>
          <w:szCs w:val="24"/>
          <w:lang w:eastAsia="en-US"/>
          <w14:ligatures w14:val="standardContextual"/>
        </w:rPr>
        <w:t xml:space="preserve"> (mutual social responsibility) and </w:t>
      </w:r>
      <w:proofErr w:type="spellStart"/>
      <w:r w:rsidRPr="000436A4">
        <w:rPr>
          <w:rFonts w:ascii="Calibri Light" w:eastAsia="Aptos" w:hAnsi="Calibri Light" w:cs="Calibri Light"/>
          <w:i/>
          <w:iCs/>
          <w:kern w:val="2"/>
          <w:sz w:val="24"/>
          <w:szCs w:val="24"/>
          <w:lang w:eastAsia="en-US"/>
          <w14:ligatures w14:val="standardContextual"/>
        </w:rPr>
        <w:t>amānah</w:t>
      </w:r>
      <w:proofErr w:type="spellEnd"/>
      <w:r w:rsidRPr="000436A4">
        <w:rPr>
          <w:rFonts w:ascii="Calibri Light" w:eastAsia="Aptos" w:hAnsi="Calibri Light" w:cs="Calibri Light"/>
          <w:kern w:val="2"/>
          <w:sz w:val="24"/>
          <w:szCs w:val="24"/>
          <w:lang w:eastAsia="en-US"/>
          <w14:ligatures w14:val="standardContextual"/>
        </w:rPr>
        <w:t xml:space="preserve"> (trust), where rights are intertwined with duties, and collective welfare depends on individual moral contribution. Moreover, this model demonstrates a state's responsibility to administer public resources equitably, a role that is particularly secure in the Singaporean model and consistent with </w:t>
      </w:r>
      <w:proofErr w:type="spellStart"/>
      <w:r w:rsidRPr="000436A4">
        <w:rPr>
          <w:rFonts w:ascii="Calibri Light" w:eastAsia="Aptos" w:hAnsi="Calibri Light" w:cs="Calibri Light"/>
          <w:i/>
          <w:iCs/>
          <w:kern w:val="2"/>
          <w:sz w:val="24"/>
          <w:szCs w:val="24"/>
          <w:lang w:eastAsia="en-US"/>
          <w14:ligatures w14:val="standardContextual"/>
        </w:rPr>
        <w:t>siyāsah</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sharʿiyyah</w:t>
      </w:r>
      <w:proofErr w:type="spellEnd"/>
      <w:r w:rsidRPr="000436A4">
        <w:rPr>
          <w:rFonts w:ascii="Calibri Light" w:eastAsia="Aptos" w:hAnsi="Calibri Light" w:cs="Calibri Light"/>
          <w:kern w:val="2"/>
          <w:sz w:val="24"/>
          <w:szCs w:val="24"/>
          <w:lang w:eastAsia="en-US"/>
          <w14:ligatures w14:val="standardContextual"/>
        </w:rPr>
        <w:t xml:space="preserve"> (Islamic governance).</w:t>
      </w:r>
    </w:p>
    <w:p w14:paraId="44509A8D" w14:textId="77777777" w:rsidR="000436A4" w:rsidRPr="000436A4" w:rsidRDefault="000436A4"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r w:rsidRPr="000436A4">
        <w:rPr>
          <w:rFonts w:ascii="Calibri Light" w:eastAsia="Aptos" w:hAnsi="Calibri Light" w:cs="Calibri Light"/>
          <w:kern w:val="2"/>
          <w:sz w:val="24"/>
          <w:szCs w:val="24"/>
          <w:lang w:eastAsia="en-US"/>
          <w14:ligatures w14:val="standardContextual"/>
        </w:rPr>
        <w:t>Though distinct in form, these three models share a foundational commitment to upholding justice, transparency, and protecting donors' rights. Iran institutionalizes donor compensation within a religious-ethical framework; Chile promotes solidarity and fairness through conditional priority; and Singapore enforces reciprocal legal justice to ensure system integrity. Each offers functional paradigms for Indonesia, particularly in designing a system that is not only functional and ethical but also socially and theologically legitimate.</w:t>
      </w:r>
    </w:p>
    <w:p w14:paraId="6229D850" w14:textId="562A758F" w:rsidR="005062E6" w:rsidRDefault="000436A4" w:rsidP="000436A4">
      <w:pPr>
        <w:autoSpaceDE/>
        <w:autoSpaceDN/>
        <w:spacing w:before="120" w:after="120"/>
        <w:ind w:left="425"/>
        <w:jc w:val="both"/>
        <w:rPr>
          <w:rFonts w:ascii="Calibri Light" w:hAnsi="Calibri Light" w:cs="Calibri Light"/>
          <w:color w:val="A6A6A6"/>
          <w:szCs w:val="22"/>
        </w:rPr>
      </w:pPr>
      <w:r w:rsidRPr="000436A4">
        <w:rPr>
          <w:rFonts w:ascii="Calibri Light" w:eastAsia="Aptos" w:hAnsi="Calibri Light" w:cs="Calibri Light"/>
          <w:kern w:val="2"/>
          <w:sz w:val="24"/>
          <w:szCs w:val="24"/>
          <w:lang w:eastAsia="en-US"/>
          <w14:ligatures w14:val="standardContextual"/>
        </w:rPr>
        <w:t xml:space="preserve">For Indonesia, the lessons are clear. A sustainable transplantation system must be supported by law that affirms voluntariness, prohibits commercial exploitation, ensures long-term donor welfare, and integrates moral incentives that reflect the nation's cultural and religious identity. This includes adopting the moral reciprocity of Singapore's policy, the legal-ethical oversight seen in Iran, and the civic-based solidarity promoted by Chile. The incorporation of </w:t>
      </w:r>
      <w:proofErr w:type="spellStart"/>
      <w:r w:rsidRPr="000436A4">
        <w:rPr>
          <w:rFonts w:ascii="Calibri Light" w:eastAsia="Aptos" w:hAnsi="Calibri Light" w:cs="Calibri Light"/>
          <w:i/>
          <w:iCs/>
          <w:kern w:val="2"/>
          <w:sz w:val="24"/>
          <w:szCs w:val="24"/>
          <w:lang w:eastAsia="en-US"/>
          <w14:ligatures w14:val="standardContextual"/>
        </w:rPr>
        <w:t>maqāṣid</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proofErr w:type="gramStart"/>
      <w:r w:rsidRPr="000436A4">
        <w:rPr>
          <w:rFonts w:ascii="Calibri Light" w:eastAsia="Aptos" w:hAnsi="Calibri Light" w:cs="Calibri Light"/>
          <w:i/>
          <w:iCs/>
          <w:kern w:val="2"/>
          <w:sz w:val="24"/>
          <w:szCs w:val="24"/>
          <w:lang w:eastAsia="en-US"/>
          <w14:ligatures w14:val="standardContextual"/>
        </w:rPr>
        <w:t>sharī‘</w:t>
      </w:r>
      <w:proofErr w:type="gramEnd"/>
      <w:r w:rsidRPr="000436A4">
        <w:rPr>
          <w:rFonts w:ascii="Calibri Light" w:eastAsia="Aptos" w:hAnsi="Calibri Light" w:cs="Calibri Light"/>
          <w:i/>
          <w:iCs/>
          <w:kern w:val="2"/>
          <w:sz w:val="24"/>
          <w:szCs w:val="24"/>
          <w:lang w:eastAsia="en-US"/>
          <w14:ligatures w14:val="standardContextual"/>
        </w:rPr>
        <w:t>ah</w:t>
      </w:r>
      <w:proofErr w:type="spellEnd"/>
      <w:r w:rsidRPr="000436A4">
        <w:rPr>
          <w:rFonts w:ascii="Calibri Light" w:eastAsia="Aptos" w:hAnsi="Calibri Light" w:cs="Calibri Light"/>
          <w:kern w:val="2"/>
          <w:sz w:val="24"/>
          <w:szCs w:val="24"/>
          <w:lang w:eastAsia="en-US"/>
          <w14:ligatures w14:val="standardContextual"/>
        </w:rPr>
        <w:t xml:space="preserve">—especially </w:t>
      </w:r>
      <w:proofErr w:type="spellStart"/>
      <w:r w:rsidRPr="000436A4">
        <w:rPr>
          <w:rFonts w:ascii="Calibri Light" w:eastAsia="Aptos" w:hAnsi="Calibri Light" w:cs="Calibri Light"/>
          <w:i/>
          <w:iCs/>
          <w:kern w:val="2"/>
          <w:sz w:val="24"/>
          <w:szCs w:val="24"/>
          <w:lang w:eastAsia="en-US"/>
          <w14:ligatures w14:val="standardContextual"/>
        </w:rPr>
        <w:t>ḥifẓ</w:t>
      </w:r>
      <w:proofErr w:type="spellEnd"/>
      <w:r w:rsidRPr="000436A4">
        <w:rPr>
          <w:rFonts w:ascii="Calibri Light" w:eastAsia="Aptos" w:hAnsi="Calibri Light" w:cs="Calibri Light"/>
          <w:i/>
          <w:iCs/>
          <w:kern w:val="2"/>
          <w:sz w:val="24"/>
          <w:szCs w:val="24"/>
          <w:lang w:eastAsia="en-US"/>
          <w14:ligatures w14:val="standardContextual"/>
        </w:rPr>
        <w:t xml:space="preserve"> al-</w:t>
      </w:r>
      <w:proofErr w:type="spellStart"/>
      <w:r w:rsidRPr="000436A4">
        <w:rPr>
          <w:rFonts w:ascii="Calibri Light" w:eastAsia="Aptos" w:hAnsi="Calibri Light" w:cs="Calibri Light"/>
          <w:i/>
          <w:iCs/>
          <w:kern w:val="2"/>
          <w:sz w:val="24"/>
          <w:szCs w:val="24"/>
          <w:lang w:eastAsia="en-US"/>
          <w14:ligatures w14:val="standardContextual"/>
        </w:rPr>
        <w:t>nafs</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ʿadālah</w:t>
      </w:r>
      <w:proofErr w:type="spellEnd"/>
      <w:r w:rsidRPr="000436A4">
        <w:rPr>
          <w:rFonts w:ascii="Calibri Light" w:eastAsia="Aptos" w:hAnsi="Calibri Light" w:cs="Calibri Light"/>
          <w:kern w:val="2"/>
          <w:sz w:val="24"/>
          <w:szCs w:val="24"/>
          <w:lang w:eastAsia="en-US"/>
          <w14:ligatures w14:val="standardContextual"/>
        </w:rPr>
        <w:t xml:space="preserve">, and </w:t>
      </w:r>
      <w:proofErr w:type="spellStart"/>
      <w:r w:rsidRPr="000436A4">
        <w:rPr>
          <w:rFonts w:ascii="Calibri Light" w:eastAsia="Aptos" w:hAnsi="Calibri Light" w:cs="Calibri Light"/>
          <w:i/>
          <w:iCs/>
          <w:kern w:val="2"/>
          <w:sz w:val="24"/>
          <w:szCs w:val="24"/>
          <w:lang w:eastAsia="en-US"/>
          <w14:ligatures w14:val="standardContextual"/>
        </w:rPr>
        <w:t>karāmah</w:t>
      </w:r>
      <w:proofErr w:type="spellEnd"/>
      <w:r w:rsidRPr="000436A4">
        <w:rPr>
          <w:rFonts w:ascii="Calibri Light" w:eastAsia="Aptos" w:hAnsi="Calibri Light" w:cs="Calibri Light"/>
          <w:i/>
          <w:iCs/>
          <w:kern w:val="2"/>
          <w:sz w:val="24"/>
          <w:szCs w:val="24"/>
          <w:lang w:eastAsia="en-US"/>
          <w14:ligatures w14:val="standardContextual"/>
        </w:rPr>
        <w:t xml:space="preserve"> </w:t>
      </w:r>
      <w:proofErr w:type="spellStart"/>
      <w:r w:rsidRPr="000436A4">
        <w:rPr>
          <w:rFonts w:ascii="Calibri Light" w:eastAsia="Aptos" w:hAnsi="Calibri Light" w:cs="Calibri Light"/>
          <w:i/>
          <w:iCs/>
          <w:kern w:val="2"/>
          <w:sz w:val="24"/>
          <w:szCs w:val="24"/>
          <w:lang w:eastAsia="en-US"/>
          <w14:ligatures w14:val="standardContextual"/>
        </w:rPr>
        <w:t>insāniyyah</w:t>
      </w:r>
      <w:proofErr w:type="spellEnd"/>
      <w:r w:rsidRPr="000436A4">
        <w:rPr>
          <w:rFonts w:ascii="Calibri Light" w:eastAsia="Aptos" w:hAnsi="Calibri Light" w:cs="Calibri Light"/>
          <w:kern w:val="2"/>
          <w:sz w:val="24"/>
          <w:szCs w:val="24"/>
          <w:lang w:eastAsia="en-US"/>
          <w14:ligatures w14:val="standardContextual"/>
        </w:rPr>
        <w:t xml:space="preserve"> (human dignity)—into Indonesia's regulatory design will ensure that legal protections for organ donors are not merely procedural but also serve as instruments of justice, compassion, and national commitment to human welfare.</w:t>
      </w:r>
      <w:r w:rsidR="007636FC" w:rsidRPr="000436A4">
        <w:rPr>
          <w:rFonts w:ascii="Calibri Light" w:hAnsi="Calibri Light" w:cs="Calibri Light"/>
          <w:sz w:val="24"/>
          <w:szCs w:val="24"/>
        </w:rPr>
        <w:t xml:space="preserve"> </w:t>
      </w:r>
      <w:r w:rsidR="00003189" w:rsidRPr="000436A4">
        <w:rPr>
          <w:rFonts w:ascii="Calibri Light" w:hAnsi="Calibri Light" w:cs="Calibri Light"/>
          <w:color w:val="A6A6A6"/>
          <w:szCs w:val="22"/>
        </w:rPr>
        <w:t>(</w:t>
      </w:r>
      <w:r w:rsidR="007816FC" w:rsidRPr="000436A4">
        <w:rPr>
          <w:rFonts w:ascii="Calibri Light" w:hAnsi="Calibri Light" w:cs="Calibri Light"/>
          <w:color w:val="A6A6A6"/>
          <w:sz w:val="24"/>
          <w:szCs w:val="24"/>
        </w:rPr>
        <w:t>Calibri Light</w:t>
      </w:r>
      <w:r w:rsidR="008C3DC2" w:rsidRPr="000436A4">
        <w:rPr>
          <w:rFonts w:ascii="Calibri Light" w:hAnsi="Calibri Light" w:cs="Calibri Light"/>
          <w:color w:val="A6A6A6"/>
          <w:szCs w:val="22"/>
        </w:rPr>
        <w:t>-</w:t>
      </w:r>
      <w:r w:rsidR="00003189" w:rsidRPr="000436A4">
        <w:rPr>
          <w:rFonts w:ascii="Calibri Light" w:hAnsi="Calibri Light" w:cs="Calibri Light"/>
          <w:color w:val="A6A6A6"/>
          <w:szCs w:val="22"/>
        </w:rPr>
        <w:t>12)</w:t>
      </w:r>
    </w:p>
    <w:p w14:paraId="28209874" w14:textId="77777777" w:rsidR="00A749D0" w:rsidRPr="000436A4" w:rsidRDefault="00A749D0" w:rsidP="000436A4">
      <w:pPr>
        <w:autoSpaceDE/>
        <w:autoSpaceDN/>
        <w:spacing w:before="120" w:after="120"/>
        <w:ind w:left="425"/>
        <w:jc w:val="both"/>
        <w:rPr>
          <w:rFonts w:ascii="Calibri Light" w:eastAsia="Aptos" w:hAnsi="Calibri Light" w:cs="Calibri Light"/>
          <w:kern w:val="2"/>
          <w:sz w:val="24"/>
          <w:szCs w:val="24"/>
          <w:lang w:eastAsia="en-US"/>
          <w14:ligatures w14:val="standardContextual"/>
        </w:rPr>
      </w:pPr>
    </w:p>
    <w:p w14:paraId="437F57C1"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r w:rsidRPr="00540F02">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8B23F8"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5DC8D7D5" w14:textId="77777777" w:rsidR="000436A4" w:rsidRPr="000436A4" w:rsidRDefault="000436A4" w:rsidP="000E3950">
      <w:pPr>
        <w:pStyle w:val="ListParagraph"/>
        <w:spacing w:before="120" w:after="120" w:line="240" w:lineRule="auto"/>
        <w:ind w:left="436" w:hanging="11"/>
        <w:contextualSpacing w:val="0"/>
        <w:jc w:val="both"/>
        <w:rPr>
          <w:rFonts w:ascii="Calibri Light" w:hAnsi="Calibri Light" w:cs="Calibri Light"/>
          <w:sz w:val="24"/>
          <w:szCs w:val="24"/>
        </w:rPr>
      </w:pPr>
      <w:r w:rsidRPr="000436A4">
        <w:rPr>
          <w:rFonts w:ascii="Calibri Light" w:hAnsi="Calibri Light" w:cs="Calibri Light"/>
          <w:sz w:val="24"/>
          <w:szCs w:val="24"/>
        </w:rPr>
        <w:t xml:space="preserve">Legal protection for organ donors in Indonesia is a fundamental necessity for ensuring that organ transplantation is carried out in a manner that is just, ethical, and respectful of human dignity. Although Indonesia has adopted a regulatory framework—such as Law No. </w:t>
      </w:r>
      <w:r w:rsidRPr="000436A4">
        <w:rPr>
          <w:rFonts w:ascii="Calibri Light" w:hAnsi="Calibri Light" w:cs="Calibri Light"/>
          <w:sz w:val="24"/>
          <w:szCs w:val="24"/>
        </w:rPr>
        <w:lastRenderedPageBreak/>
        <w:t>17 of 2023 on Health, Government Regulation No. 28 of 2024, and Minister of Health Regulation No. 38 of 2016—these instruments are still limited in addressing the long-term needs of donors, particularly in the areas of post-transplant health care, psychological support, and legal compensation. The current regulations prioritize procedural compliance and trafficking prevention, but they fail to position donors as rights-holders whose welfare must be protected throughout and beyond the donation process.</w:t>
      </w:r>
    </w:p>
    <w:p w14:paraId="5AB65FD5" w14:textId="77777777" w:rsidR="00A749D0" w:rsidRDefault="000436A4" w:rsidP="000E3950">
      <w:pPr>
        <w:pStyle w:val="ListParagraph"/>
        <w:spacing w:before="120" w:after="120" w:line="240" w:lineRule="auto"/>
        <w:ind w:left="436" w:hanging="11"/>
        <w:contextualSpacing w:val="0"/>
        <w:jc w:val="both"/>
        <w:rPr>
          <w:rFonts w:ascii="Calibri Light" w:hAnsi="Calibri Light" w:cs="Calibri Light"/>
          <w:sz w:val="24"/>
          <w:szCs w:val="24"/>
        </w:rPr>
      </w:pPr>
      <w:r w:rsidRPr="000436A4">
        <w:rPr>
          <w:rFonts w:ascii="Calibri Light" w:hAnsi="Calibri Light" w:cs="Calibri Light"/>
          <w:sz w:val="24"/>
          <w:szCs w:val="24"/>
        </w:rPr>
        <w:t>To fulfill the ethical requirements of justice, organ donors must be treated as legal subjects entitled to complete protection—medically, socially, and legally. A system rooted in reciprocal justice must be developed, whereby those who contribute altruistically to saving lives are guaranteed fairness in return. Comparative experiences from countries such as Iran, Chile, and Singapore show that integrating mechanisms such as regulated compensation, opt-out systems with prioritization, and transparent oversight can increase participation while safeguarding donor rights. When aligned with Indonesian values and legal traditions, these models provide a roadmap for reforming national policies to ensure equity, transparency, and institutional accountability.</w:t>
      </w:r>
    </w:p>
    <w:p w14:paraId="07564DA0" w14:textId="40E6361A" w:rsidR="006B0510" w:rsidRPr="00A749D0" w:rsidRDefault="000436A4" w:rsidP="000E3950">
      <w:pPr>
        <w:pStyle w:val="ListParagraph"/>
        <w:spacing w:before="120" w:after="120" w:line="240" w:lineRule="auto"/>
        <w:ind w:left="436" w:hanging="11"/>
        <w:contextualSpacing w:val="0"/>
        <w:jc w:val="both"/>
        <w:rPr>
          <w:rFonts w:ascii="Calibri Light" w:hAnsi="Calibri Light" w:cs="Calibri Light"/>
          <w:sz w:val="24"/>
          <w:szCs w:val="24"/>
        </w:rPr>
      </w:pPr>
      <w:r w:rsidRPr="00A749D0">
        <w:rPr>
          <w:rFonts w:ascii="Calibri Light" w:hAnsi="Calibri Light" w:cs="Calibri Light"/>
          <w:sz w:val="24"/>
          <w:szCs w:val="24"/>
        </w:rPr>
        <w:t>From an Islamic legal perspective, organ donation is permissible and encouraged when conducted with respect for life (</w:t>
      </w:r>
      <w:r w:rsidRPr="000E3950">
        <w:rPr>
          <w:rFonts w:ascii="Calibri Light" w:hAnsi="Calibri Light" w:cs="Calibri Light"/>
          <w:i/>
          <w:iCs/>
          <w:sz w:val="24"/>
          <w:szCs w:val="24"/>
        </w:rPr>
        <w:t>ḥifẓ al-nafs</w:t>
      </w:r>
      <w:r w:rsidRPr="00A749D0">
        <w:rPr>
          <w:rFonts w:ascii="Calibri Light" w:hAnsi="Calibri Light" w:cs="Calibri Light"/>
          <w:sz w:val="24"/>
          <w:szCs w:val="24"/>
        </w:rPr>
        <w:t>), justice (</w:t>
      </w:r>
      <w:r w:rsidRPr="000E3950">
        <w:rPr>
          <w:rFonts w:ascii="Calibri Light" w:hAnsi="Calibri Light" w:cs="Calibri Light"/>
          <w:i/>
          <w:iCs/>
          <w:sz w:val="24"/>
          <w:szCs w:val="24"/>
        </w:rPr>
        <w:t>ʿadālah</w:t>
      </w:r>
      <w:r w:rsidRPr="00A749D0">
        <w:rPr>
          <w:rFonts w:ascii="Calibri Light" w:hAnsi="Calibri Light" w:cs="Calibri Light"/>
          <w:sz w:val="24"/>
          <w:szCs w:val="24"/>
        </w:rPr>
        <w:t>), and the protection of bodily integrity (</w:t>
      </w:r>
      <w:r w:rsidRPr="000E3950">
        <w:rPr>
          <w:rFonts w:ascii="Calibri Light" w:hAnsi="Calibri Light" w:cs="Calibri Light"/>
          <w:i/>
          <w:iCs/>
          <w:sz w:val="24"/>
          <w:szCs w:val="24"/>
        </w:rPr>
        <w:t>ḥurmat al-jasad</w:t>
      </w:r>
      <w:r w:rsidRPr="00A749D0">
        <w:rPr>
          <w:rFonts w:ascii="Calibri Light" w:hAnsi="Calibri Light" w:cs="Calibri Light"/>
          <w:sz w:val="24"/>
          <w:szCs w:val="24"/>
        </w:rPr>
        <w:t xml:space="preserve">). These values demand that donation be voluntary, informed, and exploitation-free. Therefore, reforming Indonesia's transplant framework must rely on positive legal developments and be guided by </w:t>
      </w:r>
      <w:r w:rsidRPr="000E3950">
        <w:rPr>
          <w:rFonts w:ascii="Calibri Light" w:hAnsi="Calibri Light" w:cs="Calibri Light"/>
          <w:i/>
          <w:iCs/>
          <w:sz w:val="24"/>
          <w:szCs w:val="24"/>
        </w:rPr>
        <w:t>maqāṣid al-sharī‘ah</w:t>
      </w:r>
      <w:r w:rsidRPr="00A749D0">
        <w:rPr>
          <w:rFonts w:ascii="Calibri Light" w:hAnsi="Calibri Light" w:cs="Calibri Light"/>
          <w:sz w:val="24"/>
          <w:szCs w:val="24"/>
        </w:rPr>
        <w:t xml:space="preserve"> as a moral compass. By harmonizing statutory law with Islamic ethics, Indonesia can develop a transplantation system that is effective in medical terms, fair, socially responsible, and spiritually sound—thus strengthening public trust and upholding the sanctity of both donor and recipient.</w:t>
      </w:r>
      <w:r w:rsidR="00741058" w:rsidRPr="00A749D0">
        <w:rPr>
          <w:rFonts w:ascii="Calibri Light" w:hAnsi="Calibri Light" w:cs="Calibri Light"/>
          <w:sz w:val="24"/>
          <w:szCs w:val="24"/>
        </w:rPr>
        <w:t xml:space="preserve"> </w:t>
      </w:r>
      <w:r w:rsidR="00003189" w:rsidRPr="00A749D0">
        <w:rPr>
          <w:rFonts w:ascii="Calibri Light" w:hAnsi="Calibri Light" w:cs="Calibri Light"/>
          <w:color w:val="A6A6A6"/>
          <w:sz w:val="24"/>
          <w:szCs w:val="24"/>
        </w:rPr>
        <w:t>(</w:t>
      </w:r>
      <w:r w:rsidR="007816FC" w:rsidRPr="00A749D0">
        <w:rPr>
          <w:rFonts w:ascii="Calibri Light" w:hAnsi="Calibri Light" w:cs="Calibri Light"/>
          <w:color w:val="A6A6A6"/>
          <w:sz w:val="24"/>
          <w:szCs w:val="24"/>
        </w:rPr>
        <w:t>Calibri Light</w:t>
      </w:r>
      <w:r w:rsidR="008C3DC2" w:rsidRPr="00A749D0">
        <w:rPr>
          <w:rFonts w:ascii="Calibri Light" w:hAnsi="Calibri Light" w:cs="Calibri Light"/>
          <w:color w:val="A6A6A6"/>
          <w:szCs w:val="22"/>
        </w:rPr>
        <w:t>-12</w:t>
      </w:r>
      <w:r w:rsidR="00003189" w:rsidRPr="00A749D0">
        <w:rPr>
          <w:rFonts w:ascii="Calibri Light" w:hAnsi="Calibri Light" w:cs="Calibri Light"/>
          <w:color w:val="A6A6A6"/>
          <w:sz w:val="24"/>
          <w:szCs w:val="24"/>
        </w:rPr>
        <w:t>)</w:t>
      </w:r>
    </w:p>
    <w:p w14:paraId="294294B4"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A4F791B" w14:textId="52E4D068" w:rsidR="00741058" w:rsidRDefault="00741058" w:rsidP="0006373A">
      <w:pPr>
        <w:pStyle w:val="ListParagraph"/>
        <w:numPr>
          <w:ilvl w:val="0"/>
          <w:numId w:val="28"/>
        </w:numPr>
        <w:spacing w:before="120" w:after="120" w:line="240" w:lineRule="auto"/>
        <w:ind w:left="425" w:hanging="426"/>
        <w:jc w:val="both"/>
        <w:rPr>
          <w:rFonts w:ascii="Calibri Light" w:hAnsi="Calibri Light" w:cs="Calibri Light"/>
          <w:b/>
          <w:color w:val="A6A6A6"/>
          <w:sz w:val="24"/>
          <w:szCs w:val="24"/>
        </w:rPr>
      </w:pPr>
      <w:r w:rsidRPr="00A749D0">
        <w:rPr>
          <w:rFonts w:ascii="Calibri Light" w:hAnsi="Calibri Light" w:cs="Calibri Light"/>
          <w:b/>
          <w:sz w:val="24"/>
          <w:szCs w:val="24"/>
        </w:rPr>
        <w:t>REFERENCES</w:t>
      </w:r>
      <w:r w:rsidRPr="00A749D0">
        <w:rPr>
          <w:rFonts w:ascii="Calibri Light" w:hAnsi="Calibri Light" w:cs="Calibri Light"/>
          <w:b/>
          <w:color w:val="7030A0"/>
          <w:sz w:val="24"/>
          <w:szCs w:val="24"/>
        </w:rPr>
        <w:t xml:space="preserve"> </w:t>
      </w:r>
      <w:r w:rsidR="001B3613" w:rsidRPr="00A749D0">
        <w:rPr>
          <w:rFonts w:ascii="Calibri Light" w:hAnsi="Calibri Light" w:cs="Calibri Light"/>
          <w:b/>
          <w:color w:val="A6A6A6"/>
          <w:sz w:val="24"/>
          <w:szCs w:val="24"/>
        </w:rPr>
        <w:t>(</w:t>
      </w:r>
      <w:r w:rsidR="007816FC" w:rsidRPr="00A749D0">
        <w:rPr>
          <w:rFonts w:ascii="Calibri Light" w:hAnsi="Calibri Light" w:cs="Calibri Light"/>
          <w:b/>
          <w:bCs/>
          <w:color w:val="A6A6A6"/>
          <w:sz w:val="24"/>
          <w:szCs w:val="24"/>
        </w:rPr>
        <w:t>Calibri Light</w:t>
      </w:r>
      <w:r w:rsidR="001B3613" w:rsidRPr="00A749D0">
        <w:rPr>
          <w:rFonts w:ascii="Calibri Light" w:hAnsi="Calibri Light" w:cs="Calibri Light"/>
          <w:b/>
          <w:color w:val="A6A6A6"/>
          <w:sz w:val="24"/>
          <w:szCs w:val="24"/>
        </w:rPr>
        <w:t>, 12 Bold)</w:t>
      </w:r>
    </w:p>
    <w:p w14:paraId="025911DA" w14:textId="77777777" w:rsidR="0006373A" w:rsidRDefault="0006373A" w:rsidP="0006373A">
      <w:pPr>
        <w:pStyle w:val="ListParagraph"/>
        <w:spacing w:before="120" w:after="120" w:line="240" w:lineRule="auto"/>
        <w:ind w:left="425"/>
        <w:jc w:val="both"/>
        <w:rPr>
          <w:rFonts w:ascii="Calibri Light" w:hAnsi="Calibri Light" w:cs="Calibri Light"/>
          <w:b/>
          <w:color w:val="A6A6A6"/>
          <w:sz w:val="24"/>
          <w:szCs w:val="24"/>
        </w:rPr>
      </w:pPr>
    </w:p>
    <w:p w14:paraId="61CF7B9B"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Abadie, A., &amp; Gay, S. (2006). The impact of presumed consent legislation on cadaveric organ donation: A cross-country study. </w:t>
      </w:r>
      <w:r w:rsidRPr="0006373A">
        <w:rPr>
          <w:rFonts w:ascii="Calibri Light" w:hAnsi="Calibri Light" w:cs="Calibri Light"/>
          <w:i/>
          <w:iCs/>
          <w:sz w:val="24"/>
          <w:szCs w:val="24"/>
        </w:rPr>
        <w:t>Journal of Health Economics, 25</w:t>
      </w:r>
      <w:r w:rsidRPr="0006373A">
        <w:rPr>
          <w:rFonts w:ascii="Calibri Light" w:hAnsi="Calibri Light" w:cs="Calibri Light"/>
          <w:sz w:val="24"/>
          <w:szCs w:val="24"/>
        </w:rPr>
        <w:t xml:space="preserve">(4), 599–620. </w:t>
      </w:r>
      <w:hyperlink r:id="rId11" w:tgtFrame="_new" w:history="1">
        <w:r w:rsidRPr="0006373A">
          <w:rPr>
            <w:rFonts w:ascii="Calibri Light" w:hAnsi="Calibri Light" w:cs="Calibri Light"/>
            <w:color w:val="0000FF"/>
            <w:sz w:val="24"/>
            <w:szCs w:val="24"/>
            <w:u w:val="single"/>
          </w:rPr>
          <w:t>https://doi.org/10.1016/j.jhealeco.2006.01.003</w:t>
        </w:r>
      </w:hyperlink>
    </w:p>
    <w:p w14:paraId="5CE5AE64"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Bakhtiar, H. S., &amp; Maddussila, S. A. (2024). Manipulation of Legal Regulations in Commodification of Organ Transplants: Indonesia Perspective. </w:t>
      </w:r>
      <w:r w:rsidRPr="0006373A">
        <w:rPr>
          <w:rFonts w:ascii="Calibri Light" w:hAnsi="Calibri Light" w:cs="Calibri Light"/>
          <w:i/>
          <w:iCs/>
          <w:sz w:val="24"/>
          <w:szCs w:val="24"/>
        </w:rPr>
        <w:t>Journal of Indonesian Legal Studies, 9</w:t>
      </w:r>
      <w:r w:rsidRPr="0006373A">
        <w:rPr>
          <w:rFonts w:ascii="Calibri Light" w:hAnsi="Calibri Light" w:cs="Calibri Light"/>
          <w:sz w:val="24"/>
          <w:szCs w:val="24"/>
        </w:rPr>
        <w:t xml:space="preserve">(2), 1067–1106. </w:t>
      </w:r>
      <w:hyperlink r:id="rId12" w:tgtFrame="_new" w:history="1">
        <w:r w:rsidRPr="0006373A">
          <w:rPr>
            <w:rFonts w:ascii="Calibri Light" w:hAnsi="Calibri Light" w:cs="Calibri Light"/>
            <w:color w:val="0000FF"/>
            <w:sz w:val="24"/>
            <w:szCs w:val="24"/>
            <w:u w:val="single"/>
          </w:rPr>
          <w:t>https://doi.org/10.15294/jils.v9i2.19157</w:t>
        </w:r>
      </w:hyperlink>
    </w:p>
    <w:p w14:paraId="4E67EB52" w14:textId="77777777" w:rsidR="0006373A" w:rsidRPr="0006373A" w:rsidRDefault="0006373A"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rPr>
        <w:t xml:space="preserve">Beauchamp, Tom L., Childress, J. F. (2019). </w:t>
      </w:r>
      <w:r w:rsidRPr="0006373A">
        <w:rPr>
          <w:rFonts w:ascii="Calibri Light" w:hAnsi="Calibri Light" w:cs="Calibri Light"/>
          <w:i/>
          <w:iCs/>
          <w:sz w:val="24"/>
        </w:rPr>
        <w:t>Principles of Biomedical Ethics</w:t>
      </w:r>
      <w:r w:rsidRPr="0006373A">
        <w:rPr>
          <w:rFonts w:ascii="Calibri Light" w:hAnsi="Calibri Light" w:cs="Calibri Light"/>
          <w:sz w:val="24"/>
        </w:rPr>
        <w:t>. Oxford University Press.</w:t>
      </w:r>
    </w:p>
    <w:p w14:paraId="4FF95C90" w14:textId="13416261" w:rsidR="0006373A" w:rsidRPr="0006373A" w:rsidRDefault="0006373A"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rPr>
        <w:t xml:space="preserve">Budiman, B. (2013). Riset Kesehatan Dasar Dalam Angka. In </w:t>
      </w:r>
      <w:r w:rsidRPr="0006373A">
        <w:rPr>
          <w:rFonts w:ascii="Calibri Light" w:hAnsi="Calibri Light" w:cs="Calibri Light"/>
          <w:i/>
          <w:iCs/>
          <w:sz w:val="24"/>
        </w:rPr>
        <w:t>Badan Penelitian dan Pengembangan Kesehatan Kementerian Kesehatan RI</w:t>
      </w:r>
      <w:r w:rsidRPr="0006373A">
        <w:rPr>
          <w:rFonts w:ascii="Calibri Light" w:hAnsi="Calibri Light" w:cs="Calibri Light"/>
          <w:sz w:val="24"/>
        </w:rPr>
        <w:t>.</w:t>
      </w:r>
    </w:p>
    <w:p w14:paraId="4E45BF74" w14:textId="77777777" w:rsidR="00452B7E" w:rsidRDefault="00C66671"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Bunnik, E. M. (2023). Ethics of allocation of donor organs. </w:t>
      </w:r>
      <w:r w:rsidRPr="0006373A">
        <w:rPr>
          <w:rFonts w:ascii="Calibri Light" w:hAnsi="Calibri Light" w:cs="Calibri Light"/>
          <w:i/>
          <w:iCs/>
          <w:sz w:val="24"/>
          <w:szCs w:val="24"/>
        </w:rPr>
        <w:t>Current Opinion in Organ Transplantation, 28</w:t>
      </w:r>
      <w:r w:rsidRPr="0006373A">
        <w:rPr>
          <w:rFonts w:ascii="Calibri Light" w:hAnsi="Calibri Light" w:cs="Calibri Light"/>
          <w:sz w:val="24"/>
          <w:szCs w:val="24"/>
        </w:rPr>
        <w:t xml:space="preserve">(3), 192–196. </w:t>
      </w:r>
      <w:hyperlink r:id="rId13" w:tgtFrame="_new" w:history="1">
        <w:r w:rsidRPr="0006373A">
          <w:rPr>
            <w:rFonts w:ascii="Calibri Light" w:hAnsi="Calibri Light" w:cs="Calibri Light"/>
            <w:color w:val="0000FF"/>
            <w:sz w:val="24"/>
            <w:szCs w:val="24"/>
            <w:u w:val="single"/>
          </w:rPr>
          <w:t>https://doi.org/10.1097/MOT.0000000000001058</w:t>
        </w:r>
      </w:hyperlink>
    </w:p>
    <w:p w14:paraId="395F9C55" w14:textId="4B6073C2" w:rsidR="00452B7E" w:rsidRP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rPr>
        <w:t xml:space="preserve">Chandler, J. A. (2005). Priority Systems in the Allocation of Organs for Transplant : Should we reward those who have previously agreed to donate ? Forthcoming ( 2005 </w:t>
      </w:r>
      <w:r w:rsidRPr="00452B7E">
        <w:rPr>
          <w:rFonts w:ascii="Calibri Light" w:hAnsi="Calibri Light" w:cs="Calibri Light"/>
          <w:sz w:val="24"/>
        </w:rPr>
        <w:lastRenderedPageBreak/>
        <w:t xml:space="preserve">) 13 Health Law Journal pp . Assistant Professor Faculty of Law , University of Ottawa Introduction Organ transp. </w:t>
      </w:r>
      <w:r w:rsidRPr="00452B7E">
        <w:rPr>
          <w:rFonts w:ascii="Calibri Light" w:hAnsi="Calibri Light" w:cs="Calibri Light"/>
          <w:i/>
          <w:iCs/>
          <w:sz w:val="24"/>
        </w:rPr>
        <w:t>Health Law Journal</w:t>
      </w:r>
      <w:r w:rsidRPr="00452B7E">
        <w:rPr>
          <w:rFonts w:ascii="Calibri Light" w:hAnsi="Calibri Light" w:cs="Calibri Light"/>
          <w:sz w:val="24"/>
        </w:rPr>
        <w:t xml:space="preserve">, </w:t>
      </w:r>
      <w:r w:rsidRPr="00452B7E">
        <w:rPr>
          <w:rFonts w:ascii="Calibri Light" w:hAnsi="Calibri Light" w:cs="Calibri Light"/>
          <w:i/>
          <w:iCs/>
          <w:sz w:val="24"/>
        </w:rPr>
        <w:t>13</w:t>
      </w:r>
      <w:r w:rsidRPr="00452B7E">
        <w:rPr>
          <w:rFonts w:ascii="Calibri Light" w:hAnsi="Calibri Light" w:cs="Calibri Light"/>
          <w:sz w:val="24"/>
        </w:rPr>
        <w:t>, 244–246.</w:t>
      </w:r>
    </w:p>
    <w:p w14:paraId="2E5E9202" w14:textId="77777777" w:rsidR="00452B7E" w:rsidRDefault="00C66671"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Dalle Ave, A. L., Sulmasy, D. P., &amp; Bernat, J. L. (2020). The ethical obligation of the dead donor rule. </w:t>
      </w:r>
      <w:r w:rsidRPr="0006373A">
        <w:rPr>
          <w:rFonts w:ascii="Calibri Light" w:hAnsi="Calibri Light" w:cs="Calibri Light"/>
          <w:i/>
          <w:iCs/>
          <w:sz w:val="24"/>
          <w:szCs w:val="24"/>
        </w:rPr>
        <w:t>Medicine, Health Care and Philosophy, 23</w:t>
      </w:r>
      <w:r w:rsidRPr="0006373A">
        <w:rPr>
          <w:rFonts w:ascii="Calibri Light" w:hAnsi="Calibri Light" w:cs="Calibri Light"/>
          <w:sz w:val="24"/>
          <w:szCs w:val="24"/>
        </w:rPr>
        <w:t xml:space="preserve">(1), 43–50. </w:t>
      </w:r>
      <w:hyperlink r:id="rId14" w:tgtFrame="_new" w:history="1">
        <w:r w:rsidRPr="0006373A">
          <w:rPr>
            <w:rFonts w:ascii="Calibri Light" w:hAnsi="Calibri Light" w:cs="Calibri Light"/>
            <w:color w:val="0000FF"/>
            <w:sz w:val="24"/>
            <w:szCs w:val="24"/>
            <w:u w:val="single"/>
          </w:rPr>
          <w:t>https://doi.org/10.1007/s11019-019-09904-8</w:t>
        </w:r>
      </w:hyperlink>
    </w:p>
    <w:p w14:paraId="273F3107" w14:textId="68CD7DC3" w:rsidR="00452B7E" w:rsidRP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rPr>
        <w:t xml:space="preserve">Elflein, J. (2025). </w:t>
      </w:r>
      <w:r w:rsidRPr="00452B7E">
        <w:rPr>
          <w:rFonts w:ascii="Calibri Light" w:hAnsi="Calibri Light" w:cs="Calibri Light"/>
          <w:i/>
          <w:iCs/>
          <w:sz w:val="24"/>
        </w:rPr>
        <w:t>Global number of organ transplantations 2023</w:t>
      </w:r>
      <w:r w:rsidRPr="00452B7E">
        <w:rPr>
          <w:rFonts w:ascii="Calibri Light" w:hAnsi="Calibri Light" w:cs="Calibri Light"/>
          <w:sz w:val="24"/>
        </w:rPr>
        <w:t>. Statista.Com. https://www.statista.com/statistics/398645/global-estimation-of-organ-transplantations/#:~:text=The kidney is the most,can be challenging and complex.&amp;text=Kidney transplantation%2C or renal transplantation,better access to such procedures.&amp;text=Organs ca</w:t>
      </w:r>
    </w:p>
    <w:p w14:paraId="1F6AF583"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El Haque, I. T. P., Sarsintorini, Suparno, &amp; Noor, A. (2023). Ensuring the Health and Safety of Indonesian School Children: Legal Protections in Snack Consumption. </w:t>
      </w:r>
      <w:r w:rsidRPr="0006373A">
        <w:rPr>
          <w:rFonts w:ascii="Calibri Light" w:hAnsi="Calibri Light" w:cs="Calibri Light"/>
          <w:i/>
          <w:iCs/>
          <w:sz w:val="24"/>
          <w:szCs w:val="24"/>
        </w:rPr>
        <w:t>Qubahan Academic Journal, 3</w:t>
      </w:r>
      <w:r w:rsidRPr="0006373A">
        <w:rPr>
          <w:rFonts w:ascii="Calibri Light" w:hAnsi="Calibri Light" w:cs="Calibri Light"/>
          <w:sz w:val="24"/>
          <w:szCs w:val="24"/>
        </w:rPr>
        <w:t xml:space="preserve">(4), 206–218. </w:t>
      </w:r>
      <w:hyperlink r:id="rId15" w:tgtFrame="_new" w:history="1">
        <w:r w:rsidRPr="0006373A">
          <w:rPr>
            <w:rFonts w:ascii="Calibri Light" w:hAnsi="Calibri Light" w:cs="Calibri Light"/>
            <w:color w:val="0000FF"/>
            <w:sz w:val="24"/>
            <w:szCs w:val="24"/>
            <w:u w:val="single"/>
          </w:rPr>
          <w:t>https://doi.org/10.48161/issn.2709-8206</w:t>
        </w:r>
      </w:hyperlink>
    </w:p>
    <w:p w14:paraId="081D62AD"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Erkoç Baydar, T. (2024). Human Dignity from an Islamic Perspective: Concepts and Theoretical Base. </w:t>
      </w:r>
      <w:r w:rsidRPr="0006373A">
        <w:rPr>
          <w:rFonts w:ascii="Calibri Light" w:hAnsi="Calibri Light" w:cs="Calibri Light"/>
          <w:i/>
          <w:iCs/>
          <w:sz w:val="24"/>
          <w:szCs w:val="24"/>
        </w:rPr>
        <w:t>Mission Studies, 41</w:t>
      </w:r>
      <w:r w:rsidRPr="0006373A">
        <w:rPr>
          <w:rFonts w:ascii="Calibri Light" w:hAnsi="Calibri Light" w:cs="Calibri Light"/>
          <w:sz w:val="24"/>
          <w:szCs w:val="24"/>
        </w:rPr>
        <w:t xml:space="preserve">(3), 348–360. </w:t>
      </w:r>
      <w:hyperlink r:id="rId16" w:tgtFrame="_new" w:history="1">
        <w:r w:rsidRPr="0006373A">
          <w:rPr>
            <w:rFonts w:ascii="Calibri Light" w:hAnsi="Calibri Light" w:cs="Calibri Light"/>
            <w:color w:val="0000FF"/>
            <w:sz w:val="24"/>
            <w:szCs w:val="24"/>
            <w:u w:val="single"/>
          </w:rPr>
          <w:t>https://doi.org/10.1163/15733831-12341987</w:t>
        </w:r>
      </w:hyperlink>
    </w:p>
    <w:p w14:paraId="7B0DB52D"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Erpiyana, R., Djamaludin, D., &amp; Andoko, A. (2024). Perbandingan Kualitas Tidur Pasien Gagal Ginjal Kronik. </w:t>
      </w:r>
      <w:r w:rsidRPr="0006373A">
        <w:rPr>
          <w:rFonts w:ascii="Calibri Light" w:hAnsi="Calibri Light" w:cs="Calibri Light"/>
          <w:i/>
          <w:iCs/>
          <w:sz w:val="24"/>
          <w:szCs w:val="24"/>
        </w:rPr>
        <w:t>Malahayati Nursing Journal, 6</w:t>
      </w:r>
      <w:r w:rsidRPr="0006373A">
        <w:rPr>
          <w:rFonts w:ascii="Calibri Light" w:hAnsi="Calibri Light" w:cs="Calibri Light"/>
          <w:sz w:val="24"/>
          <w:szCs w:val="24"/>
        </w:rPr>
        <w:t xml:space="preserve">(5), 2024–2035. </w:t>
      </w:r>
      <w:hyperlink r:id="rId17" w:tgtFrame="_new" w:history="1">
        <w:r w:rsidRPr="0006373A">
          <w:rPr>
            <w:rFonts w:ascii="Calibri Light" w:hAnsi="Calibri Light" w:cs="Calibri Light"/>
            <w:color w:val="0000FF"/>
            <w:sz w:val="24"/>
            <w:szCs w:val="24"/>
            <w:u w:val="single"/>
          </w:rPr>
          <w:t>https://doi.org/10.33024/mnj.v6i5.11070</w:t>
        </w:r>
      </w:hyperlink>
    </w:p>
    <w:p w14:paraId="196FC51A"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Etheredge, H. R. (2021). Assessing global organ donation policies: Opt-in vs opt-out. </w:t>
      </w:r>
      <w:r w:rsidRPr="0006373A">
        <w:rPr>
          <w:rFonts w:ascii="Calibri Light" w:hAnsi="Calibri Light" w:cs="Calibri Light"/>
          <w:i/>
          <w:iCs/>
          <w:sz w:val="24"/>
          <w:szCs w:val="24"/>
        </w:rPr>
        <w:t>Risk Management and Healthcare Policy, 14</w:t>
      </w:r>
      <w:r w:rsidRPr="0006373A">
        <w:rPr>
          <w:rFonts w:ascii="Calibri Light" w:hAnsi="Calibri Light" w:cs="Calibri Light"/>
          <w:sz w:val="24"/>
          <w:szCs w:val="24"/>
        </w:rPr>
        <w:t xml:space="preserve">, 1985–1998. </w:t>
      </w:r>
      <w:hyperlink r:id="rId18" w:tgtFrame="_new" w:history="1">
        <w:r w:rsidRPr="0006373A">
          <w:rPr>
            <w:rFonts w:ascii="Calibri Light" w:hAnsi="Calibri Light" w:cs="Calibri Light"/>
            <w:color w:val="0000FF"/>
            <w:sz w:val="24"/>
            <w:szCs w:val="24"/>
            <w:u w:val="single"/>
          </w:rPr>
          <w:t>https://doi.org/10.2147/RMHP.S270234</w:t>
        </w:r>
      </w:hyperlink>
    </w:p>
    <w:p w14:paraId="7758AE95"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Fazli, F., &amp; Hemat, T. (2023). Organ Donation and Transplantation and Their Ethics in the Light of Islamic Shariah. </w:t>
      </w:r>
      <w:r w:rsidRPr="0006373A">
        <w:rPr>
          <w:rFonts w:ascii="Calibri Light" w:hAnsi="Calibri Light" w:cs="Calibri Light"/>
          <w:i/>
          <w:iCs/>
          <w:sz w:val="24"/>
          <w:szCs w:val="24"/>
        </w:rPr>
        <w:t>European Journal of Philosophy, Culture and Religion, 7</w:t>
      </w:r>
      <w:r w:rsidRPr="0006373A">
        <w:rPr>
          <w:rFonts w:ascii="Calibri Light" w:hAnsi="Calibri Light" w:cs="Calibri Light"/>
          <w:sz w:val="24"/>
          <w:szCs w:val="24"/>
        </w:rPr>
        <w:t xml:space="preserve">(1), 56–63. </w:t>
      </w:r>
      <w:hyperlink r:id="rId19" w:tgtFrame="_new" w:history="1">
        <w:r w:rsidRPr="0006373A">
          <w:rPr>
            <w:rFonts w:ascii="Calibri Light" w:hAnsi="Calibri Light" w:cs="Calibri Light"/>
            <w:color w:val="0000FF"/>
            <w:sz w:val="24"/>
            <w:szCs w:val="24"/>
            <w:u w:val="single"/>
          </w:rPr>
          <w:t>https://doi.org/10.47672/ejpcr.1481</w:t>
        </w:r>
      </w:hyperlink>
    </w:p>
    <w:p w14:paraId="5EB14707"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Gadour, E. (2025). Lesson learnt from 60 years of liver transplantation. </w:t>
      </w:r>
      <w:r w:rsidRPr="0006373A">
        <w:rPr>
          <w:rFonts w:ascii="Calibri Light" w:hAnsi="Calibri Light" w:cs="Calibri Light"/>
          <w:i/>
          <w:iCs/>
          <w:sz w:val="24"/>
          <w:szCs w:val="24"/>
        </w:rPr>
        <w:t>World Journal of Transplantation, 15</w:t>
      </w:r>
      <w:r w:rsidRPr="0006373A">
        <w:rPr>
          <w:rFonts w:ascii="Calibri Light" w:hAnsi="Calibri Light" w:cs="Calibri Light"/>
          <w:sz w:val="24"/>
          <w:szCs w:val="24"/>
        </w:rPr>
        <w:t xml:space="preserve">(1), 1–24. </w:t>
      </w:r>
      <w:hyperlink r:id="rId20" w:tgtFrame="_new" w:history="1">
        <w:r w:rsidRPr="0006373A">
          <w:rPr>
            <w:rFonts w:ascii="Calibri Light" w:hAnsi="Calibri Light" w:cs="Calibri Light"/>
            <w:color w:val="0000FF"/>
            <w:sz w:val="24"/>
            <w:szCs w:val="24"/>
            <w:u w:val="single"/>
          </w:rPr>
          <w:t>https://doi.org/10.5500/wjt.v15.i1.93253</w:t>
        </w:r>
      </w:hyperlink>
    </w:p>
    <w:p w14:paraId="1B173614"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Garcia-Ochoa, C., et al. (2021). Impact of Perioperative Complications on Living Kidney Donor Health. </w:t>
      </w:r>
      <w:r w:rsidRPr="0006373A">
        <w:rPr>
          <w:rFonts w:ascii="Calibri Light" w:hAnsi="Calibri Light" w:cs="Calibri Light"/>
          <w:i/>
          <w:iCs/>
          <w:sz w:val="24"/>
          <w:szCs w:val="24"/>
        </w:rPr>
        <w:t>Canadian Journal of Kidney Health and Disease, 8</w:t>
      </w:r>
      <w:r w:rsidRPr="0006373A">
        <w:rPr>
          <w:rFonts w:ascii="Calibri Light" w:hAnsi="Calibri Light" w:cs="Calibri Light"/>
          <w:sz w:val="24"/>
          <w:szCs w:val="24"/>
        </w:rPr>
        <w:t xml:space="preserve">. </w:t>
      </w:r>
      <w:hyperlink r:id="rId21" w:tgtFrame="_new" w:history="1">
        <w:r w:rsidRPr="0006373A">
          <w:rPr>
            <w:rFonts w:ascii="Calibri Light" w:hAnsi="Calibri Light" w:cs="Calibri Light"/>
            <w:color w:val="0000FF"/>
            <w:sz w:val="24"/>
            <w:szCs w:val="24"/>
            <w:u w:val="single"/>
          </w:rPr>
          <w:t>https://doi.org/10.1177/20543581211037429</w:t>
        </w:r>
      </w:hyperlink>
    </w:p>
    <w:p w14:paraId="674275CB"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Ghahramani, N. (2016). Paid Living Donation and Growth of Deceased Donor Programs. </w:t>
      </w:r>
      <w:r w:rsidRPr="0006373A">
        <w:rPr>
          <w:rFonts w:ascii="Calibri Light" w:hAnsi="Calibri Light" w:cs="Calibri Light"/>
          <w:i/>
          <w:iCs/>
          <w:sz w:val="24"/>
          <w:szCs w:val="24"/>
        </w:rPr>
        <w:t>Transplantation, 100</w:t>
      </w:r>
      <w:r w:rsidRPr="0006373A">
        <w:rPr>
          <w:rFonts w:ascii="Calibri Light" w:hAnsi="Calibri Light" w:cs="Calibri Light"/>
          <w:sz w:val="24"/>
          <w:szCs w:val="24"/>
        </w:rPr>
        <w:t xml:space="preserve">(6), 1165–1169. </w:t>
      </w:r>
      <w:hyperlink r:id="rId22" w:tgtFrame="_new" w:history="1">
        <w:r w:rsidRPr="0006373A">
          <w:rPr>
            <w:rFonts w:ascii="Calibri Light" w:hAnsi="Calibri Light" w:cs="Calibri Light"/>
            <w:color w:val="0000FF"/>
            <w:sz w:val="24"/>
            <w:szCs w:val="24"/>
            <w:u w:val="single"/>
          </w:rPr>
          <w:t>https://doi.org/10.1097/TP.0000000000001164</w:t>
        </w:r>
      </w:hyperlink>
    </w:p>
    <w:p w14:paraId="4967EB32"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Hansen, S. L., Pfaller, L., &amp; Schicktanz, S. (2021). Public health promotion strategies in Germany. </w:t>
      </w:r>
      <w:r w:rsidRPr="0006373A">
        <w:rPr>
          <w:rFonts w:ascii="Calibri Light" w:hAnsi="Calibri Light" w:cs="Calibri Light"/>
          <w:i/>
          <w:iCs/>
          <w:sz w:val="24"/>
          <w:szCs w:val="24"/>
        </w:rPr>
        <w:t>Bioethics, 35</w:t>
      </w:r>
      <w:r w:rsidRPr="0006373A">
        <w:rPr>
          <w:rFonts w:ascii="Calibri Light" w:hAnsi="Calibri Light" w:cs="Calibri Light"/>
          <w:sz w:val="24"/>
          <w:szCs w:val="24"/>
        </w:rPr>
        <w:t xml:space="preserve">(2), 161–172. </w:t>
      </w:r>
      <w:hyperlink r:id="rId23" w:tgtFrame="_new" w:history="1">
        <w:r w:rsidRPr="0006373A">
          <w:rPr>
            <w:rFonts w:ascii="Calibri Light" w:hAnsi="Calibri Light" w:cs="Calibri Light"/>
            <w:color w:val="0000FF"/>
            <w:sz w:val="24"/>
            <w:szCs w:val="24"/>
            <w:u w:val="single"/>
          </w:rPr>
          <w:t>https://doi.org/10.1111/bioe.12774</w:t>
        </w:r>
      </w:hyperlink>
    </w:p>
    <w:p w14:paraId="1F30FC01"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Indriyanto, D., Tedjosaputro, L., Tumangkar, T., &amp; Noor, A. (2023). Understanding Human Organ Trading. </w:t>
      </w:r>
      <w:r w:rsidRPr="0006373A">
        <w:rPr>
          <w:rFonts w:ascii="Calibri Light" w:hAnsi="Calibri Light" w:cs="Calibri Light"/>
          <w:i/>
          <w:iCs/>
          <w:sz w:val="24"/>
          <w:szCs w:val="24"/>
        </w:rPr>
        <w:t>Qubahan Academic Journal, 3</w:t>
      </w:r>
      <w:r w:rsidRPr="0006373A">
        <w:rPr>
          <w:rFonts w:ascii="Calibri Light" w:hAnsi="Calibri Light" w:cs="Calibri Light"/>
          <w:sz w:val="24"/>
          <w:szCs w:val="24"/>
        </w:rPr>
        <w:t xml:space="preserve">(4), 206–218. </w:t>
      </w:r>
      <w:hyperlink r:id="rId24" w:tgtFrame="_new" w:history="1">
        <w:r w:rsidRPr="0006373A">
          <w:rPr>
            <w:rFonts w:ascii="Calibri Light" w:hAnsi="Calibri Light" w:cs="Calibri Light"/>
            <w:color w:val="0000FF"/>
            <w:sz w:val="24"/>
            <w:szCs w:val="24"/>
            <w:u w:val="single"/>
          </w:rPr>
          <w:t>https://doi.org/10.48161/qaj.v3n3a155</w:t>
        </w:r>
      </w:hyperlink>
    </w:p>
    <w:p w14:paraId="57E782D2" w14:textId="77777777" w:rsid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lastRenderedPageBreak/>
        <w:t>Iyer, T. K. K. (1987). Kidneys For Transplant - “Opting Out” Law In Singapore. Forensic Science International, 35(December 1986), 131–140.</w:t>
      </w:r>
    </w:p>
    <w:p w14:paraId="32A6FBC5" w14:textId="77CC4CB7" w:rsid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 xml:space="preserve">Kementerian Kesehatan RI. (2018). Laporan Riskesdas 2018 Nasional.pdf. In Lembaga Penerbit Balitbangkes (p. hal 156). </w:t>
      </w:r>
      <w:hyperlink r:id="rId25" w:history="1">
        <w:r w:rsidRPr="002A5BB2">
          <w:rPr>
            <w:rStyle w:val="Hyperlink"/>
            <w:rFonts w:ascii="Calibri Light" w:hAnsi="Calibri Light" w:cs="Calibri Light"/>
            <w:sz w:val="24"/>
            <w:szCs w:val="24"/>
          </w:rPr>
          <w:t>https://repository.badankebijakan.kemkes.go.id/id/eprint/3514/1/Laporan Riskesdas 2018 Nasional.pdf</w:t>
        </w:r>
      </w:hyperlink>
    </w:p>
    <w:p w14:paraId="1DD3E90E" w14:textId="77777777" w:rsid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Kizer, K. W., English, R. A., &amp; Hackmann, M. (2022). Realizing the Promise of Equity in the Organ Transplantation System</w:t>
      </w:r>
    </w:p>
    <w:p w14:paraId="1D0D4B1D" w14:textId="78F6597C" w:rsidR="00452B7E" w:rsidRPr="00452B7E" w:rsidRDefault="00452B7E" w:rsidP="00452B7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Kolber, A. J. (2003). A Matter of Priority: Transplanting Organs Preferentially to Registered Donors. Rutgers Law Review, 55, 671.</w:t>
      </w:r>
    </w:p>
    <w:p w14:paraId="54AD3096" w14:textId="450CF484"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Lakkis, F. G. (2023). The successes and challenges of organ transplantation. </w:t>
      </w:r>
      <w:r w:rsidRPr="0006373A">
        <w:rPr>
          <w:rFonts w:ascii="Calibri Light" w:hAnsi="Calibri Light" w:cs="Calibri Light"/>
          <w:i/>
          <w:iCs/>
          <w:sz w:val="24"/>
          <w:szCs w:val="24"/>
        </w:rPr>
        <w:t>Open Access Government, 40</w:t>
      </w:r>
      <w:r w:rsidRPr="0006373A">
        <w:rPr>
          <w:rFonts w:ascii="Calibri Light" w:hAnsi="Calibri Light" w:cs="Calibri Light"/>
          <w:sz w:val="24"/>
          <w:szCs w:val="24"/>
        </w:rPr>
        <w:t xml:space="preserve">(1), 28–29. </w:t>
      </w:r>
      <w:hyperlink r:id="rId26" w:tgtFrame="_new" w:history="1">
        <w:r w:rsidRPr="0006373A">
          <w:rPr>
            <w:rFonts w:ascii="Calibri Light" w:hAnsi="Calibri Light" w:cs="Calibri Light"/>
            <w:color w:val="0000FF"/>
            <w:sz w:val="24"/>
            <w:szCs w:val="24"/>
            <w:u w:val="single"/>
          </w:rPr>
          <w:t>https://doi.org/10.56367/oag-040-11001</w:t>
        </w:r>
      </w:hyperlink>
    </w:p>
    <w:p w14:paraId="61BBFE0F"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Mahdavi-Mazdeh, M. (2012). The Iranian model of living renal transplantation. </w:t>
      </w:r>
      <w:r w:rsidRPr="0006373A">
        <w:rPr>
          <w:rFonts w:ascii="Calibri Light" w:hAnsi="Calibri Light" w:cs="Calibri Light"/>
          <w:i/>
          <w:iCs/>
          <w:sz w:val="24"/>
          <w:szCs w:val="24"/>
        </w:rPr>
        <w:t>Kidney International, 82</w:t>
      </w:r>
      <w:r w:rsidRPr="0006373A">
        <w:rPr>
          <w:rFonts w:ascii="Calibri Light" w:hAnsi="Calibri Light" w:cs="Calibri Light"/>
          <w:sz w:val="24"/>
          <w:szCs w:val="24"/>
        </w:rPr>
        <w:t xml:space="preserve">(6), 627–634. </w:t>
      </w:r>
      <w:hyperlink r:id="rId27" w:tgtFrame="_new" w:history="1">
        <w:r w:rsidRPr="0006373A">
          <w:rPr>
            <w:rFonts w:ascii="Calibri Light" w:hAnsi="Calibri Light" w:cs="Calibri Light"/>
            <w:color w:val="0000FF"/>
            <w:sz w:val="24"/>
            <w:szCs w:val="24"/>
            <w:u w:val="single"/>
          </w:rPr>
          <w:t>https://doi.org/10.1038/ki.2012.219</w:t>
        </w:r>
      </w:hyperlink>
    </w:p>
    <w:p w14:paraId="5BB6160A" w14:textId="4EEB0D72" w:rsidR="00452B7E" w:rsidRDefault="00452B7E"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Mahmoud, A. (2022). Chapman University Digital Commons Islamic Bioethics : National Regulations and Guidelines of Human Stem Cell Research in the Muslim World Islamic Bioethics : National Regulations and Guidelines of Human Stem Cell Research in the Muslim World.</w:t>
      </w:r>
    </w:p>
    <w:p w14:paraId="654867C0" w14:textId="0E3328EF" w:rsidR="00452B7E" w:rsidRDefault="00452B7E"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 xml:space="preserve">National Academies of Sciences, Engineering, and Medicine. 2022. Realizing the promise of equity in the organ transplantation system. Washington, DC: The National Academies Press. </w:t>
      </w:r>
      <w:hyperlink r:id="rId28" w:history="1">
        <w:r w:rsidRPr="002A5BB2">
          <w:rPr>
            <w:rStyle w:val="Hyperlink"/>
            <w:rFonts w:ascii="Calibri Light" w:hAnsi="Calibri Light" w:cs="Calibri Light"/>
            <w:sz w:val="24"/>
            <w:szCs w:val="24"/>
          </w:rPr>
          <w:t>https://doi.org/10.17226/26364</w:t>
        </w:r>
      </w:hyperlink>
      <w:r>
        <w:rPr>
          <w:rFonts w:ascii="Calibri Light" w:hAnsi="Calibri Light" w:cs="Calibri Light"/>
          <w:sz w:val="24"/>
          <w:szCs w:val="24"/>
        </w:rPr>
        <w:t xml:space="preserve"> </w:t>
      </w:r>
    </w:p>
    <w:p w14:paraId="747CC2EB" w14:textId="4E13B660"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Olawade, D. B., et al. (2024). Transforming organ donation and transplantation. </w:t>
      </w:r>
      <w:r w:rsidRPr="0006373A">
        <w:rPr>
          <w:rFonts w:ascii="Calibri Light" w:hAnsi="Calibri Light" w:cs="Calibri Light"/>
          <w:i/>
          <w:iCs/>
          <w:sz w:val="24"/>
          <w:szCs w:val="24"/>
        </w:rPr>
        <w:t>European Journal of Internal Medicine, 133</w:t>
      </w:r>
      <w:r w:rsidRPr="0006373A">
        <w:rPr>
          <w:rFonts w:ascii="Calibri Light" w:hAnsi="Calibri Light" w:cs="Calibri Light"/>
          <w:sz w:val="24"/>
          <w:szCs w:val="24"/>
        </w:rPr>
        <w:t xml:space="preserve">, 14–24. </w:t>
      </w:r>
      <w:hyperlink r:id="rId29" w:tgtFrame="_new" w:history="1">
        <w:r w:rsidRPr="0006373A">
          <w:rPr>
            <w:rFonts w:ascii="Calibri Light" w:hAnsi="Calibri Light" w:cs="Calibri Light"/>
            <w:color w:val="0000FF"/>
            <w:sz w:val="24"/>
            <w:szCs w:val="24"/>
            <w:u w:val="single"/>
          </w:rPr>
          <w:t>https://doi.org/10.1016/j.ejim.2024.11.010</w:t>
        </w:r>
      </w:hyperlink>
    </w:p>
    <w:p w14:paraId="7222C281"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Qu, Z., et al. (2021). Systematic review on donor estimations. </w:t>
      </w:r>
      <w:r w:rsidRPr="0006373A">
        <w:rPr>
          <w:rFonts w:ascii="Calibri Light" w:hAnsi="Calibri Light" w:cs="Calibri Light"/>
          <w:i/>
          <w:iCs/>
          <w:sz w:val="24"/>
          <w:szCs w:val="24"/>
        </w:rPr>
        <w:t>Transplantation Reviews, 35</w:t>
      </w:r>
      <w:r w:rsidRPr="0006373A">
        <w:rPr>
          <w:rFonts w:ascii="Calibri Light" w:hAnsi="Calibri Light" w:cs="Calibri Light"/>
          <w:sz w:val="24"/>
          <w:szCs w:val="24"/>
        </w:rPr>
        <w:t xml:space="preserve">(4). </w:t>
      </w:r>
      <w:hyperlink r:id="rId30" w:tgtFrame="_new" w:history="1">
        <w:r w:rsidRPr="0006373A">
          <w:rPr>
            <w:rFonts w:ascii="Calibri Light" w:hAnsi="Calibri Light" w:cs="Calibri Light"/>
            <w:color w:val="0000FF"/>
            <w:sz w:val="24"/>
            <w:szCs w:val="24"/>
            <w:u w:val="single"/>
          </w:rPr>
          <w:t>https://doi.org/10.1016/j.trre.2021.100638</w:t>
        </w:r>
      </w:hyperlink>
    </w:p>
    <w:p w14:paraId="24F1825A" w14:textId="7FDA3B52" w:rsidR="0006373A" w:rsidRPr="0006373A" w:rsidRDefault="0006373A"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rPr>
        <w:t xml:space="preserve">Rahardjo, S. (2000). </w:t>
      </w:r>
      <w:r w:rsidRPr="0006373A">
        <w:rPr>
          <w:rFonts w:ascii="Calibri Light" w:hAnsi="Calibri Light" w:cs="Calibri Light"/>
          <w:i/>
          <w:iCs/>
          <w:sz w:val="24"/>
        </w:rPr>
        <w:t>Ilmu Hukum</w:t>
      </w:r>
      <w:r w:rsidRPr="0006373A">
        <w:rPr>
          <w:rFonts w:ascii="Calibri Light" w:hAnsi="Calibri Light" w:cs="Calibri Light"/>
          <w:sz w:val="24"/>
        </w:rPr>
        <w:t>. PT. Citra Aditya Bhakti.</w:t>
      </w:r>
    </w:p>
    <w:p w14:paraId="0D7A3410" w14:textId="5CE5AC3B" w:rsidR="00452B7E" w:rsidRDefault="00452B7E"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Rawls, J. (1999). A Theory of Justice. The Belknap Press of Harvard University Press.</w:t>
      </w:r>
    </w:p>
    <w:p w14:paraId="4B0D6324" w14:textId="13891869"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Raza, F., &amp; Neuberger, J. (2022). Consent in organ transplantation. </w:t>
      </w:r>
      <w:r w:rsidRPr="0006373A">
        <w:rPr>
          <w:rFonts w:ascii="Calibri Light" w:hAnsi="Calibri Light" w:cs="Calibri Light"/>
          <w:i/>
          <w:iCs/>
          <w:sz w:val="24"/>
          <w:szCs w:val="24"/>
        </w:rPr>
        <w:t>BMC Medical Ethics, 23</w:t>
      </w:r>
      <w:r w:rsidRPr="0006373A">
        <w:rPr>
          <w:rFonts w:ascii="Calibri Light" w:hAnsi="Calibri Light" w:cs="Calibri Light"/>
          <w:sz w:val="24"/>
          <w:szCs w:val="24"/>
        </w:rPr>
        <w:t xml:space="preserve">(1), 1–10. </w:t>
      </w:r>
      <w:hyperlink r:id="rId31" w:tgtFrame="_new" w:history="1">
        <w:r w:rsidRPr="0006373A">
          <w:rPr>
            <w:rFonts w:ascii="Calibri Light" w:hAnsi="Calibri Light" w:cs="Calibri Light"/>
            <w:color w:val="0000FF"/>
            <w:sz w:val="24"/>
            <w:szCs w:val="24"/>
            <w:u w:val="single"/>
          </w:rPr>
          <w:t>https://doi.org/10.1186/s12910-022-00791-y</w:t>
        </w:r>
      </w:hyperlink>
    </w:p>
    <w:p w14:paraId="43AD12A6" w14:textId="2BCBB191" w:rsidR="00452B7E" w:rsidRDefault="00452B7E"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452B7E">
        <w:rPr>
          <w:rFonts w:ascii="Calibri Light" w:hAnsi="Calibri Light" w:cs="Calibri Light"/>
          <w:sz w:val="24"/>
          <w:szCs w:val="24"/>
        </w:rPr>
        <w:t xml:space="preserve">Rouahna, N. (2025). The controls of the Human Organs Removal and Transplantation Under the Algerian Health Code </w:t>
      </w:r>
      <w:r w:rsidRPr="00452B7E">
        <w:rPr>
          <w:rFonts w:ascii="Calibri Light" w:hAnsi="Calibri Light" w:cs="Calibri Light"/>
          <w:sz w:val="24"/>
          <w:szCs w:val="24"/>
          <w:rtl/>
        </w:rPr>
        <w:t>ص</w:t>
      </w:r>
      <w:r w:rsidRPr="00452B7E">
        <w:rPr>
          <w:rFonts w:ascii="Calibri Light" w:hAnsi="Calibri Light" w:cs="Calibri Light" w:hint="cs"/>
          <w:sz w:val="24"/>
          <w:szCs w:val="24"/>
          <w:rtl/>
        </w:rPr>
        <w:t>ﺧﻠﻣ</w:t>
      </w:r>
      <w:r w:rsidRPr="00452B7E">
        <w:rPr>
          <w:rFonts w:ascii="Calibri Light" w:hAnsi="Calibri Light" w:cs="Calibri Light"/>
          <w:sz w:val="24"/>
          <w:szCs w:val="24"/>
        </w:rPr>
        <w:t xml:space="preserve"> Introduction : Revue Des Sciences Humaines, June, 55–72.</w:t>
      </w:r>
    </w:p>
    <w:p w14:paraId="1E192A71" w14:textId="186DB45D"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Shroff, S. (2009). Legal and ethical aspects of organ donation. </w:t>
      </w:r>
      <w:r w:rsidRPr="0006373A">
        <w:rPr>
          <w:rFonts w:ascii="Calibri Light" w:hAnsi="Calibri Light" w:cs="Calibri Light"/>
          <w:i/>
          <w:iCs/>
          <w:sz w:val="24"/>
          <w:szCs w:val="24"/>
        </w:rPr>
        <w:t>Indian Journal of Urology, 25</w:t>
      </w:r>
      <w:r w:rsidRPr="0006373A">
        <w:rPr>
          <w:rFonts w:ascii="Calibri Light" w:hAnsi="Calibri Light" w:cs="Calibri Light"/>
          <w:sz w:val="24"/>
          <w:szCs w:val="24"/>
        </w:rPr>
        <w:t xml:space="preserve">(3), 348–355. </w:t>
      </w:r>
      <w:hyperlink r:id="rId32" w:tgtFrame="_new" w:history="1">
        <w:r w:rsidRPr="0006373A">
          <w:rPr>
            <w:rFonts w:ascii="Calibri Light" w:hAnsi="Calibri Light" w:cs="Calibri Light"/>
            <w:color w:val="0000FF"/>
            <w:sz w:val="24"/>
            <w:szCs w:val="24"/>
            <w:u w:val="single"/>
          </w:rPr>
          <w:t>https://doi.org/10.4103/0970-1591.56203</w:t>
        </w:r>
      </w:hyperlink>
    </w:p>
    <w:p w14:paraId="6C981CEB"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Sutikno, E., Irianto, S., Kusumaningrum, A. E., &amp; Noor, A. (2024). Improving Legal Protection for People with Mental Illness. </w:t>
      </w:r>
      <w:r w:rsidRPr="0006373A">
        <w:rPr>
          <w:rFonts w:ascii="Calibri Light" w:hAnsi="Calibri Light" w:cs="Calibri Light"/>
          <w:i/>
          <w:iCs/>
          <w:sz w:val="24"/>
          <w:szCs w:val="24"/>
        </w:rPr>
        <w:t>Pakistan Journal of Life and Social Sciences, 22</w:t>
      </w:r>
      <w:r w:rsidRPr="0006373A">
        <w:rPr>
          <w:rFonts w:ascii="Calibri Light" w:hAnsi="Calibri Light" w:cs="Calibri Light"/>
          <w:sz w:val="24"/>
          <w:szCs w:val="24"/>
        </w:rPr>
        <w:t xml:space="preserve">(2), 7478–7486. </w:t>
      </w:r>
      <w:hyperlink r:id="rId33" w:tgtFrame="_new" w:history="1">
        <w:r w:rsidRPr="0006373A">
          <w:rPr>
            <w:rFonts w:ascii="Calibri Light" w:hAnsi="Calibri Light" w:cs="Calibri Light"/>
            <w:color w:val="0000FF"/>
            <w:sz w:val="24"/>
            <w:szCs w:val="24"/>
            <w:u w:val="single"/>
          </w:rPr>
          <w:t>https://doi.org/10.57239/PJLSS-2024-22.2.00563</w:t>
        </w:r>
      </w:hyperlink>
    </w:p>
    <w:p w14:paraId="3EB7C48C" w14:textId="77777777" w:rsid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lastRenderedPageBreak/>
        <w:t xml:space="preserve">Tober, D. M. (2007). Organ sale in Iran. </w:t>
      </w:r>
      <w:r w:rsidRPr="0006373A">
        <w:rPr>
          <w:rFonts w:ascii="Calibri Light" w:hAnsi="Calibri Light" w:cs="Calibri Light"/>
          <w:i/>
          <w:iCs/>
          <w:sz w:val="24"/>
          <w:szCs w:val="24"/>
        </w:rPr>
        <w:t>Body and Society, 13</w:t>
      </w:r>
      <w:r w:rsidRPr="0006373A">
        <w:rPr>
          <w:rFonts w:ascii="Calibri Light" w:hAnsi="Calibri Light" w:cs="Calibri Light"/>
          <w:sz w:val="24"/>
          <w:szCs w:val="24"/>
        </w:rPr>
        <w:t xml:space="preserve">(3), 151–170. </w:t>
      </w:r>
      <w:hyperlink r:id="rId34" w:tgtFrame="_new" w:history="1">
        <w:r w:rsidRPr="0006373A">
          <w:rPr>
            <w:rFonts w:ascii="Calibri Light" w:hAnsi="Calibri Light" w:cs="Calibri Light"/>
            <w:color w:val="0000FF"/>
            <w:sz w:val="24"/>
            <w:szCs w:val="24"/>
            <w:u w:val="single"/>
          </w:rPr>
          <w:t>https://doi.org/10.1177/1357034X07082257</w:t>
        </w:r>
      </w:hyperlink>
      <w:r w:rsidRPr="0006373A">
        <w:rPr>
          <w:rFonts w:ascii="Calibri Light" w:hAnsi="Calibri Light" w:cs="Calibri Light"/>
          <w:sz w:val="24"/>
          <w:szCs w:val="24"/>
        </w:rPr>
        <w:br/>
        <w:t xml:space="preserve">Vanholder, R., et al. (2021). Organ donation and transplantation. </w:t>
      </w:r>
      <w:r w:rsidRPr="0006373A">
        <w:rPr>
          <w:rFonts w:ascii="Calibri Light" w:hAnsi="Calibri Light" w:cs="Calibri Light"/>
          <w:i/>
          <w:iCs/>
          <w:sz w:val="24"/>
          <w:szCs w:val="24"/>
        </w:rPr>
        <w:t>Nature Reviews Nephrology, 17</w:t>
      </w:r>
      <w:r w:rsidRPr="0006373A">
        <w:rPr>
          <w:rFonts w:ascii="Calibri Light" w:hAnsi="Calibri Light" w:cs="Calibri Light"/>
          <w:sz w:val="24"/>
          <w:szCs w:val="24"/>
        </w:rPr>
        <w:t xml:space="preserve">(8), 554–568. </w:t>
      </w:r>
      <w:hyperlink r:id="rId35" w:tgtFrame="_new" w:history="1">
        <w:r w:rsidRPr="0006373A">
          <w:rPr>
            <w:rFonts w:ascii="Calibri Light" w:hAnsi="Calibri Light" w:cs="Calibri Light"/>
            <w:color w:val="0000FF"/>
            <w:sz w:val="24"/>
            <w:szCs w:val="24"/>
            <w:u w:val="single"/>
          </w:rPr>
          <w:t>https://doi.org/10.1038/s41581-021-00425-3</w:t>
        </w:r>
      </w:hyperlink>
    </w:p>
    <w:p w14:paraId="2A320092" w14:textId="6235A2EA" w:rsidR="00C66671" w:rsidRPr="0006373A" w:rsidRDefault="00C66671" w:rsidP="0006373A">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06373A">
        <w:rPr>
          <w:rFonts w:ascii="Calibri Light" w:hAnsi="Calibri Light" w:cs="Calibri Light"/>
          <w:sz w:val="24"/>
          <w:szCs w:val="24"/>
        </w:rPr>
        <w:t xml:space="preserve">Zúñiga-Fajuri, A. (2015). Presumed consent and allocation priority: Chile. </w:t>
      </w:r>
      <w:r w:rsidRPr="0006373A">
        <w:rPr>
          <w:rFonts w:ascii="Calibri Light" w:hAnsi="Calibri Light" w:cs="Calibri Light"/>
          <w:i/>
          <w:iCs/>
          <w:sz w:val="24"/>
          <w:szCs w:val="24"/>
        </w:rPr>
        <w:t>Bulletin of the World Health Organization, 93</w:t>
      </w:r>
      <w:r w:rsidRPr="0006373A">
        <w:rPr>
          <w:rFonts w:ascii="Calibri Light" w:hAnsi="Calibri Light" w:cs="Calibri Light"/>
          <w:sz w:val="24"/>
          <w:szCs w:val="24"/>
        </w:rPr>
        <w:t xml:space="preserve">(3), 199–202. </w:t>
      </w:r>
      <w:hyperlink r:id="rId36" w:tgtFrame="_new" w:history="1">
        <w:r w:rsidRPr="0006373A">
          <w:rPr>
            <w:rFonts w:ascii="Calibri Light" w:hAnsi="Calibri Light" w:cs="Calibri Light"/>
            <w:color w:val="0000FF"/>
            <w:sz w:val="24"/>
            <w:szCs w:val="24"/>
            <w:u w:val="single"/>
          </w:rPr>
          <w:t>https://doi.org/10.2471/BLT.14.139535</w:t>
        </w:r>
      </w:hyperlink>
    </w:p>
    <w:sectPr w:rsidR="00C66671" w:rsidRPr="0006373A" w:rsidSect="007816FC">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55FCB" w14:textId="77777777" w:rsidR="00ED59E0" w:rsidRDefault="00ED59E0">
      <w:r>
        <w:separator/>
      </w:r>
    </w:p>
  </w:endnote>
  <w:endnote w:type="continuationSeparator" w:id="0">
    <w:p w14:paraId="0168859D" w14:textId="77777777" w:rsidR="00ED59E0" w:rsidRDefault="00ED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DAB6C" w14:textId="09AADD12" w:rsidR="00122F5F" w:rsidRPr="00540F02" w:rsidRDefault="00A46DF3"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35154EE4" wp14:editId="078B64E8">
              <wp:simplePos x="0" y="0"/>
              <wp:positionH relativeFrom="column">
                <wp:posOffset>5151755</wp:posOffset>
              </wp:positionH>
              <wp:positionV relativeFrom="paragraph">
                <wp:posOffset>-64770</wp:posOffset>
              </wp:positionV>
              <wp:extent cx="619760" cy="278130"/>
              <wp:effectExtent l="13335" t="7620" r="5080" b="9525"/>
              <wp:wrapNone/>
              <wp:docPr id="11530067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16D6BF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54EE4"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716D6BFC"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26B5F14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CACB8" w14:textId="7B242426" w:rsidR="0008220C" w:rsidRPr="00540F02" w:rsidRDefault="00A46DF3"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0D805533" wp14:editId="24BCD42A">
              <wp:simplePos x="0" y="0"/>
              <wp:positionH relativeFrom="column">
                <wp:posOffset>5151755</wp:posOffset>
              </wp:positionH>
              <wp:positionV relativeFrom="paragraph">
                <wp:posOffset>-64770</wp:posOffset>
              </wp:positionV>
              <wp:extent cx="619760" cy="278130"/>
              <wp:effectExtent l="13335" t="7620" r="5080" b="9525"/>
              <wp:wrapNone/>
              <wp:docPr id="18463635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03B1FA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05533"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03B1FAB"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7CAD7BF"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D2728" w14:textId="425CAB76" w:rsidR="00965E3F" w:rsidRPr="0008220C" w:rsidRDefault="00A46DF3"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05D66526" wp14:editId="2997DF42">
              <wp:simplePos x="0" y="0"/>
              <wp:positionH relativeFrom="column">
                <wp:posOffset>5151755</wp:posOffset>
              </wp:positionH>
              <wp:positionV relativeFrom="paragraph">
                <wp:posOffset>-64770</wp:posOffset>
              </wp:positionV>
              <wp:extent cx="619760" cy="278130"/>
              <wp:effectExtent l="13335" t="7620" r="5080" b="9525"/>
              <wp:wrapNone/>
              <wp:docPr id="20620199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0816B7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66526"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60816B7C"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A143160"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5F314" w14:textId="77777777" w:rsidR="00ED59E0" w:rsidRDefault="00ED59E0">
      <w:r>
        <w:separator/>
      </w:r>
    </w:p>
  </w:footnote>
  <w:footnote w:type="continuationSeparator" w:id="0">
    <w:p w14:paraId="2682C911" w14:textId="77777777" w:rsidR="00ED59E0" w:rsidRDefault="00ED5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86040" w14:textId="08AD3212" w:rsidR="00122F5F" w:rsidRDefault="00A46DF3" w:rsidP="00122F5F">
    <w:pPr>
      <w:pStyle w:val="Header"/>
    </w:pPr>
    <w:r>
      <w:rPr>
        <w:noProof/>
      </w:rPr>
      <mc:AlternateContent>
        <mc:Choice Requires="wps">
          <w:drawing>
            <wp:anchor distT="0" distB="0" distL="114300" distR="114300" simplePos="0" relativeHeight="251656192" behindDoc="1" locked="0" layoutInCell="1" allowOverlap="1" wp14:anchorId="2DCF4AD9" wp14:editId="7603BE6C">
              <wp:simplePos x="0" y="0"/>
              <wp:positionH relativeFrom="page">
                <wp:posOffset>962025</wp:posOffset>
              </wp:positionH>
              <wp:positionV relativeFrom="page">
                <wp:posOffset>947420</wp:posOffset>
              </wp:positionV>
              <wp:extent cx="1998980" cy="229870"/>
              <wp:effectExtent l="0" t="4445" r="1270" b="3810"/>
              <wp:wrapNone/>
              <wp:docPr id="158281075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C6A8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5CF8D4B"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F4AD9"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13C6A8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5CF8D4B"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4772507" wp14:editId="0BEE19DF">
              <wp:simplePos x="0" y="0"/>
              <wp:positionH relativeFrom="page">
                <wp:posOffset>6497955</wp:posOffset>
              </wp:positionH>
              <wp:positionV relativeFrom="page">
                <wp:posOffset>445135</wp:posOffset>
              </wp:positionV>
              <wp:extent cx="231775" cy="177800"/>
              <wp:effectExtent l="1905" t="0" r="4445" b="0"/>
              <wp:wrapNone/>
              <wp:docPr id="6555826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FEC5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72507"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219FEC5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69D427E0" wp14:editId="450DA9AF">
              <wp:simplePos x="0" y="0"/>
              <wp:positionH relativeFrom="page">
                <wp:posOffset>3143250</wp:posOffset>
              </wp:positionH>
              <wp:positionV relativeFrom="page">
                <wp:posOffset>784860</wp:posOffset>
              </wp:positionV>
              <wp:extent cx="3523615" cy="416560"/>
              <wp:effectExtent l="0" t="3810" r="635" b="0"/>
              <wp:wrapNone/>
              <wp:docPr id="1174961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7BBFA" w14:textId="7BF44B55" w:rsidR="00122F5F" w:rsidRPr="00A46DF3" w:rsidRDefault="00A46DF3" w:rsidP="00122F5F">
                          <w:pPr>
                            <w:ind w:left="23"/>
                            <w:jc w:val="both"/>
                            <w:rPr>
                              <w:rFonts w:ascii="Calibri Light" w:hAnsi="Calibri Light" w:cs="Calibri Light"/>
                              <w:i/>
                              <w:iCs/>
                              <w:sz w:val="18"/>
                            </w:rPr>
                          </w:pPr>
                          <w:r w:rsidRPr="00A46DF3">
                            <w:rPr>
                              <w:rFonts w:ascii="Calibri Light" w:hAnsi="Calibri Light" w:cs="Calibri Light"/>
                              <w:i/>
                              <w:iCs/>
                              <w:sz w:val="18"/>
                            </w:rPr>
                            <w:t>., Ensuring Fair and Ethical Legal Protection for Organ Donors in Indonesia: An Islamic Perspective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427E0"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3157BBFA" w14:textId="7BF44B55" w:rsidR="00122F5F" w:rsidRPr="00A46DF3" w:rsidRDefault="00A46DF3" w:rsidP="00122F5F">
                    <w:pPr>
                      <w:ind w:left="23"/>
                      <w:jc w:val="both"/>
                      <w:rPr>
                        <w:rFonts w:ascii="Calibri Light" w:hAnsi="Calibri Light" w:cs="Calibri Light"/>
                        <w:i/>
                        <w:iCs/>
                        <w:sz w:val="18"/>
                      </w:rPr>
                    </w:pPr>
                    <w:r w:rsidRPr="00A46DF3">
                      <w:rPr>
                        <w:rFonts w:ascii="Calibri Light" w:hAnsi="Calibri Light" w:cs="Calibri Light"/>
                        <w:i/>
                        <w:iCs/>
                        <w:sz w:val="18"/>
                      </w:rPr>
                      <w:t>., Ensuring Fair and Ethical Legal Protection for Organ Donors in Indonesia: An Islamic Perspective</w:t>
                    </w:r>
                  </w:p>
                </w:txbxContent>
              </v:textbox>
              <w10:wrap anchorx="page" anchory="page"/>
            </v:shape>
          </w:pict>
        </mc:Fallback>
      </mc:AlternateContent>
    </w:r>
    <w:r>
      <w:rPr>
        <w:noProof/>
      </w:rPr>
      <w:drawing>
        <wp:inline distT="0" distB="0" distL="0" distR="0" wp14:anchorId="0B0AAE45" wp14:editId="38A09FFB">
          <wp:extent cx="1098550" cy="5016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5D415A75" w14:textId="77777777" w:rsidR="00122F5F" w:rsidRDefault="00122F5F" w:rsidP="00122F5F">
    <w:pPr>
      <w:pStyle w:val="Header"/>
      <w:rPr>
        <w:sz w:val="16"/>
        <w:szCs w:val="16"/>
      </w:rPr>
    </w:pPr>
  </w:p>
  <w:p w14:paraId="2F3817DE" w14:textId="77777777" w:rsidR="00AA4AE4" w:rsidRDefault="00AA4AE4" w:rsidP="00122F5F">
    <w:pPr>
      <w:pStyle w:val="Header"/>
      <w:rPr>
        <w:sz w:val="16"/>
        <w:szCs w:val="16"/>
      </w:rPr>
    </w:pPr>
  </w:p>
  <w:p w14:paraId="15F85F9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51ADA" w14:textId="5C5313CB" w:rsidR="00540F02" w:rsidRDefault="00A46DF3" w:rsidP="00540F02">
    <w:pPr>
      <w:pStyle w:val="Header"/>
    </w:pPr>
    <w:r>
      <w:rPr>
        <w:noProof/>
      </w:rPr>
      <mc:AlternateContent>
        <mc:Choice Requires="wps">
          <w:drawing>
            <wp:anchor distT="0" distB="0" distL="114300" distR="114300" simplePos="0" relativeHeight="251658240" behindDoc="1" locked="0" layoutInCell="1" allowOverlap="1" wp14:anchorId="33CC4424" wp14:editId="519BAD45">
              <wp:simplePos x="0" y="0"/>
              <wp:positionH relativeFrom="page">
                <wp:posOffset>962025</wp:posOffset>
              </wp:positionH>
              <wp:positionV relativeFrom="page">
                <wp:posOffset>947420</wp:posOffset>
              </wp:positionV>
              <wp:extent cx="1998980" cy="229870"/>
              <wp:effectExtent l="0" t="4445" r="1270" b="3810"/>
              <wp:wrapNone/>
              <wp:docPr id="7354137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A508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B0D5CA"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C4424"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78BA508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EB0D5CA"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E5EDFF6" wp14:editId="7CEC32F5">
              <wp:simplePos x="0" y="0"/>
              <wp:positionH relativeFrom="page">
                <wp:posOffset>6464300</wp:posOffset>
              </wp:positionH>
              <wp:positionV relativeFrom="page">
                <wp:posOffset>467360</wp:posOffset>
              </wp:positionV>
              <wp:extent cx="231775" cy="177800"/>
              <wp:effectExtent l="0" t="635" r="0" b="2540"/>
              <wp:wrapNone/>
              <wp:docPr id="20091927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0F42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EDFF6"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6F60F42C"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58C2B3C3" wp14:editId="41220C52">
              <wp:simplePos x="0" y="0"/>
              <wp:positionH relativeFrom="page">
                <wp:posOffset>3143250</wp:posOffset>
              </wp:positionH>
              <wp:positionV relativeFrom="page">
                <wp:posOffset>784860</wp:posOffset>
              </wp:positionV>
              <wp:extent cx="3523615" cy="416560"/>
              <wp:effectExtent l="0" t="3810" r="635" b="0"/>
              <wp:wrapNone/>
              <wp:docPr id="42020545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C268D" w14:textId="77777777" w:rsidR="00A46DF3" w:rsidRPr="00FF1D30" w:rsidRDefault="00A46DF3" w:rsidP="00A46DF3">
                          <w:pPr>
                            <w:ind w:left="23"/>
                            <w:jc w:val="both"/>
                            <w:rPr>
                              <w:rFonts w:ascii="Calibri Light" w:hAnsi="Calibri Light" w:cs="Calibri Light"/>
                              <w:i/>
                              <w:sz w:val="18"/>
                            </w:rPr>
                          </w:pPr>
                          <w:r w:rsidRPr="00FF1D30">
                            <w:rPr>
                              <w:rFonts w:ascii="Calibri Light" w:hAnsi="Calibri Light" w:cs="Calibri Light"/>
                              <w:sz w:val="18"/>
                            </w:rPr>
                            <w:t>.,</w:t>
                          </w:r>
                          <w:r w:rsidRPr="00FF1D30">
                            <w:rPr>
                              <w:rFonts w:ascii="Calibri Light" w:hAnsi="Calibri Light" w:cs="Calibri Light"/>
                              <w:spacing w:val="-3"/>
                              <w:sz w:val="18"/>
                            </w:rPr>
                            <w:t xml:space="preserve"> </w:t>
                          </w:r>
                          <w:r w:rsidRPr="00447121">
                            <w:rPr>
                              <w:rFonts w:ascii="Calibri Light" w:hAnsi="Calibri Light" w:cs="Calibri Light"/>
                              <w:i/>
                              <w:sz w:val="18"/>
                            </w:rPr>
                            <w:t>Ensuring Fair and Ethical Legal Protection for Organ Donors in Indonesia: An Islamic Perspective</w:t>
                          </w:r>
                        </w:p>
                        <w:p w14:paraId="6B9BAB04" w14:textId="1791A3F8"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2B3C3"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494C268D" w14:textId="77777777" w:rsidR="00A46DF3" w:rsidRPr="00FF1D30" w:rsidRDefault="00A46DF3" w:rsidP="00A46DF3">
                    <w:pPr>
                      <w:ind w:left="23"/>
                      <w:jc w:val="both"/>
                      <w:rPr>
                        <w:rFonts w:ascii="Calibri Light" w:hAnsi="Calibri Light" w:cs="Calibri Light"/>
                        <w:i/>
                        <w:sz w:val="18"/>
                      </w:rPr>
                    </w:pPr>
                    <w:r w:rsidRPr="00FF1D30">
                      <w:rPr>
                        <w:rFonts w:ascii="Calibri Light" w:hAnsi="Calibri Light" w:cs="Calibri Light"/>
                        <w:sz w:val="18"/>
                      </w:rPr>
                      <w:t>.,</w:t>
                    </w:r>
                    <w:r w:rsidRPr="00FF1D30">
                      <w:rPr>
                        <w:rFonts w:ascii="Calibri Light" w:hAnsi="Calibri Light" w:cs="Calibri Light"/>
                        <w:spacing w:val="-3"/>
                        <w:sz w:val="18"/>
                      </w:rPr>
                      <w:t xml:space="preserve"> </w:t>
                    </w:r>
                    <w:r w:rsidRPr="00447121">
                      <w:rPr>
                        <w:rFonts w:ascii="Calibri Light" w:hAnsi="Calibri Light" w:cs="Calibri Light"/>
                        <w:i/>
                        <w:sz w:val="18"/>
                      </w:rPr>
                      <w:t>Ensuring Fair and Ethical Legal Protection for Organ Donors in Indonesia: An Islamic Perspective</w:t>
                    </w:r>
                  </w:p>
                  <w:p w14:paraId="6B9BAB04" w14:textId="1791A3F8"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rPr>
      <w:drawing>
        <wp:inline distT="0" distB="0" distL="0" distR="0" wp14:anchorId="4077200C" wp14:editId="5A4294B6">
          <wp:extent cx="1098550" cy="5016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6BD3DCF5" w14:textId="77777777" w:rsidR="00540F02" w:rsidRDefault="00540F02" w:rsidP="00540F02">
    <w:pPr>
      <w:pStyle w:val="Header"/>
      <w:rPr>
        <w:sz w:val="16"/>
        <w:szCs w:val="16"/>
      </w:rPr>
    </w:pPr>
  </w:p>
  <w:p w14:paraId="39D092F3" w14:textId="77777777" w:rsidR="00540F02" w:rsidRDefault="00540F02" w:rsidP="00540F02">
    <w:pPr>
      <w:pStyle w:val="Header"/>
      <w:rPr>
        <w:sz w:val="16"/>
        <w:szCs w:val="16"/>
      </w:rPr>
    </w:pPr>
  </w:p>
  <w:p w14:paraId="11A23624"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5F5FC" w14:textId="00A33633" w:rsidR="00FF1D30" w:rsidRDefault="00A46DF3">
    <w:pPr>
      <w:pStyle w:val="Header"/>
    </w:pPr>
    <w:r>
      <w:rPr>
        <w:noProof/>
      </w:rPr>
      <mc:AlternateContent>
        <mc:Choice Requires="wps">
          <w:drawing>
            <wp:anchor distT="0" distB="0" distL="114300" distR="114300" simplePos="0" relativeHeight="251652096" behindDoc="1" locked="0" layoutInCell="1" allowOverlap="1" wp14:anchorId="0F514D3D" wp14:editId="03E1987A">
              <wp:simplePos x="0" y="0"/>
              <wp:positionH relativeFrom="page">
                <wp:posOffset>942975</wp:posOffset>
              </wp:positionH>
              <wp:positionV relativeFrom="page">
                <wp:posOffset>947420</wp:posOffset>
              </wp:positionV>
              <wp:extent cx="1998980" cy="229870"/>
              <wp:effectExtent l="0" t="4445" r="1270" b="3810"/>
              <wp:wrapNone/>
              <wp:docPr id="10225097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91707"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4855AA2" w14:textId="50DFD958"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447121">
                            <w:rPr>
                              <w:rFonts w:ascii="Calibri Light" w:hAnsi="Calibri Light" w:cs="Calibri Light"/>
                              <w:sz w:val="12"/>
                              <w:szCs w:val="12"/>
                            </w:rPr>
                            <w:t>5</w:t>
                          </w:r>
                          <w:r w:rsidRPr="00FF1D30">
                            <w:rPr>
                              <w:rFonts w:ascii="Calibri Light" w:hAnsi="Calibri Light" w:cs="Calibri Light"/>
                              <w:sz w:val="12"/>
                              <w:szCs w:val="12"/>
                            </w:rPr>
                            <w:t>, Issue 1, 202</w:t>
                          </w:r>
                          <w:r w:rsidR="00447121">
                            <w:rPr>
                              <w:rFonts w:ascii="Calibri Light" w:hAnsi="Calibri Light" w:cs="Calibri Light"/>
                              <w:sz w:val="12"/>
                              <w:szCs w:val="1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14D3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3C91707"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4855AA2" w14:textId="50DFD958"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447121">
                      <w:rPr>
                        <w:rFonts w:ascii="Calibri Light" w:hAnsi="Calibri Light" w:cs="Calibri Light"/>
                        <w:sz w:val="12"/>
                        <w:szCs w:val="12"/>
                      </w:rPr>
                      <w:t>5</w:t>
                    </w:r>
                    <w:r w:rsidRPr="00FF1D30">
                      <w:rPr>
                        <w:rFonts w:ascii="Calibri Light" w:hAnsi="Calibri Light" w:cs="Calibri Light"/>
                        <w:sz w:val="12"/>
                        <w:szCs w:val="12"/>
                      </w:rPr>
                      <w:t>, Issue 1, 202</w:t>
                    </w:r>
                    <w:r w:rsidR="00447121">
                      <w:rPr>
                        <w:rFonts w:ascii="Calibri Light" w:hAnsi="Calibri Light" w:cs="Calibri Light"/>
                        <w:sz w:val="12"/>
                        <w:szCs w:val="12"/>
                      </w:rPr>
                      <w:t>6</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3D0CCA1E" wp14:editId="2AECEF3C">
              <wp:simplePos x="0" y="0"/>
              <wp:positionH relativeFrom="page">
                <wp:posOffset>6464300</wp:posOffset>
              </wp:positionH>
              <wp:positionV relativeFrom="page">
                <wp:posOffset>439420</wp:posOffset>
              </wp:positionV>
              <wp:extent cx="231775" cy="177800"/>
              <wp:effectExtent l="0" t="1270" r="0" b="1905"/>
              <wp:wrapNone/>
              <wp:docPr id="178269408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9A1F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CCA1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0089A1FA"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EB2BA24" wp14:editId="59320C29">
              <wp:simplePos x="0" y="0"/>
              <wp:positionH relativeFrom="page">
                <wp:posOffset>3143250</wp:posOffset>
              </wp:positionH>
              <wp:positionV relativeFrom="page">
                <wp:posOffset>784860</wp:posOffset>
              </wp:positionV>
              <wp:extent cx="3516630" cy="416560"/>
              <wp:effectExtent l="0" t="3810" r="0" b="0"/>
              <wp:wrapNone/>
              <wp:docPr id="16280529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E60CD" w14:textId="65228462" w:rsidR="00FF1D30" w:rsidRPr="00FF1D30" w:rsidRDefault="00FF1D30" w:rsidP="00FF1D30">
                          <w:pPr>
                            <w:ind w:left="23"/>
                            <w:jc w:val="both"/>
                            <w:rPr>
                              <w:rFonts w:ascii="Calibri Light" w:hAnsi="Calibri Light" w:cs="Calibri Light"/>
                              <w:i/>
                              <w:sz w:val="18"/>
                            </w:rPr>
                          </w:pPr>
                          <w:bookmarkStart w:id="0" w:name="_Hlk200296842"/>
                          <w:bookmarkStart w:id="1" w:name="_Hlk200296843"/>
                          <w:r w:rsidRPr="00FF1D30">
                            <w:rPr>
                              <w:rFonts w:ascii="Calibri Light" w:hAnsi="Calibri Light" w:cs="Calibri Light"/>
                              <w:sz w:val="18"/>
                            </w:rPr>
                            <w:t>.,</w:t>
                          </w:r>
                          <w:r w:rsidRPr="00FF1D30">
                            <w:rPr>
                              <w:rFonts w:ascii="Calibri Light" w:hAnsi="Calibri Light" w:cs="Calibri Light"/>
                              <w:spacing w:val="-3"/>
                              <w:sz w:val="18"/>
                            </w:rPr>
                            <w:t xml:space="preserve"> </w:t>
                          </w:r>
                          <w:r w:rsidR="00447121" w:rsidRPr="00447121">
                            <w:rPr>
                              <w:rFonts w:ascii="Calibri Light" w:hAnsi="Calibri Light" w:cs="Calibri Light"/>
                              <w:i/>
                              <w:sz w:val="18"/>
                            </w:rPr>
                            <w:t>Ensuring Fair and Ethical Legal Protection for Organ Donors in Indonesia: An Islamic Perspective</w:t>
                          </w:r>
                          <w:bookmarkEnd w:id="0"/>
                          <w:bookmarkEnd w:id="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2BA2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56E60CD" w14:textId="65228462" w:rsidR="00FF1D30" w:rsidRPr="00FF1D30" w:rsidRDefault="00FF1D30" w:rsidP="00FF1D30">
                    <w:pPr>
                      <w:ind w:left="23"/>
                      <w:jc w:val="both"/>
                      <w:rPr>
                        <w:rFonts w:ascii="Calibri Light" w:hAnsi="Calibri Light" w:cs="Calibri Light"/>
                        <w:i/>
                        <w:sz w:val="18"/>
                      </w:rPr>
                    </w:pPr>
                    <w:bookmarkStart w:id="2" w:name="_Hlk200296842"/>
                    <w:bookmarkStart w:id="3" w:name="_Hlk200296843"/>
                    <w:r w:rsidRPr="00FF1D30">
                      <w:rPr>
                        <w:rFonts w:ascii="Calibri Light" w:hAnsi="Calibri Light" w:cs="Calibri Light"/>
                        <w:sz w:val="18"/>
                      </w:rPr>
                      <w:t>.,</w:t>
                    </w:r>
                    <w:r w:rsidRPr="00FF1D30">
                      <w:rPr>
                        <w:rFonts w:ascii="Calibri Light" w:hAnsi="Calibri Light" w:cs="Calibri Light"/>
                        <w:spacing w:val="-3"/>
                        <w:sz w:val="18"/>
                      </w:rPr>
                      <w:t xml:space="preserve"> </w:t>
                    </w:r>
                    <w:r w:rsidR="00447121" w:rsidRPr="00447121">
                      <w:rPr>
                        <w:rFonts w:ascii="Calibri Light" w:hAnsi="Calibri Light" w:cs="Calibri Light"/>
                        <w:i/>
                        <w:sz w:val="18"/>
                      </w:rPr>
                      <w:t>Ensuring Fair and Ethical Legal Protection for Organ Donors in Indonesia: An Islamic Perspective</w:t>
                    </w:r>
                    <w:bookmarkEnd w:id="2"/>
                    <w:bookmarkEnd w:id="3"/>
                  </w:p>
                </w:txbxContent>
              </v:textbox>
              <w10:wrap anchorx="page" anchory="page"/>
            </v:shape>
          </w:pict>
        </mc:Fallback>
      </mc:AlternateContent>
    </w:r>
    <w:r>
      <w:rPr>
        <w:noProof/>
      </w:rPr>
      <w:drawing>
        <wp:inline distT="0" distB="0" distL="0" distR="0" wp14:anchorId="199BB75F" wp14:editId="6BAE950A">
          <wp:extent cx="1098550" cy="5016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5CAB144" w14:textId="77777777" w:rsidR="00FF1D30" w:rsidRDefault="00FF1D30">
    <w:pPr>
      <w:pStyle w:val="Header"/>
      <w:rPr>
        <w:sz w:val="16"/>
        <w:szCs w:val="16"/>
      </w:rPr>
    </w:pPr>
  </w:p>
  <w:p w14:paraId="7BFF6D0B" w14:textId="77777777" w:rsidR="00FF1D30" w:rsidRDefault="00FF1D30">
    <w:pPr>
      <w:pStyle w:val="Header"/>
      <w:rPr>
        <w:sz w:val="16"/>
        <w:szCs w:val="16"/>
      </w:rPr>
    </w:pPr>
  </w:p>
  <w:p w14:paraId="11073C34"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49521314">
    <w:abstractNumId w:val="14"/>
  </w:num>
  <w:num w:numId="2" w16cid:durableId="48383764">
    <w:abstractNumId w:val="8"/>
  </w:num>
  <w:num w:numId="3" w16cid:durableId="536435571">
    <w:abstractNumId w:val="9"/>
  </w:num>
  <w:num w:numId="4" w16cid:durableId="371808824">
    <w:abstractNumId w:val="22"/>
  </w:num>
  <w:num w:numId="5" w16cid:durableId="1858738295">
    <w:abstractNumId w:val="21"/>
  </w:num>
  <w:num w:numId="6" w16cid:durableId="1270163110">
    <w:abstractNumId w:val="20"/>
  </w:num>
  <w:num w:numId="7" w16cid:durableId="1902327796">
    <w:abstractNumId w:val="27"/>
  </w:num>
  <w:num w:numId="8" w16cid:durableId="1457485858">
    <w:abstractNumId w:val="15"/>
  </w:num>
  <w:num w:numId="9" w16cid:durableId="304163759">
    <w:abstractNumId w:val="23"/>
  </w:num>
  <w:num w:numId="10" w16cid:durableId="154734935">
    <w:abstractNumId w:val="24"/>
  </w:num>
  <w:num w:numId="11" w16cid:durableId="1835761263">
    <w:abstractNumId w:val="11"/>
  </w:num>
  <w:num w:numId="12" w16cid:durableId="1113089563">
    <w:abstractNumId w:val="18"/>
  </w:num>
  <w:num w:numId="13" w16cid:durableId="1742748021">
    <w:abstractNumId w:val="7"/>
  </w:num>
  <w:num w:numId="14" w16cid:durableId="2102099516">
    <w:abstractNumId w:val="0"/>
  </w:num>
  <w:num w:numId="15" w16cid:durableId="93941854">
    <w:abstractNumId w:val="28"/>
  </w:num>
  <w:num w:numId="16" w16cid:durableId="427122792">
    <w:abstractNumId w:val="19"/>
  </w:num>
  <w:num w:numId="17" w16cid:durableId="868251797">
    <w:abstractNumId w:val="26"/>
  </w:num>
  <w:num w:numId="18" w16cid:durableId="1285622732">
    <w:abstractNumId w:val="25"/>
  </w:num>
  <w:num w:numId="19" w16cid:durableId="847712711">
    <w:abstractNumId w:val="17"/>
  </w:num>
  <w:num w:numId="20" w16cid:durableId="808673636">
    <w:abstractNumId w:val="5"/>
  </w:num>
  <w:num w:numId="21" w16cid:durableId="106659383">
    <w:abstractNumId w:val="1"/>
  </w:num>
  <w:num w:numId="22" w16cid:durableId="1189366316">
    <w:abstractNumId w:val="12"/>
  </w:num>
  <w:num w:numId="23" w16cid:durableId="950479324">
    <w:abstractNumId w:val="2"/>
  </w:num>
  <w:num w:numId="24" w16cid:durableId="474495483">
    <w:abstractNumId w:val="3"/>
  </w:num>
  <w:num w:numId="25" w16cid:durableId="24259273">
    <w:abstractNumId w:val="4"/>
  </w:num>
  <w:num w:numId="26" w16cid:durableId="332344476">
    <w:abstractNumId w:val="10"/>
  </w:num>
  <w:num w:numId="27" w16cid:durableId="169024736">
    <w:abstractNumId w:val="13"/>
  </w:num>
  <w:num w:numId="28" w16cid:durableId="1974410834">
    <w:abstractNumId w:val="6"/>
  </w:num>
  <w:num w:numId="29" w16cid:durableId="194722781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0424"/>
    <w:rsid w:val="000417D3"/>
    <w:rsid w:val="000436A4"/>
    <w:rsid w:val="000475BE"/>
    <w:rsid w:val="00055FC4"/>
    <w:rsid w:val="0006191D"/>
    <w:rsid w:val="0006373A"/>
    <w:rsid w:val="00066AC1"/>
    <w:rsid w:val="00076F8C"/>
    <w:rsid w:val="0008220C"/>
    <w:rsid w:val="000877EE"/>
    <w:rsid w:val="000A0B41"/>
    <w:rsid w:val="000A2548"/>
    <w:rsid w:val="000B0038"/>
    <w:rsid w:val="000B0CE5"/>
    <w:rsid w:val="000B59CD"/>
    <w:rsid w:val="000C3688"/>
    <w:rsid w:val="000E1F30"/>
    <w:rsid w:val="000E31DC"/>
    <w:rsid w:val="000E3950"/>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47121"/>
    <w:rsid w:val="00451D00"/>
    <w:rsid w:val="00452B7E"/>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6076"/>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2570"/>
    <w:rsid w:val="00A13315"/>
    <w:rsid w:val="00A175E3"/>
    <w:rsid w:val="00A27B34"/>
    <w:rsid w:val="00A37C4B"/>
    <w:rsid w:val="00A43778"/>
    <w:rsid w:val="00A4558F"/>
    <w:rsid w:val="00A46DF3"/>
    <w:rsid w:val="00A50B27"/>
    <w:rsid w:val="00A549F9"/>
    <w:rsid w:val="00A562A0"/>
    <w:rsid w:val="00A5653C"/>
    <w:rsid w:val="00A574C4"/>
    <w:rsid w:val="00A60243"/>
    <w:rsid w:val="00A602DE"/>
    <w:rsid w:val="00A64896"/>
    <w:rsid w:val="00A67525"/>
    <w:rsid w:val="00A71464"/>
    <w:rsid w:val="00A72FCF"/>
    <w:rsid w:val="00A749D0"/>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2823"/>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6671"/>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226B"/>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2F24"/>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ED59E0"/>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D7FF2"/>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0A3A2"/>
  <w14:defaultImageDpi w14:val="0"/>
  <w15:docId w15:val="{C36F66D0-E171-4808-BA49-9ADF6C36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DF3"/>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yperlink" Target="https://doi.org/10.1097/MOT.0000000000001058" TargetMode="External"/><Relationship Id="rId18" Type="http://schemas.openxmlformats.org/officeDocument/2006/relationships/hyperlink" Target="https://doi.org/10.2147/RMHP.S270234" TargetMode="External"/><Relationship Id="rId26" Type="http://schemas.openxmlformats.org/officeDocument/2006/relationships/hyperlink" Target="https://doi.org/10.56367/oag-040-11001" TargetMode="External"/><Relationship Id="rId39" Type="http://schemas.openxmlformats.org/officeDocument/2006/relationships/footer" Target="footer1.xml"/><Relationship Id="rId21" Type="http://schemas.openxmlformats.org/officeDocument/2006/relationships/hyperlink" Target="https://doi.org/10.1177/20543581211037429" TargetMode="External"/><Relationship Id="rId34" Type="http://schemas.openxmlformats.org/officeDocument/2006/relationships/hyperlink" Target="https://doi.org/10.1177/1357034X07082257"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63/15733831-12341987" TargetMode="External"/><Relationship Id="rId20" Type="http://schemas.openxmlformats.org/officeDocument/2006/relationships/hyperlink" Target="https://doi.org/10.5500/wjt.v15.i1.93253" TargetMode="External"/><Relationship Id="rId29" Type="http://schemas.openxmlformats.org/officeDocument/2006/relationships/hyperlink" Target="https://doi.org/10.1016/j.ejim.2024.11.010"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healeco.2006.01.003" TargetMode="External"/><Relationship Id="rId24" Type="http://schemas.openxmlformats.org/officeDocument/2006/relationships/hyperlink" Target="https://doi.org/10.48161/qaj.v3n3a155" TargetMode="External"/><Relationship Id="rId32" Type="http://schemas.openxmlformats.org/officeDocument/2006/relationships/hyperlink" Target="https://doi.org/10.4103/0970-1591.56203"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48161/issn.2709-8206" TargetMode="External"/><Relationship Id="rId23" Type="http://schemas.openxmlformats.org/officeDocument/2006/relationships/hyperlink" Target="https://doi.org/10.1111/bioe.12774" TargetMode="External"/><Relationship Id="rId28" Type="http://schemas.openxmlformats.org/officeDocument/2006/relationships/hyperlink" Target="https://doi.org/10.17226/26364" TargetMode="External"/><Relationship Id="rId36" Type="http://schemas.openxmlformats.org/officeDocument/2006/relationships/hyperlink" Target="https://doi.org/10.2471/BLT.14.139535" TargetMode="External"/><Relationship Id="rId10" Type="http://schemas.openxmlformats.org/officeDocument/2006/relationships/hyperlink" Target="https://creativecommons.org/licenses/by/4.0/" TargetMode="External"/><Relationship Id="rId19" Type="http://schemas.openxmlformats.org/officeDocument/2006/relationships/hyperlink" Target="https://doi.org/10.47672/ejpcr.1481" TargetMode="External"/><Relationship Id="rId31" Type="http://schemas.openxmlformats.org/officeDocument/2006/relationships/hyperlink" Target="https://doi.org/10.1186/s12910-022-00791-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doi.org/10.1007/s11019-019-09904-8" TargetMode="External"/><Relationship Id="rId22" Type="http://schemas.openxmlformats.org/officeDocument/2006/relationships/hyperlink" Target="https://doi.org/10.1097/TP.0000000000001164" TargetMode="External"/><Relationship Id="rId27" Type="http://schemas.openxmlformats.org/officeDocument/2006/relationships/hyperlink" Target="https://doi.org/10.1038/ki.2012.219" TargetMode="External"/><Relationship Id="rId30" Type="http://schemas.openxmlformats.org/officeDocument/2006/relationships/hyperlink" Target="https://doi.org/10.1016/j.trre.2021.100638" TargetMode="External"/><Relationship Id="rId35" Type="http://schemas.openxmlformats.org/officeDocument/2006/relationships/hyperlink" Target="https://doi.org/10.1038/s41581-021-00425-3" TargetMode="External"/><Relationship Id="rId43" Type="http://schemas.openxmlformats.org/officeDocument/2006/relationships/fontTable" Target="fontTable.xml"/><Relationship Id="rId8" Type="http://schemas.openxmlformats.org/officeDocument/2006/relationships/hyperlink" Target="mailto:afif_noor@walisongo.ac.id" TargetMode="External"/><Relationship Id="rId3" Type="http://schemas.openxmlformats.org/officeDocument/2006/relationships/styles" Target="styles.xml"/><Relationship Id="rId12" Type="http://schemas.openxmlformats.org/officeDocument/2006/relationships/hyperlink" Target="https://doi.org/10.15294/jils.v9i2.19157" TargetMode="External"/><Relationship Id="rId17" Type="http://schemas.openxmlformats.org/officeDocument/2006/relationships/hyperlink" Target="https://doi.org/10.33024/mnj.v6i5.11070" TargetMode="External"/><Relationship Id="rId25" Type="http://schemas.openxmlformats.org/officeDocument/2006/relationships/hyperlink" Target="https://repository.badankebijakan.kemkes.go.id/id/eprint/3514/1/Laporan%20Riskesdas%202018%20Nasional.pdf" TargetMode="External"/><Relationship Id="rId33" Type="http://schemas.openxmlformats.org/officeDocument/2006/relationships/hyperlink" Target="https://doi.org/10.57239/PJLSS-2024-22.2.00563"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861A2-69D8-478A-BA62-6C053135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19226</Words>
  <Characters>109590</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128559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Wakil Dekan 1-FSH</cp:lastModifiedBy>
  <cp:revision>8</cp:revision>
  <cp:lastPrinted>2008-11-01T04:52:00Z</cp:lastPrinted>
  <dcterms:created xsi:type="dcterms:W3CDTF">2025-06-08T10:43:00Z</dcterms:created>
  <dcterms:modified xsi:type="dcterms:W3CDTF">2025-06-08T11:47:00Z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http://www.zotero.org/styles/chicago-fullnote-bibliography</vt:lpwstr>
  </property>
  <property fmtid="{D5CDD505-2E9C-101B-9397-08002B2CF9AE}" pid="5" name="Mendeley Recent Style Name 1_1">
    <vt:lpwstr>Chicago Manual of Style 17th edition (full note)</vt:lpwstr>
  </property>
  <property fmtid="{D5CDD505-2E9C-101B-9397-08002B2CF9AE}" pid="6" name="Mendeley Recent Style Id 2_1">
    <vt:lpwstr>http://www.zotero.org/styles/chicago-fullnote-bibliography-with-ibid</vt:lpwstr>
  </property>
  <property fmtid="{D5CDD505-2E9C-101B-9397-08002B2CF9AE}" pid="7" name="Mendeley Recent Style Name 2_1">
    <vt:lpwstr>Chicago Manual of Style 17th edition (full note, with Ibid.)</vt:lpwstr>
  </property>
  <property fmtid="{D5CDD505-2E9C-101B-9397-08002B2CF9AE}" pid="8" name="Mendeley Recent Style Id 3_1">
    <vt:lpwstr>http://www.zotero.org/styles/chicago-note-bibliography</vt:lpwstr>
  </property>
  <property fmtid="{D5CDD505-2E9C-101B-9397-08002B2CF9AE}" pid="9" name="Mendeley Recent Style Name 3_1">
    <vt:lpwstr>Chicago Manual of Style 17th edition (note)</vt:lpwstr>
  </property>
  <property fmtid="{D5CDD505-2E9C-101B-9397-08002B2CF9AE}" pid="10" name="Mendeley Recent Style Id 4_1">
    <vt:lpwstr>http://www.zotero.org/styles/chicago-note-bibliography-with-ibid</vt:lpwstr>
  </property>
  <property fmtid="{D5CDD505-2E9C-101B-9397-08002B2CF9AE}" pid="11" name="Mendeley Recent Style Name 4_1">
    <vt:lpwstr>Chicago Manual of Style 17th edition (note, with Ibid.)</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http://www.zotero.org/styles/oscola-no-ibid</vt:lpwstr>
  </property>
  <property fmtid="{D5CDD505-2E9C-101B-9397-08002B2CF9AE}" pid="21" name="Mendeley Recent Style Name 9_1">
    <vt:lpwstr>OSCOLA (Oxford University Standard for Citation of Legal Authorities) (no Ibid.)</vt:lpwstr>
  </property>
  <property fmtid="{D5CDD505-2E9C-101B-9397-08002B2CF9AE}" pid="22" name="Mendeley Document_1">
    <vt:lpwstr>True</vt:lpwstr>
  </property>
  <property fmtid="{D5CDD505-2E9C-101B-9397-08002B2CF9AE}" pid="23" name="Mendeley Unique User Id_1">
    <vt:lpwstr>48653239-9dc6-3d47-8516-877bdbcf27cb</vt:lpwstr>
  </property>
  <property fmtid="{D5CDD505-2E9C-101B-9397-08002B2CF9AE}" pid="24" name="Mendeley Citation Style_1">
    <vt:lpwstr>http://www.zotero.org/styles/apa</vt:lpwstr>
  </property>
</Properties>
</file>