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cs="Times New Roman"/>
          <w:b/>
        </w:rPr>
      </w:pPr>
      <w:r>
        <w:rPr>
          <w:rFonts w:ascii="Times New Roman" w:hAnsi="Times New Roman" w:cs="Times New Roman"/>
          <w:b/>
        </w:rPr>
        <w:t>IMPLIKASI PANDEMI COVID-19 SEBAGAI KEADAAN MEMAKSA (</w:t>
      </w:r>
      <w:r>
        <w:rPr>
          <w:rFonts w:ascii="Times New Roman" w:hAnsi="Times New Roman" w:cs="Times New Roman"/>
          <w:b/>
          <w:i/>
        </w:rPr>
        <w:t>OVERMACHT</w:t>
      </w:r>
      <w:r>
        <w:rPr>
          <w:rFonts w:ascii="Times New Roman" w:hAnsi="Times New Roman" w:cs="Times New Roman"/>
          <w:b/>
        </w:rPr>
        <w:t>) DALAM PERJANJIAN KREDIT</w:t>
      </w:r>
    </w:p>
    <w:p>
      <w:pPr>
        <w:spacing w:after="0" w:line="360" w:lineRule="auto"/>
        <w:jc w:val="center"/>
        <w:rPr>
          <w:rFonts w:ascii="Times New Roman" w:hAnsi="Times New Roman" w:cs="Times New Roman"/>
        </w:rPr>
      </w:pPr>
      <w:bookmarkStart w:id="0" w:name="_GoBack"/>
      <w:bookmarkEnd w:id="0"/>
    </w:p>
    <w:p>
      <w:pPr>
        <w:spacing w:after="0" w:line="360" w:lineRule="auto"/>
        <w:jc w:val="center"/>
        <w:rPr>
          <w:rFonts w:ascii="Times New Roman" w:hAnsi="Times New Roman" w:cs="Times New Roman"/>
          <w:b/>
        </w:rPr>
      </w:pPr>
      <w:r>
        <w:rPr>
          <w:rFonts w:ascii="Times New Roman" w:hAnsi="Times New Roman" w:cs="Times New Roman"/>
          <w:b/>
          <w:i/>
        </w:rPr>
        <w:t>Abstrak</w:t>
      </w:r>
    </w:p>
    <w:p>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Penelitian ini mempunyai tujuan untuk membahas apakah pandemi Covid-19 dapat digolongkan kedalam keadaan memaksa (</w:t>
      </w:r>
      <w:r>
        <w:rPr>
          <w:rFonts w:ascii="Times New Roman" w:hAnsi="Times New Roman" w:cs="Times New Roman"/>
          <w:i/>
          <w:sz w:val="24"/>
          <w:szCs w:val="24"/>
        </w:rPr>
        <w:t>Overmacht</w:t>
      </w:r>
      <w:r>
        <w:rPr>
          <w:rFonts w:ascii="Times New Roman" w:hAnsi="Times New Roman" w:cs="Times New Roman"/>
          <w:sz w:val="24"/>
          <w:szCs w:val="24"/>
        </w:rPr>
        <w:t>) dalam perjanjian kredit. Penelitian ini menggunakan metode yuridis normatif, yaitu dengan melakukan studi pustaka terhadap bahan-bahan hukum yang didapat dari Undang-Undang, literatur, serta buku-buku lainnya yang berkaitan dengan penulisan ini. Dari hasil penelitian yang telah dilakukan, bahwa kebijakan-kebijakan yang diberlakukan selama pandemi Covid-19 ini belum berjalan dengan baik. Hal ini ditandai dengan masih menurunnya perekonomian masyarakat sehingga prestasi-prestasi dalam perjanjian yang dilakukann menjadi tidak terpenuhi. Banyak pihak salah satunya adalah debitur dalam perjanjiann kredit yang mengalami kegagalan bayar dengan menggukan alasan keadaan memaksa (</w:t>
      </w:r>
      <w:r>
        <w:rPr>
          <w:rFonts w:ascii="Times New Roman" w:hAnsi="Times New Roman" w:cs="Times New Roman"/>
          <w:i/>
          <w:sz w:val="24"/>
          <w:szCs w:val="24"/>
        </w:rPr>
        <w:t>Overmacht</w:t>
      </w:r>
      <w:r>
        <w:rPr>
          <w:rFonts w:ascii="Times New Roman" w:hAnsi="Times New Roman" w:cs="Times New Roman"/>
          <w:sz w:val="24"/>
          <w:szCs w:val="24"/>
        </w:rPr>
        <w:t>) agar terhindar dari tanggung jawab untuk ganti rugi. Pandemi Covid-19 ini memang dapat digolongkan sebagai keadaan memaksa (</w:t>
      </w:r>
      <w:r>
        <w:rPr>
          <w:rFonts w:ascii="Times New Roman" w:hAnsi="Times New Roman" w:cs="Times New Roman"/>
          <w:i/>
          <w:sz w:val="24"/>
          <w:szCs w:val="24"/>
        </w:rPr>
        <w:t>Overmacht</w:t>
      </w:r>
      <w:r>
        <w:rPr>
          <w:rFonts w:ascii="Times New Roman" w:hAnsi="Times New Roman" w:cs="Times New Roman"/>
          <w:sz w:val="24"/>
          <w:szCs w:val="24"/>
        </w:rPr>
        <w:t>)  asalkan debitur mampu membuktikan alasan yang dinyatakannya kepada kreditur melalui beberapa hal, yaitu 1) Terjadi suatu peristiwa yang tidak disangka-sangka akan terjadi, 2) Peristiwa yang terjadi diluar kuasanya/kesalahannya, dan 3) Terdapat peristiwa yang menghalangi debitur untuk memenuhi prestasinya.</w:t>
      </w:r>
    </w:p>
    <w:p>
      <w:pPr>
        <w:spacing w:after="0" w:line="360" w:lineRule="auto"/>
        <w:jc w:val="both"/>
        <w:rPr>
          <w:rFonts w:ascii="Times New Roman" w:hAnsi="Times New Roman" w:cs="Times New Roman"/>
          <w:i/>
          <w:sz w:val="24"/>
          <w:szCs w:val="24"/>
        </w:rPr>
      </w:pPr>
      <w:r>
        <w:rPr>
          <w:rFonts w:ascii="Times New Roman" w:hAnsi="Times New Roman" w:cs="Times New Roman"/>
          <w:b/>
          <w:i/>
          <w:sz w:val="24"/>
          <w:szCs w:val="24"/>
        </w:rPr>
        <w:t xml:space="preserve">Kata Kunci: </w:t>
      </w:r>
      <w:r>
        <w:rPr>
          <w:rFonts w:ascii="Times New Roman" w:hAnsi="Times New Roman" w:cs="Times New Roman"/>
          <w:i/>
          <w:sz w:val="24"/>
          <w:szCs w:val="24"/>
        </w:rPr>
        <w:t>Pandemi Covid-19, Keadaan memaksa, Perjanjian kredit.</w:t>
      </w:r>
    </w:p>
    <w:p>
      <w:pPr>
        <w:spacing w:after="0" w:line="360" w:lineRule="auto"/>
        <w:jc w:val="center"/>
        <w:rPr>
          <w:rFonts w:ascii="Times New Roman" w:hAnsi="Times New Roman" w:cs="Times New Roman"/>
          <w:b/>
          <w:i/>
          <w:sz w:val="24"/>
          <w:szCs w:val="24"/>
        </w:rPr>
      </w:pPr>
      <w:r>
        <w:rPr>
          <w:rFonts w:ascii="Times New Roman" w:hAnsi="Times New Roman" w:cs="Times New Roman"/>
          <w:b/>
          <w:i/>
          <w:sz w:val="24"/>
          <w:szCs w:val="24"/>
        </w:rPr>
        <w:t>Abstract</w:t>
      </w:r>
    </w:p>
    <w:p>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This study aims to discuss whether the Covid-19 pandemic can be classified into a state of compulsion (Overmacht) in a credit agreement. This study uses a normative juridical method, namely by conducting a literature study of legal materials obtained from the Act, literature, and other books related to this writing. From the results of research that has been carried out, it is clear that the policies implemented during the Covid-19 pandemic have not gone well. This is indicated by the continued decline in the community's economy so that the achievements in the agreements made are not fulfilled. Many parties, one of which is the debtor in the credit agreement, who has failed to pay by using the reason for the forced circumstances (Overmacht) in order to avoid responsibility for compensation. This Covid-19 pandemic can indeed be classified as a state of coercion (Overmacht) as long as the debtor is able to prove the reasons he stated to the creditor through several things, namely 1) An unexpected event occurred, 2) Events that occurred beyond his control/fault , and 3) There are events that prevent the debtor from fulfilling his achievements.</w:t>
      </w:r>
    </w:p>
    <w:p>
      <w:pPr>
        <w:spacing w:after="0" w:line="360" w:lineRule="auto"/>
        <w:jc w:val="both"/>
        <w:rPr>
          <w:rFonts w:ascii="Times New Roman" w:hAnsi="Times New Roman" w:cs="Times New Roman"/>
          <w:i/>
          <w:sz w:val="24"/>
          <w:szCs w:val="24"/>
        </w:rPr>
      </w:pPr>
      <w:r>
        <w:rPr>
          <w:rFonts w:ascii="Times New Roman" w:hAnsi="Times New Roman" w:cs="Times New Roman"/>
          <w:b/>
          <w:i/>
          <w:sz w:val="24"/>
          <w:szCs w:val="24"/>
        </w:rPr>
        <w:t>Keyword:</w:t>
      </w:r>
      <w:r>
        <w:rPr>
          <w:rFonts w:ascii="Times New Roman" w:hAnsi="Times New Roman" w:cs="Times New Roman"/>
          <w:sz w:val="24"/>
          <w:szCs w:val="24"/>
        </w:rPr>
        <w:t xml:space="preserve"> </w:t>
      </w:r>
      <w:r>
        <w:rPr>
          <w:rFonts w:ascii="Times New Roman" w:hAnsi="Times New Roman" w:cs="Times New Roman"/>
          <w:i/>
          <w:sz w:val="24"/>
          <w:szCs w:val="24"/>
        </w:rPr>
        <w:t>Covid-19 pandemic, Overmacht, Credit agreements</w:t>
      </w:r>
      <w:r>
        <w:rPr>
          <w:rFonts w:ascii="Times New Roman" w:hAnsi="Times New Roman" w:cs="Times New Roman"/>
          <w:sz w:val="24"/>
          <w:szCs w:val="24"/>
        </w:rPr>
        <w:t>.</w:t>
      </w:r>
    </w:p>
    <w:p>
      <w:pPr>
        <w:spacing w:line="360" w:lineRule="auto"/>
        <w:jc w:val="both"/>
        <w:rPr>
          <w:rFonts w:ascii="Times New Roman" w:hAnsi="Times New Roman" w:cs="Times New Roman"/>
          <w:b/>
          <w:sz w:val="24"/>
          <w:szCs w:val="24"/>
        </w:rPr>
      </w:pPr>
    </w:p>
    <w:p>
      <w:pPr>
        <w:pStyle w:val="5"/>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PENDAHULUAN</w:t>
      </w:r>
    </w:p>
    <w:p>
      <w:pPr>
        <w:spacing w:line="360" w:lineRule="auto"/>
        <w:ind w:firstLine="720"/>
        <w:jc w:val="both"/>
        <w:rPr>
          <w:rFonts w:ascii="Times New Roman" w:hAnsi="Times New Roman" w:cs="Times New Roman"/>
          <w:sz w:val="24"/>
          <w:szCs w:val="24"/>
        </w:rPr>
      </w:pPr>
      <w:r>
        <w:rPr>
          <w:rFonts w:ascii="Times New Roman" w:hAnsi="Times New Roman" w:cs="Times New Roman"/>
          <w:color w:val="000000" w:themeColor="text1"/>
          <w:sz w:val="24"/>
          <w:szCs w:val="24"/>
          <w14:textFill>
            <w14:solidFill>
              <w14:schemeClr w14:val="tx1"/>
            </w14:solidFill>
          </w14:textFill>
        </w:rPr>
        <w:t xml:space="preserve">Pada bulan Desember tahun 2019, dunia dihebohkan dengan munculnya satu peristiwa yang menggemparkan publik. Peristiwa ini adalah kemunculan suatu penyakit jenis baru yang mengakibatkan </w:t>
      </w:r>
      <w:r>
        <w:rPr>
          <w:rFonts w:ascii="Times New Roman" w:hAnsi="Times New Roman" w:cs="Times New Roman"/>
          <w:i/>
          <w:color w:val="000000" w:themeColor="text1"/>
          <w:sz w:val="24"/>
          <w:szCs w:val="24"/>
          <w14:textFill>
            <w14:solidFill>
              <w14:schemeClr w14:val="tx1"/>
            </w14:solidFill>
          </w14:textFill>
        </w:rPr>
        <w:t>pneumonia</w:t>
      </w:r>
      <w:r>
        <w:rPr>
          <w:rFonts w:ascii="Times New Roman" w:hAnsi="Times New Roman" w:cs="Times New Roman"/>
          <w:color w:val="000000" w:themeColor="text1"/>
          <w:sz w:val="24"/>
          <w:szCs w:val="24"/>
          <w14:textFill>
            <w14:solidFill>
              <w14:schemeClr w14:val="tx1"/>
            </w14:solidFill>
          </w14:textFill>
        </w:rPr>
        <w:t xml:space="preserve"> atau peradangan paru-paru pada manusia. Peristiwa ini pertama kali diketahui berasal dari kota Wuhan, China dan berhasil teridentifikasi pada bulan awal tahun 2020 tepatnya pada bulan Januari dan ditetapkan menjadi spesies baru dari keluarga penyakit </w:t>
      </w:r>
      <w:r>
        <w:rPr>
          <w:rFonts w:ascii="Times New Roman" w:hAnsi="Times New Roman" w:cs="Times New Roman"/>
          <w:i/>
          <w:color w:val="000000" w:themeColor="text1"/>
          <w:sz w:val="24"/>
          <w:szCs w:val="24"/>
          <w14:textFill>
            <w14:solidFill>
              <w14:schemeClr w14:val="tx1"/>
            </w14:solidFill>
          </w14:textFill>
        </w:rPr>
        <w:t>Coronavirus</w:t>
      </w:r>
      <w:r>
        <w:rPr>
          <w:rFonts w:ascii="Times New Roman" w:hAnsi="Times New Roman" w:cs="Times New Roman"/>
          <w:color w:val="000000" w:themeColor="text1"/>
          <w:sz w:val="24"/>
          <w:szCs w:val="24"/>
          <w14:textFill>
            <w14:solidFill>
              <w14:schemeClr w14:val="tx1"/>
            </w14:solidFill>
          </w14:textFill>
        </w:rPr>
        <w:t xml:space="preserve"> (Yamali &amp; Putri, 2020).</w:t>
      </w:r>
      <w:r>
        <w:rPr>
          <w:rFonts w:ascii="Times New Roman" w:hAnsi="Times New Roman" w:cs="Times New Roman"/>
          <w:sz w:val="24"/>
          <w:szCs w:val="24"/>
        </w:rPr>
        <w:t xml:space="preserve"> Penyakit anyar dari spesies </w:t>
      </w:r>
      <w:r>
        <w:rPr>
          <w:rFonts w:ascii="Times New Roman" w:hAnsi="Times New Roman" w:cs="Times New Roman"/>
          <w:i/>
          <w:sz w:val="24"/>
          <w:szCs w:val="24"/>
        </w:rPr>
        <w:t>Coronavirus</w:t>
      </w:r>
      <w:r>
        <w:rPr>
          <w:rFonts w:ascii="Times New Roman" w:hAnsi="Times New Roman" w:cs="Times New Roman"/>
          <w:sz w:val="24"/>
          <w:szCs w:val="24"/>
        </w:rPr>
        <w:t xml:space="preserve"> ini dinamakan SARS-COV2, dimana virus ini dapat menjadi penyebab penyakit </w:t>
      </w:r>
      <w:r>
        <w:rPr>
          <w:rFonts w:ascii="Times New Roman" w:hAnsi="Times New Roman" w:cs="Times New Roman"/>
          <w:i/>
          <w:iCs/>
          <w:sz w:val="24"/>
          <w:szCs w:val="24"/>
        </w:rPr>
        <w:t>Coronavirus Disease</w:t>
      </w:r>
      <w:r>
        <w:rPr>
          <w:rFonts w:ascii="Times New Roman" w:hAnsi="Times New Roman" w:cs="Times New Roman"/>
          <w:sz w:val="24"/>
          <w:szCs w:val="24"/>
        </w:rPr>
        <w:t xml:space="preserve">-2019 (Covid-19). Virus ini dapat menyebar melalui cipratan cairan akibat batuk maupun bersin </w:t>
      </w:r>
      <w:r>
        <w:rPr>
          <w:rFonts w:ascii="Times New Roman" w:hAnsi="Times New Roman" w:cs="Times New Roman"/>
          <w:color w:val="000000" w:themeColor="text1"/>
          <w:sz w:val="24"/>
          <w:szCs w:val="24"/>
          <w14:textFill>
            <w14:solidFill>
              <w14:schemeClr w14:val="tx1"/>
            </w14:solidFill>
          </w14:textFill>
        </w:rPr>
        <w:t>yang dapat mengakibatkan kematian pada orang yang terinfeksi. Selanjutnya, pada 11 Maret 2020, Badan Kesehatan Dunia/WHO memberikan pengumuman berupa penetapan penyebaran Covid-19 menjadi pandemi global karena penyebarannya sudah merambah ke berbagai negara di dunia.</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Virus Covid-19 menyebar dengan cepat sehingga menimbulkan banyak masalah baru di segala bidang pada setiap negara, tidak terkecuali dengan negara Indonesia. Pemerintah Indonesia dalam melawan pagebluk Covid-19 yang mewabah selama lebih dari satu tahun di ini telah menetapkan berbagai regulasi. Pada penetapan regulasi ini, dipilihlah kebijakan dengan melalui dua jalur yaitu, kebijakan pencegahan sekaligus kebijakan yang mengatur perekonomian. Namun, ketika kedua kebijakan ini dijalankan secara bersama-sama berakibat pada tidak efektifnya hasil dari kebijakan yang dibuat. Selain itu, kebijakan tersebut juga menjadikan komunikasi yang buruk antar sesama pemerintah baik pusat maupun daerah sehingga kebijakan tersebut tidak terlaksana dengan baik karena tidak dapat memahami satu sama lain sehingga koordinasi antar pemerintah dalam menerapkan kebijakan tidak berjalan dengan baik. Alhasil, tujuan dari kebijakan yang sudah dicitakan yaitu pemutusan mata rantai penyebaran Covid-19 serta dalam hal perbaikan perekonomianpun menjadi tidak tercapai, bahkan</w:t>
      </w:r>
      <w:r>
        <w:rPr>
          <w:rFonts w:ascii="Times New Roman" w:hAnsi="Times New Roman" w:cs="Times New Roman"/>
          <w:i/>
          <w:sz w:val="24"/>
          <w:szCs w:val="24"/>
        </w:rPr>
        <w:t xml:space="preserve"> Chaos</w:t>
      </w:r>
      <w:r>
        <w:rPr>
          <w:rFonts w:ascii="Times New Roman" w:hAnsi="Times New Roman" w:cs="Times New Roman"/>
          <w:sz w:val="24"/>
          <w:szCs w:val="24"/>
        </w:rPr>
        <w:t xml:space="preserve"> yang terjadi akibat pandemi Covid-19 ini cenderung semakin parah (Kurniawansyah dkk., 2020).</w:t>
      </w:r>
    </w:p>
    <w:p>
      <w:pPr>
        <w:spacing w:line="360" w:lineRule="auto"/>
        <w:ind w:firstLine="720"/>
        <w:jc w:val="both"/>
        <w:rPr>
          <w:rFonts w:ascii="Times New Roman" w:hAnsi="Times New Roman" w:cs="Times New Roman"/>
          <w:sz w:val="24"/>
          <w:szCs w:val="24"/>
        </w:rPr>
      </w:pPr>
      <w:r>
        <w:rPr>
          <w:rFonts w:ascii="Times New Roman" w:hAnsi="Times New Roman" w:cs="Times New Roman"/>
          <w:color w:val="000000" w:themeColor="text1"/>
          <w:sz w:val="24"/>
          <w:szCs w:val="24"/>
          <w14:textFill>
            <w14:solidFill>
              <w14:schemeClr w14:val="tx1"/>
            </w14:solidFill>
          </w14:textFill>
        </w:rPr>
        <w:t xml:space="preserve">Krisis akibat pandemi Covid-19 benar-benar terjadi secara simultan pada berbagai sektor, utamanya ialah pada sektor ekonomi, sehingga </w:t>
      </w:r>
      <w:r>
        <w:rPr>
          <w:rFonts w:ascii="Times New Roman" w:hAnsi="Times New Roman" w:cs="Times New Roman"/>
          <w:sz w:val="24"/>
          <w:szCs w:val="24"/>
        </w:rPr>
        <w:t>dampaknya yang sangat terasa ialah bagi para kelompok ekonomi rendah yang rawan krisis. Kelompok ekonomi rendah ini adalah para pekerja/buruh harian lepas, pedagang kaki lima, kelompok usaha dengan mengandalkan keramaian pengunjung, para pekerja yang terkena PHK, petani, masyarakat miskin, dan lain sebagainya. Untuk mengatasi krisis ekonomi yang mereka rasakan, maka tak jarang para kelompok ekonomi rentan ini melakukan pinjaman dana kepada bank untuk kembali memulihkan ekonominya dengan berdasar perjanjian kredit.</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Perjanjian kredit tersusun dari dua kata, yaitu perjanjian dan juga kredit. Perjanjian merupakan suatu ikatan hukum dalam melakukan atau tidak melakukan sesuatu antara dua pihak maupun melebihi, sehingga membentuk hak dan kewajiban antara kedua pihak. Sementara kredit bermula dari istilah bahasa Romawi yaitu “</w:t>
      </w:r>
      <w:r>
        <w:rPr>
          <w:rFonts w:ascii="Times New Roman" w:hAnsi="Times New Roman" w:cs="Times New Roman"/>
          <w:i/>
          <w:sz w:val="24"/>
          <w:szCs w:val="24"/>
        </w:rPr>
        <w:t>Credere</w:t>
      </w:r>
      <w:r>
        <w:rPr>
          <w:rFonts w:ascii="Times New Roman" w:hAnsi="Times New Roman" w:cs="Times New Roman"/>
          <w:sz w:val="24"/>
          <w:szCs w:val="24"/>
        </w:rPr>
        <w:t>” yang artinya amanah. Singkatnya, kredit diartikan sebagai instrumen moneter yang mengizinkan individu maupun badan industri mendapatkan uang dan membayar balik bunga pada masa jatuh tempo tertentu (</w:t>
      </w:r>
      <w:r>
        <w:rPr>
          <w:rFonts w:ascii="Times New Roman" w:hAnsi="Times New Roman" w:cs="Times New Roman"/>
          <w:i/>
          <w:iCs/>
          <w:sz w:val="24"/>
          <w:szCs w:val="24"/>
        </w:rPr>
        <w:t>Apa Itu Kredit dan Pembiayaan?, SIKAPI</w:t>
      </w:r>
      <w:r>
        <w:rPr>
          <w:rFonts w:ascii="Times New Roman" w:hAnsi="Times New Roman" w:cs="Times New Roman"/>
          <w:sz w:val="24"/>
          <w:szCs w:val="24"/>
        </w:rPr>
        <w:t>, t.t.). Berdasarkan pengertian perjanjian dan perkreditan tersebut, bisa ditarik kesimpulan bahwa perjanjian/kontrak kredit merupakan kontrak pinjaman uang oleh debitur (nasabah) kepada kreditur (bank) dan mengharuskan nasabah untuk menuntaskan hutangnya dalam masa jatuh temponya disetai dengan pembayaran tambahan uang (bunga) sebagai keuntungan dari bank.</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Dalam prosesnya, perjanjian kredit tidak selalu berjalan mulus seperti yang diharapkan berdasar apa yang telah disepakati di dalam perjanjian. Terkadang satu di antara yang melakukan perjanjian juga tak sanggup untuk memenuhi tanggungan tersebut serupa dengan apa yang diperjanjikannya. Krisis ekonomi yang terjadi di tahun 2020 akibat pandemi Covid-19 menjadi salah satu penyebab debitur tidak dapat membayar kreditnya secara tepat waktu akibat dari terhambatnya pergerakan ekonomi (bisnis) mereka sehingga mengakibatkan debitur itu dianggap melakukan wanprestasi. Menurut Abdulkadir Muhammad, asal istilah Wanprestasi bermula dari bahasa Belanda “</w:t>
      </w:r>
      <w:r>
        <w:rPr>
          <w:rFonts w:ascii="Times New Roman" w:hAnsi="Times New Roman" w:cs="Times New Roman"/>
          <w:i/>
          <w:sz w:val="24"/>
          <w:szCs w:val="24"/>
        </w:rPr>
        <w:t>Wanprestatie</w:t>
      </w:r>
      <w:r>
        <w:rPr>
          <w:rFonts w:ascii="Times New Roman" w:hAnsi="Times New Roman" w:cs="Times New Roman"/>
          <w:sz w:val="24"/>
          <w:szCs w:val="24"/>
        </w:rPr>
        <w:t>” yang pemaknaannya adalah enggan untuk melaksanakan komitmen yang diatur oleh perjanjian yang dibuatnya sebagai bentuk partisipasi yang timbul karena hukum. Kelalaian dalam melakukan pembayaran dengan tidak melakukan pembayaran  atau  tidak  mau  membayar  dan  membayar  tapi  tidak tepat   waktu   sehingga   dapat   diklasifikasikan   sebagai   wanprestasi.</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Sehubungan dengan adanya pandemi Covid-19 sesuai dengan Keppres Nomor 12 Tahun 2020 yang ditetapkan oleh pemerintah menjadi musibah non alam secara nasional. Kemudian, Kerpres tersebut menimbulkan spekulasi publik, terutama bagi beberapa debitor yang berujung memberikan opini bahwa Keputusan Presiden tentang penetapan musibah nasional non alam akibat penyebaran Covid-19 ini telah dijadikan dasar dari </w:t>
      </w:r>
      <w:r>
        <w:rPr>
          <w:rFonts w:ascii="Times New Roman" w:hAnsi="Times New Roman" w:cs="Times New Roman"/>
          <w:i/>
          <w:sz w:val="24"/>
          <w:szCs w:val="24"/>
        </w:rPr>
        <w:t>Overmacht</w:t>
      </w:r>
      <w:r>
        <w:rPr>
          <w:rFonts w:ascii="Times New Roman" w:hAnsi="Times New Roman" w:cs="Times New Roman"/>
          <w:sz w:val="24"/>
          <w:szCs w:val="24"/>
        </w:rPr>
        <w:t xml:space="preserve"> sebagai dalih untuk melakukan wanprestasi. Spekulasi publik ini didasarkan atas pemikiran para debitur terhadap Covid-19 yang dianggap sebagai kejadian luar biasa yang membuat debitur tidak dapat memenuhi prestasinya sendiri. Kemudian hal ini mengakibatkan banyak prestasi dari perjanjian-perjanjian keperdataan menjadi tidak terpenuhi.</w:t>
      </w:r>
      <w:r>
        <w:rPr>
          <w:rFonts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cs="Times New Roman"/>
          <w:sz w:val="24"/>
          <w:szCs w:val="24"/>
        </w:rPr>
        <w:t xml:space="preserve">Sejalan dengan status pagebluk Covid-19 yang ditetapkan menjadi musibah non-alam tak serta-merta langsung dijadikan dalih </w:t>
      </w:r>
      <w:r>
        <w:rPr>
          <w:rFonts w:ascii="Times New Roman" w:hAnsi="Times New Roman" w:cs="Times New Roman"/>
          <w:i/>
          <w:sz w:val="24"/>
          <w:szCs w:val="24"/>
        </w:rPr>
        <w:t>Overmacht</w:t>
      </w:r>
      <w:r>
        <w:rPr>
          <w:rFonts w:ascii="Times New Roman" w:hAnsi="Times New Roman" w:cs="Times New Roman"/>
          <w:sz w:val="24"/>
          <w:szCs w:val="24"/>
        </w:rPr>
        <w:t xml:space="preserve"> dalam melakukan wanprestasi. Hal ini ditegaskan oleh Menteri Kementerian Koordinator Bidang Politik, Hukum, dan Keamanan Republik Indonesia (Kemenko Polhukam RI) Mahfud M. D. melalui pernyataannya, yang menyatakan bahwa Keppres No.12 Tahun 2020 Terkait penetapan bencana non-alam Covid-19 tidak bisa dijadikan semacam legitimasi </w:t>
      </w:r>
      <w:r>
        <w:rPr>
          <w:rFonts w:ascii="Times New Roman" w:hAnsi="Times New Roman" w:cs="Times New Roman"/>
          <w:i/>
          <w:sz w:val="24"/>
          <w:szCs w:val="24"/>
        </w:rPr>
        <w:t>Overmacht</w:t>
      </w:r>
      <w:r>
        <w:rPr>
          <w:rFonts w:ascii="Times New Roman" w:hAnsi="Times New Roman" w:cs="Times New Roman"/>
          <w:sz w:val="24"/>
          <w:szCs w:val="24"/>
        </w:rPr>
        <w:t xml:space="preserve"> dalam alasan untuk tidak memenuhi prestasi dalam segala macam perjanjian termasuk perjanjian kredit.</w:t>
      </w:r>
    </w:p>
    <w:p>
      <w:pPr>
        <w:spacing w:line="360" w:lineRule="auto"/>
        <w:ind w:firstLine="720"/>
        <w:jc w:val="both"/>
        <w:rPr>
          <w:rFonts w:ascii="Times New Roman" w:hAnsi="Times New Roman" w:cs="Times New Roman"/>
          <w:sz w:val="24"/>
          <w:szCs w:val="24"/>
        </w:rPr>
      </w:pPr>
      <w:r>
        <w:rPr>
          <w:rFonts w:ascii="Times New Roman" w:hAnsi="Times New Roman" w:cs="Times New Roman"/>
          <w:color w:val="000000" w:themeColor="text1"/>
          <w:sz w:val="24"/>
          <w:szCs w:val="24"/>
          <w14:textFill>
            <w14:solidFill>
              <w14:schemeClr w14:val="tx1"/>
            </w14:solidFill>
          </w14:textFill>
        </w:rPr>
        <w:t>Keadaan memaksa (</w:t>
      </w:r>
      <w:r>
        <w:rPr>
          <w:rFonts w:ascii="Times New Roman" w:hAnsi="Times New Roman" w:cs="Times New Roman"/>
          <w:i/>
          <w:color w:val="000000" w:themeColor="text1"/>
          <w:sz w:val="24"/>
          <w:szCs w:val="24"/>
          <w14:textFill>
            <w14:solidFill>
              <w14:schemeClr w14:val="tx1"/>
            </w14:solidFill>
          </w14:textFill>
        </w:rPr>
        <w:t>Overmacht</w:t>
      </w:r>
      <w:r>
        <w:rPr>
          <w:rFonts w:ascii="Times New Roman" w:hAnsi="Times New Roman" w:cs="Times New Roman"/>
          <w:color w:val="000000" w:themeColor="text1"/>
          <w:sz w:val="24"/>
          <w:szCs w:val="24"/>
          <w14:textFill>
            <w14:solidFill>
              <w14:schemeClr w14:val="tx1"/>
            </w14:solidFill>
          </w14:textFill>
        </w:rPr>
        <w:t xml:space="preserve">) dapat diterjemahkan sebagai keadaan memaksa akibat dari kejadian yang tak terduga yang mengakibatkan debitor tak cakap untuk menjalankan prestasinya serta debitor tak mampu mempertanggungjawabkannya, sementara keadaan debitur dalam beritikad baik pada saat dibuatnya suatu perjanjian. Suatu peristiwa yang menyebabkan </w:t>
      </w:r>
      <w:r>
        <w:rPr>
          <w:rFonts w:ascii="Times New Roman" w:hAnsi="Times New Roman" w:cs="Times New Roman"/>
          <w:i/>
          <w:color w:val="000000" w:themeColor="text1"/>
          <w:sz w:val="24"/>
          <w:szCs w:val="24"/>
          <w14:textFill>
            <w14:solidFill>
              <w14:schemeClr w14:val="tx1"/>
            </w14:solidFill>
          </w14:textFill>
        </w:rPr>
        <w:t>Overmacht</w:t>
      </w:r>
      <w:r>
        <w:rPr>
          <w:rFonts w:ascii="Times New Roman" w:hAnsi="Times New Roman" w:cs="Times New Roman"/>
          <w:color w:val="000000" w:themeColor="text1"/>
          <w:sz w:val="24"/>
          <w:szCs w:val="24"/>
          <w14:textFill>
            <w14:solidFill>
              <w14:schemeClr w14:val="tx1"/>
            </w14:solidFill>
          </w14:textFill>
        </w:rPr>
        <w:t xml:space="preserve"> mempunyai akibat hukum terhadap semua pelaku perjanjian terutama adalah pihak debitur yang melakukan wanpretasi, mereka tidak diwajibkan untuk membayar ganti rugi kepada kreditur apabila benar-benar dapat dibuktikan wanprestasinya akibat dari </w:t>
      </w:r>
      <w:r>
        <w:rPr>
          <w:rFonts w:ascii="Times New Roman" w:hAnsi="Times New Roman" w:cs="Times New Roman"/>
          <w:i/>
          <w:color w:val="000000" w:themeColor="text1"/>
          <w:sz w:val="24"/>
          <w:szCs w:val="24"/>
          <w14:textFill>
            <w14:solidFill>
              <w14:schemeClr w14:val="tx1"/>
            </w14:solidFill>
          </w14:textFill>
        </w:rPr>
        <w:t>Overmacht</w:t>
      </w:r>
      <w:r>
        <w:rPr>
          <w:rFonts w:ascii="Times New Roman" w:hAnsi="Times New Roman" w:cs="Times New Roman"/>
          <w:color w:val="000000" w:themeColor="text1"/>
          <w:sz w:val="24"/>
          <w:szCs w:val="24"/>
          <w14:textFill>
            <w14:solidFill>
              <w14:schemeClr w14:val="tx1"/>
            </w14:solidFill>
          </w14:textFill>
        </w:rPr>
        <w:t xml:space="preserve">. Ketentuan ini telah dijelaskan oleh pasal 1244, 1245, 1444 dan 1445 KUHPerdata meskipun pada beberapa pasal ini tidak menjelaskan secara eksplisit mengenai </w:t>
      </w:r>
      <w:r>
        <w:rPr>
          <w:rFonts w:ascii="Times New Roman" w:hAnsi="Times New Roman" w:cs="Times New Roman"/>
          <w:i/>
          <w:color w:val="000000" w:themeColor="text1"/>
          <w:sz w:val="24"/>
          <w:szCs w:val="24"/>
          <w14:textFill>
            <w14:solidFill>
              <w14:schemeClr w14:val="tx1"/>
            </w14:solidFill>
          </w14:textFill>
        </w:rPr>
        <w:t>Overmacht</w:t>
      </w:r>
      <w:r>
        <w:rPr>
          <w:rFonts w:ascii="Times New Roman" w:hAnsi="Times New Roman" w:cs="Times New Roman"/>
          <w:color w:val="000000" w:themeColor="text1"/>
          <w:sz w:val="24"/>
          <w:szCs w:val="24"/>
          <w14:textFill>
            <w14:solidFill>
              <w14:schemeClr w14:val="tx1"/>
            </w14:solidFill>
          </w14:textFill>
        </w:rPr>
        <w:t>.</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Sehubungan dengan kebijakan pemerintah melalui </w:t>
      </w:r>
      <w:r>
        <w:rPr>
          <w:rFonts w:ascii="Times New Roman" w:hAnsi="Times New Roman" w:cs="Times New Roman"/>
          <w:color w:val="000000" w:themeColor="text1"/>
          <w:sz w:val="24"/>
          <w:szCs w:val="24"/>
          <w14:textFill>
            <w14:solidFill>
              <w14:schemeClr w14:val="tx1"/>
            </w14:solidFill>
          </w14:textFill>
        </w:rPr>
        <w:t>PP No. 21 Tahun 2020 tentang PSBB</w:t>
      </w:r>
      <w:r>
        <w:rPr>
          <w:rFonts w:ascii="Times New Roman" w:hAnsi="Times New Roman" w:cs="Times New Roman"/>
          <w:sz w:val="24"/>
          <w:szCs w:val="24"/>
        </w:rPr>
        <w:t xml:space="preserve">, yang bertujuan untuk meminta masyarakat untuk tetap di rumah dan bekerja dari rumah, tentunya sangat menghambat pelaksanaan suatu prestasi dalam perjanjian, sehingga kondisi pandemi Covid-19 sekarang ini sudah dapat digolongkan kedalam </w:t>
      </w:r>
      <w:r>
        <w:rPr>
          <w:rFonts w:ascii="Times New Roman" w:hAnsi="Times New Roman" w:cs="Times New Roman"/>
          <w:i/>
          <w:sz w:val="24"/>
          <w:szCs w:val="24"/>
        </w:rPr>
        <w:t>Overmacht</w:t>
      </w:r>
      <w:r>
        <w:rPr>
          <w:rFonts w:ascii="Times New Roman" w:hAnsi="Times New Roman" w:cs="Times New Roman"/>
          <w:sz w:val="24"/>
          <w:szCs w:val="24"/>
        </w:rPr>
        <w:t>. Berdasar uraian yang telah dijabarkan diatas, penulis merasa perlu mengkaji lebih dalam mengenai:</w:t>
      </w:r>
    </w:p>
    <w:p>
      <w:pPr>
        <w:pStyle w:val="5"/>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Bagaimana implikasi pandemi covid-19 terkait munculnya status keadaan memaksa (</w:t>
      </w:r>
      <w:r>
        <w:rPr>
          <w:rFonts w:ascii="Times New Roman" w:hAnsi="Times New Roman" w:cs="Times New Roman"/>
          <w:i/>
          <w:sz w:val="24"/>
          <w:szCs w:val="24"/>
        </w:rPr>
        <w:t>Overnacht</w:t>
      </w:r>
      <w:r>
        <w:rPr>
          <w:rFonts w:ascii="Times New Roman" w:hAnsi="Times New Roman" w:cs="Times New Roman"/>
          <w:sz w:val="24"/>
          <w:szCs w:val="24"/>
        </w:rPr>
        <w:t xml:space="preserve">)? dan </w:t>
      </w:r>
    </w:p>
    <w:p>
      <w:pPr>
        <w:pStyle w:val="5"/>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Bagaimana Implikasi keadaan memaksa (</w:t>
      </w:r>
      <w:r>
        <w:rPr>
          <w:rFonts w:ascii="Times New Roman" w:hAnsi="Times New Roman" w:cs="Times New Roman"/>
          <w:i/>
          <w:sz w:val="24"/>
          <w:szCs w:val="24"/>
        </w:rPr>
        <w:t>overmacht</w:t>
      </w:r>
      <w:r>
        <w:rPr>
          <w:rFonts w:ascii="Times New Roman" w:hAnsi="Times New Roman" w:cs="Times New Roman"/>
          <w:sz w:val="24"/>
          <w:szCs w:val="24"/>
        </w:rPr>
        <w:t>) bagi debitur yang melakukan wanprestasi pada</w:t>
      </w:r>
      <w:r>
        <w:rPr>
          <w:rFonts w:ascii="Times New Roman" w:hAnsi="Times New Roman" w:cs="Times New Roman"/>
          <w:b/>
          <w:sz w:val="24"/>
          <w:szCs w:val="24"/>
        </w:rPr>
        <w:t xml:space="preserve"> </w:t>
      </w:r>
      <w:r>
        <w:rPr>
          <w:rFonts w:ascii="Times New Roman" w:hAnsi="Times New Roman" w:cs="Times New Roman"/>
          <w:sz w:val="24"/>
          <w:szCs w:val="24"/>
        </w:rPr>
        <w:t>perjanjian kreditnya akibat pandemi covid-19?.</w:t>
      </w:r>
    </w:p>
    <w:p>
      <w:pPr>
        <w:pStyle w:val="5"/>
        <w:spacing w:line="360" w:lineRule="auto"/>
        <w:jc w:val="both"/>
        <w:rPr>
          <w:rFonts w:ascii="Times New Roman" w:hAnsi="Times New Roman" w:cs="Times New Roman"/>
          <w:sz w:val="24"/>
          <w:szCs w:val="24"/>
        </w:rPr>
      </w:pPr>
    </w:p>
    <w:p>
      <w:pPr>
        <w:pStyle w:val="5"/>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METODE/GAGASAN</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Dalam penulisan ini, sesuai dengan judul serta permasalahan yang dibahas agar mendapat hasil yang memberikan manfaat, maka jenis penelitian yang digunakan adalah penelitian hukum yuridis normatif. Jenis penelitian ini merupakan penelitian hukum dengan melalui studi pustaka terhadap bahan-bahan hukum yang didapat dari Undang-Undang, literatur, serta buku-buku lainnya yang berkaitan dengan penulisan ini (Achmad &amp; Dewata, 2017). Bahan hukum ini diperinci menjadi beberapa macam yaitu, 1) Bahan hukum primer, yaitu bahan hukum yang terdiri atas peraturan perundangan, risalah resmi, putusan pengadilan dan dokumen resmi negara, 2) Bahan hukum sekunder, yaitu bahan hukum yang terdiri atas buku atau jurnal hukum yang berisi mengenai prinsip-prinsip dasar (asas hukum), pandangan ahli hukum, hasil penelitian hukum, kamus hukum dan ensiklopedia hukum, dan 3) Bahan nonhukum, yaitu bahan penelitian yang terdiri atas buku teks bukan hukum yang terkait dengan penelitian guna menjadi pendukung dan pelengkap bahan hukum (Marzuki, 2005).</w:t>
      </w:r>
    </w:p>
    <w:p>
      <w:pPr>
        <w:pStyle w:val="5"/>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HASIL DAN PEMBAHASAN</w:t>
      </w:r>
    </w:p>
    <w:p>
      <w:pPr>
        <w:numPr>
          <w:ilvl w:val="0"/>
          <w:numId w:val="3"/>
        </w:numPr>
        <w:spacing w:line="360" w:lineRule="auto"/>
        <w:contextualSpacing/>
        <w:jc w:val="both"/>
        <w:rPr>
          <w:rFonts w:ascii="Times New Roman" w:hAnsi="Times New Roman" w:cs="Times New Roman"/>
          <w:b/>
          <w:sz w:val="24"/>
          <w:szCs w:val="24"/>
        </w:rPr>
      </w:pPr>
      <w:r>
        <w:rPr>
          <w:rFonts w:ascii="Times New Roman" w:hAnsi="Times New Roman" w:cs="Times New Roman"/>
          <w:b/>
          <w:sz w:val="24"/>
          <w:szCs w:val="24"/>
        </w:rPr>
        <w:t>Implikasi Pandemi Covid-19 Terkait Munculnya Status Keadaan Memaksa (</w:t>
      </w:r>
      <w:r>
        <w:rPr>
          <w:rFonts w:ascii="Times New Roman" w:hAnsi="Times New Roman" w:cs="Times New Roman"/>
          <w:b/>
          <w:i/>
          <w:sz w:val="24"/>
          <w:szCs w:val="24"/>
        </w:rPr>
        <w:t>Overmacht</w:t>
      </w:r>
      <w:r>
        <w:rPr>
          <w:rFonts w:ascii="Times New Roman" w:hAnsi="Times New Roman" w:cs="Times New Roman"/>
          <w:b/>
          <w:sz w:val="24"/>
          <w:szCs w:val="24"/>
        </w:rPr>
        <w:t>).</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Selama masa pandemi akibat virus Covid-19 di Indonesia, telah mengakibatkan maraknya pelanggaran-prlanggaran terhadap suatu kontrak terutama dalam bidang pengkreditan. Banyak nasabah yang sudah melakukan perjanjian kredit untuk kegiatan usahanya mengalami kerugian akibat pandemi ini sehingga tidak mampu mewujudkan prestasinya yaitu dalam hal membayar hutangnya kepada bank. Tidak tercapainya prestasi ini bisa jadi akibat dari wanprestasi bisa juga benar-benar akibat dari keadaan memaksa (</w:t>
      </w:r>
      <w:r>
        <w:rPr>
          <w:rFonts w:ascii="Times New Roman" w:hAnsi="Times New Roman" w:cs="Times New Roman"/>
          <w:i/>
          <w:sz w:val="24"/>
          <w:szCs w:val="24"/>
        </w:rPr>
        <w:t>Overmacht</w:t>
      </w:r>
      <w:r>
        <w:rPr>
          <w:rFonts w:ascii="Times New Roman" w:hAnsi="Times New Roman" w:cs="Times New Roman"/>
          <w:sz w:val="24"/>
          <w:szCs w:val="24"/>
        </w:rPr>
        <w:t xml:space="preserve">) yang dialaminya. Dua kondisi yang menyebabkan terjadinya ketidaksanggupan memenuhi prestasi ini mempunyai persamaan yakni sama-sama tidak mampu untuk melaksanakan prestasi (isi perjanjian) yang telah dibuatnya. Sedangkan, perbedaannya adalah terletak pada unsur penyebabnya, dimana dalam wanprestasi disebabkan oleh kelalaian yang murni kesalahan dari pihak yang wanprestasi, sedangkan </w:t>
      </w:r>
      <w:r>
        <w:rPr>
          <w:rFonts w:ascii="Times New Roman" w:hAnsi="Times New Roman" w:cs="Times New Roman"/>
          <w:i/>
          <w:sz w:val="24"/>
          <w:szCs w:val="24"/>
        </w:rPr>
        <w:t>Overmacht</w:t>
      </w:r>
      <w:r>
        <w:rPr>
          <w:rFonts w:ascii="Times New Roman" w:hAnsi="Times New Roman" w:cs="Times New Roman"/>
          <w:sz w:val="24"/>
          <w:szCs w:val="24"/>
        </w:rPr>
        <w:t xml:space="preserve"> sendiri diakibatkan oleh kelalaian yang terjadi akibat munculnya suatu peristiwa yang tidak terduga dan bukan merupakan itikad buruk dari salah seorang pihak terhadap perjanjian itu.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Pada situasi pandemi Covid-19 ini memang menghadapkan berbagai pihak terhadap permasalahan-permasalahan di bidang perekonomian yang kian rumit, dimana banyak masyarakat yang kegiatan usahanya menjadi terhambat karena kebijakan pemerintah yang menerapkan Pembatasan Sosial Berskala Besar (PSBB) sebagai upaya menghentikan pandemi Covid-19 ini, hal ini berdasarkan Keppres Nomor 11 Tahun 2020 Tentang penetapan kedaruratan kesehatan. Menanggapi hal ini Indonesia telah mengeluarkan beberapa regulasi Covid-19 sebagai tanggapan terhadap pemberantasan pandemi Covid-19, yaitu telah dikeluarkan Keppres No. 7 tahun 2020 tentang Gugus  Tugas  Percepatan  Penanganan  Covid-19, yang menyangkut percepatan penanganan satgas Covid-19, yang bertujuan untuk mengkoordinasikan tindakan-tindakan dalam menangani pademi Covid-19. Terkait berlanjutnya pertumbuhan dan penyebaran Covid-19, dalam menindaklanjuti Undang-Undang Nomor 6 Tahun 2018 tentang Kekarantinaan Kesehatan, pemerintah juga telah mengeluarkan regulasi pembatasan sosial dalam Peraturan Pemerintah Nomor 21 Tahun 2020 tentang Pembatasan Sosial Berskala Besar (disingkat menjadi PSBB) yang menyangkut percepatan pemrosesan pengendalian Covid-19 dengan tujuan untuk mengatur wilayah yang akan diimplementasikan PSBB, akan menutup sementara tempat-tempat umum/publik seperti pusat perbelanjaan, perusahaan, sekolahan dan tempat keagamaan.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Dari pemberlakuakn PSBB ini, yang paling terkena efeknya adalah pada sektor perekonomian. Hal ini ditandai dengan banyaknya kegiatan bisnis menjadi terhenti secara tiba-tiba akibat para penjual tidak lagi ramai pembelinya. Kegiatan bisnis yang dikelola utamanya secara individu mengalami gangguan pada kegiatan operasional sehari-harinya sehingga menjadi tidak normal. Akibat dari debitur yang tidak dapat lagi melakukan kegiatan bisnisnya secara normal ini menjadikan ekonomi usahanya mengalami penurunan sehingga penghasilannyapun juga menurun. Sangat tinggi kemungkinan para pelaku usaha (debitur) yang ketika diterapkannya PSBB mengalami hambatan dalam pendapatannya, memiliki suatu kewajiban hukum yang berupa pembayaran sejumlah uang kepada kreditur sebagai pemenuhan prestasi atas perjanjian kredit secara tepat waktu sebelum berlakunya PSBB.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Namun, sudah semestinya terhadap  mereka  yang  kondisi  pendapatan ekonominya terganggu dengan adanya situasi PSBB yang menjadikan para debitur tiba-tiba menjadi terhalang untuk memenuhi kewajibannya secara tepat waktu kepada kreditur. Hal ini dikarenakan para debitur yang terlanjur melakukan perjanjian kredit namun seiring dengan merebaknya wabah Covid-19 ini menjadi tidak mampu untuk membayar hutang kreditnya akibat turunnya perekonomiannya. Ketidakmampuan memenuhi prestasi dalam perjanjian kredit dalam masa pandemi ini sering kali didasarkan pada klausul </w:t>
      </w:r>
      <w:r>
        <w:rPr>
          <w:rFonts w:ascii="Times New Roman" w:hAnsi="Times New Roman" w:cs="Times New Roman"/>
          <w:i/>
          <w:sz w:val="24"/>
          <w:szCs w:val="24"/>
        </w:rPr>
        <w:t>Overmacht</w:t>
      </w:r>
      <w:r>
        <w:rPr>
          <w:rFonts w:ascii="Times New Roman" w:hAnsi="Times New Roman" w:cs="Times New Roman"/>
          <w:sz w:val="24"/>
          <w:szCs w:val="24"/>
        </w:rPr>
        <w:t>. Tetapi, bagi debitur yang terdampak tetapi masih sanggup untuk melaksanakan prestasinya, mereka harus tetap menjalankan kewajibannya yaitu membayar hutangnya dengan menyesuaikan diri terhadap rumusan kebijakan-kebijakan PSBB Covid-19.</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Dalam jurnal yang ditulis oleh Sufiarina dan Sri Wahyuni tahun 2020, definisi </w:t>
      </w:r>
      <w:r>
        <w:rPr>
          <w:rFonts w:ascii="Times New Roman" w:hAnsi="Times New Roman" w:cs="Times New Roman"/>
          <w:i/>
          <w:sz w:val="24"/>
          <w:szCs w:val="24"/>
        </w:rPr>
        <w:t>Overmacht</w:t>
      </w:r>
      <w:r>
        <w:rPr>
          <w:rFonts w:ascii="Times New Roman" w:hAnsi="Times New Roman" w:cs="Times New Roman"/>
          <w:sz w:val="24"/>
          <w:szCs w:val="24"/>
        </w:rPr>
        <w:t xml:space="preserve"> menurut Salim HS, merupakan suatu keadaan yang membuat debitur tidak mampu melaksanakan prestasinya pada kreditur yang disebabkan adanya peristiwa yang berada diluar kuasanya, misalnya karena gempa bumi, banjir, lahar dan lain sebagainya. Sedangkan menurut R. Setiawan, </w:t>
      </w:r>
      <w:r>
        <w:rPr>
          <w:rFonts w:ascii="Times New Roman" w:hAnsi="Times New Roman" w:cs="Times New Roman"/>
          <w:i/>
          <w:sz w:val="24"/>
          <w:szCs w:val="24"/>
        </w:rPr>
        <w:t>Overmacht</w:t>
      </w:r>
      <w:r>
        <w:rPr>
          <w:rFonts w:ascii="Times New Roman" w:hAnsi="Times New Roman" w:cs="Times New Roman"/>
          <w:sz w:val="24"/>
          <w:szCs w:val="24"/>
        </w:rPr>
        <w:t xml:space="preserve"> merupakan suatu keadaan yang terjadi setelah berlakunya suatu perjanjian, yang menjadi penghalang bagi debitur untuk memenuhi prestasinya, dimana debitur tak dapat unutk dipersalahkan serta tidak diwajibkan untuk menanggung resikonya serta tidak dapat mengira pada waktu dibuatnya perjanjian (Sufiarina &amp; Wahyuni, 2020).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Suatu peristiwa yang menyebabkan </w:t>
      </w:r>
      <w:r>
        <w:rPr>
          <w:rFonts w:ascii="Times New Roman" w:hAnsi="Times New Roman" w:cs="Times New Roman"/>
          <w:i/>
          <w:sz w:val="24"/>
          <w:szCs w:val="24"/>
        </w:rPr>
        <w:t>Overmacht</w:t>
      </w:r>
      <w:r>
        <w:rPr>
          <w:rFonts w:ascii="Times New Roman" w:hAnsi="Times New Roman" w:cs="Times New Roman"/>
          <w:sz w:val="24"/>
          <w:szCs w:val="24"/>
        </w:rPr>
        <w:t xml:space="preserve"> mempunyai akibat hukum terhadap semua pelaku perjanjian terutama adalah pihak debitur yang melakukan wanpretasi, mereka tidak diwajibkan untuk membayar ganti rugi kepada kreditur apabila benar-benar dapat dibuktikan wanprestasinya akibat dari </w:t>
      </w:r>
      <w:r>
        <w:rPr>
          <w:rFonts w:ascii="Times New Roman" w:hAnsi="Times New Roman" w:cs="Times New Roman"/>
          <w:i/>
          <w:sz w:val="24"/>
          <w:szCs w:val="24"/>
        </w:rPr>
        <w:t>Overmacht</w:t>
      </w:r>
      <w:r>
        <w:rPr>
          <w:rFonts w:ascii="Times New Roman" w:hAnsi="Times New Roman" w:cs="Times New Roman"/>
          <w:sz w:val="24"/>
          <w:szCs w:val="24"/>
        </w:rPr>
        <w:t xml:space="preserve">. Ketentuan ini telah dijelaskan oleh pasal 1244 serta pasal 1245 KUHPerdata, meskipun pada kedua pasal ini tidak menjelaskan secara eksplisit mengenai </w:t>
      </w:r>
      <w:r>
        <w:rPr>
          <w:rFonts w:ascii="Times New Roman" w:hAnsi="Times New Roman" w:cs="Times New Roman"/>
          <w:i/>
          <w:sz w:val="24"/>
          <w:szCs w:val="24"/>
        </w:rPr>
        <w:t>Overmacht.</w:t>
      </w:r>
      <w:r>
        <w:rPr>
          <w:rFonts w:ascii="Times New Roman" w:hAnsi="Times New Roman" w:cs="Times New Roman"/>
          <w:sz w:val="24"/>
          <w:szCs w:val="24"/>
        </w:rPr>
        <w:t xml:space="preserve"> Pasal 1244 dan Pasal 1245 sama-sama  menjelaskan bahwa, apabila debitur tidak dapat membuktikan tidak terpenuhinya prestasi (hutang) karena keadaan tidak terduga, tidak dapat dipertanggungjawabkan olehnya atau akibat dari waktu pelaksanaan perjanjian yang tidak tepat, maka ia harus dihukum dengan cara mengganti biaya, kerugian beserta bunganya.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Selain dua pasal tersebut, konsep </w:t>
      </w:r>
      <w:r>
        <w:rPr>
          <w:rFonts w:ascii="Times New Roman" w:hAnsi="Times New Roman" w:cs="Times New Roman"/>
          <w:i/>
          <w:sz w:val="24"/>
          <w:szCs w:val="24"/>
        </w:rPr>
        <w:t>Overmacht</w:t>
      </w:r>
      <w:r>
        <w:rPr>
          <w:rFonts w:ascii="Times New Roman" w:hAnsi="Times New Roman" w:cs="Times New Roman"/>
          <w:sz w:val="24"/>
          <w:szCs w:val="24"/>
        </w:rPr>
        <w:t xml:space="preserve"> juga tercantum pada pasal 1444 dan pasal 1445 KUH Perdata. Pada Pasal 1444 menyatakan, jika barang/item yang menjadi subjek perjanjian musnah sehingga tidak dapat dipergunakan karena hilang diluar dari kesalahan debitur dan sebelum ia lalai menyerahkannya sampai benar-benar tak terlacak apakah barang/item itu masih ada atau tidak, maka sekalipun debitur dengan lalai tidak menyerahkan barang/item yang tidak ditanggung oleh peristiwa tak terduga yang belum pernah terjadi sebelumnya maka perjanjian akan tetap diakhiri ketika barang/item tersebut telah musnah di tangan kreditur dengan cara yang sama, seandainya item itu sudah diserahkan kepadanya. Disisi lain, debitur wajib membuktikan kejadian tak terduga yang dia sampaikan, tidak peduli bagaimana cara barang/item tersebut hilang atau hancur. Sedangkan pada Pasal 1445, menjelaskan bahwa jika barang/item yang terhutang rusak dan tidak dapat lagi diperjualbelikan atau hilang karena kesalahan debitur, maka debitur harus memberikan hak dan tuntutan tersebut di atas kepada kreditur jika ia memiliki hak atas barang tersebut atau hak untuk menuntut ganti rugi.</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Untuk mengetahui suatu kondisi yang benar-benar dianggap sebagai </w:t>
      </w:r>
      <w:r>
        <w:rPr>
          <w:rFonts w:ascii="Times New Roman" w:hAnsi="Times New Roman" w:cs="Times New Roman"/>
          <w:i/>
          <w:sz w:val="24"/>
          <w:szCs w:val="24"/>
        </w:rPr>
        <w:t>Overmacht</w:t>
      </w:r>
      <w:r>
        <w:rPr>
          <w:rFonts w:ascii="Times New Roman" w:hAnsi="Times New Roman" w:cs="Times New Roman"/>
          <w:sz w:val="24"/>
          <w:szCs w:val="24"/>
        </w:rPr>
        <w:t xml:space="preserve">, menurut M. Isnaeni dalam materi seminar online ysng diselenggarakan oleh Asosiasi Pengajar Hukum Keperdataan bekerja sama dengan Universitas Narotama Surabaya pada Rabu, 22 April 2020, debitur haruslah membuktikan alasan ia menyatakan </w:t>
      </w:r>
      <w:r>
        <w:rPr>
          <w:rFonts w:ascii="Times New Roman" w:hAnsi="Times New Roman" w:cs="Times New Roman"/>
          <w:i/>
          <w:sz w:val="24"/>
          <w:szCs w:val="24"/>
        </w:rPr>
        <w:t>Overmacht</w:t>
      </w:r>
      <w:r>
        <w:rPr>
          <w:rFonts w:ascii="Times New Roman" w:hAnsi="Times New Roman" w:cs="Times New Roman"/>
          <w:sz w:val="24"/>
          <w:szCs w:val="24"/>
        </w:rPr>
        <w:t xml:space="preserve"> kepada kreditur melalui beberapa hal yaitu, 1) Terjadi suatu peristiwa yang tidak disangka-sangka akan terjadi, 2) Peristiwa yang terjadi diluar kuasanya/kesalahannya, dan 3) Terdapat peristiwa yang menghalangi debitur untuk memenuhi prestasinya. Tiga ketentuan ini haruslah dapat dibuktikan sekaligus/bersamaan dengan jelas agar memenuhi ketentuan bagi suatu keadaan dinyatakan sebagai </w:t>
      </w:r>
      <w:r>
        <w:rPr>
          <w:rFonts w:ascii="Times New Roman" w:hAnsi="Times New Roman" w:cs="Times New Roman"/>
          <w:i/>
          <w:sz w:val="24"/>
          <w:szCs w:val="24"/>
        </w:rPr>
        <w:t>Overmacht</w:t>
      </w:r>
      <w:r>
        <w:rPr>
          <w:rFonts w:ascii="Times New Roman" w:hAnsi="Times New Roman" w:cs="Times New Roman"/>
          <w:sz w:val="24"/>
          <w:szCs w:val="24"/>
        </w:rPr>
        <w:t>. Maka dari itu, jika si debitur mampu memberikan pembuktian atas ketiga syarat itu, maka ia tidak harus bertanggung jawab untuk menanggung resikonya.</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Selain itu, terdapat satu syarat penting yang dapat digunakan untuk menyatakan kondisi </w:t>
      </w:r>
      <w:r>
        <w:rPr>
          <w:rFonts w:ascii="Times New Roman" w:hAnsi="Times New Roman" w:cs="Times New Roman"/>
          <w:i/>
          <w:sz w:val="24"/>
          <w:szCs w:val="24"/>
        </w:rPr>
        <w:t>Overmacht</w:t>
      </w:r>
      <w:r>
        <w:rPr>
          <w:rFonts w:ascii="Times New Roman" w:hAnsi="Times New Roman" w:cs="Times New Roman"/>
          <w:sz w:val="24"/>
          <w:szCs w:val="24"/>
        </w:rPr>
        <w:t xml:space="preserve">, yaitu ketika peristiwa yang mendalangi </w:t>
      </w:r>
      <w:r>
        <w:rPr>
          <w:rFonts w:ascii="Times New Roman" w:hAnsi="Times New Roman" w:cs="Times New Roman"/>
          <w:i/>
          <w:sz w:val="24"/>
          <w:szCs w:val="24"/>
        </w:rPr>
        <w:t>Overmacht</w:t>
      </w:r>
      <w:r>
        <w:rPr>
          <w:rFonts w:ascii="Times New Roman" w:hAnsi="Times New Roman" w:cs="Times New Roman"/>
          <w:sz w:val="24"/>
          <w:szCs w:val="24"/>
        </w:rPr>
        <w:t xml:space="preserve"> itu sudah terjadi sebelum debitur dinyatakan telah lalai (wanprestasi) menjalankan prestasi terlebih dulu. Dalam hal pandemi Covid-19, apabila  sebelum diberlakukannya kebijakan PSBB debitur sudah lebih dulu melakukan wanprestasi dan tetap berlanjut, maka kebijakan PSBB tidak dapat digunakan sebagai alasan </w:t>
      </w:r>
      <w:r>
        <w:rPr>
          <w:rFonts w:ascii="Times New Roman" w:hAnsi="Times New Roman" w:cs="Times New Roman"/>
          <w:i/>
          <w:sz w:val="24"/>
          <w:szCs w:val="24"/>
        </w:rPr>
        <w:t>Overmacht</w:t>
      </w:r>
      <w:r>
        <w:rPr>
          <w:rFonts w:ascii="Times New Roman" w:hAnsi="Times New Roman" w:cs="Times New Roman"/>
          <w:sz w:val="24"/>
          <w:szCs w:val="24"/>
        </w:rPr>
        <w:t xml:space="preserve"> bagi ketidakmampuan memenuhi prestasinya. Debitor tetap berada dalam keadaan wanprestasi dan risiko ganti rugi menjadi tanggungan debitor, karena adanya unsur kesalahan atau kelalaian pada debitor itu sendiri.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Selanjutnya, apabila perjanjian yang gagal terlaksana tersebut diakibatkan oleh </w:t>
      </w:r>
      <w:r>
        <w:rPr>
          <w:rFonts w:ascii="Times New Roman" w:hAnsi="Times New Roman" w:cs="Times New Roman"/>
          <w:i/>
          <w:sz w:val="24"/>
          <w:szCs w:val="24"/>
        </w:rPr>
        <w:t>Overmacht</w:t>
      </w:r>
      <w:r>
        <w:rPr>
          <w:rFonts w:ascii="Times New Roman" w:hAnsi="Times New Roman" w:cs="Times New Roman"/>
          <w:sz w:val="24"/>
          <w:szCs w:val="24"/>
        </w:rPr>
        <w:t xml:space="preserve"> sehingga kedua belah pihak belum memenuhi kewajibannya, maka penyelesaiannya tidaklah sulit dan masing-masing pihak dapat menghindari tuduhan pelanggaran kontrak (wanprestasi) yaitu dengan mengajukan tangkisan melalui pengajuan </w:t>
      </w:r>
      <w:r>
        <w:rPr>
          <w:rFonts w:ascii="Times New Roman" w:hAnsi="Times New Roman" w:cs="Times New Roman"/>
          <w:i/>
          <w:sz w:val="24"/>
          <w:szCs w:val="24"/>
        </w:rPr>
        <w:t>Exceptio Non Adempleti Contractus</w:t>
      </w:r>
      <w:r>
        <w:rPr>
          <w:rFonts w:ascii="Times New Roman" w:hAnsi="Times New Roman" w:cs="Times New Roman"/>
          <w:sz w:val="24"/>
          <w:szCs w:val="24"/>
        </w:rPr>
        <w:t xml:space="preserve">, maksudnya yaitu apabila pihak yang satu tidak berprestasi, maka pihak lain juga tidak perlu berprestasi. Hal ini sesuai dengan yang disampaikan oleh Riduan Syahrini yaitu, </w:t>
      </w:r>
      <w:r>
        <w:rPr>
          <w:rFonts w:ascii="Times New Roman" w:hAnsi="Times New Roman" w:cs="Times New Roman"/>
          <w:i/>
          <w:sz w:val="24"/>
          <w:szCs w:val="24"/>
        </w:rPr>
        <w:t>Exceptio Non Adempleti Contractus</w:t>
      </w:r>
      <w:r>
        <w:rPr>
          <w:rFonts w:ascii="Times New Roman" w:hAnsi="Times New Roman" w:cs="Times New Roman"/>
          <w:sz w:val="24"/>
          <w:szCs w:val="24"/>
        </w:rPr>
        <w:t xml:space="preserve"> merupakan sanggahan yang menyatakan si debitur yang tidak berprestasi karena si kreditur sendiri juga tidak berprestasi. Oleh karerna itu, sangat tidak masuk akal apabila salah seorang pihak menyatakan pihak lain tidak berprestasi sedangkan dirinya sendiri juga tidak melaksanakan prestasinya.</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Sehubungan dengan adanya pandemi Covid-19 sesuai dengan Keppres No. 12 Tahun 2020 yang ditetapkan oleh pemerintah menjadi musibah non-alam secara nasional. Menyikapi kebijakan yang menetapkan Covid-19 menjadi musibah non alam, apabila melihat dalam pasal 1 ayat 1, UU No. 24 Tahun 2007 tentang Penanggulangan Bencana, menyatakan bahwa bencana merupakana suatu peristiwa atau serangkaian peristiwa yang mengancam sumber kehidupan dan hidup manusia itu sendiri, yang disebabkan oleh faktor alam dan/atau non-alam yang menimbulkan korban jiwa, kerusakan lingkungan, kerugian harta benda dan juga dapat mengakibatkan dampak psikologis pada masyarakat. Berdasar penjelasan ini, Covid-19 dapat digolongkan ke dalam bencana non-alam sesuai dengan penjelasan yang terdapat dalam pasal 1 ayat 3 UU No. 24 Tahun 2007  tentang Penanggulangan Bencana yang memberikan penjelasan tentang bencana non-alam, bahwa bencana non-alam merupakan suatu bencana yang disebabkan oleh kejadian tidak wajar (non-alam) antara lain kegagalan teknologi, permasalahan modernisasi dan wabah penyakit yang dapat berakibat pada hilangnya nyawa seseorang.</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Kemudian, Kepres No. 12 Tahun 2020 tersebut menimbulkan banyak spekulasi publik, terutama bagi beberapa debitor yang berujung memberikan opini bahwa Keputusan Presiden tentang penetapan musibah nasional non-alam akibat penyebaran Covid-19 ini telah dijadikan landasan hukum dari </w:t>
      </w:r>
      <w:r>
        <w:rPr>
          <w:rFonts w:ascii="Times New Roman" w:hAnsi="Times New Roman" w:cs="Times New Roman"/>
          <w:i/>
          <w:sz w:val="24"/>
          <w:szCs w:val="24"/>
        </w:rPr>
        <w:t>Overmacht</w:t>
      </w:r>
      <w:r>
        <w:rPr>
          <w:rFonts w:ascii="Times New Roman" w:hAnsi="Times New Roman" w:cs="Times New Roman"/>
          <w:sz w:val="24"/>
          <w:szCs w:val="24"/>
        </w:rPr>
        <w:t>. Spekulasi ini didasarkan atas pemikiran para debitur terhadap Covid-19 yang dianggap sebagai kejadian luar biasa (</w:t>
      </w:r>
      <w:r>
        <w:rPr>
          <w:rFonts w:ascii="Times New Roman" w:hAnsi="Times New Roman" w:cs="Times New Roman"/>
          <w:i/>
          <w:sz w:val="24"/>
          <w:szCs w:val="24"/>
        </w:rPr>
        <w:t>Overmacht</w:t>
      </w:r>
      <w:r>
        <w:rPr>
          <w:rFonts w:ascii="Times New Roman" w:hAnsi="Times New Roman" w:cs="Times New Roman"/>
          <w:sz w:val="24"/>
          <w:szCs w:val="24"/>
        </w:rPr>
        <w:t xml:space="preserve">) yang membuat debitur tidak dapat mencapai prestasinya sendiri. Kemudian hal ini mengakibatkan banyak prestasi dari perjanjian-perjanjian keperdataan menjadi tidak terpenuhi. Sejalan dengan status pagebluk Covid-19 yang ditetapkan menjadi musibah non-alam tak serta-merta langsung dijadikan dalih </w:t>
      </w:r>
      <w:r>
        <w:rPr>
          <w:rFonts w:ascii="Times New Roman" w:hAnsi="Times New Roman" w:cs="Times New Roman"/>
          <w:i/>
          <w:sz w:val="24"/>
          <w:szCs w:val="24"/>
        </w:rPr>
        <w:t>Overmacht</w:t>
      </w:r>
      <w:r>
        <w:rPr>
          <w:rFonts w:ascii="Times New Roman" w:hAnsi="Times New Roman" w:cs="Times New Roman"/>
          <w:sz w:val="24"/>
          <w:szCs w:val="24"/>
        </w:rPr>
        <w:t xml:space="preserve"> dalam melakukan wanprestasi. Hal ini ditegaskan oleh Menteri Kementerian Koordinator Bidang Politik, Hukum, dan Keamanan Republik Indonesia (Kemenko Polhukam RI) Mahfud M. D. melalui pernyataannya, bahwa Keppres No.12 Tahun 2020 Terkait penetapan bencana non-alam Covid-19 tidak bisa dijadikan semacam legitimasi </w:t>
      </w:r>
      <w:r>
        <w:rPr>
          <w:rFonts w:ascii="Times New Roman" w:hAnsi="Times New Roman" w:cs="Times New Roman"/>
          <w:i/>
          <w:sz w:val="24"/>
          <w:szCs w:val="24"/>
        </w:rPr>
        <w:t>Overmacht</w:t>
      </w:r>
      <w:r>
        <w:rPr>
          <w:rFonts w:ascii="Times New Roman" w:hAnsi="Times New Roman" w:cs="Times New Roman"/>
          <w:sz w:val="24"/>
          <w:szCs w:val="24"/>
        </w:rPr>
        <w:t xml:space="preserve"> dalam alasan tidak memenuhi prestasi dalam perjanjian kreditnya.</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Pembuktian </w:t>
      </w:r>
      <w:r>
        <w:rPr>
          <w:rFonts w:ascii="Times New Roman" w:hAnsi="Times New Roman" w:cs="Times New Roman"/>
          <w:i/>
          <w:sz w:val="24"/>
          <w:szCs w:val="24"/>
        </w:rPr>
        <w:t>Overmacht</w:t>
      </w:r>
      <w:r>
        <w:rPr>
          <w:rFonts w:ascii="Times New Roman" w:hAnsi="Times New Roman" w:cs="Times New Roman"/>
          <w:sz w:val="24"/>
          <w:szCs w:val="24"/>
        </w:rPr>
        <w:t xml:space="preserve"> oleh debitur yang didasarkan atas berlakunya kebijakan PSBB dikala pandemi Covid-19, sebenarnya lebih tepat dilakukan ketika sudah terjadi sengketa, ini dikarenakan menyangkut berbagai permasalahan yang harus dituntaskan oleh kedua belah pihak. Alasan-alasan </w:t>
      </w:r>
      <w:r>
        <w:rPr>
          <w:rFonts w:ascii="Times New Roman" w:hAnsi="Times New Roman" w:cs="Times New Roman"/>
          <w:i/>
          <w:sz w:val="24"/>
          <w:szCs w:val="24"/>
        </w:rPr>
        <w:t>Overmacht</w:t>
      </w:r>
      <w:r>
        <w:rPr>
          <w:rFonts w:ascii="Times New Roman" w:hAnsi="Times New Roman" w:cs="Times New Roman"/>
          <w:sz w:val="24"/>
          <w:szCs w:val="24"/>
        </w:rPr>
        <w:t xml:space="preserve"> haruslah dibuktikan sendiri oleh debitur yang menyatakannya dan harus mampu meyakinkan kreditur akan keadaannya perekonomiannya yang benar-benar dalam kesulitan akibat adanya pandemi Covid-19 terlebih akibat diberlakukannya PSBB. Mengingat, dalam hal pembuktian pada pengadilan terdapat istilah </w:t>
      </w:r>
      <w:r>
        <w:rPr>
          <w:rFonts w:ascii="Times New Roman" w:hAnsi="Times New Roman" w:cs="Times New Roman"/>
          <w:i/>
          <w:sz w:val="24"/>
          <w:szCs w:val="24"/>
        </w:rPr>
        <w:t>Notoire Feiten</w:t>
      </w:r>
      <w:r>
        <w:rPr>
          <w:rFonts w:ascii="Times New Roman" w:hAnsi="Times New Roman" w:cs="Times New Roman"/>
          <w:sz w:val="24"/>
          <w:szCs w:val="24"/>
        </w:rPr>
        <w:t xml:space="preserve"> yaitu sebuah istilah untuk menyatakan suatu fakta tidak perlu dibuktikan lagi karena fakta itu sudah di ketahui secara umum. Berdasar hal ini, peristiwa pandemi Covid-19 ini serta kebijakan PSBB berdasar pada PP No. 21 Tahun 2021 tentang Pembatasan Sosial Berskala Besar sudah bisa digolongkan pada situasi </w:t>
      </w:r>
      <w:r>
        <w:rPr>
          <w:rFonts w:ascii="Times New Roman" w:hAnsi="Times New Roman" w:cs="Times New Roman"/>
          <w:i/>
          <w:sz w:val="24"/>
          <w:szCs w:val="24"/>
        </w:rPr>
        <w:t>Notoire Feiten</w:t>
      </w:r>
      <w:r>
        <w:rPr>
          <w:rFonts w:ascii="Times New Roman" w:hAnsi="Times New Roman" w:cs="Times New Roman"/>
          <w:sz w:val="24"/>
          <w:szCs w:val="24"/>
        </w:rPr>
        <w:t xml:space="preserve"> karena terjadi di seluruh dunia dan sudah diketahui oleh semua pihak.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Apabila berdasar pada teori </w:t>
      </w:r>
      <w:r>
        <w:rPr>
          <w:rFonts w:ascii="Times New Roman" w:hAnsi="Times New Roman" w:cs="Times New Roman"/>
          <w:i/>
          <w:sz w:val="24"/>
          <w:szCs w:val="24"/>
        </w:rPr>
        <w:t>Notoire Feiten</w:t>
      </w:r>
      <w:r>
        <w:rPr>
          <w:rFonts w:ascii="Times New Roman" w:hAnsi="Times New Roman" w:cs="Times New Roman"/>
          <w:sz w:val="24"/>
          <w:szCs w:val="24"/>
        </w:rPr>
        <w:t xml:space="preserve"> ini, PSBB akibat Covid-19 memang dapat digolongkan kedalamnya karena benar-benar sudah diketahui oleh banyak orang diseluruh dunia. Namun, dalam hal debitur meyakinkan kreditur bahwa dirinya benar-benar terdampak sehingga tidak mampu lagi untuk memenuhi prestasinya, maka ia haruslah membuktikannya secara personal dengan lebih rinci dan memdalam kondisi PSBB bagi perekonomiannya. Adanya </w:t>
      </w:r>
      <w:r>
        <w:rPr>
          <w:rFonts w:ascii="Times New Roman" w:hAnsi="Times New Roman" w:cs="Times New Roman"/>
          <w:i/>
          <w:sz w:val="24"/>
          <w:szCs w:val="24"/>
        </w:rPr>
        <w:t>Notoire Feiten</w:t>
      </w:r>
      <w:r>
        <w:rPr>
          <w:rFonts w:ascii="Times New Roman" w:hAnsi="Times New Roman" w:cs="Times New Roman"/>
          <w:sz w:val="24"/>
          <w:szCs w:val="24"/>
        </w:rPr>
        <w:t xml:space="preserve"> yang disebabkan oleh PSBB tidak otomatis berlaku bagi semua debitur, tetapi hanya berlaku bagi debitur tertentu yang mengalami masalah pribadi dan harus membuktikan hambatan tersebut untuk bisa dibebaskan dari keadaan wanprestasi.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Untuk dapat menggunakan PSBB Covid-19 sebagai </w:t>
      </w:r>
      <w:r>
        <w:rPr>
          <w:rFonts w:ascii="Times New Roman" w:hAnsi="Times New Roman" w:cs="Times New Roman"/>
          <w:i/>
          <w:sz w:val="24"/>
          <w:szCs w:val="24"/>
        </w:rPr>
        <w:t>Overmacht</w:t>
      </w:r>
      <w:r>
        <w:rPr>
          <w:rFonts w:ascii="Times New Roman" w:hAnsi="Times New Roman" w:cs="Times New Roman"/>
          <w:sz w:val="24"/>
          <w:szCs w:val="24"/>
        </w:rPr>
        <w:t xml:space="preserve">, debitur harus membuktikan dan meyakinkan kreditur bahwa PSBB Covid-19 menempatkan mereka dalam keadaan tidak dapat mencapai prestasinya. Debitur perlu membuktikan </w:t>
      </w:r>
      <w:r>
        <w:rPr>
          <w:rFonts w:ascii="Times New Roman" w:hAnsi="Times New Roman" w:cs="Times New Roman"/>
          <w:i/>
          <w:sz w:val="24"/>
          <w:szCs w:val="24"/>
        </w:rPr>
        <w:t>Overmacht</w:t>
      </w:r>
      <w:r>
        <w:rPr>
          <w:rFonts w:ascii="Times New Roman" w:hAnsi="Times New Roman" w:cs="Times New Roman"/>
          <w:sz w:val="24"/>
          <w:szCs w:val="24"/>
        </w:rPr>
        <w:t xml:space="preserve"> baginya untuk dapat menghindari hambatan dalam memenuhi kewajibannya, dan membujuk kreditur dengan bukti yang dapat diterima oleh kreditur. Artinya, dalam hal ini istilah </w:t>
      </w:r>
      <w:r>
        <w:rPr>
          <w:rFonts w:ascii="Times New Roman" w:hAnsi="Times New Roman" w:cs="Times New Roman"/>
          <w:i/>
          <w:sz w:val="24"/>
          <w:szCs w:val="24"/>
        </w:rPr>
        <w:t>Notoire Feiten</w:t>
      </w:r>
      <w:r>
        <w:rPr>
          <w:rFonts w:ascii="Times New Roman" w:hAnsi="Times New Roman" w:cs="Times New Roman"/>
          <w:sz w:val="24"/>
          <w:szCs w:val="24"/>
        </w:rPr>
        <w:t xml:space="preserve"> tidak serta merta dapat berlaku apabila sesuatu yang diketahui masyarakat tidak perlu dibuktikan lagi. Dalam hal ini, meski kebijakan PSBB Covid-19 telah diketahui oleh publik, tetapi bagi debitur yang benar-benar mendapat kendala dalam memnuhi kewajibannya akibat berlakunya kebijakan ini, haruslah kembali membuktikannya kepada debitur. Dalam kondisi pemberlakuan PSBB pada masa Covid-19, jika kerugian kreditur dapat diartikan sebagai suatu risiko, maka kerugian kreditur tidak dapat ditanggung oleh debitur dengan syarat debitur dapat memberikan bukti bahwa benar terdapat keadaan yang memaksa. Artinya PSBB Covid-19 memang telah terjadi sebagai fakta yang tak terbantahkan, namun tidak serta merta menempatkan debitur dalam keadaan </w:t>
      </w:r>
      <w:r>
        <w:rPr>
          <w:rFonts w:ascii="Times New Roman" w:hAnsi="Times New Roman" w:cs="Times New Roman"/>
          <w:i/>
          <w:sz w:val="24"/>
          <w:szCs w:val="24"/>
        </w:rPr>
        <w:t>Overmacht</w:t>
      </w:r>
      <w:r>
        <w:rPr>
          <w:rFonts w:ascii="Times New Roman" w:hAnsi="Times New Roman" w:cs="Times New Roman"/>
          <w:sz w:val="24"/>
          <w:szCs w:val="24"/>
        </w:rPr>
        <w:t>. Debitur tetap harus membuktikan secara langsung kepada debitur bahwa akibat kebijakan PSBB Covid-19, ia mengalami kendala dalam memenuhi kesepakatan (prestasi).</w:t>
      </w:r>
    </w:p>
    <w:p>
      <w:pPr>
        <w:numPr>
          <w:ilvl w:val="0"/>
          <w:numId w:val="3"/>
        </w:numPr>
        <w:spacing w:line="360" w:lineRule="auto"/>
        <w:contextualSpacing/>
        <w:jc w:val="both"/>
        <w:rPr>
          <w:rFonts w:ascii="Times New Roman" w:hAnsi="Times New Roman" w:cs="Times New Roman"/>
          <w:b/>
          <w:sz w:val="24"/>
          <w:szCs w:val="24"/>
        </w:rPr>
      </w:pPr>
      <w:r>
        <w:rPr>
          <w:rFonts w:ascii="Times New Roman" w:hAnsi="Times New Roman" w:cs="Times New Roman"/>
          <w:b/>
          <w:sz w:val="24"/>
          <w:szCs w:val="24"/>
        </w:rPr>
        <w:t>Implikasi Keadaan Memaksa (</w:t>
      </w:r>
      <w:r>
        <w:rPr>
          <w:rFonts w:ascii="Times New Roman" w:hAnsi="Times New Roman" w:cs="Times New Roman"/>
          <w:b/>
          <w:i/>
          <w:sz w:val="24"/>
          <w:szCs w:val="24"/>
        </w:rPr>
        <w:t>Overmacht</w:t>
      </w:r>
      <w:r>
        <w:rPr>
          <w:rFonts w:ascii="Times New Roman" w:hAnsi="Times New Roman" w:cs="Times New Roman"/>
          <w:b/>
          <w:sz w:val="24"/>
          <w:szCs w:val="24"/>
        </w:rPr>
        <w:t>) Akibat Pandemi Covid-19 Bagi Debitur Yang Melakukan Wanprestasi Pada Perjanjian Kreditnya.</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Perjanjian kredit pada mulanya perkembangannya memberikan fungsi untuk saling tolong menolong antara pihak nasabah dengan pihak bank demi mencapai tujuan pemenuhan kebutuhan ekonomi baik dalam kegiatan usaha nasabah maupun kebutuhan pokok sehari-hari dari nasabah, khususnya dalam hal pendanaan. Penjelasan kredit menurut Pasal 1 angka 11</w:t>
      </w:r>
      <w:r>
        <w:rPr>
          <w:rFonts w:ascii="Times New Roman" w:hAnsi="Times New Roman" w:cs="Times New Roman"/>
          <w:color w:val="000000"/>
          <w:sz w:val="20"/>
          <w:szCs w:val="20"/>
        </w:rPr>
        <w:t xml:space="preserve"> </w:t>
      </w:r>
      <w:r>
        <w:rPr>
          <w:rFonts w:ascii="Times New Roman" w:hAnsi="Times New Roman" w:cs="Times New Roman"/>
          <w:sz w:val="24"/>
          <w:szCs w:val="24"/>
        </w:rPr>
        <w:t>UU No. 10 tahun 1998 tentang Perubahan Atas Undang-Undang Nomor 7 tahun 1992 tentang Perbankan merupakan sebuah kegiatan penyediaan uang atau tagihan berdasarkan kesepakatan pinjam-meminjam antara bank dengan pihak lainnya yang memberikan kewajiban bagi pihak yang meminjam untuk melunasi utangnya setelah jangka waktu tertentu dengan disertai bunganya.</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Berdasar pengertian dari kredit dalam UU Perbankan diatas, maka kredit mempunyai sebuah prinsip dimana kredit merupakan suatu persetujuan (perjanjian) yang didasarkan pada Pasal 1313 KUHPerdata yang menjelaskan bahwa suatu perjanjian ialah suatu perbuatan antara satu orang atau lebih. Istilah perjanjian sendiri memang tidak secara tegas dinyatakan dalam Peraturan Perundang-Undangan Indonesia. Namun, atas surat yang dikeluarlan oleh Bank Indonesia No.03/1093/UPK/KPD pada tanggal 29 Desember 1970 yang ditujukan kepada semua bank devisa pada masa itu, dalam hal pemberian kredit haruslah dibuat melalui surat perjanjian, sehingga seiring berjalannya waktu muncullah istilah perjanjian kredit dan tetap berlaku hingga saat ini.</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Dalam perjanjian kredit, kreditur tidak boleh meminta balik uang yang dipinjamkan sebelum berakhirnya batas waktu yang ditentukan dalam perjanjian (Pasal 1759 KUHPerdata). Sebaliknya, bagi debitur yang sudah mendapatkan pinjaman uang maka wajib baginya untuk membayar kembali pinjamannya dengan jumlah dan syarat yang sama dalam waktu yang telah ditentukan (Pasal 1763 KUHPerdata). Namun, meskipun KUHPerdata tidak mengatur secara eksplisit tentang perjanjian kredit, namun unsur-unsur perjanjian kredit tidak boleh bertentangan dengan prinsip-prinsip yang diatur dalam KUHPerdata. Hal ini juga ditegaskan melalui Pasal 1319 KUHPerdata, yang mengatur bahwa semua perjanjian, baik perjanjian dengan nama khusus maupun perjanjian tanpa nama khusus, harus memenuhi ketentuan umum dalam Bab 1 dan 2 KUH Perdata.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Semenjak pemberian kredit telah diatur sebagai sebuah perjanjian, para pihak yang sudah terikat dalam perjanjian kredit semestinya telah menimbulkan hak dan kewajiban yang wajib untuk dilakukan bagi masing-masing pihak dengan beritikad baik, hal ini sebagaimana yang terdapat dalam Pasal 1338 ayat (3) KUHPerdata, dimana suatu perjanjian haruslah dilaksanakan dengan itikad baik. Hal ini ditujukan untuk mengantisipasi apabila perjanjian tersebut tidak dilakukan dengan itikad baik, yang akan menimbulkan terjadinya wanprestasi sehingga dapat mengakibatkan permasalahan hukum di antara kedua belah pihak yang sudah terikat dalam perjanjian kredit. Munculnya perihal yang dapat dikatakan sebagai wanprestasi, sekiranya perlu untuk dipahami bahwa tidak semua keadaan dapat dikualifikasikan kedalamnya. Dalam kondisi tertentu, pengkualifikasian pada kondisi yang tidak tergolong kedalam lingkup wanprestasi terbagi dalam beberapa hal berikut, yaitu, 1) </w:t>
      </w:r>
      <w:r>
        <w:rPr>
          <w:rFonts w:ascii="Times New Roman" w:hAnsi="Times New Roman" w:cs="Times New Roman"/>
          <w:i/>
          <w:sz w:val="24"/>
          <w:szCs w:val="24"/>
        </w:rPr>
        <w:t>Overmacht</w:t>
      </w:r>
      <w:r>
        <w:rPr>
          <w:rFonts w:ascii="Times New Roman" w:hAnsi="Times New Roman" w:cs="Times New Roman"/>
          <w:sz w:val="24"/>
          <w:szCs w:val="24"/>
        </w:rPr>
        <w:t xml:space="preserve"> (Keadaan Memaksa), 2) </w:t>
      </w:r>
      <w:r>
        <w:rPr>
          <w:rFonts w:ascii="Times New Roman" w:hAnsi="Times New Roman" w:cs="Times New Roman"/>
          <w:i/>
          <w:sz w:val="24"/>
          <w:szCs w:val="24"/>
        </w:rPr>
        <w:t>Rechtsverwerking</w:t>
      </w:r>
      <w:r>
        <w:rPr>
          <w:rFonts w:ascii="Times New Roman" w:hAnsi="Times New Roman" w:cs="Times New Roman"/>
          <w:sz w:val="24"/>
          <w:szCs w:val="24"/>
        </w:rPr>
        <w:t xml:space="preserve"> (terlepas dari kewajiban tertentu akibat salah satu pihak membebaskan pihak lainnya dari kewajiban yang dimaksud) dan 3) </w:t>
      </w:r>
      <w:r>
        <w:rPr>
          <w:rFonts w:ascii="Times New Roman" w:hAnsi="Times New Roman" w:cs="Times New Roman"/>
          <w:i/>
          <w:sz w:val="24"/>
          <w:szCs w:val="24"/>
        </w:rPr>
        <w:t>Non Adimpleti Contractus</w:t>
      </w:r>
      <w:r>
        <w:rPr>
          <w:rFonts w:ascii="Times New Roman" w:hAnsi="Times New Roman" w:cs="Times New Roman"/>
          <w:sz w:val="24"/>
          <w:szCs w:val="24"/>
        </w:rPr>
        <w:t xml:space="preserve"> (tidak memenuhinya kewajiban karena salah satu pihak juga tidak melaksanakan kewajiban yang telah disepakati bersama) (Asnawi, 2017).</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Sebelum memulai aktivitas perjanjian kredit, diperlukan analisis yang baik dan teliti dalam segala aspek oleh kedua belah pihak untuk mencegah timbulnya risiko kredit. Pemberian kredit ini sangat membantu masyarakat untuk mencapai kebutuhannya, hanya saja dalam memberikan kredit tersebut bank sebagai lembaga keuangan harus ekstra hati-hati. Pemberian kredit akan ada beberapa risiko yang relatif besar, misalnya dana kredit maupun bunganya yang dipinjamkan dapat tidak dikembalikan. Perjanjian kredit dimulai dengan kesepakatan antara penerima manfaat kredit (debitur) dengan pemberi kredit (kreditur) melalui formulir perjanjian. Perjanjian tersebut dapat berupa perjanjian lisan maupun bentuk perjanjian tertulis. Perjanjian kredit yang disepakati tentunya merupakan perjanjian utang yang menyangkut berbagai hak dan kewajiban antar kedua belah pihak yang harus ditepati dengan benar. Namun dalam perjanjian kredit, terkadang salah satu pihak tidak melakukan kesepakatan seperti yang telah disepakati diawal, salah satunya adalah karena keadaan memaksa seperti, wabah penyakit dan bencana alam.</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Sehubungan dengan penyebaran virus Covid-19, pemerintah Indonesia menetapkannya sebagai bencana nasional non-alam yang menyebabkan kedaruratan kesehatan. Melalui kebijakan Keppres Nomor 11 Tahun 2020 tentang Penetapan Kedaruratan Kesehatan, pemerintah telah memberikan ketetapan terhadap dua hal, yaitu: </w:t>
      </w:r>
      <w:r>
        <w:rPr>
          <w:rFonts w:ascii="Times New Roman" w:hAnsi="Times New Roman" w:cs="Times New Roman"/>
          <w:i/>
          <w:sz w:val="24"/>
          <w:szCs w:val="24"/>
        </w:rPr>
        <w:t>pertama</w:t>
      </w:r>
      <w:r>
        <w:rPr>
          <w:rFonts w:ascii="Times New Roman" w:hAnsi="Times New Roman" w:cs="Times New Roman"/>
          <w:sz w:val="24"/>
          <w:szCs w:val="24"/>
        </w:rPr>
        <w:t xml:space="preserve">, darurat kesehatan masyarakat ditimbulkan oleh jenis penyakit Covid-19, </w:t>
      </w:r>
      <w:r>
        <w:rPr>
          <w:rFonts w:ascii="Times New Roman" w:hAnsi="Times New Roman" w:cs="Times New Roman"/>
          <w:i/>
          <w:sz w:val="24"/>
          <w:szCs w:val="24"/>
        </w:rPr>
        <w:t>Kedua</w:t>
      </w:r>
      <w:r>
        <w:rPr>
          <w:rFonts w:ascii="Times New Roman" w:hAnsi="Times New Roman" w:cs="Times New Roman"/>
          <w:sz w:val="24"/>
          <w:szCs w:val="24"/>
        </w:rPr>
        <w:t xml:space="preserve">, kondisi ini menciptakan kewajiban untuk mengambil langkah dalam upaya pencegahan sesuai dengan peraturan peraturan perundang-undangan. Dengan diaturnya keadaan kedaruratan maasyarakat, pemerintah kemudian menetapkan kebijakan PSBB melalui PP No. 21 tahun 2020 yang dilandasi pasal 60 UU No. 6 tahun 2018 tentang kekarantinaan kesehatan dengan memberlakukan berbagai kebijakan, diantaranya adalah memberlakukan </w:t>
      </w:r>
      <w:r>
        <w:rPr>
          <w:rFonts w:ascii="Times New Roman" w:hAnsi="Times New Roman" w:cs="Times New Roman"/>
          <w:i/>
          <w:sz w:val="24"/>
          <w:szCs w:val="24"/>
        </w:rPr>
        <w:t>Lockdown, Social Distancing,</w:t>
      </w:r>
      <w:r>
        <w:rPr>
          <w:rFonts w:ascii="Times New Roman" w:hAnsi="Times New Roman" w:cs="Times New Roman"/>
          <w:sz w:val="24"/>
          <w:szCs w:val="24"/>
        </w:rPr>
        <w:t xml:space="preserve"> pembatasan intensitas warga yang keluar masuk antar daerah, serta pemerintah meminta masyarakat agar tetap tinggal dirumah bahkan untuk bekerja pun juga dihimbau harus dari rumah. Hal ini dilakukan oleh pemerintah semata-mata hanya sebagai langkah penanggulangan wabah Covid-19 agar cepat mereda penyebarannya.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Menururt Peraturan Pemerintah No. 21 tahun 2020 PSBB diartikan sebagai batas kegiatan dari penduduk daerah yang wilayahnya dicurigai terinfeksi penyakit untuk mencegah kemungkinan penularan penyakit. PSBB ini akan diterapkan selama masa inkubasi terpanjang, yaitu selama 14 hari. Tetapi, juga tak menutup kemungkinan berbagai produk hukum akan dilakukan perpanjangan apabila masih ada bukti penyebaran Covid-19. Sejalan dengan penetapan Covid-19 sebagai bencana nasional, banyak masyarakat yang mengalami penurunan pendapatan sehingga berpengaruh pada usahanya yang lalu berdampak juga terhadap ekonomi nasional.</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Pada pasal 1 Permenkes No. 9 tahun 2020 tentang PSBB merupakan kegiatan pencegahan yang ditujukan bagi para penduduk pada suatu daerah yang diduga terinfeksi Covid-19 demi mencegah kemungkinan penyebaran Covid-19 yang lebih besar. Penerapan PSBB ini juga menambah kesulitan bagi dunia usaha. Kesulitan yang dialami oleh dunia usaha salah satunya adalah berdampak di dunia perbankan dimana banyak debitur mengalami kesulitan keuangan yang sebagai akibatnya dia tak dapat membayar kreditnya. Ketidakmampuan atau kegagalan bayar akan membuahkan kredit yang bermasalah sehingga membawa akibat buruk bagi perbankan. Nilai kredit yang terjadi kemacetan akan mempengaruhi kondisi atau tingkat kesehatan dari bank yang menanganinya. Suatu kondisi dimana bank telah mengalami satu permasalahan pada pelaksanan program kreditnya, yaitu terdapat kendala dalam penyaluran kredit yang berupa ketidaksanggupan seorang debitur dalam membayar kreditnya sesuai dengan jatuh tempo yang meliputi kredit pokok beserta bunganya yang telah disepakati dapat menyebabkan kredit digolongkan menjadi </w:t>
      </w:r>
      <w:r>
        <w:rPr>
          <w:rFonts w:ascii="Times New Roman" w:hAnsi="Times New Roman" w:cs="Times New Roman"/>
          <w:i/>
          <w:sz w:val="24"/>
          <w:szCs w:val="24"/>
        </w:rPr>
        <w:t>Non Permorming Loan</w:t>
      </w:r>
      <w:r>
        <w:rPr>
          <w:rFonts w:ascii="Times New Roman" w:hAnsi="Times New Roman" w:cs="Times New Roman"/>
          <w:sz w:val="24"/>
          <w:szCs w:val="24"/>
        </w:rPr>
        <w:t xml:space="preserve"> (NPL) atau biasa disebut sebagai kredit yang bermasalah.</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Munculnya kredit yang bermasalah, nantinya akan megantarkan bank untuk menghadapi resiko perjanjian kredit yang besar akibat ketidaksanggupan dari debitur dalam pembayaran kreditnya. Kredit bermasalah sendiri dapat diakibatkan oleh berbagai faktor, antara lain: </w:t>
      </w:r>
    </w:p>
    <w:p>
      <w:pPr>
        <w:pStyle w:val="5"/>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Faktor kelemahan dari internal debitur, yang meliputi 1) Terdapat itikad tidak baik dari si debitur, 2) Terjadi penurunan perekonomian usahanya yang berakibat pada turunnya kemampuan debitur untuk membayar angsuran dan 3) Ketidakcakapan debitur dalam menjalankan usahanya.</w:t>
      </w:r>
    </w:p>
    <w:p>
      <w:pPr>
        <w:pStyle w:val="5"/>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Faktor kelemahan dari internal bank, yaitu 1) Terdapat itikad tidak baik dari pegawai bank yaitu dengan asal saja menerima kredit dari nasabah, 2) Ketidakcakapan pegawai bank dalam mengelola pemberian kredit dan 3) Kurang efektifnya pegawai bank dalam mengelola bank sehingga debitur mendapat celah untuk melakukan pelanggaran.</w:t>
      </w:r>
    </w:p>
    <w:p>
      <w:pPr>
        <w:pStyle w:val="5"/>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Faktor dari ekstern bank, yaitu 1) Keadaan memaksa (Overmacht), yaitu akibat dari terjadinya suatu bencana alam maupun non alam yang dapat merugikan debitur dan 2) Akibat pergeseran lingkungan eksternal, misalnya terjadinya suatu krisis moneter yang menyebabkan inflasi.</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Perjanjian tidak hanya timbul dari suatu perjanjian, tetapi juga harus memenuhi ketentuan-ketentuan hukum dari syarat-syarat hukum yang bersangkutan dari perjanjian yang diatur dalam Pasal 1320 KUHPerdata, yaitu tanpa memandang nama atau bentuk perjanjian itu, berlaku ketentuan-ketentuan hukum yang tidak boleh diabaikan, dimana kesepakatan tersebut dicapai hanya dengan berdasarkan prinsip kebebasan berkontrak. Tak beda jauh dengan penyelesaian permasalahan dapat diserahkan kembali pada debitur dan kreditur untuk menyelesaikannya sesuai dengan kesepakatan yang telah disepakati. Pada prinsipnya kewajiban melaksanakan isi perjanjian termasuk perjanjian kredit adalah bersifat mutlak. Kesepakatan yang ingin dicapai antara kedua pihak mengarah pada timbulnya suatu perikatan, dimana sebagai hubungan hukum tentunya juga menciptakan hak dan kewajiban yang harus dilakukan oleh para pihak. Pihak yang memiliki kewajiban hukum disebut debitur, sedangkan pihak yang berhak menggugat disebut kreditur. Apabila seorang debitur gagal atau tidak melaksanakan kewajiban yang telah disepakati sebelumnya, undang-undang menetapkan bahwa debitur dalam keadaan wanprestasi.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Dalam hal pemenuhan suatu prestasi tentunya tanggal pelaksanaan telah ditentukan dari awal, hal inilah yang dijadikan acuan untuk menentukan debitur tersebut telah melakukan wanprestasi atau tidak, yaitu dengan melihat apabila tanggal yang disepakati telah lewat dan debitur belum memenuhi kewajibannya maka sudah dapat dinyatakan melakukan wanprestasi. Namun, dalam konteks pandemi Covid-19 ini, bagi pihak yang terhalang untuk memenuhi prestasinya sudah dapat dimasukkan kedalam kategori terhalang akibat </w:t>
      </w:r>
      <w:r>
        <w:rPr>
          <w:rFonts w:ascii="Times New Roman" w:hAnsi="Times New Roman" w:cs="Times New Roman"/>
          <w:i/>
          <w:sz w:val="24"/>
          <w:szCs w:val="24"/>
        </w:rPr>
        <w:t>Overmacht</w:t>
      </w:r>
      <w:r>
        <w:rPr>
          <w:rFonts w:ascii="Times New Roman" w:hAnsi="Times New Roman" w:cs="Times New Roman"/>
          <w:sz w:val="24"/>
          <w:szCs w:val="24"/>
        </w:rPr>
        <w:t>, hal ini didasari oleh pendapat para ahli yang menyatakan pandemi Covid-19 sebagai keadaan memaksa (</w:t>
      </w:r>
      <w:r>
        <w:rPr>
          <w:rFonts w:ascii="Times New Roman" w:hAnsi="Times New Roman" w:cs="Times New Roman"/>
          <w:i/>
          <w:sz w:val="24"/>
          <w:szCs w:val="24"/>
        </w:rPr>
        <w:t>Overmacht</w:t>
      </w:r>
      <w:r>
        <w:rPr>
          <w:rFonts w:ascii="Times New Roman" w:hAnsi="Times New Roman" w:cs="Times New Roman"/>
          <w:sz w:val="24"/>
          <w:szCs w:val="24"/>
        </w:rPr>
        <w:t xml:space="preserve">). Oleh karenanya, banyak pihak yang menggunakan dalih ini untuk menunda ataupun tidak melaksanakan sama sekali kewajibannya dalam perjanjian sehingga akibat yang akan timbul diharapkan dapat ditanggung secara bersama-sama oleh semua pihak yang terlibat dalam perjanjian.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Setelah terjadinya pandemi Covid-19 ini, suatu perjanjian kredit yang disebabkan oleh keadaan memaksa (</w:t>
      </w:r>
      <w:r>
        <w:rPr>
          <w:rFonts w:ascii="Times New Roman" w:hAnsi="Times New Roman" w:cs="Times New Roman"/>
          <w:i/>
          <w:sz w:val="24"/>
          <w:szCs w:val="24"/>
        </w:rPr>
        <w:t>Overmacht</w:t>
      </w:r>
      <w:r>
        <w:rPr>
          <w:rFonts w:ascii="Times New Roman" w:hAnsi="Times New Roman" w:cs="Times New Roman"/>
          <w:sz w:val="24"/>
          <w:szCs w:val="24"/>
        </w:rPr>
        <w:t xml:space="preserve">), yaitu suatu keadaan dimana debitur tidak dapat melaksanakan prestasinya karena keadaan atau kejadian yang tidak terduga pada saat akad dibuat, keadaan ini tidak dapat dimintakan pertanggungjawaban kepada debitur, karena debitur menjadi tidak mampu melunasi utangnya karena merebaknya pandemi Menjadi penurut, dan dalam keadaan normal mungkin tidak. Dalam keadaan tidak ada wabah, keadaan debitur dan alasan force majeure atau keadaan memaksa telah diatur dalam Pasal 1244 dan 1245 KUHPerdata. </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Pandemi Covid-19 memang bisa dijadikan alasan untuk tidak memenuhi perjanjian dengan dalih </w:t>
      </w:r>
      <w:r>
        <w:rPr>
          <w:rFonts w:ascii="Times New Roman" w:hAnsi="Times New Roman" w:cs="Times New Roman"/>
          <w:i/>
          <w:sz w:val="24"/>
          <w:szCs w:val="24"/>
        </w:rPr>
        <w:t>Overmacht</w:t>
      </w:r>
      <w:r>
        <w:rPr>
          <w:rFonts w:ascii="Times New Roman" w:hAnsi="Times New Roman" w:cs="Times New Roman"/>
          <w:sz w:val="24"/>
          <w:szCs w:val="24"/>
        </w:rPr>
        <w:t xml:space="preserve">, namun tidak semua perjanjian yang gagal dilaksanakan selama pandemi dapat menggunakan dalih </w:t>
      </w:r>
      <w:r>
        <w:rPr>
          <w:rFonts w:ascii="Times New Roman" w:hAnsi="Times New Roman" w:cs="Times New Roman"/>
          <w:i/>
          <w:sz w:val="24"/>
          <w:szCs w:val="24"/>
        </w:rPr>
        <w:t>Overmacht</w:t>
      </w:r>
      <w:r>
        <w:rPr>
          <w:rFonts w:ascii="Times New Roman" w:hAnsi="Times New Roman" w:cs="Times New Roman"/>
          <w:sz w:val="24"/>
          <w:szCs w:val="24"/>
        </w:rPr>
        <w:t xml:space="preserve">, karena pandemi Covid-19 ini tidak bisa digunakan bagi semua orang sebagai dalih </w:t>
      </w:r>
      <w:r>
        <w:rPr>
          <w:rFonts w:ascii="Times New Roman" w:hAnsi="Times New Roman" w:cs="Times New Roman"/>
          <w:i/>
          <w:sz w:val="24"/>
          <w:szCs w:val="24"/>
        </w:rPr>
        <w:t>Overmacht</w:t>
      </w:r>
      <w:r>
        <w:rPr>
          <w:rFonts w:ascii="Times New Roman" w:hAnsi="Times New Roman" w:cs="Times New Roman"/>
          <w:sz w:val="24"/>
          <w:szCs w:val="24"/>
        </w:rPr>
        <w:t xml:space="preserve">, tetapi mereka harus membuktikannya berdasarkan kasus per kasus sesuai dengan keadaan dan fakta masing-masing yang dialami. Untuk mengatasi sulitnya implementasi kesepakatan di masa pandemi Covid-19, pemerintah selaku instansi yang bertanggung jawab dalam penanggulangan bencana mengeluarkan Peraturan Otoritas Jasa Keuangan tentang Stimulus Perekonomian Nasional Sebagai kebijakan </w:t>
      </w:r>
      <w:r>
        <w:rPr>
          <w:rFonts w:ascii="Times New Roman" w:hAnsi="Times New Roman" w:cs="Times New Roman"/>
          <w:i/>
          <w:sz w:val="24"/>
          <w:szCs w:val="24"/>
        </w:rPr>
        <w:t>countercyclical</w:t>
      </w:r>
      <w:r>
        <w:rPr>
          <w:rFonts w:ascii="Times New Roman" w:hAnsi="Times New Roman" w:cs="Times New Roman"/>
          <w:sz w:val="24"/>
          <w:szCs w:val="24"/>
        </w:rPr>
        <w:t xml:space="preserve"> No. 11/POJK.03/2020 untuk mendorong pengoptimalan berbagai fungsi intermediasi perbankan, menjaga stabilitas sistem keuangan serta mendukung pertumbuhan ekonomi ditengah-tengah dampak dari pandemi virus Covid-19.</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Pasca keluarnya POJK tersebut, debitur merasa sedikit lega dan aman karena adanya keuntungan yang memihak para debitur yang berupa relaksasi kredit. Seperti kita ketahui bersama, isu relaksasi kredit berarti memberikan kelonggaran terkait pembayaran kredit/utang. Ketentuan ini dapat dilihat dalam Pasal 2 POJK, dimana bank dapat menerapkan kebijakan yang mendukung stimulus pertumbuhan ekonomi bagi debitur yang terkena dampak penyebaran Covid-19, termasuk debitur UMKM yang menghadapi masalah kredit bermasalah (macet). Penyelesaian kredit/pembiayaan bermasalah dapat dilakukan dengan dua cara yaitu, </w:t>
      </w:r>
      <w:r>
        <w:rPr>
          <w:rFonts w:ascii="Times New Roman" w:hAnsi="Times New Roman" w:cs="Times New Roman"/>
          <w:i/>
          <w:sz w:val="24"/>
          <w:szCs w:val="24"/>
        </w:rPr>
        <w:t>Pertama</w:t>
      </w:r>
      <w:r>
        <w:rPr>
          <w:rFonts w:ascii="Times New Roman" w:hAnsi="Times New Roman" w:cs="Times New Roman"/>
          <w:sz w:val="24"/>
          <w:szCs w:val="24"/>
        </w:rPr>
        <w:t xml:space="preserve">, penyelamatan kredit bermasalah melalui renegosiasi antara bank sebagai kreditur dengan nasabah sebagai debitur. </w:t>
      </w:r>
      <w:r>
        <w:rPr>
          <w:rFonts w:ascii="Times New Roman" w:hAnsi="Times New Roman" w:cs="Times New Roman"/>
          <w:i/>
          <w:sz w:val="24"/>
          <w:szCs w:val="24"/>
        </w:rPr>
        <w:t>Kedua</w:t>
      </w:r>
      <w:r>
        <w:rPr>
          <w:rFonts w:ascii="Times New Roman" w:hAnsi="Times New Roman" w:cs="Times New Roman"/>
          <w:sz w:val="24"/>
          <w:szCs w:val="24"/>
        </w:rPr>
        <w:t>, pelunasan kredit bermasalah dilakukan melalui lembaga-lembaga hukum seperti Panitia Urusan Piutang Negara (PUPN) dan Dirjen Piutang dan Lelang, lembaga peradilan serta dapat melalui  ranah arbitrase.</w:t>
      </w:r>
    </w:p>
    <w:p>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Penyelamatan kredit dapat dilakukan melalui tiga cara yaitu, </w:t>
      </w:r>
      <w:r>
        <w:rPr>
          <w:rFonts w:ascii="Times New Roman" w:hAnsi="Times New Roman" w:cs="Times New Roman"/>
          <w:i/>
          <w:sz w:val="24"/>
          <w:szCs w:val="24"/>
        </w:rPr>
        <w:t>Pertama</w:t>
      </w:r>
      <w:r>
        <w:rPr>
          <w:rFonts w:ascii="Times New Roman" w:hAnsi="Times New Roman" w:cs="Times New Roman"/>
          <w:sz w:val="24"/>
          <w:szCs w:val="24"/>
        </w:rPr>
        <w:t xml:space="preserve">, </w:t>
      </w:r>
      <w:r>
        <w:rPr>
          <w:rFonts w:ascii="Times New Roman" w:hAnsi="Times New Roman" w:cs="Times New Roman"/>
          <w:i/>
          <w:sz w:val="24"/>
          <w:szCs w:val="24"/>
        </w:rPr>
        <w:t>Rescheduling</w:t>
      </w:r>
      <w:r>
        <w:rPr>
          <w:rFonts w:ascii="Times New Roman" w:hAnsi="Times New Roman" w:cs="Times New Roman"/>
          <w:sz w:val="24"/>
          <w:szCs w:val="24"/>
        </w:rPr>
        <w:t xml:space="preserve"> (penjadwalan ulang)  yaitu dengan mengubah beberapa klausula perjanjian kredit yang berkaitan dengan jadwal pelunasan atau syarat kredit, termasuk perubahan jumlah angsuran pembayaran, </w:t>
      </w:r>
      <w:r>
        <w:rPr>
          <w:rFonts w:ascii="Times New Roman" w:hAnsi="Times New Roman" w:cs="Times New Roman"/>
          <w:i/>
          <w:sz w:val="24"/>
          <w:szCs w:val="24"/>
        </w:rPr>
        <w:t>Kedua,</w:t>
      </w:r>
      <w:r>
        <w:rPr>
          <w:rFonts w:ascii="Times New Roman" w:hAnsi="Times New Roman" w:cs="Times New Roman"/>
          <w:sz w:val="24"/>
          <w:szCs w:val="24"/>
        </w:rPr>
        <w:t xml:space="preserve"> </w:t>
      </w:r>
      <w:r>
        <w:rPr>
          <w:rFonts w:ascii="Times New Roman" w:hAnsi="Times New Roman" w:cs="Times New Roman"/>
          <w:i/>
          <w:sz w:val="24"/>
          <w:szCs w:val="24"/>
        </w:rPr>
        <w:t>reconditioning</w:t>
      </w:r>
      <w:r>
        <w:rPr>
          <w:rFonts w:ascii="Times New Roman" w:hAnsi="Times New Roman" w:cs="Times New Roman"/>
          <w:sz w:val="24"/>
          <w:szCs w:val="24"/>
        </w:rPr>
        <w:t xml:space="preserve"> (merubah ulang persyaratan) berarti mengubah sebagian atau seluruh ketentuan perjanjian tanpa memberikan tambahan kredit dan partisipasi non-konversi, dan </w:t>
      </w:r>
      <w:r>
        <w:rPr>
          <w:rFonts w:ascii="Times New Roman" w:hAnsi="Times New Roman" w:cs="Times New Roman"/>
          <w:i/>
          <w:sz w:val="24"/>
          <w:szCs w:val="24"/>
        </w:rPr>
        <w:t>Ketiga¸</w:t>
      </w:r>
      <w:r>
        <w:rPr>
          <w:rFonts w:ascii="Times New Roman" w:hAnsi="Times New Roman" w:cs="Times New Roman"/>
          <w:sz w:val="24"/>
          <w:szCs w:val="24"/>
        </w:rPr>
        <w:t xml:space="preserve"> </w:t>
      </w:r>
      <w:r>
        <w:rPr>
          <w:rFonts w:ascii="Times New Roman" w:hAnsi="Times New Roman" w:cs="Times New Roman"/>
          <w:i/>
          <w:sz w:val="24"/>
          <w:szCs w:val="24"/>
        </w:rPr>
        <w:t>Rearrangement</w:t>
      </w:r>
      <w:r>
        <w:rPr>
          <w:rFonts w:ascii="Times New Roman" w:hAnsi="Times New Roman" w:cs="Times New Roman"/>
          <w:sz w:val="24"/>
          <w:szCs w:val="24"/>
        </w:rPr>
        <w:t xml:space="preserve"> (penyusunan kembali) yaitu dengan mengubah syarat kredit melalui kredit tambahan atau konversi. Pada saat yang sama, muncul kebijakan POJK 11/2020 yang menggunakan mekanisme </w:t>
      </w:r>
      <w:r>
        <w:rPr>
          <w:rFonts w:ascii="Times New Roman" w:hAnsi="Times New Roman" w:cs="Times New Roman"/>
          <w:i/>
          <w:sz w:val="24"/>
          <w:szCs w:val="24"/>
        </w:rPr>
        <w:t>Rearrangement</w:t>
      </w:r>
      <w:r>
        <w:rPr>
          <w:rFonts w:ascii="Times New Roman" w:hAnsi="Times New Roman" w:cs="Times New Roman"/>
          <w:sz w:val="24"/>
          <w:szCs w:val="24"/>
        </w:rPr>
        <w:t xml:space="preserve"> untuk menyelamatkan kredit di masa pandemi. Namun, kebijakan ini masih menimbulkan masalah bagi debitur karena banyak nasabah yang mengeluh terhadap bank karena kedapatan masih harus membayar cicilan bulanan, karena yang mereka ketahui adalah terdapat keringanan terhadap keterlambatan pembayaran angsuran dan terdapat pengurangan bunga</w:t>
      </w:r>
      <w:r>
        <w:t xml:space="preserve"> </w:t>
      </w:r>
      <w:r>
        <w:rPr>
          <w:rFonts w:ascii="Times New Roman" w:hAnsi="Times New Roman" w:cs="Times New Roman"/>
          <w:sz w:val="24"/>
          <w:szCs w:val="24"/>
        </w:rPr>
        <w:t>(Tjoanda dkk., 2021).</w:t>
      </w:r>
    </w:p>
    <w:p>
      <w:pPr>
        <w:numPr>
          <w:ilvl w:val="0"/>
          <w:numId w:val="1"/>
        </w:numPr>
        <w:spacing w:line="360" w:lineRule="auto"/>
        <w:contextualSpacing/>
        <w:jc w:val="both"/>
        <w:rPr>
          <w:rFonts w:ascii="Times New Roman" w:hAnsi="Times New Roman" w:cs="Times New Roman"/>
          <w:b/>
          <w:sz w:val="24"/>
          <w:szCs w:val="24"/>
        </w:rPr>
      </w:pPr>
      <w:r>
        <w:rPr>
          <w:rFonts w:ascii="Times New Roman" w:hAnsi="Times New Roman" w:cs="Times New Roman"/>
          <w:b/>
          <w:sz w:val="24"/>
          <w:szCs w:val="24"/>
        </w:rPr>
        <w:t>PENUTUP</w:t>
      </w:r>
    </w:p>
    <w:p>
      <w:pPr>
        <w:numPr>
          <w:ilvl w:val="0"/>
          <w:numId w:val="5"/>
        </w:numPr>
        <w:spacing w:line="360" w:lineRule="auto"/>
        <w:contextualSpacing/>
        <w:jc w:val="both"/>
        <w:rPr>
          <w:rFonts w:ascii="Times New Roman" w:hAnsi="Times New Roman" w:cs="Times New Roman"/>
          <w:b/>
          <w:sz w:val="24"/>
          <w:szCs w:val="24"/>
        </w:rPr>
      </w:pPr>
      <w:r>
        <w:rPr>
          <w:rFonts w:ascii="Times New Roman" w:hAnsi="Times New Roman" w:cs="Times New Roman"/>
          <w:b/>
          <w:sz w:val="24"/>
          <w:szCs w:val="24"/>
        </w:rPr>
        <w:t>Kesimpulan.</w:t>
      </w:r>
    </w:p>
    <w:p>
      <w:pPr>
        <w:spacing w:line="360" w:lineRule="auto"/>
        <w:ind w:firstLine="720"/>
        <w:contextualSpacing/>
        <w:jc w:val="both"/>
        <w:rPr>
          <w:rFonts w:ascii="Times New Roman" w:hAnsi="Times New Roman" w:cs="Times New Roman"/>
          <w:b/>
          <w:sz w:val="24"/>
          <w:szCs w:val="24"/>
        </w:rPr>
      </w:pPr>
      <w:r>
        <w:rPr>
          <w:rFonts w:ascii="Times New Roman" w:hAnsi="Times New Roman" w:cs="Times New Roman"/>
          <w:sz w:val="24"/>
          <w:szCs w:val="24"/>
        </w:rPr>
        <w:t xml:space="preserve">Covid-19 tidak bisa secara langsung dijadikan dalih </w:t>
      </w:r>
      <w:r>
        <w:rPr>
          <w:rFonts w:ascii="Times New Roman" w:hAnsi="Times New Roman" w:cs="Times New Roman"/>
          <w:i/>
          <w:sz w:val="24"/>
          <w:szCs w:val="24"/>
        </w:rPr>
        <w:t>Overmacht</w:t>
      </w:r>
      <w:r>
        <w:rPr>
          <w:rFonts w:ascii="Times New Roman" w:hAnsi="Times New Roman" w:cs="Times New Roman"/>
          <w:sz w:val="24"/>
          <w:szCs w:val="24"/>
        </w:rPr>
        <w:t xml:space="preserve"> bagi seluruh debitur. Hanya debitur tertentu yang tergolong kedalam kelompok ekonomi rendah yaitu para pekerja/buruh harian lepas, pedagang kaki lima, kelompok usaha dengan mengandalkan keramaian pengunjung, para pekerja yang terkena PHK, petani, masyarakat miskin, dan lain sebagainya yang dapat menggunakannya asalkan si debitur mampu membuktikannya. Sementara itu, debitur yang menerima penghasilan tetap dan tetap, seperti lembaga sipil negara, anggota TNI, anggota kepolisian, atau debitur yang memiliki penghasilan tetap (mampu) lainnya, tentu tidaklah dapat menggunakan pandemi Covid-19 sebagai dalih </w:t>
      </w:r>
      <w:r>
        <w:rPr>
          <w:rFonts w:ascii="Times New Roman" w:hAnsi="Times New Roman" w:cs="Times New Roman"/>
          <w:i/>
          <w:sz w:val="24"/>
          <w:szCs w:val="24"/>
        </w:rPr>
        <w:t>Overmacht</w:t>
      </w:r>
      <w:r>
        <w:rPr>
          <w:rFonts w:ascii="Times New Roman" w:hAnsi="Times New Roman" w:cs="Times New Roman"/>
          <w:sz w:val="24"/>
          <w:szCs w:val="24"/>
        </w:rPr>
        <w:t xml:space="preserve"> ketika terjadi permasalahan pada pemenuhan prestasi dalam perjanjiannya. </w:t>
      </w:r>
    </w:p>
    <w:p>
      <w:pPr>
        <w:spacing w:line="360" w:lineRule="auto"/>
        <w:ind w:firstLine="720"/>
        <w:contextualSpacing/>
        <w:jc w:val="both"/>
        <w:rPr>
          <w:rFonts w:ascii="Times New Roman" w:hAnsi="Times New Roman" w:cs="Times New Roman"/>
          <w:b/>
          <w:sz w:val="24"/>
          <w:szCs w:val="24"/>
        </w:rPr>
      </w:pPr>
      <w:r>
        <w:rPr>
          <w:rFonts w:ascii="Times New Roman" w:hAnsi="Times New Roman" w:cs="Times New Roman"/>
          <w:sz w:val="24"/>
          <w:szCs w:val="24"/>
        </w:rPr>
        <w:t xml:space="preserve">Pandemi Covid-19 adalah fakta yang tak terbantahkan, bahkan jika didasarkan pada penggunaan teori fiktif hukum untuk menegakkan Undang-Undang, semua orang dianggap telah tahu tentang Undang-Undang. Jika mereka melanggar dengan berdalih tidak mengetahui dan memahami peraturan, maka mereka tetap terkena sanksi. Namun, dalam hal pembuktian bahwa pandemi Covid-19 sebagai </w:t>
      </w:r>
      <w:r>
        <w:rPr>
          <w:rFonts w:ascii="Times New Roman" w:hAnsi="Times New Roman" w:cs="Times New Roman"/>
          <w:i/>
          <w:sz w:val="24"/>
          <w:szCs w:val="24"/>
        </w:rPr>
        <w:t>Overmacht</w:t>
      </w:r>
      <w:r>
        <w:rPr>
          <w:rFonts w:ascii="Times New Roman" w:hAnsi="Times New Roman" w:cs="Times New Roman"/>
          <w:sz w:val="24"/>
          <w:szCs w:val="24"/>
        </w:rPr>
        <w:t xml:space="preserve">, tidaklah berlaku adagium </w:t>
      </w:r>
      <w:r>
        <w:rPr>
          <w:rFonts w:ascii="Times New Roman" w:hAnsi="Times New Roman" w:cs="Times New Roman"/>
          <w:i/>
          <w:sz w:val="24"/>
          <w:szCs w:val="24"/>
        </w:rPr>
        <w:t>notoir feiten</w:t>
      </w:r>
      <w:r>
        <w:rPr>
          <w:rFonts w:ascii="Times New Roman" w:hAnsi="Times New Roman" w:cs="Times New Roman"/>
          <w:sz w:val="24"/>
          <w:szCs w:val="24"/>
        </w:rPr>
        <w:t xml:space="preserve"> dimana debitur wajib untuk membuktikan secara langsung dan personal kepada debitur bahwa akibat kebijakan PSBB Covid-19, ia mengalami kendala dalam memenuhi kesepakatan (prestasi) sehingga tak bisa dituntut atas ganti rugi dan pemenuhan kewajibannya.</w:t>
      </w:r>
    </w:p>
    <w:p>
      <w:pPr>
        <w:spacing w:line="360" w:lineRule="auto"/>
        <w:ind w:firstLine="720"/>
        <w:contextualSpacing/>
        <w:jc w:val="both"/>
        <w:rPr>
          <w:rFonts w:ascii="Times New Roman" w:hAnsi="Times New Roman" w:cs="Times New Roman"/>
          <w:b/>
          <w:sz w:val="24"/>
          <w:szCs w:val="24"/>
        </w:rPr>
      </w:pPr>
      <w:r>
        <w:rPr>
          <w:rFonts w:ascii="Times New Roman" w:hAnsi="Times New Roman" w:cs="Times New Roman"/>
          <w:sz w:val="24"/>
          <w:szCs w:val="24"/>
        </w:rPr>
        <w:t xml:space="preserve">Untuk mengatasi sulitnya implementasi kesepakatan dalam perjanjian kredit di tengah-tengah masa pandemi Covid-19 ini, pemerintah mengeluarkan Peraturan Otoritas Jasa Keuangan tentang Stimulus Perekonomian Nasional Sebagai kebijakan </w:t>
      </w:r>
      <w:r>
        <w:rPr>
          <w:rFonts w:ascii="Times New Roman" w:hAnsi="Times New Roman" w:cs="Times New Roman"/>
          <w:i/>
          <w:sz w:val="24"/>
          <w:szCs w:val="24"/>
        </w:rPr>
        <w:t>countercyclical</w:t>
      </w:r>
      <w:r>
        <w:rPr>
          <w:rFonts w:ascii="Times New Roman" w:hAnsi="Times New Roman" w:cs="Times New Roman"/>
          <w:sz w:val="24"/>
          <w:szCs w:val="24"/>
        </w:rPr>
        <w:t xml:space="preserve"> No. 11/POJK.03/2020 dalam merangsang optimalnya berbagai fungsi intermediasi perbankan serta menjaga stimulus pertumbuhan ekonomi. Pasca keluarnya Peraturan Otoritas Jasa Keuangan ini, debitur merasa sedikit lega dan aman karena mendapat keringanan yang berupa relaksasi kredit bagi setiap debitur yang telah melakukan perjanjian kredit.</w:t>
      </w:r>
    </w:p>
    <w:p>
      <w:pPr>
        <w:spacing w:line="360" w:lineRule="auto"/>
        <w:ind w:firstLine="720"/>
        <w:contextualSpacing/>
        <w:jc w:val="both"/>
        <w:rPr>
          <w:rFonts w:ascii="Times New Roman" w:hAnsi="Times New Roman" w:cs="Times New Roman"/>
          <w:b/>
          <w:sz w:val="24"/>
          <w:szCs w:val="24"/>
        </w:rPr>
      </w:pPr>
    </w:p>
    <w:p>
      <w:pPr>
        <w:spacing w:line="360" w:lineRule="auto"/>
        <w:rPr>
          <w:rFonts w:ascii="Times New Roman" w:hAnsi="Times New Roman" w:cs="Times New Roman"/>
          <w:b/>
          <w:sz w:val="24"/>
          <w:szCs w:val="24"/>
        </w:rPr>
      </w:pPr>
      <w:r>
        <w:rPr>
          <w:rFonts w:ascii="Times New Roman" w:hAnsi="Times New Roman" w:cs="Times New Roman"/>
          <w:b/>
          <w:sz w:val="24"/>
          <w:szCs w:val="24"/>
        </w:rPr>
        <w:t>DAFTAR PUSTAKA</w:t>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Achmad, Y. &amp; Dewata, M. F. N. (2017). DUALISME PENELITIAN HUKUM NORMATIF &amp; EMPIRIS (Cetakan IV: Mei 2017). PUSTAKA PELAJAR: Yogyakarta. </w:t>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Aji, B. S., Warka, M., &amp; Kongres, E. (2021). PENERAPAN KLAUSULA FORCE MAJEURE DALAM PERJANJIAN KREDIT DI MASA PANDEMI COVID 19. Jurnal Akrab Juara, 6(1), 1–18.</w:t>
      </w:r>
    </w:p>
    <w:p>
      <w:pPr>
        <w:spacing w:line="360" w:lineRule="auto"/>
        <w:ind w:left="851" w:hanging="851"/>
        <w:jc w:val="both"/>
        <w:rPr>
          <w:rFonts w:ascii="Times New Roman" w:hAnsi="Times New Roman" w:cs="Times New Roman"/>
          <w:bCs/>
          <w:color w:val="FF0000"/>
          <w:sz w:val="24"/>
          <w:szCs w:val="24"/>
        </w:rPr>
      </w:pPr>
      <w:r>
        <w:rPr>
          <w:rFonts w:ascii="Times New Roman" w:hAnsi="Times New Roman" w:cs="Times New Roman"/>
          <w:sz w:val="24"/>
          <w:szCs w:val="24"/>
        </w:rPr>
        <w:t xml:space="preserve">Amajihono, K. D. (2020). PENUNDAAN PEMBAYARAN ANGSURAN KREDIT DAMPAK COVID-2019 DI INDONESIA. </w:t>
      </w:r>
      <w:r>
        <w:rPr>
          <w:rFonts w:ascii="Times New Roman" w:hAnsi="Times New Roman" w:cs="Times New Roman"/>
          <w:i/>
          <w:iCs/>
          <w:sz w:val="24"/>
          <w:szCs w:val="24"/>
        </w:rPr>
        <w:t>JURNAL EDUCATION AND DEVELOPMENT</w:t>
      </w:r>
      <w:r>
        <w:rPr>
          <w:rFonts w:ascii="Times New Roman" w:hAnsi="Times New Roman" w:cs="Times New Roman"/>
          <w:sz w:val="24"/>
          <w:szCs w:val="24"/>
        </w:rPr>
        <w:t xml:space="preserve">, </w:t>
      </w:r>
      <w:r>
        <w:rPr>
          <w:rFonts w:ascii="Times New Roman" w:hAnsi="Times New Roman" w:cs="Times New Roman"/>
          <w:i/>
          <w:iCs/>
          <w:sz w:val="24"/>
          <w:szCs w:val="24"/>
        </w:rPr>
        <w:t>8</w:t>
      </w:r>
      <w:r>
        <w:rPr>
          <w:rFonts w:ascii="Times New Roman" w:hAnsi="Times New Roman" w:cs="Times New Roman"/>
          <w:sz w:val="24"/>
          <w:szCs w:val="24"/>
        </w:rPr>
        <w:t>(3), 144–144.</w:t>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Asnawi, M. N. (2017). PERLINDUNGAN HUKUM KONTRAK DALAM PERSPEKTIF HUKUM KONTRAK KONTEMPORER. Masalah-masalah hukum, Jilid 46 No. 1, 55-68.</w:t>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Farokhah, L., Ubaidillah, Y., &amp; Yulianti, R. A. (2021). Penyuluhan Disiplin Protokol Kesehatan Covid-19 Di Kelurahan Gandul Kecamatan Cinere Kota Depok. </w:t>
      </w:r>
      <w:r>
        <w:rPr>
          <w:rFonts w:ascii="Times New Roman" w:hAnsi="Times New Roman" w:cs="Times New Roman"/>
          <w:i/>
          <w:iCs/>
          <w:sz w:val="24"/>
          <w:szCs w:val="24"/>
        </w:rPr>
        <w:t>Prosiding Seminar Nasional Pengabdian Masyarakat LPPM UMJ</w:t>
      </w:r>
      <w:r>
        <w:rPr>
          <w:rFonts w:ascii="Times New Roman" w:hAnsi="Times New Roman" w:cs="Times New Roman"/>
          <w:sz w:val="24"/>
          <w:szCs w:val="24"/>
        </w:rPr>
        <w:t xml:space="preserve">, </w:t>
      </w:r>
      <w:r>
        <w:rPr>
          <w:rFonts w:ascii="Times New Roman" w:hAnsi="Times New Roman" w:cs="Times New Roman"/>
          <w:i/>
          <w:iCs/>
          <w:sz w:val="24"/>
          <w:szCs w:val="24"/>
        </w:rPr>
        <w:t>1</w:t>
      </w:r>
      <w:r>
        <w:rPr>
          <w:rFonts w:ascii="Times New Roman" w:hAnsi="Times New Roman" w:cs="Times New Roman"/>
          <w:sz w:val="24"/>
          <w:szCs w:val="24"/>
        </w:rPr>
        <w:t xml:space="preserve">(1), Article 1. </w:t>
      </w:r>
      <w:r>
        <w:fldChar w:fldCharType="begin"/>
      </w:r>
      <w:r>
        <w:instrText xml:space="preserve"> HYPERLINK "https://jurnal.umj.ac.id/index.php/semnaskat/article/view/7970" </w:instrText>
      </w:r>
      <w:r>
        <w:fldChar w:fldCharType="separate"/>
      </w:r>
      <w:r>
        <w:rPr>
          <w:rFonts w:ascii="Times New Roman" w:hAnsi="Times New Roman" w:cs="Times New Roman"/>
          <w:color w:val="0000FF" w:themeColor="hyperlink"/>
          <w:sz w:val="24"/>
          <w:szCs w:val="24"/>
          <w:u w:val="single"/>
          <w14:textFill>
            <w14:solidFill>
              <w14:schemeClr w14:val="hlink"/>
            </w14:solidFill>
          </w14:textFill>
        </w:rPr>
        <w:t>https://jurnal.umj.ac.id/index.php/semnaskat/article/view/7970</w:t>
      </w:r>
      <w:r>
        <w:rPr>
          <w:rFonts w:ascii="Times New Roman" w:hAnsi="Times New Roman" w:cs="Times New Roman"/>
          <w:color w:val="0000FF" w:themeColor="hyperlink"/>
          <w:sz w:val="24"/>
          <w:szCs w:val="24"/>
          <w:u w:val="single"/>
          <w14:textFill>
            <w14:solidFill>
              <w14:schemeClr w14:val="hlink"/>
            </w14:solidFill>
          </w14:textFill>
        </w:rPr>
        <w:fldChar w:fldCharType="end"/>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Hairi, P. J. (2020). Implikasi Hukum Pembatasan Sosial Berskala Besar Terkait Pencegahan Covid-19. </w:t>
      </w:r>
      <w:r>
        <w:rPr>
          <w:rFonts w:ascii="Times New Roman" w:hAnsi="Times New Roman" w:cs="Times New Roman"/>
          <w:i/>
          <w:sz w:val="24"/>
          <w:szCs w:val="24"/>
        </w:rPr>
        <w:t>Info Singkat : Vol XII, No. 7/I/Puslit/April/2020</w:t>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Kurniawansyah, H., Amrullah, A., Salahuddin, M., Muslim, M., &amp; Nurhidayati, S. (2020). Konsep Kebijakan Strategis Dalam Menangani Eksternalitas Ekonomi dari Covid—19 Pada Masyarakat Rentan di Indonesia. </w:t>
      </w:r>
      <w:r>
        <w:rPr>
          <w:rFonts w:ascii="Times New Roman" w:hAnsi="Times New Roman" w:cs="Times New Roman"/>
          <w:i/>
          <w:iCs/>
          <w:sz w:val="24"/>
          <w:szCs w:val="24"/>
        </w:rPr>
        <w:t>Indonesian Journal of Social Sciences and Humanities</w:t>
      </w:r>
      <w:r>
        <w:rPr>
          <w:rFonts w:ascii="Times New Roman" w:hAnsi="Times New Roman" w:cs="Times New Roman"/>
          <w:sz w:val="24"/>
          <w:szCs w:val="24"/>
        </w:rPr>
        <w:t xml:space="preserve">, </w:t>
      </w:r>
      <w:r>
        <w:rPr>
          <w:rFonts w:ascii="Times New Roman" w:hAnsi="Times New Roman" w:cs="Times New Roman"/>
          <w:i/>
          <w:iCs/>
          <w:sz w:val="24"/>
          <w:szCs w:val="24"/>
        </w:rPr>
        <w:t>1</w:t>
      </w:r>
      <w:r>
        <w:rPr>
          <w:rFonts w:ascii="Times New Roman" w:hAnsi="Times New Roman" w:cs="Times New Roman"/>
          <w:sz w:val="24"/>
          <w:szCs w:val="24"/>
        </w:rPr>
        <w:t>(2), 130–139.</w:t>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Mardhia, D., Kautsari, N., Syaputra, L. I., Ramdhani, W., &amp; Rasiardhi, C. O. (2020). Penerapan Protokol Kesehatan dan Dampak Covid-19 Terhadap Harga Komoditas Perikanan dan Aktivitas Penangkapan. </w:t>
      </w:r>
      <w:r>
        <w:rPr>
          <w:rFonts w:ascii="Times New Roman" w:hAnsi="Times New Roman" w:cs="Times New Roman"/>
          <w:i/>
          <w:iCs/>
          <w:sz w:val="24"/>
          <w:szCs w:val="24"/>
        </w:rPr>
        <w:t>Indonesian Journal of Applied Science and Technology</w:t>
      </w:r>
      <w:r>
        <w:rPr>
          <w:rFonts w:ascii="Times New Roman" w:hAnsi="Times New Roman" w:cs="Times New Roman"/>
          <w:sz w:val="24"/>
          <w:szCs w:val="24"/>
        </w:rPr>
        <w:t xml:space="preserve">, </w:t>
      </w:r>
      <w:r>
        <w:rPr>
          <w:rFonts w:ascii="Times New Roman" w:hAnsi="Times New Roman" w:cs="Times New Roman"/>
          <w:i/>
          <w:iCs/>
          <w:sz w:val="24"/>
          <w:szCs w:val="24"/>
        </w:rPr>
        <w:t>1</w:t>
      </w:r>
      <w:r>
        <w:rPr>
          <w:rFonts w:ascii="Times New Roman" w:hAnsi="Times New Roman" w:cs="Times New Roman"/>
          <w:sz w:val="24"/>
          <w:szCs w:val="24"/>
        </w:rPr>
        <w:t>(2), 80–87.</w:t>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Marzuki, M. P. (2005). </w:t>
      </w:r>
      <w:r>
        <w:rPr>
          <w:rFonts w:ascii="Times New Roman" w:hAnsi="Times New Roman" w:cs="Times New Roman"/>
          <w:i/>
          <w:sz w:val="24"/>
          <w:szCs w:val="24"/>
        </w:rPr>
        <w:t xml:space="preserve">Penelitian Hukum. </w:t>
      </w:r>
      <w:r>
        <w:rPr>
          <w:rFonts w:ascii="Times New Roman" w:hAnsi="Times New Roman" w:cs="Times New Roman"/>
          <w:sz w:val="24"/>
          <w:szCs w:val="24"/>
        </w:rPr>
        <w:t>KENCANA: Yogyakarta.</w:t>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Muslim, S., &amp; Hadiwinata, K. (2020). PANDEMIC COVID-19 DAN KONTRAK BISNIS DITINJAU DARI PERSPEKTIF HUKUM BISNIS. </w:t>
      </w:r>
      <w:r>
        <w:rPr>
          <w:rFonts w:ascii="Times New Roman" w:hAnsi="Times New Roman" w:cs="Times New Roman"/>
          <w:i/>
          <w:iCs/>
          <w:sz w:val="24"/>
          <w:szCs w:val="24"/>
        </w:rPr>
        <w:t>SENABISMA: Prosiding Seminar Nasional Bisnis Dan Manajemen</w:t>
      </w:r>
      <w:r>
        <w:rPr>
          <w:rFonts w:ascii="Times New Roman" w:hAnsi="Times New Roman" w:cs="Times New Roman"/>
          <w:sz w:val="24"/>
          <w:szCs w:val="24"/>
        </w:rPr>
        <w:t xml:space="preserve">, </w:t>
      </w:r>
      <w:r>
        <w:rPr>
          <w:rFonts w:ascii="Times New Roman" w:hAnsi="Times New Roman" w:cs="Times New Roman"/>
          <w:i/>
          <w:iCs/>
          <w:sz w:val="24"/>
          <w:szCs w:val="24"/>
        </w:rPr>
        <w:t>5</w:t>
      </w:r>
      <w:r>
        <w:rPr>
          <w:rFonts w:ascii="Times New Roman" w:hAnsi="Times New Roman" w:cs="Times New Roman"/>
          <w:sz w:val="24"/>
          <w:szCs w:val="24"/>
        </w:rPr>
        <w:t>(0), 69–78.</w:t>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Pemayun, C. I. R. D., &amp; Sudibya, K. P. (2018). TANGGUNG JAWAB PENJAMIN TERHADAP DEBITUR YANG TIDAK DAPAT MEMENUHI PRESTASI KEPADA KREDITUR. </w:t>
      </w:r>
      <w:r>
        <w:rPr>
          <w:rFonts w:ascii="Times New Roman" w:hAnsi="Times New Roman" w:cs="Times New Roman"/>
          <w:i/>
          <w:iCs/>
          <w:sz w:val="24"/>
          <w:szCs w:val="24"/>
        </w:rPr>
        <w:t>Kertha Semaya : Journal Ilmu Hukum</w:t>
      </w:r>
      <w:r>
        <w:rPr>
          <w:rFonts w:ascii="Times New Roman" w:hAnsi="Times New Roman" w:cs="Times New Roman"/>
          <w:sz w:val="24"/>
          <w:szCs w:val="24"/>
        </w:rPr>
        <w:t>, 1–14.</w:t>
      </w:r>
    </w:p>
    <w:p>
      <w:pPr>
        <w:spacing w:line="360" w:lineRule="auto"/>
        <w:ind w:left="851" w:hanging="851"/>
        <w:jc w:val="both"/>
        <w:rPr>
          <w:rFonts w:ascii="Times New Roman" w:hAnsi="Times New Roman" w:cs="Times New Roman"/>
          <w:sz w:val="24"/>
          <w:szCs w:val="24"/>
        </w:rPr>
      </w:pPr>
      <w:r>
        <w:rPr>
          <w:rFonts w:ascii="Times New Roman" w:hAnsi="Times New Roman" w:cs="Times New Roman"/>
          <w:bCs/>
          <w:sz w:val="24"/>
          <w:szCs w:val="24"/>
        </w:rPr>
        <w:t xml:space="preserve">Permatasari, P. (2021). KLAUSUL FORCE MAJEURE AKIBAT COVID-19 DALAM PERJANJIAN KREDIT BANK. </w:t>
      </w:r>
      <w:r>
        <w:rPr>
          <w:rFonts w:ascii="Times New Roman" w:hAnsi="Times New Roman" w:cs="Times New Roman"/>
          <w:bCs/>
          <w:i/>
          <w:iCs/>
          <w:sz w:val="24"/>
          <w:szCs w:val="24"/>
        </w:rPr>
        <w:t>IBLAM LAW REVIEW</w:t>
      </w:r>
      <w:r>
        <w:rPr>
          <w:rFonts w:ascii="Times New Roman" w:hAnsi="Times New Roman" w:cs="Times New Roman"/>
          <w:bCs/>
          <w:sz w:val="24"/>
          <w:szCs w:val="24"/>
        </w:rPr>
        <w:t xml:space="preserve">, </w:t>
      </w:r>
      <w:r>
        <w:rPr>
          <w:rFonts w:ascii="Times New Roman" w:hAnsi="Times New Roman" w:cs="Times New Roman"/>
          <w:bCs/>
          <w:i/>
          <w:iCs/>
          <w:sz w:val="24"/>
          <w:szCs w:val="24"/>
        </w:rPr>
        <w:t>1</w:t>
      </w:r>
      <w:r>
        <w:rPr>
          <w:rFonts w:ascii="Times New Roman" w:hAnsi="Times New Roman" w:cs="Times New Roman"/>
          <w:bCs/>
          <w:sz w:val="24"/>
          <w:szCs w:val="24"/>
        </w:rPr>
        <w:t xml:space="preserve">(1), 18–38. </w:t>
      </w:r>
      <w:r>
        <w:fldChar w:fldCharType="begin"/>
      </w:r>
      <w:r>
        <w:instrText xml:space="preserve"> HYPERLINK "https://doi.org/10.52249/ilr.v1i1.4" </w:instrText>
      </w:r>
      <w:r>
        <w:fldChar w:fldCharType="separate"/>
      </w:r>
      <w:r>
        <w:rPr>
          <w:rFonts w:ascii="Times New Roman" w:hAnsi="Times New Roman" w:cs="Times New Roman"/>
          <w:bCs/>
          <w:color w:val="0000FF" w:themeColor="hyperlink"/>
          <w:sz w:val="24"/>
          <w:szCs w:val="24"/>
          <w:u w:val="single"/>
          <w14:textFill>
            <w14:solidFill>
              <w14:schemeClr w14:val="hlink"/>
            </w14:solidFill>
          </w14:textFill>
        </w:rPr>
        <w:t>https://doi.org/10.52249/ilr.v1i1.4</w:t>
      </w:r>
      <w:r>
        <w:rPr>
          <w:rFonts w:ascii="Times New Roman" w:hAnsi="Times New Roman" w:cs="Times New Roman"/>
          <w:bCs/>
          <w:color w:val="0000FF" w:themeColor="hyperlink"/>
          <w:sz w:val="24"/>
          <w:szCs w:val="24"/>
          <w:u w:val="single"/>
          <w14:textFill>
            <w14:solidFill>
              <w14:schemeClr w14:val="hlink"/>
            </w14:solidFill>
          </w14:textFill>
        </w:rPr>
        <w:fldChar w:fldCharType="end"/>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Pinasti, F. D. A. (2020). Analisis Dampak Pandemi Corona Virus Terhadap Tingkat Kesadaran Masyarakat dalam Penerapan Protokol Kesehatan. </w:t>
      </w:r>
      <w:r>
        <w:rPr>
          <w:rFonts w:ascii="Times New Roman" w:hAnsi="Times New Roman" w:cs="Times New Roman"/>
          <w:i/>
          <w:iCs/>
          <w:sz w:val="24"/>
          <w:szCs w:val="24"/>
        </w:rPr>
        <w:t>Wellness And Healthy Magazine</w:t>
      </w:r>
      <w:r>
        <w:rPr>
          <w:rFonts w:ascii="Times New Roman" w:hAnsi="Times New Roman" w:cs="Times New Roman"/>
          <w:sz w:val="24"/>
          <w:szCs w:val="24"/>
        </w:rPr>
        <w:t xml:space="preserve">, </w:t>
      </w:r>
      <w:r>
        <w:rPr>
          <w:rFonts w:ascii="Times New Roman" w:hAnsi="Times New Roman" w:cs="Times New Roman"/>
          <w:i/>
          <w:iCs/>
          <w:sz w:val="24"/>
          <w:szCs w:val="24"/>
        </w:rPr>
        <w:t>2</w:t>
      </w:r>
      <w:r>
        <w:rPr>
          <w:rFonts w:ascii="Times New Roman" w:hAnsi="Times New Roman" w:cs="Times New Roman"/>
          <w:sz w:val="24"/>
          <w:szCs w:val="24"/>
        </w:rPr>
        <w:t xml:space="preserve">(2), 237–249. </w:t>
      </w:r>
      <w:r>
        <w:fldChar w:fldCharType="begin"/>
      </w:r>
      <w:r>
        <w:instrText xml:space="preserve"> HYPERLINK "https://doi.org/10.30604/well.022.82000107" </w:instrText>
      </w:r>
      <w:r>
        <w:fldChar w:fldCharType="separate"/>
      </w:r>
      <w:r>
        <w:rPr>
          <w:rFonts w:ascii="Times New Roman" w:hAnsi="Times New Roman" w:cs="Times New Roman"/>
          <w:color w:val="0000FF" w:themeColor="hyperlink"/>
          <w:sz w:val="24"/>
          <w:szCs w:val="24"/>
          <w:u w:val="single"/>
          <w14:textFill>
            <w14:solidFill>
              <w14:schemeClr w14:val="hlink"/>
            </w14:solidFill>
          </w14:textFill>
        </w:rPr>
        <w:t>https://doi.org/10.30604/well.022.82000107</w:t>
      </w:r>
      <w:r>
        <w:rPr>
          <w:rFonts w:ascii="Times New Roman" w:hAnsi="Times New Roman" w:cs="Times New Roman"/>
          <w:color w:val="0000FF" w:themeColor="hyperlink"/>
          <w:sz w:val="24"/>
          <w:szCs w:val="24"/>
          <w:u w:val="single"/>
          <w14:textFill>
            <w14:solidFill>
              <w14:schemeClr w14:val="hlink"/>
            </w14:solidFill>
          </w14:textFill>
        </w:rPr>
        <w:fldChar w:fldCharType="end"/>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Pitaloka, R. D., &amp; Taupiqqurrahman, T. (2021). PENUNDAAN PEMENUHAN PRESTASI PADA KONTRAK BISNIS DI MASA PANDEMI COVID-19. </w:t>
      </w:r>
      <w:r>
        <w:rPr>
          <w:rFonts w:ascii="Times New Roman" w:hAnsi="Times New Roman" w:cs="Times New Roman"/>
          <w:i/>
          <w:iCs/>
          <w:sz w:val="24"/>
          <w:szCs w:val="24"/>
        </w:rPr>
        <w:t>Kertha Semaya : Journal Ilmu Hukum</w:t>
      </w:r>
      <w:r>
        <w:rPr>
          <w:rFonts w:ascii="Times New Roman" w:hAnsi="Times New Roman" w:cs="Times New Roman"/>
          <w:sz w:val="24"/>
          <w:szCs w:val="24"/>
        </w:rPr>
        <w:t xml:space="preserve">, </w:t>
      </w:r>
      <w:r>
        <w:rPr>
          <w:rFonts w:ascii="Times New Roman" w:hAnsi="Times New Roman" w:cs="Times New Roman"/>
          <w:i/>
          <w:iCs/>
          <w:sz w:val="24"/>
          <w:szCs w:val="24"/>
        </w:rPr>
        <w:t>9</w:t>
      </w:r>
      <w:r>
        <w:rPr>
          <w:rFonts w:ascii="Times New Roman" w:hAnsi="Times New Roman" w:cs="Times New Roman"/>
          <w:sz w:val="24"/>
          <w:szCs w:val="24"/>
        </w:rPr>
        <w:t xml:space="preserve">(3), 458–469. </w:t>
      </w:r>
      <w:r>
        <w:fldChar w:fldCharType="begin"/>
      </w:r>
      <w:r>
        <w:instrText xml:space="preserve"> HYPERLINK "https://doi.org/10.24843/KS.2021.v09.i03.p08" </w:instrText>
      </w:r>
      <w:r>
        <w:fldChar w:fldCharType="separate"/>
      </w:r>
      <w:r>
        <w:rPr>
          <w:rFonts w:ascii="Times New Roman" w:hAnsi="Times New Roman" w:cs="Times New Roman"/>
          <w:color w:val="0000FF" w:themeColor="hyperlink"/>
          <w:sz w:val="24"/>
          <w:szCs w:val="24"/>
          <w:u w:val="single"/>
          <w14:textFill>
            <w14:solidFill>
              <w14:schemeClr w14:val="hlink"/>
            </w14:solidFill>
          </w14:textFill>
        </w:rPr>
        <w:t>https://doi.org/10.24843/KS.2021.v09.i03.p08</w:t>
      </w:r>
      <w:r>
        <w:rPr>
          <w:rFonts w:ascii="Times New Roman" w:hAnsi="Times New Roman" w:cs="Times New Roman"/>
          <w:color w:val="0000FF" w:themeColor="hyperlink"/>
          <w:sz w:val="24"/>
          <w:szCs w:val="24"/>
          <w:u w:val="single"/>
          <w14:textFill>
            <w14:solidFill>
              <w14:schemeClr w14:val="hlink"/>
            </w14:solidFill>
          </w14:textFill>
        </w:rPr>
        <w:fldChar w:fldCharType="end"/>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Rasuh, D. J. (2016). KAJIAN HUKUM KEADAAN MEMAKSA (FORCE MAJEURE) MENURUT PASAL 1244 DAN PASAL 1245 KITAB UNDANG-UNDANG HUKUM PERDATA. </w:t>
      </w:r>
      <w:r>
        <w:rPr>
          <w:rFonts w:ascii="Times New Roman" w:hAnsi="Times New Roman" w:cs="Times New Roman"/>
          <w:i/>
          <w:iCs/>
          <w:sz w:val="24"/>
          <w:szCs w:val="24"/>
        </w:rPr>
        <w:t>LEX PRIVATUM</w:t>
      </w:r>
      <w:r>
        <w:rPr>
          <w:rFonts w:ascii="Times New Roman" w:hAnsi="Times New Roman" w:cs="Times New Roman"/>
          <w:sz w:val="24"/>
          <w:szCs w:val="24"/>
        </w:rPr>
        <w:t xml:space="preserve">, </w:t>
      </w:r>
      <w:r>
        <w:rPr>
          <w:rFonts w:ascii="Times New Roman" w:hAnsi="Times New Roman" w:cs="Times New Roman"/>
          <w:i/>
          <w:iCs/>
          <w:sz w:val="24"/>
          <w:szCs w:val="24"/>
        </w:rPr>
        <w:t>4</w:t>
      </w:r>
      <w:r>
        <w:rPr>
          <w:rFonts w:ascii="Times New Roman" w:hAnsi="Times New Roman" w:cs="Times New Roman"/>
          <w:sz w:val="24"/>
          <w:szCs w:val="24"/>
        </w:rPr>
        <w:t xml:space="preserve">(2), Article 2. </w:t>
      </w:r>
      <w:r>
        <w:fldChar w:fldCharType="begin"/>
      </w:r>
      <w:r>
        <w:instrText xml:space="preserve"> HYPERLINK "https://ejournal.unsrat.ac.id/index.php/lexprivatum/article/view/11366" </w:instrText>
      </w:r>
      <w:r>
        <w:fldChar w:fldCharType="separate"/>
      </w:r>
      <w:r>
        <w:rPr>
          <w:rFonts w:ascii="Times New Roman" w:hAnsi="Times New Roman" w:cs="Times New Roman"/>
          <w:color w:val="0000FF" w:themeColor="hyperlink"/>
          <w:sz w:val="24"/>
          <w:szCs w:val="24"/>
          <w:u w:val="single"/>
          <w14:textFill>
            <w14:solidFill>
              <w14:schemeClr w14:val="hlink"/>
            </w14:solidFill>
          </w14:textFill>
        </w:rPr>
        <w:t>https://ejournal.unsrat.ac.id/index.php/lexprivatum/article/view/11366</w:t>
      </w:r>
      <w:r>
        <w:rPr>
          <w:rFonts w:ascii="Times New Roman" w:hAnsi="Times New Roman" w:cs="Times New Roman"/>
          <w:color w:val="0000FF" w:themeColor="hyperlink"/>
          <w:sz w:val="24"/>
          <w:szCs w:val="24"/>
          <w:u w:val="single"/>
          <w14:textFill>
            <w14:solidFill>
              <w14:schemeClr w14:val="hlink"/>
            </w14:solidFill>
          </w14:textFill>
        </w:rPr>
        <w:fldChar w:fldCharType="end"/>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Robed, G. O. S., &amp; Priyanto, I. M. D. (2021). Covid-19 Sebagai Keadaan Memaksa (Force Majeure) Dalam Pemutusan Hubungan Kerja. Kertha Wicara : Journal Ilmu Hukum, 10(3), 230–240. </w:t>
      </w:r>
      <w:r>
        <w:fldChar w:fldCharType="begin"/>
      </w:r>
      <w:r>
        <w:instrText xml:space="preserve"> HYPERLINK "https://doi.org/10.24843/KW.2021.v10.i03.p04" </w:instrText>
      </w:r>
      <w:r>
        <w:fldChar w:fldCharType="separate"/>
      </w:r>
      <w:r>
        <w:rPr>
          <w:rFonts w:ascii="Times New Roman" w:hAnsi="Times New Roman" w:cs="Times New Roman"/>
          <w:color w:val="0000FF" w:themeColor="hyperlink"/>
          <w:sz w:val="24"/>
          <w:szCs w:val="24"/>
          <w:u w:val="single"/>
          <w14:textFill>
            <w14:solidFill>
              <w14:schemeClr w14:val="hlink"/>
            </w14:solidFill>
          </w14:textFill>
        </w:rPr>
        <w:t>https://doi.org/10.24843/KW.2021.v10.i03.p04</w:t>
      </w:r>
      <w:r>
        <w:rPr>
          <w:rFonts w:ascii="Times New Roman" w:hAnsi="Times New Roman" w:cs="Times New Roman"/>
          <w:color w:val="0000FF" w:themeColor="hyperlink"/>
          <w:sz w:val="24"/>
          <w:szCs w:val="24"/>
          <w:u w:val="single"/>
          <w14:textFill>
            <w14:solidFill>
              <w14:schemeClr w14:val="hlink"/>
            </w14:solidFill>
          </w14:textFill>
        </w:rPr>
        <w:fldChar w:fldCharType="end"/>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Sufiarina, &amp; Wahyuni, S. (2020). FORCE MAJEURE DAN NOTOIR FEITEN ATAS KEBIJAKAN PSBB COVID-19. Jurnal Hukum Sasana, 6(1), 1–15. </w:t>
      </w:r>
      <w:r>
        <w:fldChar w:fldCharType="begin"/>
      </w:r>
      <w:r>
        <w:instrText xml:space="preserve"> HYPERLINK "https://doi.org/10.31599/sasana.v6i1.209" </w:instrText>
      </w:r>
      <w:r>
        <w:fldChar w:fldCharType="separate"/>
      </w:r>
      <w:r>
        <w:rPr>
          <w:rFonts w:ascii="Times New Roman" w:hAnsi="Times New Roman" w:cs="Times New Roman"/>
          <w:color w:val="0000FF" w:themeColor="hyperlink"/>
          <w:sz w:val="24"/>
          <w:szCs w:val="24"/>
          <w:u w:val="single"/>
          <w14:textFill>
            <w14:solidFill>
              <w14:schemeClr w14:val="hlink"/>
            </w14:solidFill>
          </w14:textFill>
        </w:rPr>
        <w:t>https://doi.org/10.31599/sasana.v6i1.209</w:t>
      </w:r>
      <w:r>
        <w:rPr>
          <w:rFonts w:ascii="Times New Roman" w:hAnsi="Times New Roman" w:cs="Times New Roman"/>
          <w:color w:val="0000FF" w:themeColor="hyperlink"/>
          <w:sz w:val="24"/>
          <w:szCs w:val="24"/>
          <w:u w:val="single"/>
          <w14:textFill>
            <w14:solidFill>
              <w14:schemeClr w14:val="hlink"/>
            </w14:solidFill>
          </w14:textFill>
        </w:rPr>
        <w:fldChar w:fldCharType="end"/>
      </w:r>
    </w:p>
    <w:p>
      <w:pPr>
        <w:spacing w:line="36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Tjoanda, M., Hetharie, Y., Pariela, M. V. G., &amp; Sopamena, R. F. (2021). Covid-19 sebagai Bentuk Overmacht dan Akibat Hukumnya Terhadap Pelaksanaan Perjanjian Kredit. Dalam </w:t>
      </w:r>
      <w:r>
        <w:rPr>
          <w:rFonts w:ascii="Times New Roman" w:hAnsi="Times New Roman" w:cs="Times New Roman"/>
          <w:i/>
          <w:iCs/>
          <w:sz w:val="24"/>
          <w:szCs w:val="24"/>
        </w:rPr>
        <w:t>SASI</w:t>
      </w:r>
      <w:r>
        <w:rPr>
          <w:rFonts w:ascii="Times New Roman" w:hAnsi="Times New Roman" w:cs="Times New Roman"/>
          <w:sz w:val="24"/>
          <w:szCs w:val="24"/>
        </w:rPr>
        <w:t xml:space="preserve"> (2021-03–24 ed., Vol. 27, Nomor 1, hlm. 9).</w:t>
      </w:r>
    </w:p>
    <w:p>
      <w:pPr>
        <w:spacing w:line="360" w:lineRule="auto"/>
        <w:ind w:left="851" w:hanging="851"/>
        <w:jc w:val="both"/>
        <w:rPr>
          <w:rFonts w:ascii="Times New Roman" w:hAnsi="Times New Roman" w:cs="Times New Roman"/>
          <w:color w:val="0000FF" w:themeColor="hyperlink"/>
          <w:sz w:val="24"/>
          <w:szCs w:val="24"/>
          <w:u w:val="single"/>
          <w14:textFill>
            <w14:solidFill>
              <w14:schemeClr w14:val="hlink"/>
            </w14:solidFill>
          </w14:textFill>
        </w:rPr>
      </w:pPr>
      <w:r>
        <w:rPr>
          <w:rFonts w:ascii="Times New Roman" w:hAnsi="Times New Roman" w:cs="Times New Roman"/>
          <w:sz w:val="24"/>
          <w:szCs w:val="24"/>
        </w:rPr>
        <w:t xml:space="preserve">Yamali, F. R., &amp; Putri, R. N. (2020). Dampak Covid-19 Terhadap Ekonomi Indonesia. </w:t>
      </w:r>
      <w:r>
        <w:rPr>
          <w:rFonts w:ascii="Times New Roman" w:hAnsi="Times New Roman" w:cs="Times New Roman"/>
          <w:i/>
          <w:iCs/>
          <w:sz w:val="24"/>
          <w:szCs w:val="24"/>
        </w:rPr>
        <w:t>Ekonomis: Journal of Economics and Business</w:t>
      </w:r>
      <w:r>
        <w:rPr>
          <w:rFonts w:ascii="Times New Roman" w:hAnsi="Times New Roman" w:cs="Times New Roman"/>
          <w:sz w:val="24"/>
          <w:szCs w:val="24"/>
        </w:rPr>
        <w:t xml:space="preserve">, </w:t>
      </w:r>
      <w:r>
        <w:rPr>
          <w:rFonts w:ascii="Times New Roman" w:hAnsi="Times New Roman" w:cs="Times New Roman"/>
          <w:i/>
          <w:iCs/>
          <w:sz w:val="24"/>
          <w:szCs w:val="24"/>
        </w:rPr>
        <w:t>4</w:t>
      </w:r>
      <w:r>
        <w:rPr>
          <w:rFonts w:ascii="Times New Roman" w:hAnsi="Times New Roman" w:cs="Times New Roman"/>
          <w:sz w:val="24"/>
          <w:szCs w:val="24"/>
        </w:rPr>
        <w:t xml:space="preserve">(2), 384–388. </w:t>
      </w:r>
      <w:r>
        <w:fldChar w:fldCharType="begin"/>
      </w:r>
      <w:r>
        <w:instrText xml:space="preserve"> HYPERLINK "https://doi.org/10.33087/ekonomis.v4i2.179" </w:instrText>
      </w:r>
      <w:r>
        <w:fldChar w:fldCharType="separate"/>
      </w:r>
      <w:r>
        <w:rPr>
          <w:rFonts w:ascii="Times New Roman" w:hAnsi="Times New Roman" w:cs="Times New Roman"/>
          <w:color w:val="0000FF" w:themeColor="hyperlink"/>
          <w:sz w:val="24"/>
          <w:szCs w:val="24"/>
          <w:u w:val="single"/>
          <w14:textFill>
            <w14:solidFill>
              <w14:schemeClr w14:val="hlink"/>
            </w14:solidFill>
          </w14:textFill>
        </w:rPr>
        <w:t>https://doi.org/10.33087/ekonomis.v4i2.179</w:t>
      </w:r>
      <w:r>
        <w:rPr>
          <w:rFonts w:ascii="Times New Roman" w:hAnsi="Times New Roman" w:cs="Times New Roman"/>
          <w:color w:val="0000FF" w:themeColor="hyperlink"/>
          <w:sz w:val="24"/>
          <w:szCs w:val="24"/>
          <w:u w:val="single"/>
          <w14:textFill>
            <w14:solidFill>
              <w14:schemeClr w14:val="hlink"/>
            </w14:solidFill>
          </w14:textFill>
        </w:rPr>
        <w:fldChar w:fldCharType="end"/>
      </w:r>
    </w:p>
    <w:p>
      <w:pPr>
        <w:spacing w:after="0" w:line="360" w:lineRule="auto"/>
        <w:jc w:val="both"/>
        <w:rPr>
          <w:rFonts w:ascii="Times New Roman" w:hAnsi="Times New Roman" w:cs="Times New Roman"/>
        </w:rPr>
      </w:pPr>
    </w:p>
    <w:sectPr>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黑体">
    <w:altName w:val="黑体-简"/>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86"/>
    <w:family w:val="swiss"/>
    <w:pitch w:val="default"/>
    <w:sig w:usb0="00000000" w:usb1="00000000" w:usb2="00000001" w:usb3="00000000" w:csb0="0000019F" w:csb1="00000000"/>
  </w:font>
  <w:font w:name="SimSun">
    <w:altName w:val="宋体-简"/>
    <w:panose1 w:val="00000000000000000000"/>
    <w:charset w:val="86"/>
    <w:family w:val="auto"/>
    <w:pitch w:val="default"/>
    <w:sig w:usb0="00000000" w:usb1="00000000" w:usb2="00000000" w:usb3="00000000" w:csb0="00000000" w:csb1="00000000"/>
  </w:font>
  <w:font w:name="Calibri">
    <w:altName w:val="Helvetica Neue"/>
    <w:panose1 w:val="00000000000000000000"/>
    <w:charset w:val="00"/>
    <w:family w:val="auto"/>
    <w:pitch w:val="default"/>
    <w:sig w:usb0="00000000" w:usb1="00000000" w:usb2="00000000" w:usb3="00000000" w:csb0="00000000"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 w:name="苹方-简">
    <w:panose1 w:val="020B0400000000000000"/>
    <w:charset w:val="86"/>
    <w:family w:val="auto"/>
    <w:pitch w:val="default"/>
    <w:sig w:usb0="A00002FF" w:usb1="7ACFFDFB" w:usb2="00000017" w:usb3="00000000" w:csb0="00040001" w:csb1="00000000"/>
  </w:font>
  <w:font w:name="黑体-简">
    <w:panose1 w:val="02000000000000000000"/>
    <w:charset w:val="86"/>
    <w:family w:val="auto"/>
    <w:pitch w:val="default"/>
    <w:sig w:usb0="8000002F" w:usb1="0800004A" w:usb2="00000000" w:usb3="00000000" w:csb0="203E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63A71"/>
    <w:multiLevelType w:val="multilevel"/>
    <w:tmpl w:val="15A63A7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9700B5C"/>
    <w:multiLevelType w:val="multilevel"/>
    <w:tmpl w:val="19700B5C"/>
    <w:lvl w:ilvl="0" w:tentative="0">
      <w:start w:val="1"/>
      <w:numFmt w:val="upp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43097562"/>
    <w:multiLevelType w:val="multilevel"/>
    <w:tmpl w:val="43097562"/>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50517BEF"/>
    <w:multiLevelType w:val="multilevel"/>
    <w:tmpl w:val="50517BE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707577B2"/>
    <w:multiLevelType w:val="multilevel"/>
    <w:tmpl w:val="707577B2"/>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FB4"/>
    <w:rsid w:val="000E1FB4"/>
    <w:rsid w:val="004209F7"/>
    <w:rsid w:val="00447775"/>
    <w:rsid w:val="005A43F7"/>
    <w:rsid w:val="00630B88"/>
    <w:rsid w:val="00835807"/>
    <w:rsid w:val="00984F37"/>
    <w:rsid w:val="00C82492"/>
    <w:rsid w:val="00D03026"/>
    <w:rsid w:val="00D378DA"/>
    <w:rsid w:val="00F00117"/>
    <w:rsid w:val="00F706D2"/>
    <w:rsid w:val="765E6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character" w:default="1" w:styleId="2">
    <w:name w:val="Default Paragraph Font"/>
    <w:unhideWhenUsed/>
    <w:uiPriority w:val="1"/>
  </w:style>
  <w:style w:type="table" w:default="1" w:styleId="4">
    <w:name w:val="Normal Table"/>
    <w:unhideWhenUsed/>
    <w:uiPriority w:val="99"/>
    <w:tblPr>
      <w:tblCellMar>
        <w:top w:w="0" w:type="dxa"/>
        <w:left w:w="108" w:type="dxa"/>
        <w:bottom w:w="0" w:type="dxa"/>
        <w:right w:w="108" w:type="dxa"/>
      </w:tblCellMar>
    </w:tblPr>
  </w:style>
  <w:style w:type="character" w:styleId="3">
    <w:name w:val="Hyperlink"/>
    <w:basedOn w:val="2"/>
    <w:unhideWhenUsed/>
    <w:uiPriority w:val="99"/>
    <w:rPr>
      <w:color w:val="0000FF" w:themeColor="hyperlink"/>
      <w:u w:val="single"/>
      <w14:textFill>
        <w14:solidFill>
          <w14:schemeClr w14:val="hlink"/>
        </w14:solidFill>
      </w14:textFill>
    </w:rPr>
  </w:style>
  <w:style w:type="paragraph" w:customStyle="1"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6923</Words>
  <Characters>39467</Characters>
  <Lines>328</Lines>
  <Paragraphs>92</Paragraphs>
  <TotalTime>0</TotalTime>
  <ScaleCrop>false</ScaleCrop>
  <LinksUpToDate>false</LinksUpToDate>
  <CharactersWithSpaces>46298</CharactersWithSpaces>
  <Application>WPS Office_3.2.0.6370_F1E327BC-269C-435d-A152-05C5408002CA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2021-07-04T20:01:00Z</dcterms:created>
  <dc:creator>Admin</dc:creator>
  <cp:lastModifiedBy>macbook</cp:lastModifiedBy>
  <dcterms:modified xsi:type="dcterms:W3CDTF">2022-12-28T13:57:33Z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1033-3.2.0.6370</vt:lpwstr>
  </property>
</Properties>
</file>