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4576F" w14:textId="77777777" w:rsidR="001F274E" w:rsidRPr="001F274E" w:rsidRDefault="001F274E" w:rsidP="001F274E">
      <w:pPr>
        <w:spacing w:before="0" w:line="240" w:lineRule="auto"/>
        <w:ind w:right="22"/>
        <w:jc w:val="center"/>
        <w:rPr>
          <w:rFonts w:ascii="Georgia" w:hAnsi="Georgia"/>
          <w:b/>
          <w:noProof/>
          <w:szCs w:val="24"/>
          <w:lang w:val="id-ID"/>
        </w:rPr>
      </w:pPr>
      <w:r w:rsidRPr="001F274E">
        <w:rPr>
          <w:rFonts w:ascii="Georgia" w:hAnsi="Georgia"/>
          <w:b/>
          <w:noProof/>
          <w:szCs w:val="24"/>
          <w:lang w:val="id-ID"/>
        </w:rPr>
        <w:t>NIGERIA'S LEGAL REGULATORY FRAMEWORK FOR ENSURING CREDIBLE 2023 ELECTION</w:t>
      </w:r>
    </w:p>
    <w:p w14:paraId="65DB3FC6" w14:textId="77777777" w:rsidR="001F274E" w:rsidRPr="001F274E" w:rsidRDefault="001F274E" w:rsidP="001F274E">
      <w:pPr>
        <w:pStyle w:val="Heading1"/>
        <w:jc w:val="center"/>
        <w:rPr>
          <w:rFonts w:ascii="Georgia" w:hAnsi="Georgia"/>
        </w:rPr>
      </w:pPr>
    </w:p>
    <w:p w14:paraId="6080A769" w14:textId="77777777" w:rsidR="001F274E" w:rsidRPr="001F274E" w:rsidRDefault="001F274E" w:rsidP="001F274E">
      <w:pPr>
        <w:pStyle w:val="Heading1"/>
        <w:rPr>
          <w:rFonts w:ascii="Georgia" w:hAnsi="Georgia"/>
        </w:rPr>
      </w:pPr>
      <w:r w:rsidRPr="001F274E">
        <w:rPr>
          <w:rFonts w:ascii="Georgia" w:hAnsi="Georgia"/>
        </w:rPr>
        <w:t>Abstract</w:t>
      </w:r>
    </w:p>
    <w:p w14:paraId="42A34C5F" w14:textId="77777777" w:rsidR="001F274E" w:rsidRPr="001F274E" w:rsidRDefault="001F274E" w:rsidP="001F274E">
      <w:pPr>
        <w:pStyle w:val="NormalWeb"/>
        <w:jc w:val="both"/>
        <w:rPr>
          <w:rFonts w:ascii="Georgia" w:hAnsi="Georgia"/>
          <w:color w:val="252525"/>
        </w:rPr>
      </w:pPr>
      <w:r w:rsidRPr="001F274E">
        <w:rPr>
          <w:rFonts w:ascii="Georgia" w:hAnsi="Georgia"/>
          <w:color w:val="252525"/>
        </w:rPr>
        <w:t xml:space="preserve">Since independence, the Nigerian electoral process has been plagued with spiraling anomalies, including violence, intimidation, deaths, and fraud, which have become worse with each round. This has put Nigeria's socioeconomic, political, and national security at risk, as well as eroded trust in the democratic process. This has also led to increased security concerns during election seasons. For an election to be credible, the competition must be fair, which necessitates impartial process management. Thus, despite recent revisions to the Electoral Act and other related legislation that can help Nigeria </w:t>
      </w:r>
      <w:proofErr w:type="spellStart"/>
      <w:r w:rsidRPr="001F274E">
        <w:rPr>
          <w:rFonts w:ascii="Georgia" w:hAnsi="Georgia"/>
          <w:color w:val="252525"/>
        </w:rPr>
        <w:t>realise</w:t>
      </w:r>
      <w:proofErr w:type="spellEnd"/>
      <w:r w:rsidRPr="001F274E">
        <w:rPr>
          <w:rFonts w:ascii="Georgia" w:hAnsi="Georgia"/>
          <w:color w:val="252525"/>
        </w:rPr>
        <w:t xml:space="preserve"> its potential for credible elections, this work contends that the legal frameworks still have some components that need to be studied or introduced in order to improve the electoral process. This paper proposes that Section 225 of the Constitution be amended to eliminate the requirement for cash provided to a political party from outside Nigeria to be transferred to INEC; instead, such donations should be declared to INEC and made public. The Constitution should be modified to allow the formation of an Electoral Offenses Commission or Tribunal to try and sentence individuals (INEC officers, candidates, and electorates) who violate sections 114–128 of the new Act. Section 29(5) of the Electoral Act should be amended to </w:t>
      </w:r>
      <w:commentRangeStart w:id="0"/>
      <w:r w:rsidRPr="001F274E">
        <w:rPr>
          <w:rFonts w:ascii="Georgia" w:hAnsi="Georgia"/>
          <w:color w:val="252525"/>
        </w:rPr>
        <w:t>allow the Federal Capital Territory and the State of Abuja High Courts to hear and settle pre-election disputes. Furthermore, rather than focusing on technicalities, election petition trials should focus on the substance of the petition and the facts of the case.</w:t>
      </w:r>
      <w:commentRangeEnd w:id="0"/>
      <w:r w:rsidR="00572487">
        <w:rPr>
          <w:rStyle w:val="CommentReference"/>
          <w:lang w:val="en-AU" w:eastAsia="tr-TR"/>
        </w:rPr>
        <w:commentReference w:id="0"/>
      </w:r>
    </w:p>
    <w:p w14:paraId="0DB5C191" w14:textId="77777777" w:rsidR="001F274E" w:rsidRPr="001F274E" w:rsidRDefault="001F274E" w:rsidP="001F274E">
      <w:pPr>
        <w:pStyle w:val="NormalWeb"/>
        <w:jc w:val="both"/>
        <w:rPr>
          <w:rFonts w:ascii="Georgia" w:hAnsi="Georgia"/>
          <w:color w:val="252525"/>
        </w:rPr>
      </w:pPr>
      <w:r w:rsidRPr="001F274E">
        <w:rPr>
          <w:rFonts w:ascii="Georgia" w:hAnsi="Georgia"/>
          <w:b/>
          <w:color w:val="252525"/>
        </w:rPr>
        <w:t xml:space="preserve">Keywords:  </w:t>
      </w:r>
      <w:r w:rsidRPr="001F274E">
        <w:rPr>
          <w:rFonts w:ascii="Georgia" w:hAnsi="Georgia"/>
          <w:color w:val="252525"/>
        </w:rPr>
        <w:t>Nigeria; legal regulatory; framework; credible 2023 election.</w:t>
      </w:r>
    </w:p>
    <w:p w14:paraId="10CF7E1E" w14:textId="77777777" w:rsidR="001F274E" w:rsidRPr="001F274E" w:rsidRDefault="001F274E" w:rsidP="001F274E">
      <w:pPr>
        <w:spacing w:before="120" w:after="120" w:line="240" w:lineRule="auto"/>
        <w:ind w:left="360"/>
        <w:rPr>
          <w:rFonts w:ascii="Georgia" w:hAnsi="Georgia" w:cstheme="majorHAnsi"/>
          <w:b/>
          <w:bCs/>
          <w:szCs w:val="24"/>
          <w:lang w:val="en-US"/>
        </w:rPr>
      </w:pPr>
      <w:r w:rsidRPr="001F274E">
        <w:rPr>
          <w:rFonts w:ascii="Georgia" w:hAnsi="Georgia" w:cstheme="majorHAnsi"/>
          <w:b/>
          <w:bCs/>
          <w:szCs w:val="24"/>
          <w:lang w:val="en-US"/>
        </w:rPr>
        <w:t>INTRODUCTION</w:t>
      </w:r>
    </w:p>
    <w:p w14:paraId="0325FF5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every democratic nation such as Nigeria, credible elections are vital for its socio-economic and political development (</w:t>
      </w:r>
      <w:proofErr w:type="spellStart"/>
      <w:r w:rsidRPr="001F274E">
        <w:rPr>
          <w:rFonts w:ascii="Georgia" w:hAnsi="Georgia" w:cstheme="majorHAnsi"/>
          <w:color w:val="252525"/>
        </w:rPr>
        <w:t>Inokoba</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Kumokor</w:t>
      </w:r>
      <w:proofErr w:type="spellEnd"/>
      <w:r w:rsidRPr="001F274E">
        <w:rPr>
          <w:rFonts w:ascii="Georgia" w:hAnsi="Georgia" w:cstheme="majorHAnsi"/>
          <w:color w:val="252525"/>
        </w:rPr>
        <w:t>,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(Olajide-</w:t>
      </w:r>
      <w:proofErr w:type="spellStart"/>
      <w:r w:rsidRPr="001F274E">
        <w:rPr>
          <w:rFonts w:ascii="Georgia" w:hAnsi="Georgia" w:cstheme="majorHAnsi"/>
          <w:color w:val="252525"/>
        </w:rPr>
        <w:t>Awosedo</w:t>
      </w:r>
      <w:proofErr w:type="spellEnd"/>
      <w:r w:rsidRPr="001F274E">
        <w:rPr>
          <w:rFonts w:ascii="Georgia" w:hAnsi="Georgia" w:cstheme="majorHAnsi"/>
          <w:color w:val="252525"/>
        </w:rPr>
        <w:t>, 2011), the importance of credible elections for its continuance cannot be overemphasized.</w:t>
      </w:r>
    </w:p>
    <w:p w14:paraId="63C1A085"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fundamental principle defining credible elections is that they must reflect the will of the electorate (</w:t>
      </w:r>
      <w:proofErr w:type="spellStart"/>
      <w:r w:rsidRPr="001F274E">
        <w:rPr>
          <w:rFonts w:ascii="Georgia" w:hAnsi="Georgia" w:cstheme="majorHAnsi"/>
          <w:color w:val="252525"/>
        </w:rPr>
        <w:t>Feddersen</w:t>
      </w:r>
      <w:proofErr w:type="spellEnd"/>
      <w:r w:rsidRPr="001F274E">
        <w:rPr>
          <w:rFonts w:ascii="Georgia" w:hAnsi="Georgia" w:cstheme="majorHAnsi"/>
          <w:color w:val="252525"/>
        </w:rPr>
        <w:t xml:space="preserve"> &amp; Sandroni, 2006</w:t>
      </w:r>
      <w:proofErr w:type="gramStart"/>
      <w:r w:rsidRPr="001F274E">
        <w:rPr>
          <w:rFonts w:ascii="Georgia" w:hAnsi="Georgia" w:cstheme="majorHAnsi"/>
          <w:color w:val="252525"/>
        </w:rPr>
        <w:t>).To</w:t>
      </w:r>
      <w:proofErr w:type="gramEnd"/>
      <w:r w:rsidRPr="001F274E">
        <w:rPr>
          <w:rFonts w:ascii="Georgia" w:hAnsi="Georgia" w:cstheme="majorHAnsi"/>
          <w:color w:val="252525"/>
        </w:rPr>
        <w:t xml:space="preserve">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w:t>
      </w:r>
      <w:r w:rsidRPr="001F274E">
        <w:rPr>
          <w:rFonts w:ascii="Georgia" w:hAnsi="Georgia" w:cstheme="majorHAnsi"/>
          <w:color w:val="222222"/>
          <w:shd w:val="clear" w:color="auto" w:fill="FFFFFF"/>
        </w:rPr>
        <w:t>Sunday</w:t>
      </w:r>
      <w:r w:rsidRPr="001F274E">
        <w:rPr>
          <w:rFonts w:ascii="Georgia" w:hAnsi="Georgia" w:cstheme="majorHAnsi"/>
          <w:color w:val="252525"/>
        </w:rPr>
        <w:t xml:space="preserve"> et al., 2000; Okorie &amp; </w:t>
      </w:r>
      <w:proofErr w:type="spellStart"/>
      <w:r w:rsidRPr="001F274E">
        <w:rPr>
          <w:rFonts w:ascii="Georgia" w:hAnsi="Georgia" w:cstheme="majorHAnsi"/>
          <w:color w:val="252525"/>
        </w:rPr>
        <w:t>Igwenyi</w:t>
      </w:r>
      <w:proofErr w:type="spellEnd"/>
      <w:r w:rsidRPr="001F274E">
        <w:rPr>
          <w:rFonts w:ascii="Georgia" w:hAnsi="Georgia" w:cstheme="majorHAnsi"/>
          <w:color w:val="252525"/>
        </w:rPr>
        <w:t>, 2022).</w:t>
      </w:r>
    </w:p>
    <w:p w14:paraId="1637E81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Since independence until the most recent general elections in 2019, Nigeria’s election process has been plagued by </w:t>
      </w:r>
      <w:proofErr w:type="spellStart"/>
      <w:r w:rsidRPr="001F274E">
        <w:rPr>
          <w:rFonts w:ascii="Georgia" w:hAnsi="Georgia" w:cstheme="majorHAnsi"/>
          <w:color w:val="252525"/>
        </w:rPr>
        <w:t>spiralling</w:t>
      </w:r>
      <w:proofErr w:type="spellEnd"/>
      <w:r w:rsidRPr="001F274E">
        <w:rPr>
          <w:rFonts w:ascii="Georgia" w:hAnsi="Georgia" w:cstheme="majorHAnsi"/>
          <w:color w:val="252525"/>
        </w:rPr>
        <w:t xml:space="preserve"> irregularities: violence, intimidation, killings, fraud, and so on, which have gotten worse with each round (</w:t>
      </w:r>
      <w:proofErr w:type="spellStart"/>
      <w:r w:rsidRPr="001F274E">
        <w:rPr>
          <w:rFonts w:ascii="Georgia" w:hAnsi="Georgia" w:cstheme="majorHAnsi"/>
          <w:color w:val="222222"/>
          <w:shd w:val="clear" w:color="auto" w:fill="FFFFFF"/>
        </w:rPr>
        <w:t>Imbua</w:t>
      </w:r>
      <w:proofErr w:type="spellEnd"/>
      <w:r w:rsidRPr="001F274E">
        <w:rPr>
          <w:rFonts w:ascii="Georgia" w:hAnsi="Georgia" w:cstheme="majorHAnsi"/>
          <w:color w:val="222222"/>
          <w:shd w:val="clear" w:color="auto" w:fill="FFFFFF"/>
        </w:rPr>
        <w:t xml:space="preserve"> &amp; </w:t>
      </w:r>
      <w:proofErr w:type="spellStart"/>
      <w:r w:rsidRPr="001F274E">
        <w:rPr>
          <w:rFonts w:ascii="Georgia" w:hAnsi="Georgia" w:cstheme="majorHAnsi"/>
          <w:color w:val="222222"/>
          <w:shd w:val="clear" w:color="auto" w:fill="FFFFFF"/>
        </w:rPr>
        <w:t>Ushie</w:t>
      </w:r>
      <w:proofErr w:type="spellEnd"/>
      <w:r w:rsidRPr="001F274E">
        <w:rPr>
          <w:rFonts w:ascii="Georgia" w:hAnsi="Georgia" w:cstheme="majorHAnsi"/>
          <w:color w:val="222222"/>
          <w:shd w:val="clear" w:color="auto" w:fill="FFFFFF"/>
        </w:rPr>
        <w:t xml:space="preserve">, 2008; </w:t>
      </w:r>
      <w:proofErr w:type="spellStart"/>
      <w:r w:rsidRPr="001F274E">
        <w:rPr>
          <w:rFonts w:ascii="Georgia" w:hAnsi="Georgia" w:cstheme="majorHAnsi"/>
          <w:color w:val="252525"/>
        </w:rPr>
        <w:t>Duri</w:t>
      </w:r>
      <w:proofErr w:type="spellEnd"/>
      <w:r w:rsidRPr="001F274E">
        <w:rPr>
          <w:rFonts w:ascii="Georgia" w:hAnsi="Georgia" w:cstheme="majorHAnsi"/>
          <w:color w:val="252525"/>
        </w:rPr>
        <w:t xml:space="preserve"> et al., 2019). This has threatened the socio-economic, political, and national security of Nigeria and led to a loss of confidence in the electoral process (</w:t>
      </w:r>
      <w:proofErr w:type="spellStart"/>
      <w:r w:rsidRPr="001F274E">
        <w:rPr>
          <w:rFonts w:ascii="Georgia" w:hAnsi="Georgia" w:cstheme="majorHAnsi"/>
          <w:color w:val="222222"/>
          <w:shd w:val="clear" w:color="auto" w:fill="FFFFFF"/>
        </w:rPr>
        <w:t>Enang</w:t>
      </w:r>
      <w:proofErr w:type="spellEnd"/>
      <w:r w:rsidRPr="001F274E">
        <w:rPr>
          <w:rFonts w:ascii="Georgia" w:hAnsi="Georgia" w:cstheme="majorHAnsi"/>
          <w:color w:val="222222"/>
          <w:shd w:val="clear" w:color="auto" w:fill="FFFFFF"/>
        </w:rPr>
        <w:t>, et al., 2012)</w:t>
      </w:r>
      <w:r w:rsidRPr="001F274E">
        <w:rPr>
          <w:rFonts w:ascii="Georgia" w:hAnsi="Georgia" w:cstheme="majorHAnsi"/>
          <w:color w:val="252525"/>
        </w:rPr>
        <w:t xml:space="preserve">. This has contributed to heightened security </w:t>
      </w:r>
      <w:r w:rsidRPr="001F274E">
        <w:rPr>
          <w:rFonts w:ascii="Georgia" w:hAnsi="Georgia" w:cstheme="majorHAnsi"/>
          <w:color w:val="252525"/>
        </w:rPr>
        <w:lastRenderedPageBreak/>
        <w:t xml:space="preserve">issues during election periods. As a result, the existing legal framework on the conduct of credible elections pioneered by the </w:t>
      </w:r>
      <w:proofErr w:type="spellStart"/>
      <w:r w:rsidRPr="001F274E">
        <w:rPr>
          <w:rFonts w:ascii="Georgia" w:hAnsi="Georgia" w:cstheme="majorHAnsi"/>
          <w:color w:val="252525"/>
        </w:rPr>
        <w:t>Uwais</w:t>
      </w:r>
      <w:proofErr w:type="spellEnd"/>
      <w:r w:rsidRPr="001F274E">
        <w:rPr>
          <w:rFonts w:ascii="Georgia" w:hAnsi="Georgia" w:cstheme="majorHAnsi"/>
          <w:color w:val="252525"/>
        </w:rPr>
        <w:t xml:space="preserve"> Electoral Reform Committee, as well as other consequential regulations, are a response to the shortcomings of previously established legal frameworks (Salami et al., 2021). These also include the framework that oversees the conduct of security personnel and agencies </w:t>
      </w:r>
      <w:commentRangeStart w:id="1"/>
      <w:r w:rsidRPr="001F274E">
        <w:rPr>
          <w:rFonts w:ascii="Georgia" w:hAnsi="Georgia" w:cstheme="majorHAnsi"/>
          <w:color w:val="252525"/>
        </w:rPr>
        <w:t>during elections and how they are to work in order to ensure a credible and incident-free election exercise.</w:t>
      </w:r>
      <w:commentRangeEnd w:id="1"/>
      <w:r w:rsidR="00572487">
        <w:rPr>
          <w:rStyle w:val="CommentReference"/>
          <w:lang w:val="en-AU" w:eastAsia="tr-TR"/>
        </w:rPr>
        <w:commentReference w:id="1"/>
      </w:r>
    </w:p>
    <w:p w14:paraId="79CF4F55" w14:textId="77777777" w:rsidR="001F274E" w:rsidRPr="001F274E" w:rsidRDefault="001F274E" w:rsidP="001F274E">
      <w:pPr>
        <w:spacing w:before="120" w:after="120" w:line="240" w:lineRule="auto"/>
        <w:ind w:left="432" w:firstLine="720"/>
        <w:rPr>
          <w:rFonts w:ascii="Georgia" w:hAnsi="Georgia" w:cstheme="majorHAnsi"/>
          <w:szCs w:val="24"/>
          <w:lang w:val="en-US"/>
        </w:rPr>
      </w:pPr>
      <w:r w:rsidRPr="001F274E">
        <w:rPr>
          <w:rFonts w:ascii="Georgia" w:hAnsi="Georgia" w:cstheme="majorHAnsi"/>
          <w:szCs w:val="24"/>
          <w:lang w:val="en-US"/>
        </w:rPr>
        <w:t>.</w:t>
      </w:r>
    </w:p>
    <w:p w14:paraId="21236AB0" w14:textId="77777777" w:rsidR="001F274E" w:rsidRPr="001F274E" w:rsidRDefault="001F274E" w:rsidP="001F274E">
      <w:pPr>
        <w:spacing w:before="120" w:after="120" w:line="240" w:lineRule="auto"/>
        <w:ind w:left="432"/>
        <w:contextualSpacing/>
        <w:rPr>
          <w:rFonts w:ascii="Georgia" w:hAnsi="Georgia" w:cstheme="majorHAnsi"/>
          <w:b/>
          <w:bCs/>
          <w:szCs w:val="24"/>
          <w:lang w:val="en-US"/>
        </w:rPr>
      </w:pPr>
      <w:r w:rsidRPr="001F274E">
        <w:rPr>
          <w:rFonts w:ascii="Georgia" w:hAnsi="Georgia" w:cstheme="majorHAnsi"/>
          <w:b/>
          <w:bCs/>
          <w:szCs w:val="24"/>
          <w:lang w:val="en-US"/>
        </w:rPr>
        <w:t>CLARIFICATION OF CONCEPTS</w:t>
      </w:r>
    </w:p>
    <w:p w14:paraId="66C0B0A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w:t>
      </w:r>
      <w:r w:rsidRPr="001F274E">
        <w:rPr>
          <w:rFonts w:ascii="Georgia" w:hAnsi="Georgia" w:cstheme="majorHAnsi"/>
          <w:color w:val="252525"/>
        </w:rPr>
        <w:t xml:space="preserve"> it is a process where a person is selected to fill an office through decision-making by a group of people in a democratic process called voting (Lau &amp; </w:t>
      </w:r>
      <w:proofErr w:type="spellStart"/>
      <w:r w:rsidRPr="001F274E">
        <w:rPr>
          <w:rFonts w:ascii="Georgia" w:hAnsi="Georgia" w:cstheme="majorHAnsi"/>
          <w:color w:val="252525"/>
        </w:rPr>
        <w:t>Redlawsk</w:t>
      </w:r>
      <w:proofErr w:type="spellEnd"/>
      <w:r w:rsidRPr="001F274E">
        <w:rPr>
          <w:rFonts w:ascii="Georgia" w:hAnsi="Georgia" w:cstheme="majorHAnsi"/>
          <w:color w:val="252525"/>
        </w:rPr>
        <w:t xml:space="preserve">, 2001). The Electoral Act 2022 defines election under Section 152 to mean "any election held under this Act and includes a referendum." As a result, elections are limited to those that INEC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to hold.</w:t>
      </w:r>
    </w:p>
    <w:p w14:paraId="0947261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p>
    <w:p w14:paraId="098DAF4E"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Electoral Process:</w:t>
      </w:r>
      <w:r w:rsidRPr="001F274E">
        <w:rPr>
          <w:rFonts w:ascii="Georgia" w:hAnsi="Georgia" w:cstheme="majorHAnsi"/>
          <w:color w:val="252525"/>
        </w:rPr>
        <w:t xml:space="preserve">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proofErr w:type="spellStart"/>
      <w:r w:rsidRPr="001F274E">
        <w:rPr>
          <w:rFonts w:ascii="Georgia" w:hAnsi="Georgia" w:cstheme="majorHAnsi"/>
          <w:color w:val="222222"/>
          <w:shd w:val="clear" w:color="auto" w:fill="FFFFFF"/>
        </w:rPr>
        <w:t>Awah</w:t>
      </w:r>
      <w:proofErr w:type="spellEnd"/>
      <w:r w:rsidRPr="001F274E">
        <w:rPr>
          <w:rFonts w:ascii="Georgia" w:hAnsi="Georgia" w:cstheme="majorHAnsi"/>
          <w:color w:val="252525"/>
        </w:rPr>
        <w:t xml:space="preserve">, et al., 2007; </w:t>
      </w:r>
      <w:proofErr w:type="spellStart"/>
      <w:r w:rsidRPr="001F274E">
        <w:rPr>
          <w:rFonts w:ascii="Georgia" w:hAnsi="Georgia" w:cstheme="majorHAnsi"/>
          <w:color w:val="222222"/>
          <w:shd w:val="clear" w:color="auto" w:fill="FFFFFF"/>
        </w:rPr>
        <w:t>Oriji</w:t>
      </w:r>
      <w:proofErr w:type="spellEnd"/>
      <w:r w:rsidRPr="001F274E">
        <w:rPr>
          <w:rFonts w:ascii="Georgia" w:hAnsi="Georgia" w:cstheme="majorHAnsi"/>
          <w:color w:val="252525"/>
        </w:rPr>
        <w:t xml:space="preserve"> et al., 2011; Koko, 2013). The electoral process was defined in </w:t>
      </w:r>
      <w:r w:rsidRPr="001F274E">
        <w:rPr>
          <w:rStyle w:val="Emphasis"/>
          <w:rFonts w:ascii="Georgia" w:hAnsi="Georgia" w:cstheme="majorHAnsi"/>
          <w:color w:val="252525"/>
        </w:rPr>
        <w:t>National Democratic Party v. INEC</w:t>
      </w:r>
      <w:r w:rsidRPr="001F274E">
        <w:rPr>
          <w:rFonts w:ascii="Georgia" w:hAnsi="Georgia" w:cstheme="majorHAnsi"/>
          <w:color w:val="252525"/>
        </w:rPr>
        <w:t xml:space="preserve"> as the procedure by which a person is elected to public office in a democratic society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w:t>
      </w:r>
    </w:p>
    <w:p w14:paraId="1B8B007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3E9E2A8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 Security:</w:t>
      </w:r>
      <w:r w:rsidRPr="001F274E">
        <w:rPr>
          <w:rFonts w:ascii="Georgia" w:hAnsi="Georgia" w:cstheme="majorHAnsi"/>
          <w:color w:val="252525"/>
        </w:rPr>
        <w:t xml:space="preserve"> Election security is a strategy or plan that aims to maintain law and order while also assuring safety and protection from any form of disruption or hindrance that might distort or undermine the conduct of credible elections (</w:t>
      </w:r>
      <w:proofErr w:type="spellStart"/>
      <w:r w:rsidRPr="001F274E">
        <w:rPr>
          <w:rFonts w:ascii="Georgia" w:hAnsi="Georgia" w:cstheme="majorHAnsi"/>
          <w:color w:val="252525"/>
        </w:rPr>
        <w:t>Hounkpe</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Gueye</w:t>
      </w:r>
      <w:proofErr w:type="spellEnd"/>
      <w:r w:rsidRPr="001F274E">
        <w:rPr>
          <w:rFonts w:ascii="Georgia" w:hAnsi="Georgia" w:cstheme="majorHAnsi"/>
          <w:color w:val="252525"/>
        </w:rPr>
        <w:t>, 2010). Its purpose is to protect voters, candidates, polling officers, the media, observers, materials, data, and infrastructure in general from death, damage, and destruction during elections.</w:t>
      </w:r>
    </w:p>
    <w:p w14:paraId="54D3421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479AF7D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Legal and regulatory framework:</w:t>
      </w:r>
      <w:r w:rsidRPr="001F274E">
        <w:rPr>
          <w:rFonts w:ascii="Georgia" w:hAnsi="Georgia" w:cstheme="majorHAnsi"/>
          <w:color w:val="252525"/>
        </w:rPr>
        <w:t xml:space="preserve">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14:paraId="1F22051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772AEA7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Credible Election:</w:t>
      </w:r>
      <w:r w:rsidRPr="001F274E">
        <w:rPr>
          <w:rFonts w:ascii="Georgia" w:hAnsi="Georgia" w:cstheme="majorHAnsi"/>
          <w:color w:val="252525"/>
        </w:rPr>
        <w:t xml:space="preserve"> A credible election is devoid of misconduct or fraud (</w:t>
      </w:r>
      <w:proofErr w:type="spellStart"/>
      <w:r w:rsidRPr="001F274E">
        <w:rPr>
          <w:rFonts w:ascii="Georgia" w:hAnsi="Georgia" w:cstheme="majorHAnsi"/>
          <w:color w:val="252525"/>
        </w:rPr>
        <w:t>Onapajo</w:t>
      </w:r>
      <w:proofErr w:type="spellEnd"/>
      <w:r w:rsidRPr="001F274E">
        <w:rPr>
          <w:rFonts w:ascii="Georgia" w:hAnsi="Georgia" w:cstheme="majorHAnsi"/>
          <w:color w:val="252525"/>
        </w:rPr>
        <w:t xml:space="preserve">, 2015). When an election is free of harassment, coercive or non-coercive </w:t>
      </w:r>
      <w:proofErr w:type="spellStart"/>
      <w:r w:rsidRPr="001F274E">
        <w:rPr>
          <w:rFonts w:ascii="Georgia" w:hAnsi="Georgia" w:cstheme="majorHAnsi"/>
          <w:color w:val="252525"/>
        </w:rPr>
        <w:t>practises</w:t>
      </w:r>
      <w:proofErr w:type="spellEnd"/>
      <w:r w:rsidRPr="001F274E">
        <w:rPr>
          <w:rFonts w:ascii="Georgia" w:hAnsi="Georgia" w:cstheme="majorHAnsi"/>
          <w:color w:val="252525"/>
        </w:rPr>
        <w:t xml:space="preserve"> by political parties to manipulate voters, and actions that contravene the Constitution or the Electoral Act, it is considered credible. A credible election requires that all registered political parties have equal access to run for office, campaign for votes, and attend rallies (Broersma &amp; Graham, 2012). It is an election in which all voters have an equal chance to register, all votes are counted, and the declared results accurately represent the number of ballots cast.</w:t>
      </w:r>
    </w:p>
    <w:p w14:paraId="4472F67C"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966BFB4"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LEGAL AND REGULATORY FRAMEWORKS FOR CREDIBLE ELECTIONS IN NIGERIA</w:t>
      </w:r>
    </w:p>
    <w:p w14:paraId="45D508E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(Ayodele, 2022). These embody the rules and regulations controlling both the electoral body (system and process), election security, and pre-, mid-, and post-election activities. The Constitution is the most vital legal instrument in Nigerian elections. It is followed in hierarchy by the Electoral Act, which empowers INEC to provide guidelines and regulations for elections, and the code of conduct applicable to security personnel during elections (</w:t>
      </w:r>
      <w:proofErr w:type="spellStart"/>
      <w:r w:rsidRPr="001F274E">
        <w:rPr>
          <w:rFonts w:ascii="Georgia" w:hAnsi="Georgia" w:cstheme="majorHAnsi"/>
          <w:color w:val="252525"/>
        </w:rPr>
        <w:t>Olurode</w:t>
      </w:r>
      <w:proofErr w:type="spellEnd"/>
      <w:r w:rsidRPr="001F274E">
        <w:rPr>
          <w:rFonts w:ascii="Georgia" w:hAnsi="Georgia" w:cstheme="majorHAnsi"/>
          <w:color w:val="252525"/>
        </w:rPr>
        <w:t>, 2013).</w:t>
      </w:r>
    </w:p>
    <w:p w14:paraId="18C3355A"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13E2705A"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Constitution of the Federal Republic of Nigeria, 1999 (as amended),</w:t>
      </w:r>
    </w:p>
    <w:p w14:paraId="70FCD813"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Constitution is the fulcrum upon which all other laws in Nigeria hang; it possesses an overriding effect over other law-making bodies [8], and it is the major law that governs the electoral process in Nigeria (</w:t>
      </w:r>
      <w:proofErr w:type="spellStart"/>
      <w:r w:rsidRPr="001F274E">
        <w:rPr>
          <w:rFonts w:ascii="Georgia" w:hAnsi="Georgia" w:cstheme="majorHAnsi"/>
          <w:color w:val="252525"/>
        </w:rPr>
        <w:t>Enebeli</w:t>
      </w:r>
      <w:proofErr w:type="spellEnd"/>
      <w:r w:rsidRPr="001F274E">
        <w:rPr>
          <w:rFonts w:ascii="Georgia" w:hAnsi="Georgia" w:cstheme="majorHAnsi"/>
          <w:color w:val="252525"/>
        </w:rPr>
        <w:t xml:space="preserve"> &amp; Njoku, 2022). The Constitution </w:t>
      </w:r>
      <w:proofErr w:type="spellStart"/>
      <w:r w:rsidRPr="001F274E">
        <w:rPr>
          <w:rFonts w:ascii="Georgia" w:hAnsi="Georgia" w:cstheme="majorHAnsi"/>
          <w:color w:val="252525"/>
        </w:rPr>
        <w:t>recognises</w:t>
      </w:r>
      <w:proofErr w:type="spellEnd"/>
      <w:r w:rsidRPr="001F274E">
        <w:rPr>
          <w:rFonts w:ascii="Georgia" w:hAnsi="Georgia" w:cstheme="majorHAnsi"/>
          <w:color w:val="252525"/>
        </w:rPr>
        <w:t xml:space="preserve"> INEC’s existence, election administration responsibilities, and oversight of political party activities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It also specifies certain qualifications (disqualification and tenures) that candidates for constitutional offices must meet before they can run for those positions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14:paraId="2EFA57A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w:t>
      </w:r>
    </w:p>
    <w:p w14:paraId="55005F61"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Electoral Act of 2022</w:t>
      </w:r>
    </w:p>
    <w:p w14:paraId="0A57E64E"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Legal frameworks are vital to the use of various innovative ideas, equipment, and processes to ensure the credibility of elections. This is succinctly captured under the new Electoral Act 2022 that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w:t>
      </w:r>
      <w:proofErr w:type="spellStart"/>
      <w:r w:rsidRPr="001F274E">
        <w:rPr>
          <w:rFonts w:ascii="Georgia" w:hAnsi="Georgia" w:cstheme="majorHAnsi"/>
          <w:color w:val="252525"/>
        </w:rPr>
        <w:t>marginalised</w:t>
      </w:r>
      <w:proofErr w:type="spellEnd"/>
      <w:r w:rsidRPr="001F274E">
        <w:rPr>
          <w:rFonts w:ascii="Georgia" w:hAnsi="Georgia" w:cstheme="majorHAnsi"/>
          <w:color w:val="252525"/>
        </w:rPr>
        <w:t xml:space="preserve"> people, are now legally mandated and protected (Balewa, 2022). This also extends to the registration and accreditation of observers, media organizations, and the nomination of candidates and polling agents by parties (Balewa, 2022). Some vital innovations to the electoral process within the legal authority of INEC include the Automated Biometric Identification System (ABIS) that combines the fingerprint and facial authentication of registered voters and helps clean up the Register of Voters by identifying multiple registrations, underage registrations, etc. As there can’t be credible elections without a credible register of voters, the BVAS system has eliminated the problem of multiple accreditations observed in previous elections, ensuring that the </w:t>
      </w:r>
      <w:r w:rsidRPr="001F274E">
        <w:rPr>
          <w:rFonts w:ascii="Georgia" w:hAnsi="Georgia" w:cstheme="majorHAnsi"/>
          <w:color w:val="252525"/>
        </w:rPr>
        <w:lastRenderedPageBreak/>
        <w:t>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(Onuoha &amp; Okafor, 2020). It has eliminated the use of the Incident Form, which indirectly encouraged identity theft in voting (</w:t>
      </w:r>
      <w:proofErr w:type="spellStart"/>
      <w:r w:rsidRPr="001F274E">
        <w:rPr>
          <w:rFonts w:ascii="Georgia" w:hAnsi="Georgia" w:cstheme="majorHAnsi"/>
          <w:color w:val="252525"/>
        </w:rPr>
        <w:t>Opeibi</w:t>
      </w:r>
      <w:proofErr w:type="spellEnd"/>
      <w:r w:rsidRPr="001F274E">
        <w:rPr>
          <w:rFonts w:ascii="Georgia" w:hAnsi="Georgia" w:cstheme="majorHAnsi"/>
          <w:color w:val="252525"/>
        </w:rPr>
        <w:t>, 2019). The INEC Result Viewing (</w:t>
      </w:r>
      <w:proofErr w:type="spellStart"/>
      <w:r w:rsidRPr="001F274E">
        <w:rPr>
          <w:rFonts w:ascii="Georgia" w:hAnsi="Georgia" w:cstheme="majorHAnsi"/>
          <w:color w:val="252525"/>
        </w:rPr>
        <w:t>IReV</w:t>
      </w:r>
      <w:proofErr w:type="spellEnd"/>
      <w:r w:rsidRPr="001F274E">
        <w:rPr>
          <w:rFonts w:ascii="Georgia" w:hAnsi="Georgia" w:cstheme="majorHAnsi"/>
          <w:color w:val="252525"/>
        </w:rPr>
        <w:t>) portal ensures the transmission of scanned images of the polling unit level results in real-time to the commission; this is safer and less susceptible to hacking than transmitting raw figures and increases transparency in result management.</w:t>
      </w:r>
    </w:p>
    <w:p w14:paraId="692AFE8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Some key provisions of the new Electoral Act 2022 include an early release of election funds to INEC in Section 3(3) not later than one year before the general elections; this is to aid preparations for the elections. Section 8(5) requires INEC appointees to be apolitical and to disclose any political affiliations they may have. Section 24(3) authorizes INEC to postpone elections if a credible and proven threat to the peace and security of electoral officials and materials exists after the polls have commenced.</w:t>
      </w:r>
    </w:p>
    <w:p w14:paraId="3174344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w:t>
      </w:r>
      <w:proofErr w:type="spellStart"/>
      <w:r w:rsidRPr="001F274E">
        <w:rPr>
          <w:rFonts w:ascii="Georgia" w:hAnsi="Georgia" w:cstheme="majorHAnsi"/>
          <w:color w:val="252525"/>
        </w:rPr>
        <w:t>authorises</w:t>
      </w:r>
      <w:proofErr w:type="spellEnd"/>
      <w:r w:rsidRPr="001F274E">
        <w:rPr>
          <w:rFonts w:ascii="Georgia" w:hAnsi="Georgia" w:cstheme="majorHAnsi"/>
          <w:color w:val="252525"/>
        </w:rPr>
        <w:t xml:space="preserve"> INEC to use a smart card reader (SCR) or other technological device to electronically accredit voters in order to verify, confirm, or authenticate the particulars of 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w:t>
      </w:r>
      <w:proofErr w:type="spellStart"/>
      <w:r w:rsidRPr="001F274E">
        <w:rPr>
          <w:rFonts w:ascii="Georgia" w:hAnsi="Georgia" w:cstheme="majorHAnsi"/>
          <w:color w:val="252525"/>
        </w:rPr>
        <w:t>Obiefuna-Oguejiofor</w:t>
      </w:r>
      <w:proofErr w:type="spellEnd"/>
      <w:r w:rsidRPr="001F274E">
        <w:rPr>
          <w:rFonts w:ascii="Georgia" w:hAnsi="Georgia" w:cstheme="majorHAnsi"/>
          <w:color w:val="252525"/>
        </w:rPr>
        <w:t>, 2018).</w:t>
      </w:r>
    </w:p>
    <w:p w14:paraId="52054A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51(2) redefined overvoting by mandating that the total number of accredited voters will become a deciding factor in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(Nwankwo &amp; Njoku, 2020).</w:t>
      </w:r>
    </w:p>
    <w:p w14:paraId="300BB722"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73(2) and (3) declares an election void if the amount, serial numbers, and other details of results sheets, ballot papers, and other sensitive materials are not recorded in the manner stipulated by INEC and </w:t>
      </w:r>
      <w:proofErr w:type="spellStart"/>
      <w:r w:rsidRPr="001F274E">
        <w:rPr>
          <w:rFonts w:ascii="Georgia" w:hAnsi="Georgia" w:cstheme="majorHAnsi"/>
          <w:color w:val="252525"/>
        </w:rPr>
        <w:t>criminalises</w:t>
      </w:r>
      <w:proofErr w:type="spellEnd"/>
      <w:r w:rsidRPr="001F274E">
        <w:rPr>
          <w:rFonts w:ascii="Georgia" w:hAnsi="Georgia" w:cstheme="majorHAnsi"/>
          <w:color w:val="252525"/>
        </w:rPr>
        <w:t xml:space="preserve"> the infringement by imposing a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Pursuant to Section 84(11), a special convention or nomination congress must be held at designated </w:t>
      </w:r>
      <w:proofErr w:type="spellStart"/>
      <w:r w:rsidRPr="001F274E">
        <w:rPr>
          <w:rFonts w:ascii="Georgia" w:hAnsi="Georgia" w:cstheme="majorHAnsi"/>
          <w:color w:val="252525"/>
        </w:rPr>
        <w:t>centres</w:t>
      </w:r>
      <w:proofErr w:type="spellEnd"/>
      <w:r w:rsidRPr="001F274E">
        <w:rPr>
          <w:rFonts w:ascii="Georgia" w:hAnsi="Georgia" w:cstheme="majorHAnsi"/>
          <w:color w:val="252525"/>
        </w:rPr>
        <w:t xml:space="preserve"> to ratify the consensus candidate. Section 84(12) stipulates that anyone holding a political office or an appointment must relinquish the position before they can be eligible to participate </w:t>
      </w:r>
      <w:r w:rsidRPr="001F274E">
        <w:rPr>
          <w:rFonts w:ascii="Georgia" w:hAnsi="Georgia" w:cstheme="majorHAnsi"/>
          <w:color w:val="252525"/>
        </w:rPr>
        <w:lastRenderedPageBreak/>
        <w:t>in the electoral process either as a candidate or as a delegate (</w:t>
      </w:r>
      <w:proofErr w:type="spellStart"/>
      <w:r w:rsidRPr="001F274E">
        <w:rPr>
          <w:rFonts w:ascii="Georgia" w:hAnsi="Georgia" w:cstheme="majorHAnsi"/>
          <w:color w:val="252525"/>
        </w:rPr>
        <w:t>Iloka</w:t>
      </w:r>
      <w:proofErr w:type="spellEnd"/>
      <w:r w:rsidRPr="001F274E">
        <w:rPr>
          <w:rFonts w:ascii="Georgia" w:hAnsi="Georgia" w:cstheme="majorHAnsi"/>
          <w:color w:val="252525"/>
        </w:rPr>
        <w:t>, &amp; Ojukwu, 2021). Sections 88 (2) to (7) of the Act establish the limitations on election expenditures, setting new top and lower limits of N5 billion and N5 million, respectively, depending on the positions sought (</w:t>
      </w:r>
      <w:proofErr w:type="spellStart"/>
      <w:r w:rsidRPr="001F274E">
        <w:rPr>
          <w:rFonts w:ascii="Georgia" w:hAnsi="Georgia" w:cstheme="majorHAnsi"/>
          <w:color w:val="252525"/>
        </w:rPr>
        <w:t>Okolie</w:t>
      </w:r>
      <w:proofErr w:type="spellEnd"/>
      <w:r w:rsidRPr="001F274E">
        <w:rPr>
          <w:rFonts w:ascii="Georgia" w:hAnsi="Georgia" w:cstheme="majorHAnsi"/>
          <w:color w:val="252525"/>
        </w:rPr>
        <w:t xml:space="preserve"> et al., 2021).</w:t>
      </w:r>
    </w:p>
    <w:p w14:paraId="4C7D6E3D"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2FB00A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Independent National Electoral Commission's (INEC's) Regulations and Guidelines for the Conduct of Election 2022</w:t>
      </w:r>
    </w:p>
    <w:p w14:paraId="72553FD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148 of the Electoral Act of 2022 empowers INEC, as a subject of the Act, to publish regulations, guidelines, or manuals to carry out the provisions of the Act and to administer it (</w:t>
      </w:r>
      <w:proofErr w:type="spellStart"/>
      <w:r w:rsidRPr="001F274E">
        <w:rPr>
          <w:rFonts w:ascii="Georgia" w:hAnsi="Georgia" w:cstheme="majorHAnsi"/>
          <w:color w:val="222222"/>
          <w:shd w:val="clear" w:color="auto" w:fill="FFFFFF"/>
        </w:rPr>
        <w:t>Ekuri</w:t>
      </w:r>
      <w:proofErr w:type="spellEnd"/>
      <w:r w:rsidRPr="001F274E">
        <w:rPr>
          <w:rFonts w:ascii="Georgia" w:hAnsi="Georgia" w:cstheme="majorHAnsi"/>
          <w:color w:val="222222"/>
          <w:shd w:val="clear" w:color="auto" w:fill="FFFFFF"/>
        </w:rPr>
        <w:t xml:space="preserve"> &amp; Sanusi</w:t>
      </w:r>
      <w:r w:rsidRPr="001F274E">
        <w:rPr>
          <w:rFonts w:ascii="Georgia" w:hAnsi="Georgia" w:cstheme="majorHAnsi"/>
          <w:color w:val="252525"/>
        </w:rPr>
        <w:t xml:space="preserve">, 2016;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xml:space="preserve">,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w:t>
      </w:r>
      <w:proofErr w:type="spellStart"/>
      <w:proofErr w:type="gramStart"/>
      <w:r w:rsidRPr="001F274E">
        <w:rPr>
          <w:rFonts w:ascii="Georgia" w:hAnsi="Georgia" w:cstheme="majorHAnsi"/>
          <w:color w:val="252525"/>
        </w:rPr>
        <w:t>councillors.Section</w:t>
      </w:r>
      <w:proofErr w:type="spellEnd"/>
      <w:proofErr w:type="gramEnd"/>
      <w:r w:rsidRPr="001F274E">
        <w:rPr>
          <w:rFonts w:ascii="Georgia" w:hAnsi="Georgia" w:cstheme="majorHAnsi"/>
          <w:color w:val="252525"/>
        </w:rPr>
        <w:t xml:space="preserve"> 5 of the Regulations and Guidelines provides the criteria for a person who is eligible to vote. Voting in an election shall take place at the polling units and voting points as provided under Section 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2022). Section 13 provides that voting must be in accordance with the continuous accreditation and voting system (CAVS) procedure, the Election Manual, and other guidelines. Section 101 provides the persons to be allowed access to the electoral material distribution centers, polling units, and collation centers.</w:t>
      </w:r>
    </w:p>
    <w:p w14:paraId="4B7E0866"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3D1508F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rPr>
      </w:pPr>
      <w:r w:rsidRPr="001F274E">
        <w:rPr>
          <w:rStyle w:val="Strong"/>
          <w:rFonts w:ascii="Georgia" w:hAnsi="Georgia" w:cstheme="majorHAnsi"/>
          <w:color w:val="252525"/>
        </w:rPr>
        <w:t>ELECTORAL OFFENSES AND PUNISHMENTS UNDER THE ELECTORAL ACT 2022</w:t>
      </w:r>
    </w:p>
    <w:p w14:paraId="6B05083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The 2022 Electoral Act made provisions for the punishment of those who breach the Electoral Act. These offences and punishments are captured in Sections 114–128 of the Act (Idowu, 2022). These include offences in relation to registration, offences in relation to nomination, disorderly </w:t>
      </w:r>
      <w:proofErr w:type="spellStart"/>
      <w:r w:rsidRPr="001F274E">
        <w:rPr>
          <w:rFonts w:ascii="Georgia" w:hAnsi="Georgia" w:cstheme="majorHAnsi"/>
          <w:color w:val="252525"/>
        </w:rPr>
        <w:t>behaviour</w:t>
      </w:r>
      <w:proofErr w:type="spellEnd"/>
      <w:r w:rsidRPr="001F274E">
        <w:rPr>
          <w:rFonts w:ascii="Georgia" w:hAnsi="Georgia" w:cstheme="majorHAnsi"/>
          <w:color w:val="252525"/>
        </w:rPr>
        <w:t xml:space="preserve">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offense.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(Idowu,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14:paraId="3B196A8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591834E0"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CODE OF CONDUCT AND RULES OF ENGAGEMENT FOR SECURITY PERSONNEL ON ELECTION DUTY</w:t>
      </w:r>
    </w:p>
    <w:p w14:paraId="10B156EF"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 xml:space="preserve">INEC is entirely responsible for election security, particularly vote security. Only the Commission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 The Nigeria Police Force and other related security agencies are primarily responsible for election security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w:t>
      </w:r>
    </w:p>
    <w:p w14:paraId="7E60D554"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w:t>
      </w:r>
      <w:proofErr w:type="spellStart"/>
      <w:r w:rsidRPr="001F274E">
        <w:rPr>
          <w:rFonts w:ascii="Georgia" w:hAnsi="Georgia" w:cstheme="majorHAnsi"/>
          <w:color w:val="252525"/>
        </w:rPr>
        <w:t>Defence</w:t>
      </w:r>
      <w:proofErr w:type="spellEnd"/>
      <w:r w:rsidRPr="001F274E">
        <w:rPr>
          <w:rFonts w:ascii="Georgia" w:hAnsi="Georgia" w:cstheme="majorHAnsi"/>
          <w:color w:val="252525"/>
        </w:rPr>
        <w:t xml:space="preserve"> Corps are among the security institutions. Others are the Economic and Financial Crimes Commission as well as the Independent Corrupt Practices Commission. The ICCES is responsible for enhancing INEC’s overall election security management throughout the country.</w:t>
      </w:r>
    </w:p>
    <w:p w14:paraId="63E4F4CB"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w:t>
      </w:r>
      <w:proofErr w:type="spellStart"/>
      <w:r w:rsidRPr="001F274E">
        <w:rPr>
          <w:rFonts w:ascii="Georgia" w:hAnsi="Georgia" w:cstheme="majorHAnsi"/>
          <w:color w:val="252525"/>
        </w:rPr>
        <w:t>recognised</w:t>
      </w:r>
      <w:proofErr w:type="spellEnd"/>
      <w:r w:rsidRPr="001F274E">
        <w:rPr>
          <w:rFonts w:ascii="Georgia" w:hAnsi="Georgia" w:cstheme="majorHAnsi"/>
          <w:color w:val="252525"/>
        </w:rPr>
        <w:t xml:space="preserve"> armed miscreants, to protect oneself and </w:t>
      </w:r>
      <w:commentRangeStart w:id="2"/>
      <w:r w:rsidRPr="001F274E">
        <w:rPr>
          <w:rFonts w:ascii="Georgia" w:hAnsi="Georgia" w:cstheme="majorHAnsi"/>
          <w:color w:val="252525"/>
        </w:rPr>
        <w:t>colleagues against hostile acts or intents, to fight attempts to abduct or imprison oneself or colleagues, to resist attempts to abduct or cart away election material, and so on.</w:t>
      </w:r>
      <w:commentRangeEnd w:id="2"/>
      <w:r w:rsidR="00572487">
        <w:rPr>
          <w:rStyle w:val="CommentReference"/>
          <w:lang w:val="en-AU" w:eastAsia="tr-TR"/>
        </w:rPr>
        <w:commentReference w:id="2"/>
      </w:r>
    </w:p>
    <w:p w14:paraId="6190048F"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6D0BC29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CONCLUSION AND RECOMMENDATIONS</w:t>
      </w:r>
    </w:p>
    <w:p w14:paraId="77359A48"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Despite fresh improvements to the Electoral Act and other consequential laws that can promote the </w:t>
      </w:r>
      <w:proofErr w:type="spellStart"/>
      <w:r w:rsidRPr="001F274E">
        <w:rPr>
          <w:rFonts w:ascii="Georgia" w:hAnsi="Georgia" w:cstheme="majorHAnsi"/>
          <w:color w:val="252525"/>
        </w:rPr>
        <w:t>realisation</w:t>
      </w:r>
      <w:proofErr w:type="spellEnd"/>
      <w:r w:rsidRPr="001F274E">
        <w:rPr>
          <w:rFonts w:ascii="Georgia" w:hAnsi="Georgia" w:cstheme="majorHAnsi"/>
          <w:color w:val="252525"/>
        </w:rPr>
        <w:t xml:space="preserve"> of Nigeria’s potential for credible elections, the legal frameworks still have some components that need to be examined or added in order to improve the electoral process. With the Constitution acting as the main legal framework for elections, the constitution should attempt to ensure the commission’s independence, and it should be changed to give INEC complete financial independence. Section 225 of the Constitution should be amended to eliminate the need for monies supplied to a political party from outside Nigeria to be transferred to INEC; alternatively, such donations should be reported to INEC </w:t>
      </w:r>
      <w:r w:rsidRPr="001F274E">
        <w:rPr>
          <w:rFonts w:ascii="Georgia" w:hAnsi="Georgia" w:cstheme="majorHAnsi"/>
          <w:color w:val="252525"/>
        </w:rPr>
        <w:lastRenderedPageBreak/>
        <w:t>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judicialization of politics, particularly pre-election disagreements among members of the same political party.</w:t>
      </w:r>
    </w:p>
    <w:p w14:paraId="5E6CC4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w:t>
      </w:r>
      <w:proofErr w:type="spellStart"/>
      <w:r w:rsidRPr="001F274E">
        <w:rPr>
          <w:rFonts w:ascii="Georgia" w:hAnsi="Georgia" w:cstheme="majorHAnsi"/>
          <w:color w:val="252525"/>
        </w:rPr>
        <w:t>INEC.Also</w:t>
      </w:r>
      <w:proofErr w:type="spellEnd"/>
      <w:r w:rsidRPr="001F274E">
        <w:rPr>
          <w:rFonts w:ascii="Georgia" w:hAnsi="Georgia" w:cstheme="majorHAnsi"/>
          <w:color w:val="252525"/>
        </w:rPr>
        <w:t>,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14:paraId="0DBF18F2" w14:textId="77777777" w:rsidR="001F274E" w:rsidRPr="001F274E" w:rsidRDefault="001F274E" w:rsidP="001F274E">
      <w:pPr>
        <w:spacing w:before="120" w:after="120" w:line="240" w:lineRule="auto"/>
        <w:ind w:left="432"/>
        <w:rPr>
          <w:rFonts w:ascii="Georgia" w:hAnsi="Georgia" w:cstheme="majorHAnsi"/>
          <w:b/>
          <w:bCs/>
          <w:szCs w:val="24"/>
          <w:lang w:val="en-US"/>
        </w:rPr>
      </w:pPr>
    </w:p>
    <w:p w14:paraId="772CBCF3" w14:textId="77777777" w:rsidR="001F274E" w:rsidRPr="001F274E" w:rsidRDefault="001F274E" w:rsidP="001F274E">
      <w:pPr>
        <w:spacing w:before="120" w:after="120" w:line="240" w:lineRule="auto"/>
        <w:ind w:left="432"/>
        <w:rPr>
          <w:rFonts w:ascii="Georgia" w:hAnsi="Georgia" w:cstheme="majorHAnsi"/>
          <w:szCs w:val="24"/>
          <w:lang w:val="en-US"/>
        </w:rPr>
      </w:pPr>
      <w:r w:rsidRPr="001F274E">
        <w:rPr>
          <w:rFonts w:ascii="Georgia" w:hAnsi="Georgia" w:cstheme="majorHAnsi"/>
          <w:b/>
          <w:bCs/>
          <w:szCs w:val="24"/>
          <w:lang w:val="en-US"/>
        </w:rPr>
        <w:t>REFERENCES</w:t>
      </w:r>
    </w:p>
    <w:p w14:paraId="0A59A99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Awah</w:t>
      </w:r>
      <w:proofErr w:type="spellEnd"/>
      <w:r w:rsidRPr="001F274E">
        <w:rPr>
          <w:rFonts w:ascii="Georgia" w:hAnsi="Georgia" w:cstheme="majorHAnsi"/>
          <w:color w:val="222222"/>
          <w:szCs w:val="24"/>
          <w:shd w:val="clear" w:color="auto" w:fill="FFFFFF"/>
        </w:rPr>
        <w:t xml:space="preserve">, I., Agba, M. O.,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M. A. (2007</w:t>
      </w:r>
      <w:proofErr w:type="gramStart"/>
      <w:r w:rsidRPr="001F274E">
        <w:rPr>
          <w:rFonts w:ascii="Georgia" w:hAnsi="Georgia" w:cstheme="majorHAnsi"/>
          <w:color w:val="222222"/>
          <w:szCs w:val="24"/>
          <w:shd w:val="clear" w:color="auto" w:fill="FFFFFF"/>
        </w:rPr>
        <w:t>).Non</w:t>
      </w:r>
      <w:proofErr w:type="gramEnd"/>
      <w:r w:rsidRPr="001F274E">
        <w:rPr>
          <w:rFonts w:ascii="Georgia" w:hAnsi="Georgia" w:cstheme="majorHAnsi"/>
          <w:color w:val="222222"/>
          <w:szCs w:val="24"/>
          <w:shd w:val="clear" w:color="auto" w:fill="FFFFFF"/>
        </w:rPr>
        <w:t>-Union Employee Representation: A complementary Approach to Staff Unionism and Conflict Resolution in Nigerian Universities. Conference Association of Encouraging Qualitative Education in Nigeria (ASSEQEN) 4th Annual National Conference.</w:t>
      </w:r>
    </w:p>
    <w:p w14:paraId="2CCBF4AD"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Ayika</w:t>
      </w:r>
      <w:proofErr w:type="spellEnd"/>
      <w:r w:rsidRPr="001F274E">
        <w:rPr>
          <w:rFonts w:ascii="Georgia" w:hAnsi="Georgia" w:cstheme="majorHAnsi"/>
          <w:color w:val="222222"/>
          <w:szCs w:val="24"/>
          <w:shd w:val="clear" w:color="auto" w:fill="FFFFFF"/>
        </w:rPr>
        <w:t>, V. O. (2022). </w:t>
      </w:r>
      <w:r w:rsidRPr="001F274E">
        <w:rPr>
          <w:rFonts w:ascii="Georgia" w:hAnsi="Georgia" w:cstheme="majorHAnsi"/>
          <w:i/>
          <w:iCs/>
          <w:color w:val="222222"/>
          <w:szCs w:val="24"/>
          <w:shd w:val="clear" w:color="auto" w:fill="FFFFFF"/>
        </w:rPr>
        <w:t>The Legal Effects of Judicial Discretion on the Mandate of the People Consequent upon the Lacunae and other Deficiencies in the Electoral Acts particularly the Electoral 2010: A Case Study of Election Petition Tribunal Decisions</w:t>
      </w:r>
      <w:r w:rsidRPr="001F274E">
        <w:rPr>
          <w:rFonts w:ascii="Georgia" w:hAnsi="Georgia" w:cstheme="majorHAnsi"/>
          <w:color w:val="222222"/>
          <w:szCs w:val="24"/>
          <w:shd w:val="clear" w:color="auto" w:fill="FFFFFF"/>
        </w:rPr>
        <w:t> (Doctoral dissertation, NILDS-Department of Studies).</w:t>
      </w:r>
    </w:p>
    <w:p w14:paraId="27765D2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Ayodele, O. A. (2022). An Assessment of the Legal Framework Put in Place to Curb Electoral Violence in Nigeria. In </w:t>
      </w:r>
      <w:r w:rsidRPr="001F274E">
        <w:rPr>
          <w:rFonts w:ascii="Georgia" w:hAnsi="Georgia" w:cstheme="majorHAnsi"/>
          <w:i/>
          <w:iCs/>
          <w:color w:val="222222"/>
          <w:szCs w:val="24"/>
          <w:shd w:val="clear" w:color="auto" w:fill="FFFFFF"/>
        </w:rPr>
        <w:t>Elections and Electoral Violence in Nigeria</w:t>
      </w:r>
      <w:r w:rsidRPr="001F274E">
        <w:rPr>
          <w:rFonts w:ascii="Georgia" w:hAnsi="Georgia" w:cstheme="majorHAnsi"/>
          <w:color w:val="222222"/>
          <w:szCs w:val="24"/>
          <w:shd w:val="clear" w:color="auto" w:fill="FFFFFF"/>
        </w:rPr>
        <w:t> (pp. 101-122). Palgrave Macmillan, Singapore.</w:t>
      </w:r>
    </w:p>
    <w:p w14:paraId="02DF6B0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Balewa, I. T. (2022). </w:t>
      </w:r>
      <w:r w:rsidRPr="001F274E">
        <w:rPr>
          <w:rFonts w:ascii="Georgia" w:hAnsi="Georgia" w:cstheme="majorHAnsi"/>
          <w:i/>
          <w:iCs/>
          <w:color w:val="222222"/>
          <w:szCs w:val="24"/>
          <w:shd w:val="clear" w:color="auto" w:fill="FFFFFF"/>
        </w:rPr>
        <w:t>Assessment of the Role of the National Assembly in Electoral Reforms in Nigeria between 2009 to 2021</w:t>
      </w:r>
      <w:r w:rsidRPr="001F274E">
        <w:rPr>
          <w:rFonts w:ascii="Georgia" w:hAnsi="Georgia" w:cstheme="majorHAnsi"/>
          <w:color w:val="222222"/>
          <w:szCs w:val="24"/>
          <w:shd w:val="clear" w:color="auto" w:fill="FFFFFF"/>
        </w:rPr>
        <w:t> (Doctoral dissertation, NILDS-Department of Studies).</w:t>
      </w:r>
    </w:p>
    <w:p w14:paraId="501962D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Benoit, K. (2004). Models of electoral system change. </w:t>
      </w:r>
      <w:r w:rsidRPr="001F274E">
        <w:rPr>
          <w:rFonts w:ascii="Georgia" w:hAnsi="Georgia" w:cstheme="majorHAnsi"/>
          <w:i/>
          <w:iCs/>
          <w:color w:val="222222"/>
          <w:szCs w:val="24"/>
          <w:shd w:val="clear" w:color="auto" w:fill="FFFFFF"/>
        </w:rPr>
        <w:t>Electoral studies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23</w:t>
      </w:r>
      <w:r w:rsidRPr="001F274E">
        <w:rPr>
          <w:rFonts w:ascii="Georgia" w:hAnsi="Georgia" w:cstheme="majorHAnsi"/>
          <w:color w:val="222222"/>
          <w:szCs w:val="24"/>
          <w:shd w:val="clear" w:color="auto" w:fill="FFFFFF"/>
        </w:rPr>
        <w:t>(3), 363-389.</w:t>
      </w:r>
    </w:p>
    <w:p w14:paraId="78F21C5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Broersma, M., &amp; Graham, T. (2012). Social media as beat: Tweets as a news source during the 2010 British and Dutch elections. </w:t>
      </w:r>
      <w:r w:rsidRPr="001F274E">
        <w:rPr>
          <w:rFonts w:ascii="Georgia" w:hAnsi="Georgia" w:cstheme="majorHAnsi"/>
          <w:i/>
          <w:iCs/>
          <w:color w:val="222222"/>
          <w:szCs w:val="24"/>
          <w:shd w:val="clear" w:color="auto" w:fill="FFFFFF"/>
        </w:rPr>
        <w:t>journalism practice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w:t>
      </w:r>
      <w:r w:rsidRPr="001F274E">
        <w:rPr>
          <w:rFonts w:ascii="Georgia" w:hAnsi="Georgia" w:cstheme="majorHAnsi"/>
          <w:color w:val="222222"/>
          <w:szCs w:val="24"/>
          <w:shd w:val="clear" w:color="auto" w:fill="FFFFFF"/>
        </w:rPr>
        <w:t>(3), 403-419.</w:t>
      </w:r>
    </w:p>
    <w:p w14:paraId="7B36099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Duri</w:t>
      </w:r>
      <w:proofErr w:type="spellEnd"/>
      <w:r w:rsidRPr="001F274E">
        <w:rPr>
          <w:rFonts w:ascii="Georgia" w:hAnsi="Georgia" w:cstheme="majorHAnsi"/>
          <w:color w:val="222222"/>
          <w:szCs w:val="24"/>
          <w:shd w:val="clear" w:color="auto" w:fill="FFFFFF"/>
        </w:rPr>
        <w:t xml:space="preserve">, F. P. T., </w:t>
      </w:r>
      <w:proofErr w:type="spellStart"/>
      <w:r w:rsidRPr="001F274E">
        <w:rPr>
          <w:rFonts w:ascii="Georgia" w:hAnsi="Georgia" w:cstheme="majorHAnsi"/>
          <w:color w:val="222222"/>
          <w:szCs w:val="24"/>
          <w:shd w:val="clear" w:color="auto" w:fill="FFFFFF"/>
        </w:rPr>
        <w:t>Marongwe</w:t>
      </w:r>
      <w:proofErr w:type="spellEnd"/>
      <w:r w:rsidRPr="001F274E">
        <w:rPr>
          <w:rFonts w:ascii="Georgia" w:hAnsi="Georgia" w:cstheme="majorHAnsi"/>
          <w:color w:val="222222"/>
          <w:szCs w:val="24"/>
          <w:shd w:val="clear" w:color="auto" w:fill="FFFFFF"/>
        </w:rPr>
        <w:t xml:space="preserve">, N., &amp; Mawere, M. (2019). Journeying through the First and Second Republics: Whither </w:t>
      </w:r>
      <w:proofErr w:type="gramStart"/>
      <w:r w:rsidRPr="001F274E">
        <w:rPr>
          <w:rFonts w:ascii="Georgia" w:hAnsi="Georgia" w:cstheme="majorHAnsi"/>
          <w:color w:val="222222"/>
          <w:szCs w:val="24"/>
          <w:shd w:val="clear" w:color="auto" w:fill="FFFFFF"/>
        </w:rPr>
        <w:t>Zimbabwe?.</w:t>
      </w:r>
      <w:proofErr w:type="gramEnd"/>
      <w:r w:rsidRPr="001F274E">
        <w:rPr>
          <w:rFonts w:ascii="Georgia" w:hAnsi="Georgia" w:cstheme="majorHAnsi"/>
          <w:color w:val="222222"/>
          <w:szCs w:val="24"/>
          <w:shd w:val="clear" w:color="auto" w:fill="FFFFFF"/>
        </w:rPr>
        <w:t> </w:t>
      </w:r>
      <w:proofErr w:type="spellStart"/>
      <w:r w:rsidRPr="001F274E">
        <w:rPr>
          <w:rFonts w:ascii="Georgia" w:hAnsi="Georgia" w:cstheme="majorHAnsi"/>
          <w:i/>
          <w:iCs/>
          <w:color w:val="222222"/>
          <w:szCs w:val="24"/>
          <w:shd w:val="clear" w:color="auto" w:fill="FFFFFF"/>
        </w:rPr>
        <w:t>Mugabeism</w:t>
      </w:r>
      <w:proofErr w:type="spellEnd"/>
      <w:r w:rsidRPr="001F274E">
        <w:rPr>
          <w:rFonts w:ascii="Georgia" w:hAnsi="Georgia" w:cstheme="majorHAnsi"/>
          <w:i/>
          <w:iCs/>
          <w:color w:val="222222"/>
          <w:szCs w:val="24"/>
          <w:shd w:val="clear" w:color="auto" w:fill="FFFFFF"/>
        </w:rPr>
        <w:t xml:space="preserve"> after </w:t>
      </w:r>
      <w:proofErr w:type="gramStart"/>
      <w:r w:rsidRPr="001F274E">
        <w:rPr>
          <w:rFonts w:ascii="Georgia" w:hAnsi="Georgia" w:cstheme="majorHAnsi"/>
          <w:i/>
          <w:iCs/>
          <w:color w:val="222222"/>
          <w:szCs w:val="24"/>
          <w:shd w:val="clear" w:color="auto" w:fill="FFFFFF"/>
        </w:rPr>
        <w:t>Mugabe?:</w:t>
      </w:r>
      <w:proofErr w:type="gramEnd"/>
      <w:r w:rsidRPr="001F274E">
        <w:rPr>
          <w:rFonts w:ascii="Georgia" w:hAnsi="Georgia" w:cstheme="majorHAnsi"/>
          <w:i/>
          <w:iCs/>
          <w:color w:val="222222"/>
          <w:szCs w:val="24"/>
          <w:shd w:val="clear" w:color="auto" w:fill="FFFFFF"/>
        </w:rPr>
        <w:t xml:space="preserve"> Rethinking Legacies and the New Dispensation in Zimbabwe's' Second Republic'</w:t>
      </w:r>
      <w:r w:rsidRPr="001F274E">
        <w:rPr>
          <w:rFonts w:ascii="Georgia" w:hAnsi="Georgia" w:cstheme="majorHAnsi"/>
          <w:color w:val="222222"/>
          <w:szCs w:val="24"/>
          <w:shd w:val="clear" w:color="auto" w:fill="FFFFFF"/>
        </w:rPr>
        <w:t>, 1.</w:t>
      </w:r>
    </w:p>
    <w:p w14:paraId="631B243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Ekuri</w:t>
      </w:r>
      <w:proofErr w:type="spellEnd"/>
      <w:r w:rsidRPr="001F274E">
        <w:rPr>
          <w:rFonts w:ascii="Georgia" w:hAnsi="Georgia" w:cstheme="majorHAnsi"/>
          <w:color w:val="222222"/>
          <w:szCs w:val="24"/>
          <w:shd w:val="clear" w:color="auto" w:fill="FFFFFF"/>
        </w:rPr>
        <w:t xml:space="preserve">, P. K., &amp; Sanusi, M. (2016). Influence of selected administrative variables on the performance of athletes in Calabar Metropolis, Cross River State, </w:t>
      </w:r>
      <w:r w:rsidRPr="001F274E">
        <w:rPr>
          <w:rFonts w:ascii="Georgia" w:hAnsi="Georgia" w:cstheme="majorHAnsi"/>
          <w:color w:val="222222"/>
          <w:szCs w:val="24"/>
          <w:shd w:val="clear" w:color="auto" w:fill="FFFFFF"/>
        </w:rPr>
        <w:lastRenderedPageBreak/>
        <w:t>Nigeria. </w:t>
      </w:r>
      <w:r w:rsidRPr="001F274E">
        <w:rPr>
          <w:rFonts w:ascii="Georgia" w:hAnsi="Georgia" w:cstheme="majorHAnsi"/>
          <w:i/>
          <w:iCs/>
          <w:color w:val="222222"/>
          <w:szCs w:val="24"/>
          <w:shd w:val="clear" w:color="auto" w:fill="FFFFFF"/>
        </w:rPr>
        <w:t>Journal of Nigeria Association for Physical Health Education, Recreation, Sports and Dance (JONAPHER-SD)</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5</w:t>
      </w:r>
      <w:r w:rsidRPr="001F274E">
        <w:rPr>
          <w:rFonts w:ascii="Georgia" w:hAnsi="Georgia" w:cstheme="majorHAnsi"/>
          <w:color w:val="222222"/>
          <w:szCs w:val="24"/>
          <w:shd w:val="clear" w:color="auto" w:fill="FFFFFF"/>
        </w:rPr>
        <w:t>(2), 56-73.</w:t>
      </w:r>
    </w:p>
    <w:p w14:paraId="234A73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Enang</w:t>
      </w:r>
      <w:proofErr w:type="spellEnd"/>
      <w:r w:rsidRPr="001F274E">
        <w:rPr>
          <w:rFonts w:ascii="Georgia" w:hAnsi="Georgia" w:cstheme="majorHAnsi"/>
          <w:color w:val="222222"/>
          <w:szCs w:val="24"/>
          <w:shd w:val="clear" w:color="auto" w:fill="FFFFFF"/>
        </w:rPr>
        <w:t xml:space="preserve">, E. E.,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&amp; Bassey, A. O. (2012). Work-family Balance and National Development in Nigeria: A Demographic Discourse. </w:t>
      </w:r>
      <w:r w:rsidRPr="001F274E">
        <w:rPr>
          <w:rFonts w:ascii="Georgia" w:hAnsi="Georgia" w:cstheme="majorHAnsi"/>
          <w:i/>
          <w:color w:val="222222"/>
          <w:szCs w:val="24"/>
          <w:shd w:val="clear" w:color="auto" w:fill="FFFFFF"/>
        </w:rPr>
        <w:t>Journal Multi-Disciplinary Journal of Research and Development Perspectives,1</w:t>
      </w:r>
      <w:r w:rsidRPr="001F274E">
        <w:rPr>
          <w:rFonts w:ascii="Georgia" w:hAnsi="Georgia" w:cstheme="majorHAnsi"/>
          <w:color w:val="222222"/>
          <w:szCs w:val="24"/>
          <w:shd w:val="clear" w:color="auto" w:fill="FFFFFF"/>
        </w:rPr>
        <w:t>(1).</w:t>
      </w:r>
    </w:p>
    <w:p w14:paraId="7A4B72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Enebeli</w:t>
      </w:r>
      <w:proofErr w:type="spellEnd"/>
      <w:r w:rsidRPr="001F274E">
        <w:rPr>
          <w:rFonts w:ascii="Georgia" w:hAnsi="Georgia" w:cstheme="majorHAnsi"/>
          <w:color w:val="222222"/>
          <w:szCs w:val="24"/>
          <w:shd w:val="clear" w:color="auto" w:fill="FFFFFF"/>
        </w:rPr>
        <w:t>, V. N., &amp; Njoku, D. C. (2022). A Legal Evaluation of Nigeria's Electoral Jurisprudence. </w:t>
      </w:r>
      <w:r w:rsidRPr="001F274E">
        <w:rPr>
          <w:rFonts w:ascii="Georgia" w:hAnsi="Georgia" w:cstheme="majorHAnsi"/>
          <w:i/>
          <w:iCs/>
          <w:color w:val="222222"/>
          <w:szCs w:val="24"/>
          <w:shd w:val="clear" w:color="auto" w:fill="FFFFFF"/>
        </w:rPr>
        <w:t xml:space="preserve">JL </w:t>
      </w:r>
      <w:proofErr w:type="spellStart"/>
      <w:r w:rsidRPr="001F274E">
        <w:rPr>
          <w:rFonts w:ascii="Georgia" w:hAnsi="Georgia" w:cstheme="majorHAnsi"/>
          <w:i/>
          <w:iCs/>
          <w:color w:val="222222"/>
          <w:szCs w:val="24"/>
          <w:shd w:val="clear" w:color="auto" w:fill="FFFFFF"/>
        </w:rPr>
        <w:t>Pol'y</w:t>
      </w:r>
      <w:proofErr w:type="spellEnd"/>
      <w:r w:rsidRPr="001F274E">
        <w:rPr>
          <w:rFonts w:ascii="Georgia" w:hAnsi="Georgia" w:cstheme="majorHAnsi"/>
          <w:i/>
          <w:iCs/>
          <w:color w:val="222222"/>
          <w:szCs w:val="24"/>
          <w:shd w:val="clear" w:color="auto" w:fill="FFFFFF"/>
        </w:rPr>
        <w:t xml:space="preserve"> &amp; Globalization</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118</w:t>
      </w:r>
      <w:r w:rsidRPr="001F274E">
        <w:rPr>
          <w:rFonts w:ascii="Georgia" w:hAnsi="Georgia" w:cstheme="majorHAnsi"/>
          <w:color w:val="222222"/>
          <w:szCs w:val="24"/>
          <w:shd w:val="clear" w:color="auto" w:fill="FFFFFF"/>
        </w:rPr>
        <w:t>, 1.</w:t>
      </w:r>
    </w:p>
    <w:p w14:paraId="3B7EE41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Feddersen</w:t>
      </w:r>
      <w:proofErr w:type="spellEnd"/>
      <w:r w:rsidRPr="001F274E">
        <w:rPr>
          <w:rFonts w:ascii="Georgia" w:hAnsi="Georgia" w:cstheme="majorHAnsi"/>
          <w:color w:val="222222"/>
          <w:szCs w:val="24"/>
          <w:shd w:val="clear" w:color="auto" w:fill="FFFFFF"/>
        </w:rPr>
        <w:t>, T., &amp; Sandroni, A. (2006). A theory of participation in elections. </w:t>
      </w:r>
      <w:r w:rsidRPr="001F274E">
        <w:rPr>
          <w:rFonts w:ascii="Georgia" w:hAnsi="Georgia" w:cstheme="majorHAnsi"/>
          <w:i/>
          <w:iCs/>
          <w:color w:val="222222"/>
          <w:szCs w:val="24"/>
          <w:shd w:val="clear" w:color="auto" w:fill="FFFFFF"/>
        </w:rPr>
        <w:t>American Economic Review</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96</w:t>
      </w:r>
      <w:r w:rsidRPr="001F274E">
        <w:rPr>
          <w:rFonts w:ascii="Georgia" w:hAnsi="Georgia" w:cstheme="majorHAnsi"/>
          <w:color w:val="222222"/>
          <w:szCs w:val="24"/>
          <w:shd w:val="clear" w:color="auto" w:fill="FFFFFF"/>
        </w:rPr>
        <w:t>(4), 1271-1282.</w:t>
      </w:r>
    </w:p>
    <w:p w14:paraId="0E00BE7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Hounkpe</w:t>
      </w:r>
      <w:proofErr w:type="spellEnd"/>
      <w:r w:rsidRPr="001F274E">
        <w:rPr>
          <w:rFonts w:ascii="Georgia" w:hAnsi="Georgia" w:cstheme="majorHAnsi"/>
          <w:color w:val="222222"/>
          <w:szCs w:val="24"/>
          <w:shd w:val="clear" w:color="auto" w:fill="FFFFFF"/>
        </w:rPr>
        <w:t xml:space="preserve">, M., &amp; </w:t>
      </w:r>
      <w:proofErr w:type="spellStart"/>
      <w:r w:rsidRPr="001F274E">
        <w:rPr>
          <w:rFonts w:ascii="Georgia" w:hAnsi="Georgia" w:cstheme="majorHAnsi"/>
          <w:color w:val="222222"/>
          <w:szCs w:val="24"/>
          <w:shd w:val="clear" w:color="auto" w:fill="FFFFFF"/>
        </w:rPr>
        <w:t>Gueye</w:t>
      </w:r>
      <w:proofErr w:type="spellEnd"/>
      <w:r w:rsidRPr="001F274E">
        <w:rPr>
          <w:rFonts w:ascii="Georgia" w:hAnsi="Georgia" w:cstheme="majorHAnsi"/>
          <w:color w:val="222222"/>
          <w:szCs w:val="24"/>
          <w:shd w:val="clear" w:color="auto" w:fill="FFFFFF"/>
        </w:rPr>
        <w:t>, A. B. (2010). </w:t>
      </w:r>
      <w:r w:rsidRPr="001F274E">
        <w:rPr>
          <w:rFonts w:ascii="Georgia" w:hAnsi="Georgia" w:cstheme="majorHAnsi"/>
          <w:i/>
          <w:iCs/>
          <w:color w:val="222222"/>
          <w:szCs w:val="24"/>
          <w:shd w:val="clear" w:color="auto" w:fill="FFFFFF"/>
        </w:rPr>
        <w:t>The role of security forces in the electoral process: The case of six West African countries</w:t>
      </w:r>
      <w:r w:rsidRPr="001F274E">
        <w:rPr>
          <w:rFonts w:ascii="Georgia" w:hAnsi="Georgia" w:cstheme="majorHAnsi"/>
          <w:color w:val="222222"/>
          <w:szCs w:val="24"/>
          <w:shd w:val="clear" w:color="auto" w:fill="FFFFFF"/>
        </w:rPr>
        <w:t> (Vol. 8). Abuja: Friedrich-Ebert-Stiftung.</w:t>
      </w:r>
    </w:p>
    <w:p w14:paraId="4D98987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Idowu, H. A. (2022). Democratic and Electoral Process in Nigeria: A Forecast into the 2023 General Elections. </w:t>
      </w:r>
      <w:r w:rsidRPr="001F274E">
        <w:rPr>
          <w:rFonts w:ascii="Georgia" w:hAnsi="Georgia" w:cstheme="majorHAnsi"/>
          <w:i/>
          <w:iCs/>
          <w:color w:val="222222"/>
          <w:szCs w:val="24"/>
          <w:shd w:val="clear" w:color="auto" w:fill="FFFFFF"/>
        </w:rPr>
        <w:t>Taiwan Journal of Democracy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18</w:t>
      </w:r>
      <w:r w:rsidRPr="001F274E">
        <w:rPr>
          <w:rFonts w:ascii="Georgia" w:hAnsi="Georgia" w:cstheme="majorHAnsi"/>
          <w:color w:val="222222"/>
          <w:szCs w:val="24"/>
          <w:shd w:val="clear" w:color="auto" w:fill="FFFFFF"/>
        </w:rPr>
        <w:t>(2), 145-176.</w:t>
      </w:r>
    </w:p>
    <w:p w14:paraId="721E5CB4"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Iloka</w:t>
      </w:r>
      <w:proofErr w:type="spellEnd"/>
      <w:r w:rsidRPr="001F274E">
        <w:rPr>
          <w:rFonts w:ascii="Georgia" w:hAnsi="Georgia" w:cstheme="majorHAnsi"/>
          <w:color w:val="222222"/>
          <w:szCs w:val="24"/>
          <w:shd w:val="clear" w:color="auto" w:fill="FFFFFF"/>
        </w:rPr>
        <w:t>, P. C., &amp; Ojukwu, C. O. (2021). Political participation of women in Nigeria: A legal overview. </w:t>
      </w:r>
      <w:r w:rsidRPr="001F274E">
        <w:rPr>
          <w:rFonts w:ascii="Georgia" w:hAnsi="Georgia" w:cstheme="majorHAnsi"/>
          <w:i/>
          <w:iCs/>
          <w:color w:val="222222"/>
          <w:szCs w:val="24"/>
          <w:shd w:val="clear" w:color="auto" w:fill="FFFFFF"/>
        </w:rPr>
        <w:t>International Journal of Business &amp; Law Research</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(3), 168-184.</w:t>
      </w:r>
    </w:p>
    <w:p w14:paraId="11D7642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Imbua</w:t>
      </w:r>
      <w:proofErr w:type="spellEnd"/>
      <w:r w:rsidRPr="001F274E">
        <w:rPr>
          <w:rFonts w:ascii="Georgia" w:hAnsi="Georgia" w:cstheme="majorHAnsi"/>
          <w:color w:val="222222"/>
          <w:szCs w:val="24"/>
          <w:shd w:val="clear" w:color="auto" w:fill="FFFFFF"/>
        </w:rPr>
        <w:t xml:space="preserve">, M. A.,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(2008). Stemming the Tide of Electoral Violence in Nigeria. The Role of Traditional Rulers. </w:t>
      </w:r>
      <w:r w:rsidRPr="001F274E">
        <w:rPr>
          <w:rFonts w:ascii="Georgia" w:hAnsi="Georgia" w:cstheme="majorHAnsi"/>
          <w:i/>
          <w:color w:val="222222"/>
          <w:szCs w:val="24"/>
          <w:shd w:val="clear" w:color="auto" w:fill="FFFFFF"/>
        </w:rPr>
        <w:t xml:space="preserve">The International </w:t>
      </w:r>
      <w:proofErr w:type="spellStart"/>
      <w:r w:rsidRPr="001F274E">
        <w:rPr>
          <w:rFonts w:ascii="Georgia" w:hAnsi="Georgia" w:cstheme="majorHAnsi"/>
          <w:i/>
          <w:color w:val="222222"/>
          <w:szCs w:val="24"/>
          <w:shd w:val="clear" w:color="auto" w:fill="FFFFFF"/>
        </w:rPr>
        <w:t>Chercheur</w:t>
      </w:r>
      <w:proofErr w:type="spellEnd"/>
      <w:r w:rsidRPr="001F274E">
        <w:rPr>
          <w:rFonts w:ascii="Georgia" w:hAnsi="Georgia" w:cstheme="majorHAnsi"/>
          <w:i/>
          <w:color w:val="222222"/>
          <w:szCs w:val="24"/>
          <w:shd w:val="clear" w:color="auto" w:fill="FFFFFF"/>
        </w:rPr>
        <w:t xml:space="preserve"> Maturing in Knowledge 1</w:t>
      </w:r>
      <w:r w:rsidRPr="001F274E">
        <w:rPr>
          <w:rFonts w:ascii="Georgia" w:hAnsi="Georgia" w:cstheme="majorHAnsi"/>
          <w:color w:val="222222"/>
          <w:szCs w:val="24"/>
          <w:shd w:val="clear" w:color="auto" w:fill="FFFFFF"/>
        </w:rPr>
        <w:t>(1).</w:t>
      </w:r>
    </w:p>
    <w:p w14:paraId="0F2AAC5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Inokoba</w:t>
      </w:r>
      <w:proofErr w:type="spellEnd"/>
      <w:r w:rsidRPr="001F274E">
        <w:rPr>
          <w:rFonts w:ascii="Georgia" w:hAnsi="Georgia" w:cstheme="majorHAnsi"/>
          <w:color w:val="222222"/>
          <w:szCs w:val="24"/>
          <w:shd w:val="clear" w:color="auto" w:fill="FFFFFF"/>
        </w:rPr>
        <w:t xml:space="preserve">, P. K., &amp; </w:t>
      </w:r>
      <w:proofErr w:type="spellStart"/>
      <w:r w:rsidRPr="001F274E">
        <w:rPr>
          <w:rFonts w:ascii="Georgia" w:hAnsi="Georgia" w:cstheme="majorHAnsi"/>
          <w:color w:val="222222"/>
          <w:szCs w:val="24"/>
          <w:shd w:val="clear" w:color="auto" w:fill="FFFFFF"/>
        </w:rPr>
        <w:t>Kumokor</w:t>
      </w:r>
      <w:proofErr w:type="spellEnd"/>
      <w:r w:rsidRPr="001F274E">
        <w:rPr>
          <w:rFonts w:ascii="Georgia" w:hAnsi="Georgia" w:cstheme="majorHAnsi"/>
          <w:color w:val="222222"/>
          <w:szCs w:val="24"/>
          <w:shd w:val="clear" w:color="auto" w:fill="FFFFFF"/>
        </w:rPr>
        <w:t>, I. (2011). Electoral crisis, governance and democratic consolidation in Nigeria. </w:t>
      </w:r>
      <w:r w:rsidRPr="001F274E">
        <w:rPr>
          <w:rFonts w:ascii="Georgia" w:hAnsi="Georgia" w:cstheme="majorHAnsi"/>
          <w:i/>
          <w:iCs/>
          <w:color w:val="222222"/>
          <w:szCs w:val="24"/>
          <w:shd w:val="clear" w:color="auto" w:fill="FFFFFF"/>
        </w:rPr>
        <w:t>Journal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27</w:t>
      </w:r>
      <w:r w:rsidRPr="001F274E">
        <w:rPr>
          <w:rFonts w:ascii="Georgia" w:hAnsi="Georgia" w:cstheme="majorHAnsi"/>
          <w:color w:val="222222"/>
          <w:szCs w:val="24"/>
          <w:shd w:val="clear" w:color="auto" w:fill="FFFFFF"/>
        </w:rPr>
        <w:t>(2), 139-148.</w:t>
      </w:r>
    </w:p>
    <w:p w14:paraId="7322AD4B"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Kelly, G., &amp; Mahesh, S. (2017). Standards in the solar photovoltaic value chain in relation to international trade. </w:t>
      </w:r>
      <w:r w:rsidRPr="001F274E">
        <w:rPr>
          <w:rFonts w:ascii="Georgia" w:hAnsi="Georgia" w:cstheme="majorHAnsi"/>
          <w:i/>
          <w:iCs/>
          <w:color w:val="222222"/>
          <w:szCs w:val="24"/>
          <w:shd w:val="clear" w:color="auto" w:fill="FFFFFF"/>
        </w:rPr>
        <w:t>International Centre for Trade and Sustainable Development (ICTSD), Geneva, Switzerland</w:t>
      </w:r>
      <w:r w:rsidRPr="001F274E">
        <w:rPr>
          <w:rFonts w:ascii="Georgia" w:hAnsi="Georgia" w:cstheme="majorHAnsi"/>
          <w:color w:val="222222"/>
          <w:szCs w:val="24"/>
          <w:shd w:val="clear" w:color="auto" w:fill="FFFFFF"/>
        </w:rPr>
        <w:t>.</w:t>
      </w:r>
    </w:p>
    <w:p w14:paraId="145F03B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Koko, S. (2013). Understanding election-related violence in Africa-patterns, causes, consequences and a framework for preventive action. </w:t>
      </w:r>
      <w:r w:rsidRPr="001F274E">
        <w:rPr>
          <w:rFonts w:ascii="Georgia" w:hAnsi="Georgia" w:cstheme="majorHAnsi"/>
          <w:i/>
          <w:iCs/>
          <w:color w:val="222222"/>
          <w:szCs w:val="24"/>
          <w:shd w:val="clear" w:color="auto" w:fill="FFFFFF"/>
        </w:rPr>
        <w:t>Journal of African Elections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12</w:t>
      </w:r>
      <w:r w:rsidRPr="001F274E">
        <w:rPr>
          <w:rFonts w:ascii="Georgia" w:hAnsi="Georgia" w:cstheme="majorHAnsi"/>
          <w:color w:val="222222"/>
          <w:szCs w:val="24"/>
          <w:shd w:val="clear" w:color="auto" w:fill="FFFFFF"/>
        </w:rPr>
        <w:t>(3), 51-88.</w:t>
      </w:r>
    </w:p>
    <w:p w14:paraId="1C1E6B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Lau, R. R., &amp; </w:t>
      </w:r>
      <w:proofErr w:type="spellStart"/>
      <w:r w:rsidRPr="001F274E">
        <w:rPr>
          <w:rFonts w:ascii="Georgia" w:hAnsi="Georgia" w:cstheme="majorHAnsi"/>
          <w:color w:val="222222"/>
          <w:szCs w:val="24"/>
          <w:shd w:val="clear" w:color="auto" w:fill="FFFFFF"/>
        </w:rPr>
        <w:t>Redlawsk</w:t>
      </w:r>
      <w:proofErr w:type="spellEnd"/>
      <w:r w:rsidRPr="001F274E">
        <w:rPr>
          <w:rFonts w:ascii="Georgia" w:hAnsi="Georgia" w:cstheme="majorHAnsi"/>
          <w:color w:val="222222"/>
          <w:szCs w:val="24"/>
          <w:shd w:val="clear" w:color="auto" w:fill="FFFFFF"/>
        </w:rPr>
        <w:t>, D. P. (2001). Advantages and disadvantages of cognitive heuristics in political decision making. </w:t>
      </w:r>
      <w:r w:rsidRPr="001F274E">
        <w:rPr>
          <w:rFonts w:ascii="Georgia" w:hAnsi="Georgia" w:cstheme="majorHAnsi"/>
          <w:i/>
          <w:iCs/>
          <w:color w:val="222222"/>
          <w:szCs w:val="24"/>
          <w:shd w:val="clear" w:color="auto" w:fill="FFFFFF"/>
        </w:rPr>
        <w:t>American journal of political science</w:t>
      </w:r>
      <w:r w:rsidRPr="001F274E">
        <w:rPr>
          <w:rFonts w:ascii="Georgia" w:hAnsi="Georgia" w:cstheme="majorHAnsi"/>
          <w:color w:val="222222"/>
          <w:szCs w:val="24"/>
          <w:shd w:val="clear" w:color="auto" w:fill="FFFFFF"/>
        </w:rPr>
        <w:t>, 951-971.</w:t>
      </w:r>
    </w:p>
    <w:p w14:paraId="561C8B5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Nwankwo, W., &amp; Njoku, C. C. (2020). Adoption of </w:t>
      </w:r>
      <w:proofErr w:type="spellStart"/>
      <w:r w:rsidRPr="001F274E">
        <w:rPr>
          <w:rFonts w:ascii="Georgia" w:hAnsi="Georgia" w:cstheme="majorHAnsi"/>
          <w:color w:val="222222"/>
          <w:szCs w:val="24"/>
          <w:shd w:val="clear" w:color="auto" w:fill="FFFFFF"/>
        </w:rPr>
        <w:t>i</w:t>
      </w:r>
      <w:proofErr w:type="spellEnd"/>
      <w:r w:rsidRPr="001F274E">
        <w:rPr>
          <w:rFonts w:ascii="Georgia" w:hAnsi="Georgia" w:cstheme="majorHAnsi"/>
          <w:color w:val="222222"/>
          <w:szCs w:val="24"/>
          <w:shd w:val="clear" w:color="auto" w:fill="FFFFFF"/>
        </w:rPr>
        <w:t xml:space="preserve">-voting platform in </w:t>
      </w:r>
      <w:proofErr w:type="spellStart"/>
      <w:r w:rsidRPr="001F274E">
        <w:rPr>
          <w:rFonts w:ascii="Georgia" w:hAnsi="Georgia" w:cstheme="majorHAnsi"/>
          <w:color w:val="222222"/>
          <w:szCs w:val="24"/>
          <w:shd w:val="clear" w:color="auto" w:fill="FFFFFF"/>
        </w:rPr>
        <w:t>nigeria</w:t>
      </w:r>
      <w:proofErr w:type="spellEnd"/>
      <w:r w:rsidRPr="001F274E">
        <w:rPr>
          <w:rFonts w:ascii="Georgia" w:hAnsi="Georgia" w:cstheme="majorHAnsi"/>
          <w:color w:val="222222"/>
          <w:szCs w:val="24"/>
          <w:shd w:val="clear" w:color="auto" w:fill="FFFFFF"/>
        </w:rPr>
        <w:t>: Dealing with network-level cybersecurity concerns. </w:t>
      </w:r>
      <w:r w:rsidRPr="001F274E">
        <w:rPr>
          <w:rFonts w:ascii="Georgia" w:hAnsi="Georgia" w:cstheme="majorHAnsi"/>
          <w:i/>
          <w:iCs/>
          <w:color w:val="222222"/>
          <w:szCs w:val="24"/>
          <w:shd w:val="clear" w:color="auto" w:fill="FFFFFF"/>
        </w:rPr>
        <w:t>Technology Reports of Kansai University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62</w:t>
      </w:r>
      <w:r w:rsidRPr="001F274E">
        <w:rPr>
          <w:rFonts w:ascii="Georgia" w:hAnsi="Georgia" w:cstheme="majorHAnsi"/>
          <w:color w:val="222222"/>
          <w:szCs w:val="24"/>
          <w:shd w:val="clear" w:color="auto" w:fill="FFFFFF"/>
        </w:rPr>
        <w:t>(3).</w:t>
      </w:r>
    </w:p>
    <w:p w14:paraId="201B9B0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Obiefuna-Oguejiofor</w:t>
      </w:r>
      <w:proofErr w:type="spellEnd"/>
      <w:r w:rsidRPr="001F274E">
        <w:rPr>
          <w:rFonts w:ascii="Georgia" w:hAnsi="Georgia" w:cstheme="majorHAnsi"/>
          <w:color w:val="222222"/>
          <w:szCs w:val="24"/>
          <w:shd w:val="clear" w:color="auto" w:fill="FFFFFF"/>
        </w:rPr>
        <w:t>, O. (2018). Advancing electronic voting systems in Nigeria's electoral process: Legal challenges and future directions. </w:t>
      </w:r>
      <w:r w:rsidRPr="001F274E">
        <w:rPr>
          <w:rFonts w:ascii="Georgia" w:hAnsi="Georgia" w:cstheme="majorHAnsi"/>
          <w:i/>
          <w:iCs/>
          <w:color w:val="222222"/>
          <w:szCs w:val="24"/>
          <w:shd w:val="clear" w:color="auto" w:fill="FFFFFF"/>
        </w:rPr>
        <w:t>Journal of Sustainable Development Law and Policy (The)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(2), 187-219.</w:t>
      </w:r>
    </w:p>
    <w:p w14:paraId="5E17E58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Okolie</w:t>
      </w:r>
      <w:proofErr w:type="spellEnd"/>
      <w:r w:rsidRPr="001F274E">
        <w:rPr>
          <w:rFonts w:ascii="Georgia" w:hAnsi="Georgia" w:cstheme="majorHAnsi"/>
          <w:color w:val="222222"/>
          <w:szCs w:val="24"/>
          <w:shd w:val="clear" w:color="auto" w:fill="FFFFFF"/>
        </w:rPr>
        <w:t xml:space="preserve">, A. M., Nnamani, K. E., </w:t>
      </w:r>
      <w:proofErr w:type="spellStart"/>
      <w:r w:rsidRPr="001F274E">
        <w:rPr>
          <w:rFonts w:ascii="Georgia" w:hAnsi="Georgia" w:cstheme="majorHAnsi"/>
          <w:color w:val="222222"/>
          <w:szCs w:val="24"/>
          <w:shd w:val="clear" w:color="auto" w:fill="FFFFFF"/>
        </w:rPr>
        <w:t>Ezirim</w:t>
      </w:r>
      <w:proofErr w:type="spellEnd"/>
      <w:r w:rsidRPr="001F274E">
        <w:rPr>
          <w:rFonts w:ascii="Georgia" w:hAnsi="Georgia" w:cstheme="majorHAnsi"/>
          <w:color w:val="222222"/>
          <w:szCs w:val="24"/>
          <w:shd w:val="clear" w:color="auto" w:fill="FFFFFF"/>
        </w:rPr>
        <w:t xml:space="preserve">, G. E., </w:t>
      </w:r>
      <w:proofErr w:type="spellStart"/>
      <w:r w:rsidRPr="001F274E">
        <w:rPr>
          <w:rFonts w:ascii="Georgia" w:hAnsi="Georgia" w:cstheme="majorHAnsi"/>
          <w:color w:val="222222"/>
          <w:szCs w:val="24"/>
          <w:shd w:val="clear" w:color="auto" w:fill="FFFFFF"/>
        </w:rPr>
        <w:t>Enyiazu</w:t>
      </w:r>
      <w:proofErr w:type="spellEnd"/>
      <w:r w:rsidRPr="001F274E">
        <w:rPr>
          <w:rFonts w:ascii="Georgia" w:hAnsi="Georgia" w:cstheme="majorHAnsi"/>
          <w:color w:val="222222"/>
          <w:szCs w:val="24"/>
          <w:shd w:val="clear" w:color="auto" w:fill="FFFFFF"/>
        </w:rPr>
        <w:t xml:space="preserve">, C., &amp; </w:t>
      </w:r>
      <w:proofErr w:type="spellStart"/>
      <w:r w:rsidRPr="001F274E">
        <w:rPr>
          <w:rFonts w:ascii="Georgia" w:hAnsi="Georgia" w:cstheme="majorHAnsi"/>
          <w:color w:val="222222"/>
          <w:szCs w:val="24"/>
          <w:shd w:val="clear" w:color="auto" w:fill="FFFFFF"/>
        </w:rPr>
        <w:t>Ozor</w:t>
      </w:r>
      <w:proofErr w:type="spellEnd"/>
      <w:r w:rsidRPr="001F274E">
        <w:rPr>
          <w:rFonts w:ascii="Georgia" w:hAnsi="Georgia" w:cstheme="majorHAnsi"/>
          <w:color w:val="222222"/>
          <w:szCs w:val="24"/>
          <w:shd w:val="clear" w:color="auto" w:fill="FFFFFF"/>
        </w:rPr>
        <w:t>, A. C. (2021). Does liberal democracy promote economic development? interrogating electoral cost and development trade-off in Nigeria’s fourth republic. </w:t>
      </w:r>
      <w:r w:rsidRPr="001F274E">
        <w:rPr>
          <w:rFonts w:ascii="Georgia" w:hAnsi="Georgia" w:cstheme="majorHAnsi"/>
          <w:i/>
          <w:iCs/>
          <w:color w:val="222222"/>
          <w:szCs w:val="24"/>
          <w:shd w:val="clear" w:color="auto" w:fill="FFFFFF"/>
        </w:rPr>
        <w:t>Cogent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 1918370.</w:t>
      </w:r>
    </w:p>
    <w:p w14:paraId="55CDB23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Okorie, O. S., &amp; </w:t>
      </w:r>
      <w:proofErr w:type="spellStart"/>
      <w:r w:rsidRPr="001F274E">
        <w:rPr>
          <w:rFonts w:ascii="Georgia" w:hAnsi="Georgia" w:cstheme="majorHAnsi"/>
          <w:color w:val="222222"/>
          <w:szCs w:val="24"/>
          <w:shd w:val="clear" w:color="auto" w:fill="FFFFFF"/>
        </w:rPr>
        <w:t>Igwenyi</w:t>
      </w:r>
      <w:proofErr w:type="spellEnd"/>
      <w:r w:rsidRPr="001F274E">
        <w:rPr>
          <w:rFonts w:ascii="Georgia" w:hAnsi="Georgia" w:cstheme="majorHAnsi"/>
          <w:color w:val="222222"/>
          <w:szCs w:val="24"/>
          <w:shd w:val="clear" w:color="auto" w:fill="FFFFFF"/>
        </w:rPr>
        <w:t xml:space="preserve">, B. O. (2022). Legal Framework for Conduct of Free and Fair Elections </w:t>
      </w:r>
      <w:proofErr w:type="gramStart"/>
      <w:r w:rsidRPr="001F274E">
        <w:rPr>
          <w:rFonts w:ascii="Georgia" w:hAnsi="Georgia" w:cstheme="majorHAnsi"/>
          <w:color w:val="222222"/>
          <w:szCs w:val="24"/>
          <w:shd w:val="clear" w:color="auto" w:fill="FFFFFF"/>
        </w:rPr>
        <w:t>In</w:t>
      </w:r>
      <w:proofErr w:type="gramEnd"/>
      <w:r w:rsidRPr="001F274E">
        <w:rPr>
          <w:rFonts w:ascii="Georgia" w:hAnsi="Georgia" w:cstheme="majorHAnsi"/>
          <w:color w:val="222222"/>
          <w:szCs w:val="24"/>
          <w:shd w:val="clear" w:color="auto" w:fill="FFFFFF"/>
        </w:rPr>
        <w:t xml:space="preserve"> Nigeria: A Jurisprudential Overview. </w:t>
      </w:r>
      <w:r w:rsidRPr="001F274E">
        <w:rPr>
          <w:rFonts w:ascii="Georgia" w:hAnsi="Georgia" w:cstheme="majorHAnsi"/>
          <w:i/>
          <w:iCs/>
          <w:color w:val="222222"/>
          <w:szCs w:val="24"/>
          <w:shd w:val="clear" w:color="auto" w:fill="FFFFFF"/>
        </w:rPr>
        <w:t>International Review of Law and Jurisprudence,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w:t>
      </w:r>
      <w:r w:rsidRPr="001F274E">
        <w:rPr>
          <w:rFonts w:ascii="Georgia" w:hAnsi="Georgia" w:cstheme="majorHAnsi"/>
          <w:color w:val="222222"/>
          <w:szCs w:val="24"/>
          <w:shd w:val="clear" w:color="auto" w:fill="FFFFFF"/>
        </w:rPr>
        <w:t>(1).</w:t>
      </w:r>
    </w:p>
    <w:p w14:paraId="4F3B45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Olajide-</w:t>
      </w:r>
      <w:proofErr w:type="spellStart"/>
      <w:r w:rsidRPr="001F274E">
        <w:rPr>
          <w:rFonts w:ascii="Georgia" w:hAnsi="Georgia" w:cstheme="majorHAnsi"/>
          <w:color w:val="222222"/>
          <w:szCs w:val="24"/>
          <w:shd w:val="clear" w:color="auto" w:fill="FFFFFF"/>
        </w:rPr>
        <w:t>Awosedo</w:t>
      </w:r>
      <w:proofErr w:type="spellEnd"/>
      <w:r w:rsidRPr="001F274E">
        <w:rPr>
          <w:rFonts w:ascii="Georgia" w:hAnsi="Georgia" w:cstheme="majorHAnsi"/>
          <w:color w:val="222222"/>
          <w:szCs w:val="24"/>
          <w:shd w:val="clear" w:color="auto" w:fill="FFFFFF"/>
        </w:rPr>
        <w:t>, O. (2007). </w:t>
      </w:r>
      <w:r w:rsidRPr="001F274E">
        <w:rPr>
          <w:rFonts w:ascii="Georgia" w:hAnsi="Georgia" w:cstheme="majorHAnsi"/>
          <w:i/>
          <w:iCs/>
          <w:color w:val="222222"/>
          <w:szCs w:val="24"/>
          <w:shd w:val="clear" w:color="auto" w:fill="FFFFFF"/>
        </w:rPr>
        <w:t>Regulatory Forbearance, Prompt Corrective Action and the Nigerian Banking System</w:t>
      </w:r>
      <w:r w:rsidRPr="001F274E">
        <w:rPr>
          <w:rFonts w:ascii="Georgia" w:hAnsi="Georgia" w:cstheme="majorHAnsi"/>
          <w:color w:val="222222"/>
          <w:szCs w:val="24"/>
          <w:shd w:val="clear" w:color="auto" w:fill="FFFFFF"/>
        </w:rPr>
        <w:t>. The University of Manchester (United Kingdom).</w:t>
      </w:r>
    </w:p>
    <w:p w14:paraId="2FF0633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Olurode</w:t>
      </w:r>
      <w:proofErr w:type="spellEnd"/>
      <w:r w:rsidRPr="001F274E">
        <w:rPr>
          <w:rFonts w:ascii="Georgia" w:hAnsi="Georgia" w:cstheme="majorHAnsi"/>
          <w:color w:val="222222"/>
          <w:szCs w:val="24"/>
          <w:shd w:val="clear" w:color="auto" w:fill="FFFFFF"/>
        </w:rPr>
        <w:t xml:space="preserve">, L. (2013). Election security in </w:t>
      </w:r>
      <w:proofErr w:type="spellStart"/>
      <w:r w:rsidRPr="001F274E">
        <w:rPr>
          <w:rFonts w:ascii="Georgia" w:hAnsi="Georgia" w:cstheme="majorHAnsi"/>
          <w:color w:val="222222"/>
          <w:szCs w:val="24"/>
          <w:shd w:val="clear" w:color="auto" w:fill="FFFFFF"/>
        </w:rPr>
        <w:t>nigeria</w:t>
      </w:r>
      <w:proofErr w:type="spellEnd"/>
      <w:r w:rsidRPr="001F274E">
        <w:rPr>
          <w:rFonts w:ascii="Georgia" w:hAnsi="Georgia" w:cstheme="majorHAnsi"/>
          <w:color w:val="222222"/>
          <w:szCs w:val="24"/>
          <w:shd w:val="clear" w:color="auto" w:fill="FFFFFF"/>
        </w:rPr>
        <w:t>: Matters arising. </w:t>
      </w:r>
      <w:r w:rsidRPr="001F274E">
        <w:rPr>
          <w:rFonts w:ascii="Georgia" w:hAnsi="Georgia" w:cstheme="majorHAnsi"/>
          <w:i/>
          <w:iCs/>
          <w:color w:val="222222"/>
          <w:szCs w:val="24"/>
          <w:shd w:val="clear" w:color="auto" w:fill="FFFFFF"/>
        </w:rPr>
        <w:t>Abuja, Fredrich Ebert Stiftung</w:t>
      </w:r>
      <w:r w:rsidRPr="001F274E">
        <w:rPr>
          <w:rFonts w:ascii="Georgia" w:hAnsi="Georgia" w:cstheme="majorHAnsi"/>
          <w:color w:val="222222"/>
          <w:szCs w:val="24"/>
          <w:shd w:val="clear" w:color="auto" w:fill="FFFFFF"/>
        </w:rPr>
        <w:t>.</w:t>
      </w:r>
    </w:p>
    <w:p w14:paraId="341B2E3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Omotola</w:t>
      </w:r>
      <w:proofErr w:type="spellEnd"/>
      <w:r w:rsidRPr="001F274E">
        <w:rPr>
          <w:rFonts w:ascii="Georgia" w:hAnsi="Georgia" w:cstheme="majorHAnsi"/>
          <w:color w:val="222222"/>
          <w:szCs w:val="24"/>
          <w:shd w:val="clear" w:color="auto" w:fill="FFFFFF"/>
        </w:rPr>
        <w:t>, J. S. (2010). Elections and democratic transition in Nigeria under the Fourth Republic. </w:t>
      </w:r>
      <w:r w:rsidRPr="001F274E">
        <w:rPr>
          <w:rFonts w:ascii="Georgia" w:hAnsi="Georgia" w:cstheme="majorHAnsi"/>
          <w:i/>
          <w:iCs/>
          <w:color w:val="222222"/>
          <w:szCs w:val="24"/>
          <w:shd w:val="clear" w:color="auto" w:fill="FFFFFF"/>
        </w:rPr>
        <w:t>African Affairs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109</w:t>
      </w:r>
      <w:r w:rsidRPr="001F274E">
        <w:rPr>
          <w:rFonts w:ascii="Georgia" w:hAnsi="Georgia" w:cstheme="majorHAnsi"/>
          <w:color w:val="222222"/>
          <w:szCs w:val="24"/>
          <w:shd w:val="clear" w:color="auto" w:fill="FFFFFF"/>
        </w:rPr>
        <w:t>(437), 535-553.</w:t>
      </w:r>
    </w:p>
    <w:p w14:paraId="11C8C9C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lastRenderedPageBreak/>
        <w:t>Onapajo</w:t>
      </w:r>
      <w:proofErr w:type="spellEnd"/>
      <w:r w:rsidRPr="001F274E">
        <w:rPr>
          <w:rFonts w:ascii="Georgia" w:hAnsi="Georgia" w:cstheme="majorHAnsi"/>
          <w:color w:val="222222"/>
          <w:szCs w:val="24"/>
          <w:shd w:val="clear" w:color="auto" w:fill="FFFFFF"/>
        </w:rPr>
        <w:t>, H. (2015). Nigeria’s 2015 general elections: The salience of electoral reforms. </w:t>
      </w:r>
      <w:r w:rsidRPr="001F274E">
        <w:rPr>
          <w:rFonts w:ascii="Georgia" w:hAnsi="Georgia" w:cstheme="majorHAnsi"/>
          <w:i/>
          <w:iCs/>
          <w:color w:val="222222"/>
          <w:szCs w:val="24"/>
          <w:shd w:val="clear" w:color="auto" w:fill="FFFFFF"/>
        </w:rPr>
        <w:t>The Round Table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104</w:t>
      </w:r>
      <w:r w:rsidRPr="001F274E">
        <w:rPr>
          <w:rFonts w:ascii="Georgia" w:hAnsi="Georgia" w:cstheme="majorHAnsi"/>
          <w:color w:val="222222"/>
          <w:szCs w:val="24"/>
          <w:shd w:val="clear" w:color="auto" w:fill="FFFFFF"/>
        </w:rPr>
        <w:t>(5), 573-584.</w:t>
      </w:r>
    </w:p>
    <w:p w14:paraId="5EF189F1"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Onuoha, F. C., &amp; Okafor, J. C. (2020). Democracy or Moneyocracy? Perspective on vote buying and electoral integrity in Nigeria’s recent elections. </w:t>
      </w:r>
      <w:r w:rsidRPr="001F274E">
        <w:rPr>
          <w:rFonts w:ascii="Georgia" w:hAnsi="Georgia" w:cstheme="majorHAnsi"/>
          <w:i/>
          <w:iCs/>
          <w:color w:val="222222"/>
          <w:szCs w:val="24"/>
          <w:shd w:val="clear" w:color="auto" w:fill="FFFFFF"/>
        </w:rPr>
        <w:t>Africa Insight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49</w:t>
      </w:r>
      <w:r w:rsidRPr="001F274E">
        <w:rPr>
          <w:rFonts w:ascii="Georgia" w:hAnsi="Georgia" w:cstheme="majorHAnsi"/>
          <w:color w:val="222222"/>
          <w:szCs w:val="24"/>
          <w:shd w:val="clear" w:color="auto" w:fill="FFFFFF"/>
        </w:rPr>
        <w:t>(4), 1-14.</w:t>
      </w:r>
    </w:p>
    <w:p w14:paraId="7345DAA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Opeibi</w:t>
      </w:r>
      <w:proofErr w:type="spellEnd"/>
      <w:r w:rsidRPr="001F274E">
        <w:rPr>
          <w:rFonts w:ascii="Georgia" w:hAnsi="Georgia" w:cstheme="majorHAnsi"/>
          <w:color w:val="222222"/>
          <w:szCs w:val="24"/>
          <w:shd w:val="clear" w:color="auto" w:fill="FFFFFF"/>
        </w:rPr>
        <w:t>, T. (2019). The Twittersphere as political engagement space: A study of social media usage in election campaigns in Nigeria. </w:t>
      </w:r>
      <w:r w:rsidRPr="001F274E">
        <w:rPr>
          <w:rFonts w:ascii="Georgia" w:hAnsi="Georgia" w:cstheme="majorHAnsi"/>
          <w:i/>
          <w:iCs/>
          <w:color w:val="222222"/>
          <w:szCs w:val="24"/>
          <w:shd w:val="clear" w:color="auto" w:fill="FFFFFF"/>
        </w:rPr>
        <w:t>Digital Studies/Le champ numérique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(1).</w:t>
      </w:r>
    </w:p>
    <w:p w14:paraId="59E265C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Oriji</w:t>
      </w:r>
      <w:proofErr w:type="spellEnd"/>
      <w:r w:rsidRPr="001F274E">
        <w:rPr>
          <w:rFonts w:ascii="Georgia" w:hAnsi="Georgia" w:cstheme="majorHAnsi"/>
          <w:color w:val="222222"/>
          <w:szCs w:val="24"/>
          <w:shd w:val="clear" w:color="auto" w:fill="FFFFFF"/>
        </w:rPr>
        <w:t xml:space="preserve">. C. C.,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w:t>
      </w:r>
      <w:proofErr w:type="spellStart"/>
      <w:r w:rsidRPr="001F274E">
        <w:rPr>
          <w:rFonts w:ascii="Georgia" w:hAnsi="Georgia" w:cstheme="majorHAnsi"/>
          <w:color w:val="222222"/>
          <w:szCs w:val="24"/>
          <w:shd w:val="clear" w:color="auto" w:fill="FFFFFF"/>
        </w:rPr>
        <w:t>Ugal</w:t>
      </w:r>
      <w:proofErr w:type="spellEnd"/>
      <w:r w:rsidRPr="001F274E">
        <w:rPr>
          <w:rFonts w:ascii="Georgia" w:hAnsi="Georgia" w:cstheme="majorHAnsi"/>
          <w:color w:val="222222"/>
          <w:szCs w:val="24"/>
          <w:shd w:val="clear" w:color="auto" w:fill="FFFFFF"/>
        </w:rPr>
        <w:t xml:space="preserve">, G. A. (2011). Christian, Muslim Dichotomy and it's challenges of Nation Building/Unity in contemporary Nigerian Society. </w:t>
      </w:r>
      <w:r w:rsidRPr="001F274E">
        <w:rPr>
          <w:rFonts w:ascii="Georgia" w:hAnsi="Georgia" w:cstheme="majorHAnsi"/>
          <w:i/>
          <w:color w:val="222222"/>
          <w:szCs w:val="24"/>
          <w:shd w:val="clear" w:color="auto" w:fill="FFFFFF"/>
        </w:rPr>
        <w:t>Journal Rivers Journal of the Social Sciences, 8</w:t>
      </w:r>
      <w:r w:rsidRPr="001F274E">
        <w:rPr>
          <w:rFonts w:ascii="Georgia" w:hAnsi="Georgia" w:cstheme="majorHAnsi"/>
          <w:color w:val="222222"/>
          <w:szCs w:val="24"/>
          <w:shd w:val="clear" w:color="auto" w:fill="FFFFFF"/>
        </w:rPr>
        <w:t xml:space="preserve"> (1&amp;2) 30-47.</w:t>
      </w:r>
    </w:p>
    <w:p w14:paraId="5D66675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Salami, A. T. (2021). Politics and Democracy in Nigeria: A Critical Examination and Analysis of the Use and Mis-use of Money in Elections. </w:t>
      </w:r>
      <w:r w:rsidRPr="001F274E">
        <w:rPr>
          <w:rFonts w:ascii="Georgia" w:hAnsi="Georgia" w:cstheme="majorHAnsi"/>
          <w:i/>
          <w:iCs/>
          <w:color w:val="222222"/>
          <w:szCs w:val="24"/>
          <w:shd w:val="clear" w:color="auto" w:fill="FFFFFF"/>
        </w:rPr>
        <w:t>Green University Review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(1-2), 35-64.</w:t>
      </w:r>
    </w:p>
    <w:p w14:paraId="3C985B3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Solomon, E. (2022). Nigeria's Electoral Act 2022: Of Electoral Politics, Litigations and Matters Arising. </w:t>
      </w:r>
      <w:r w:rsidRPr="001F274E">
        <w:rPr>
          <w:rFonts w:ascii="Georgia" w:hAnsi="Georgia" w:cstheme="majorHAnsi"/>
          <w:i/>
          <w:iCs/>
          <w:color w:val="222222"/>
          <w:szCs w:val="24"/>
          <w:shd w:val="clear" w:color="auto" w:fill="FFFFFF"/>
        </w:rPr>
        <w:t>Carnelian Journal of Law and Politics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w:t>
      </w:r>
      <w:r w:rsidRPr="001F274E">
        <w:rPr>
          <w:rFonts w:ascii="Georgia" w:hAnsi="Georgia" w:cstheme="majorHAnsi"/>
          <w:color w:val="222222"/>
          <w:szCs w:val="24"/>
          <w:shd w:val="clear" w:color="auto" w:fill="FFFFFF"/>
        </w:rPr>
        <w:t>(2).</w:t>
      </w:r>
    </w:p>
    <w:p w14:paraId="3BF00D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Sunday, A. A., </w:t>
      </w:r>
      <w:proofErr w:type="spellStart"/>
      <w:r w:rsidRPr="001F274E">
        <w:rPr>
          <w:rFonts w:ascii="Georgia" w:hAnsi="Georgia" w:cstheme="majorHAnsi"/>
          <w:color w:val="222222"/>
          <w:szCs w:val="24"/>
          <w:shd w:val="clear" w:color="auto" w:fill="FFFFFF"/>
        </w:rPr>
        <w:t>Umoinyang</w:t>
      </w:r>
      <w:proofErr w:type="spellEnd"/>
      <w:r w:rsidRPr="001F274E">
        <w:rPr>
          <w:rFonts w:ascii="Georgia" w:hAnsi="Georgia" w:cstheme="majorHAnsi"/>
          <w:color w:val="222222"/>
          <w:szCs w:val="24"/>
          <w:shd w:val="clear" w:color="auto" w:fill="FFFFFF"/>
        </w:rPr>
        <w:t xml:space="preserve">, I. E., &amp; </w:t>
      </w:r>
      <w:proofErr w:type="spellStart"/>
      <w:r w:rsidRPr="001F274E">
        <w:rPr>
          <w:rFonts w:ascii="Georgia" w:hAnsi="Georgia" w:cstheme="majorHAnsi"/>
          <w:color w:val="222222"/>
          <w:szCs w:val="24"/>
          <w:shd w:val="clear" w:color="auto" w:fill="FFFFFF"/>
        </w:rPr>
        <w:t>Ekuri</w:t>
      </w:r>
      <w:proofErr w:type="spellEnd"/>
      <w:r w:rsidRPr="001F274E">
        <w:rPr>
          <w:rFonts w:ascii="Georgia" w:hAnsi="Georgia" w:cstheme="majorHAnsi"/>
          <w:color w:val="222222"/>
          <w:szCs w:val="24"/>
          <w:shd w:val="clear" w:color="auto" w:fill="FFFFFF"/>
        </w:rPr>
        <w:t>, P. K. (2014). Exercise in heat: Responses and limitations of the body. </w:t>
      </w:r>
      <w:r w:rsidRPr="001F274E">
        <w:rPr>
          <w:rFonts w:ascii="Georgia" w:hAnsi="Georgia" w:cstheme="majorHAnsi"/>
          <w:i/>
          <w:iCs/>
          <w:color w:val="222222"/>
          <w:szCs w:val="24"/>
          <w:shd w:val="clear" w:color="auto" w:fill="FFFFFF"/>
        </w:rPr>
        <w:t>Ilorin Journal of Education (IJE)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33</w:t>
      </w:r>
      <w:r w:rsidRPr="001F274E">
        <w:rPr>
          <w:rFonts w:ascii="Georgia" w:hAnsi="Georgia" w:cstheme="majorHAnsi"/>
          <w:color w:val="222222"/>
          <w:szCs w:val="24"/>
          <w:shd w:val="clear" w:color="auto" w:fill="FFFFFF"/>
        </w:rPr>
        <w:t>, 13-24.</w:t>
      </w:r>
    </w:p>
    <w:p w14:paraId="033704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szCs w:val="24"/>
        </w:rPr>
      </w:pPr>
      <w:proofErr w:type="spellStart"/>
      <w:r w:rsidRPr="001F274E">
        <w:rPr>
          <w:rFonts w:ascii="Georgia" w:hAnsi="Georgia" w:cstheme="majorHAnsi"/>
          <w:color w:val="222222"/>
          <w:szCs w:val="24"/>
          <w:shd w:val="clear" w:color="auto" w:fill="FFFFFF"/>
        </w:rPr>
        <w:t>Ugoh</w:t>
      </w:r>
      <w:proofErr w:type="spellEnd"/>
      <w:r w:rsidRPr="001F274E">
        <w:rPr>
          <w:rFonts w:ascii="Georgia" w:hAnsi="Georgia" w:cstheme="majorHAnsi"/>
          <w:color w:val="222222"/>
          <w:szCs w:val="24"/>
          <w:shd w:val="clear" w:color="auto" w:fill="FFFFFF"/>
        </w:rPr>
        <w:t>, S. C. (2022). </w:t>
      </w:r>
      <w:r w:rsidRPr="001F274E">
        <w:rPr>
          <w:rFonts w:ascii="Georgia" w:hAnsi="Georgia" w:cstheme="majorHAnsi"/>
          <w:i/>
          <w:iCs/>
          <w:color w:val="222222"/>
          <w:szCs w:val="24"/>
          <w:shd w:val="clear" w:color="auto" w:fill="FFFFFF"/>
        </w:rPr>
        <w:t>The Independent National Electoral Commission and the Quest for Electoral Integrity: A Study of the 2019 Kogi State Governorship Election</w:t>
      </w:r>
      <w:r w:rsidRPr="001F274E">
        <w:rPr>
          <w:rFonts w:ascii="Georgia" w:hAnsi="Georgia" w:cstheme="majorHAnsi"/>
          <w:color w:val="222222"/>
          <w:szCs w:val="24"/>
          <w:shd w:val="clear" w:color="auto" w:fill="FFFFFF"/>
        </w:rPr>
        <w:t> (Doctoral dissertation, NILDS-Department of Studies)</w:t>
      </w:r>
    </w:p>
    <w:p w14:paraId="70A89B26" w14:textId="77777777" w:rsidR="001F274E" w:rsidRPr="001F274E" w:rsidRDefault="001F274E" w:rsidP="001F274E">
      <w:pPr>
        <w:spacing w:line="240" w:lineRule="auto"/>
        <w:contextualSpacing/>
        <w:rPr>
          <w:rFonts w:ascii="Georgia" w:hAnsi="Georgia" w:cstheme="majorHAnsi"/>
          <w:noProof/>
          <w:szCs w:val="24"/>
          <w:lang w:val="id-ID"/>
        </w:rPr>
      </w:pPr>
    </w:p>
    <w:p w14:paraId="0F54E85C" w14:textId="77777777" w:rsidR="00AB3273" w:rsidRPr="001F274E" w:rsidRDefault="00000000">
      <w:pPr>
        <w:rPr>
          <w:rFonts w:ascii="Georgia" w:hAnsi="Georgia"/>
          <w:szCs w:val="24"/>
        </w:rPr>
      </w:pPr>
    </w:p>
    <w:sectPr w:rsidR="00AB3273" w:rsidRPr="001F274E" w:rsidSect="001F274E">
      <w:headerReference w:type="even" r:id="rId11"/>
      <w:headerReference w:type="default" r:id="rId12"/>
      <w:footerReference w:type="even" r:id="rId13"/>
      <w:footerReference w:type="default" r:id="rId14"/>
      <w:headerReference w:type="first" r:id="rId15"/>
      <w:footerReference w:type="first" r:id="rId16"/>
      <w:pgSz w:w="11900" w:h="16840" w:code="9"/>
      <w:pgMar w:top="1440" w:right="1440" w:bottom="1440" w:left="1440" w:header="709" w:footer="709" w:gutter="0"/>
      <w:pgNumType w:start="1" w:chapStyle="1"/>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 w:date="2023-02-10T10:06:00Z" w:initials="Z">
    <w:p w14:paraId="3E0AE9B1" w14:textId="01B4FDDD" w:rsidR="00572487" w:rsidRDefault="00572487">
      <w:pPr>
        <w:pStyle w:val="CommentText"/>
      </w:pPr>
      <w:r>
        <w:rPr>
          <w:rStyle w:val="CommentReference"/>
        </w:rPr>
        <w:annotationRef/>
      </w:r>
      <w:r>
        <w:rPr>
          <w:rStyle w:val="CommentReference"/>
        </w:rPr>
        <w:annotationRef/>
      </w:r>
      <w:r>
        <w:rPr>
          <w:rStyle w:val="CommentReference"/>
        </w:rPr>
        <w:annotationRef/>
      </w:r>
      <w:r w:rsidRPr="00FE3C27">
        <w:t>This section contains an explanation of the objectives, methods and results as well as the implications of the research findings</w:t>
      </w:r>
    </w:p>
  </w:comment>
  <w:comment w:id="1" w:author="Z" w:date="2023-02-10T10:07:00Z" w:initials="Z">
    <w:p w14:paraId="277D635A" w14:textId="2446B098" w:rsidR="00572487" w:rsidRDefault="00572487">
      <w:pPr>
        <w:pStyle w:val="CommentText"/>
      </w:pPr>
      <w:r>
        <w:rPr>
          <w:rStyle w:val="CommentReference"/>
        </w:rPr>
        <w:annotationRef/>
      </w:r>
      <w:r>
        <w:rPr>
          <w:rStyle w:val="CommentReference"/>
        </w:rPr>
        <w:annotationRef/>
      </w:r>
      <w:r>
        <w:rPr>
          <w:rStyle w:val="CommentReference"/>
        </w:rPr>
        <w:annotationRef/>
      </w:r>
      <w:r w:rsidRPr="00DB5A8F">
        <w:t>Introduction There are no relevant previous studies, give a difference between them</w:t>
      </w:r>
    </w:p>
  </w:comment>
  <w:comment w:id="2" w:author="Z" w:date="2023-02-10T10:07:00Z" w:initials="Z">
    <w:p w14:paraId="53280A7A" w14:textId="62E0107A" w:rsidR="00572487" w:rsidRDefault="00572487">
      <w:pPr>
        <w:pStyle w:val="CommentText"/>
      </w:pPr>
      <w:r>
        <w:rPr>
          <w:rStyle w:val="CommentReference"/>
        </w:rPr>
        <w:annotationRef/>
      </w:r>
      <w:r>
        <w:rPr>
          <w:rStyle w:val="CommentReference"/>
        </w:rPr>
        <w:annotationRef/>
      </w:r>
      <w:r>
        <w:rPr>
          <w:rStyle w:val="CommentReference"/>
        </w:rPr>
        <w:annotationRef/>
      </w:r>
      <w:r w:rsidRPr="003712CE">
        <w:t>With a long discussion, provide a discussion diagram, describe the findings in the form of a mind map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0AE9B1" w15:done="0"/>
  <w15:commentEx w15:paraId="277D635A" w15:done="0"/>
  <w15:commentEx w15:paraId="53280A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95C2" w16cex:dateUtc="2023-02-10T03:06:00Z"/>
  <w16cex:commentExtensible w16cex:durableId="279095D0" w16cex:dateUtc="2023-02-10T03:07:00Z"/>
  <w16cex:commentExtensible w16cex:durableId="279095E3" w16cex:dateUtc="2023-02-10T0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0AE9B1" w16cid:durableId="279095C2"/>
  <w16cid:commentId w16cid:paraId="277D635A" w16cid:durableId="279095D0"/>
  <w16cid:commentId w16cid:paraId="53280A7A" w16cid:durableId="279095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66450" w14:textId="77777777" w:rsidR="00875DB8" w:rsidRDefault="00875DB8" w:rsidP="001F274E">
      <w:pPr>
        <w:spacing w:before="0" w:line="240" w:lineRule="auto"/>
      </w:pPr>
      <w:r>
        <w:separator/>
      </w:r>
    </w:p>
  </w:endnote>
  <w:endnote w:type="continuationSeparator" w:id="0">
    <w:p w14:paraId="0E415652" w14:textId="77777777" w:rsidR="00875DB8" w:rsidRDefault="00875DB8" w:rsidP="001F27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8FEB" w14:textId="77777777" w:rsidR="00D05E63" w:rsidRPr="00D05E63" w:rsidRDefault="00C273C7">
    <w:pPr>
      <w:pStyle w:val="Foo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Pr>
        <w:noProof/>
        <w:sz w:val="16"/>
        <w:szCs w:val="16"/>
      </w:rPr>
      <w:t>8</w:t>
    </w:r>
    <w:r w:rsidRPr="00D05E63">
      <w:rPr>
        <w:noProof/>
        <w:sz w:val="16"/>
        <w:szCs w:val="16"/>
      </w:rPr>
      <w:fldChar w:fldCharType="end"/>
    </w:r>
  </w:p>
  <w:p w14:paraId="2333FC6B" w14:textId="77777777" w:rsidR="00FE0CF2" w:rsidRPr="000E5DF5" w:rsidRDefault="00000000" w:rsidP="002A7614">
    <w:pPr>
      <w:pStyle w:val="Header"/>
      <w:tabs>
        <w:tab w:val="clear" w:pos="9270"/>
        <w:tab w:val="right" w:pos="9062"/>
      </w:tabs>
      <w:ind w:right="2"/>
      <w:jc w:val="right"/>
      <w:rPr>
        <w:rFonts w:ascii="Cambria" w:hAnsi="Cambri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B4A5" w14:textId="77777777" w:rsidR="00FE0CF2" w:rsidRPr="00BD1923" w:rsidRDefault="00C273C7" w:rsidP="002E1256">
    <w:pPr>
      <w:pStyle w:val="Footer"/>
      <w:tabs>
        <w:tab w:val="clear" w:pos="8640"/>
        <w:tab w:val="right" w:pos="9064"/>
      </w:tabs>
      <w:spacing w:before="0" w:line="240" w:lineRule="auto"/>
      <w:jc w:val="left"/>
      <w:rPr>
        <w:sz w:val="16"/>
        <w:szCs w:val="16"/>
      </w:rPr>
    </w:pPr>
    <w:r w:rsidRPr="000E5DF5">
      <w:rPr>
        <w:rFonts w:ascii="Cambria" w:hAnsi="Cambria"/>
        <w:i/>
        <w:sz w:val="16"/>
        <w:szCs w:val="16"/>
      </w:rPr>
      <w:tab/>
    </w:r>
    <w:r w:rsidRPr="000E5DF5">
      <w:rPr>
        <w:rFonts w:ascii="Cambria" w:hAnsi="Cambria"/>
        <w:i/>
        <w:sz w:val="16"/>
        <w:szCs w:val="16"/>
      </w:rPr>
      <w:tab/>
    </w:r>
    <w:r w:rsidRPr="00BD1923">
      <w:rPr>
        <w:sz w:val="16"/>
        <w:szCs w:val="16"/>
      </w:rPr>
      <w:fldChar w:fldCharType="begin"/>
    </w:r>
    <w:r w:rsidRPr="00BD1923">
      <w:rPr>
        <w:sz w:val="16"/>
        <w:szCs w:val="16"/>
      </w:rPr>
      <w:instrText xml:space="preserve"> PAGE   \* MERGEFORMAT </w:instrText>
    </w:r>
    <w:r w:rsidRPr="00BD1923">
      <w:rPr>
        <w:sz w:val="16"/>
        <w:szCs w:val="16"/>
      </w:rPr>
      <w:fldChar w:fldCharType="separate"/>
    </w:r>
    <w:r w:rsidR="001F274E">
      <w:rPr>
        <w:noProof/>
        <w:sz w:val="16"/>
        <w:szCs w:val="16"/>
      </w:rPr>
      <w:t>9</w:t>
    </w:r>
    <w:r w:rsidRPr="00BD1923">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4175" w14:textId="77777777" w:rsidR="00D05E63" w:rsidRPr="00D05E63" w:rsidRDefault="00C273C7" w:rsidP="00D05E63">
    <w:pPr>
      <w:pStyle w:val="Footer"/>
      <w:jc w:val="cen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sidR="001F274E">
      <w:rPr>
        <w:noProof/>
        <w:sz w:val="16"/>
        <w:szCs w:val="16"/>
      </w:rPr>
      <w:t>1</w:t>
    </w:r>
    <w:r w:rsidRPr="00D05E63">
      <w:rPr>
        <w:noProof/>
        <w:sz w:val="16"/>
        <w:szCs w:val="16"/>
      </w:rPr>
      <w:fldChar w:fldCharType="end"/>
    </w:r>
  </w:p>
  <w:p w14:paraId="0D22EFD6" w14:textId="77777777" w:rsidR="00FE0CF2" w:rsidRPr="00333160" w:rsidRDefault="0000000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0A889" w14:textId="77777777" w:rsidR="00875DB8" w:rsidRDefault="00875DB8" w:rsidP="001F274E">
      <w:pPr>
        <w:spacing w:before="0" w:line="240" w:lineRule="auto"/>
      </w:pPr>
      <w:r>
        <w:separator/>
      </w:r>
    </w:p>
  </w:footnote>
  <w:footnote w:type="continuationSeparator" w:id="0">
    <w:p w14:paraId="1E38B06F" w14:textId="77777777" w:rsidR="00875DB8" w:rsidRDefault="00875DB8" w:rsidP="001F274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B3FA" w14:textId="77777777" w:rsidR="00FE0CF2" w:rsidRPr="00431576" w:rsidRDefault="00C273C7" w:rsidP="00431576">
    <w:pPr>
      <w:pStyle w:val="Header"/>
      <w:tabs>
        <w:tab w:val="clear" w:pos="9270"/>
        <w:tab w:val="right" w:pos="9450"/>
      </w:tabs>
      <w:ind w:right="2"/>
      <w:jc w:val="center"/>
      <w:rPr>
        <w:sz w:val="16"/>
        <w:szCs w:val="16"/>
      </w:rPr>
    </w:pPr>
    <w:proofErr w:type="spellStart"/>
    <w:r w:rsidRPr="00525239">
      <w:rPr>
        <w:rStyle w:val="PageNumber"/>
        <w:sz w:val="16"/>
        <w:szCs w:val="16"/>
        <w:lang w:val="id-ID"/>
      </w:rPr>
      <w:t>Miebaka</w:t>
    </w:r>
    <w:proofErr w:type="spellEnd"/>
    <w:r w:rsidRPr="00525239">
      <w:rPr>
        <w:rStyle w:val="PageNumber"/>
        <w:sz w:val="16"/>
        <w:szCs w:val="16"/>
        <w:lang w:val="id-ID"/>
      </w:rPr>
      <w:t xml:space="preserve"> </w:t>
    </w:r>
    <w:proofErr w:type="spellStart"/>
    <w:r w:rsidRPr="00525239">
      <w:rPr>
        <w:rStyle w:val="PageNumber"/>
        <w:sz w:val="16"/>
        <w:szCs w:val="16"/>
        <w:lang w:val="id-ID"/>
      </w:rPr>
      <w:t>Nabiebu</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5327" w14:textId="77777777" w:rsidR="00431576" w:rsidRPr="009E4331" w:rsidRDefault="00C273C7" w:rsidP="00431576">
    <w:pPr>
      <w:pStyle w:val="Header"/>
      <w:tabs>
        <w:tab w:val="clear" w:pos="9270"/>
        <w:tab w:val="right" w:pos="9450"/>
      </w:tabs>
      <w:ind w:right="2"/>
      <w:jc w:val="center"/>
      <w:rPr>
        <w:sz w:val="14"/>
        <w:lang w:val="id-ID"/>
      </w:rPr>
    </w:pPr>
    <w:proofErr w:type="spellStart"/>
    <w:r>
      <w:rPr>
        <w:sz w:val="16"/>
        <w:szCs w:val="24"/>
        <w:lang w:val="id-ID"/>
      </w:rPr>
      <w:t>Title</w:t>
    </w:r>
    <w:proofErr w:type="spellEnd"/>
    <w:r>
      <w:rPr>
        <w:sz w:val="16"/>
        <w:szCs w:val="24"/>
        <w:lang w:val="id-ID"/>
      </w:rPr>
      <w:t xml:space="preserve"> </w:t>
    </w:r>
    <w:proofErr w:type="spellStart"/>
    <w:r>
      <w:rPr>
        <w:sz w:val="16"/>
        <w:szCs w:val="24"/>
        <w:lang w:val="id-ID"/>
      </w:rPr>
      <w:t>of</w:t>
    </w:r>
    <w:proofErr w:type="spellEnd"/>
    <w:r>
      <w:rPr>
        <w:sz w:val="16"/>
        <w:szCs w:val="24"/>
        <w:lang w:val="id-ID"/>
      </w:rPr>
      <w:t xml:space="preserve"> </w:t>
    </w:r>
    <w:proofErr w:type="spellStart"/>
    <w:r>
      <w:rPr>
        <w:sz w:val="16"/>
        <w:szCs w:val="24"/>
        <w:lang w:val="id-ID"/>
      </w:rPr>
      <w:t>Manuscript</w:t>
    </w:r>
    <w:proofErr w:type="spellEnd"/>
  </w:p>
  <w:p w14:paraId="53ACC2C1" w14:textId="77777777" w:rsidR="00FE0CF2" w:rsidRPr="00431576" w:rsidRDefault="00000000" w:rsidP="00431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FA68" w14:textId="77777777" w:rsidR="00B12AC0" w:rsidRPr="00F00605" w:rsidRDefault="00000000" w:rsidP="00ED1A19">
    <w:pPr>
      <w:pStyle w:val="Header"/>
      <w:spacing w:line="240" w:lineRule="auto"/>
      <w:rPr>
        <w:color w:val="FFFFFF"/>
        <w:sz w:val="16"/>
        <w:szCs w:val="16"/>
        <w:lang w:val="id-ID"/>
      </w:rPr>
    </w:pPr>
    <w:hyperlink r:id="rId1" w:history="1">
      <w:r w:rsidR="00C273C7" w:rsidRPr="00F00605">
        <w:rPr>
          <w:color w:val="FFFFFF"/>
          <w:sz w:val="16"/>
          <w:szCs w:val="16"/>
          <w:lang w:val="id-ID"/>
        </w:rPr>
        <w:t>https://dx.doi.org/10.23887/jpp.v53i1.24127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935090"/>
    <w:multiLevelType w:val="hybridMultilevel"/>
    <w:tmpl w:val="F9AA7166"/>
    <w:lvl w:ilvl="0" w:tplc="40486B24">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28135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
    <w15:presenceInfo w15:providerId="None" w15:userId="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4E"/>
    <w:rsid w:val="001E5887"/>
    <w:rsid w:val="001F274E"/>
    <w:rsid w:val="002400C7"/>
    <w:rsid w:val="002D7526"/>
    <w:rsid w:val="0036377F"/>
    <w:rsid w:val="00572487"/>
    <w:rsid w:val="00875DB8"/>
    <w:rsid w:val="008D3BE8"/>
    <w:rsid w:val="00C273C7"/>
    <w:rsid w:val="00FB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0828"/>
  <w15:chartTrackingRefBased/>
  <w15:docId w15:val="{7775526E-BD34-45C9-AB5D-F5A92D59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74E"/>
    <w:pPr>
      <w:spacing w:before="160" w:after="0" w:line="260" w:lineRule="atLeast"/>
      <w:jc w:val="both"/>
    </w:pPr>
    <w:rPr>
      <w:rFonts w:ascii="Times New Roman" w:eastAsia="Times New Roman" w:hAnsi="Times New Roman" w:cs="Times New Roman"/>
      <w:sz w:val="24"/>
      <w:szCs w:val="20"/>
      <w:lang w:val="en-AU" w:eastAsia="tr-TR"/>
    </w:rPr>
  </w:style>
  <w:style w:type="paragraph" w:styleId="Heading1">
    <w:name w:val="heading 1"/>
    <w:basedOn w:val="Normal"/>
    <w:next w:val="Normal"/>
    <w:link w:val="Heading1Char"/>
    <w:qFormat/>
    <w:rsid w:val="001F274E"/>
    <w:pPr>
      <w:spacing w:before="0" w:line="240" w:lineRule="auto"/>
      <w:ind w:right="22"/>
      <w:outlineLvl w:val="0"/>
    </w:pPr>
    <w:rPr>
      <w:b/>
      <w:noProof/>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274E"/>
    <w:pPr>
      <w:tabs>
        <w:tab w:val="center" w:pos="4320"/>
        <w:tab w:val="right" w:pos="8640"/>
      </w:tabs>
    </w:pPr>
  </w:style>
  <w:style w:type="character" w:customStyle="1" w:styleId="FooterChar">
    <w:name w:val="Footer Char"/>
    <w:basedOn w:val="DefaultParagraphFont"/>
    <w:link w:val="Footer"/>
    <w:uiPriority w:val="99"/>
    <w:rsid w:val="001F274E"/>
    <w:rPr>
      <w:rFonts w:ascii="Times New Roman" w:eastAsia="Times New Roman" w:hAnsi="Times New Roman" w:cs="Times New Roman"/>
      <w:sz w:val="24"/>
      <w:szCs w:val="20"/>
      <w:lang w:val="en-AU" w:eastAsia="tr-TR"/>
    </w:rPr>
  </w:style>
  <w:style w:type="paragraph" w:styleId="Header">
    <w:name w:val="header"/>
    <w:basedOn w:val="Normal"/>
    <w:link w:val="HeaderChar"/>
    <w:uiPriority w:val="99"/>
    <w:rsid w:val="001F274E"/>
    <w:pPr>
      <w:tabs>
        <w:tab w:val="right" w:pos="9270"/>
      </w:tabs>
      <w:spacing w:before="0"/>
      <w:ind w:right="158"/>
    </w:pPr>
    <w:rPr>
      <w:i/>
    </w:rPr>
  </w:style>
  <w:style w:type="character" w:customStyle="1" w:styleId="HeaderChar">
    <w:name w:val="Header Char"/>
    <w:basedOn w:val="DefaultParagraphFont"/>
    <w:link w:val="Header"/>
    <w:uiPriority w:val="99"/>
    <w:rsid w:val="001F274E"/>
    <w:rPr>
      <w:rFonts w:ascii="Times New Roman" w:eastAsia="Times New Roman" w:hAnsi="Times New Roman" w:cs="Times New Roman"/>
      <w:i/>
      <w:sz w:val="24"/>
      <w:szCs w:val="20"/>
      <w:lang w:val="en-AU" w:eastAsia="tr-TR"/>
    </w:rPr>
  </w:style>
  <w:style w:type="character" w:styleId="PageNumber">
    <w:name w:val="page number"/>
    <w:basedOn w:val="DefaultParagraphFont"/>
    <w:rsid w:val="001F274E"/>
  </w:style>
  <w:style w:type="character" w:styleId="Hyperlink">
    <w:name w:val="Hyperlink"/>
    <w:uiPriority w:val="99"/>
    <w:rsid w:val="001F274E"/>
    <w:rPr>
      <w:color w:val="0000FF"/>
      <w:u w:val="single"/>
    </w:rPr>
  </w:style>
  <w:style w:type="character" w:styleId="Strong">
    <w:name w:val="Strong"/>
    <w:uiPriority w:val="22"/>
    <w:qFormat/>
    <w:rsid w:val="001F274E"/>
    <w:rPr>
      <w:b/>
      <w:bCs/>
    </w:rPr>
  </w:style>
  <w:style w:type="character" w:styleId="Emphasis">
    <w:name w:val="Emphasis"/>
    <w:uiPriority w:val="20"/>
    <w:qFormat/>
    <w:rsid w:val="001F274E"/>
    <w:rPr>
      <w:i/>
      <w:iCs/>
    </w:rPr>
  </w:style>
  <w:style w:type="paragraph" w:styleId="NormalWeb">
    <w:name w:val="Normal (Web)"/>
    <w:basedOn w:val="Normal"/>
    <w:uiPriority w:val="99"/>
    <w:unhideWhenUsed/>
    <w:rsid w:val="001F274E"/>
    <w:pPr>
      <w:spacing w:before="100" w:beforeAutospacing="1" w:after="100" w:afterAutospacing="1" w:line="240" w:lineRule="auto"/>
      <w:jc w:val="left"/>
    </w:pPr>
    <w:rPr>
      <w:szCs w:val="24"/>
      <w:lang w:val="en-US" w:eastAsia="en-US"/>
    </w:rPr>
  </w:style>
  <w:style w:type="character" w:customStyle="1" w:styleId="Heading1Char">
    <w:name w:val="Heading 1 Char"/>
    <w:basedOn w:val="DefaultParagraphFont"/>
    <w:link w:val="Heading1"/>
    <w:rsid w:val="001F274E"/>
    <w:rPr>
      <w:rFonts w:ascii="Times New Roman" w:eastAsia="Times New Roman" w:hAnsi="Times New Roman" w:cs="Times New Roman"/>
      <w:b/>
      <w:noProof/>
      <w:sz w:val="24"/>
      <w:szCs w:val="24"/>
      <w:lang w:val="id-ID" w:eastAsia="tr-TR"/>
    </w:rPr>
  </w:style>
  <w:style w:type="character" w:styleId="CommentReference">
    <w:name w:val="annotation reference"/>
    <w:basedOn w:val="DefaultParagraphFont"/>
    <w:uiPriority w:val="99"/>
    <w:semiHidden/>
    <w:unhideWhenUsed/>
    <w:rsid w:val="002D7526"/>
    <w:rPr>
      <w:sz w:val="16"/>
      <w:szCs w:val="16"/>
    </w:rPr>
  </w:style>
  <w:style w:type="paragraph" w:styleId="CommentText">
    <w:name w:val="annotation text"/>
    <w:basedOn w:val="Normal"/>
    <w:link w:val="CommentTextChar"/>
    <w:uiPriority w:val="99"/>
    <w:semiHidden/>
    <w:unhideWhenUsed/>
    <w:rsid w:val="002D7526"/>
    <w:pPr>
      <w:spacing w:line="240" w:lineRule="auto"/>
    </w:pPr>
    <w:rPr>
      <w:sz w:val="20"/>
    </w:rPr>
  </w:style>
  <w:style w:type="character" w:customStyle="1" w:styleId="CommentTextChar">
    <w:name w:val="Comment Text Char"/>
    <w:basedOn w:val="DefaultParagraphFont"/>
    <w:link w:val="CommentText"/>
    <w:uiPriority w:val="99"/>
    <w:semiHidden/>
    <w:rsid w:val="002D7526"/>
    <w:rPr>
      <w:rFonts w:ascii="Times New Roman" w:eastAsia="Times New Roman" w:hAnsi="Times New Roman" w:cs="Times New Roman"/>
      <w:sz w:val="20"/>
      <w:szCs w:val="20"/>
      <w:lang w:val="en-AU" w:eastAsia="tr-TR"/>
    </w:rPr>
  </w:style>
  <w:style w:type="paragraph" w:styleId="CommentSubject">
    <w:name w:val="annotation subject"/>
    <w:basedOn w:val="CommentText"/>
    <w:next w:val="CommentText"/>
    <w:link w:val="CommentSubjectChar"/>
    <w:uiPriority w:val="99"/>
    <w:semiHidden/>
    <w:unhideWhenUsed/>
    <w:rsid w:val="002D7526"/>
    <w:rPr>
      <w:b/>
      <w:bCs/>
    </w:rPr>
  </w:style>
  <w:style w:type="character" w:customStyle="1" w:styleId="CommentSubjectChar">
    <w:name w:val="Comment Subject Char"/>
    <w:basedOn w:val="CommentTextChar"/>
    <w:link w:val="CommentSubject"/>
    <w:uiPriority w:val="99"/>
    <w:semiHidden/>
    <w:rsid w:val="002D7526"/>
    <w:rPr>
      <w:rFonts w:ascii="Times New Roman" w:eastAsia="Times New Roman" w:hAnsi="Times New Roman" w:cs="Times New Roman"/>
      <w:b/>
      <w:bCs/>
      <w:sz w:val="20"/>
      <w:szCs w:val="20"/>
      <w:lang w:val="en-AU"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s://dx.doi.org/10.23887/jpp.v53i1.24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4369</Words>
  <Characters>24906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Z</cp:lastModifiedBy>
  <cp:revision>5</cp:revision>
  <dcterms:created xsi:type="dcterms:W3CDTF">2023-02-08T21:00:00Z</dcterms:created>
  <dcterms:modified xsi:type="dcterms:W3CDTF">2023-02-10T03:07:00Z</dcterms:modified>
</cp:coreProperties>
</file>