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724E6" w14:textId="77777777" w:rsidR="00851182" w:rsidRPr="00BA4BC1" w:rsidRDefault="00BA4BC1" w:rsidP="00BA4BC1">
      <w:pPr>
        <w:pStyle w:val="Heading1"/>
        <w:spacing w:before="0" w:line="240" w:lineRule="auto"/>
        <w:jc w:val="center"/>
        <w:rPr>
          <w:rFonts w:ascii="Times New Roman" w:hAnsi="Times New Roman" w:cs="Times New Roman"/>
          <w:color w:val="000000" w:themeColor="text1"/>
          <w:sz w:val="24"/>
          <w:szCs w:val="24"/>
        </w:rPr>
      </w:pPr>
      <w:r w:rsidRPr="00BA4BC1">
        <w:rPr>
          <w:rFonts w:ascii="Times New Roman" w:hAnsi="Times New Roman" w:cs="Times New Roman"/>
          <w:color w:val="000000" w:themeColor="text1"/>
          <w:sz w:val="24"/>
          <w:szCs w:val="24"/>
        </w:rPr>
        <w:t xml:space="preserve">The Status of the Customary Tenant </w:t>
      </w:r>
      <w:proofErr w:type="gramStart"/>
      <w:r w:rsidRPr="00BA4BC1">
        <w:rPr>
          <w:rFonts w:ascii="Times New Roman" w:hAnsi="Times New Roman" w:cs="Times New Roman"/>
          <w:color w:val="000000" w:themeColor="text1"/>
          <w:sz w:val="24"/>
          <w:szCs w:val="24"/>
        </w:rPr>
        <w:t>In</w:t>
      </w:r>
      <w:proofErr w:type="gramEnd"/>
      <w:r w:rsidRPr="00BA4BC1">
        <w:rPr>
          <w:rFonts w:ascii="Times New Roman" w:hAnsi="Times New Roman" w:cs="Times New Roman"/>
          <w:color w:val="000000" w:themeColor="text1"/>
          <w:sz w:val="24"/>
          <w:szCs w:val="24"/>
        </w:rPr>
        <w:t xml:space="preserve"> Relation To Land Held by Him under Customary Law: The Dilemma for the </w:t>
      </w:r>
      <w:commentRangeStart w:id="0"/>
      <w:r w:rsidRPr="00BA4BC1">
        <w:rPr>
          <w:rFonts w:ascii="Times New Roman" w:hAnsi="Times New Roman" w:cs="Times New Roman"/>
          <w:color w:val="000000" w:themeColor="text1"/>
          <w:sz w:val="24"/>
          <w:szCs w:val="24"/>
        </w:rPr>
        <w:t>Conveyancers in Nigeria</w:t>
      </w:r>
      <w:commentRangeEnd w:id="0"/>
      <w:r w:rsidR="00A832B8">
        <w:rPr>
          <w:rStyle w:val="CommentReference"/>
          <w:rFonts w:asciiTheme="minorHAnsi" w:eastAsiaTheme="minorHAnsi" w:hAnsiTheme="minorHAnsi" w:cstheme="minorBidi"/>
          <w:b w:val="0"/>
          <w:bCs w:val="0"/>
          <w:color w:val="auto"/>
        </w:rPr>
        <w:commentReference w:id="0"/>
      </w:r>
    </w:p>
    <w:p w14:paraId="539F7308" w14:textId="77777777" w:rsidR="00873DCB" w:rsidRPr="00BA4BC1" w:rsidRDefault="00873DCB" w:rsidP="00EB3EFA">
      <w:pPr>
        <w:spacing w:after="0" w:line="240" w:lineRule="auto"/>
        <w:rPr>
          <w:rFonts w:ascii="Times New Roman" w:hAnsi="Times New Roman" w:cs="Times New Roman"/>
          <w:sz w:val="24"/>
          <w:szCs w:val="24"/>
        </w:rPr>
      </w:pPr>
    </w:p>
    <w:p w14:paraId="270CCDD4" w14:textId="77777777" w:rsidR="002223AA" w:rsidRPr="00BA4BC1" w:rsidRDefault="002223AA" w:rsidP="00EB3EFA">
      <w:pPr>
        <w:spacing w:after="0" w:line="240" w:lineRule="auto"/>
        <w:jc w:val="both"/>
        <w:rPr>
          <w:rFonts w:ascii="Times New Roman" w:hAnsi="Times New Roman" w:cs="Times New Roman"/>
          <w:sz w:val="24"/>
          <w:szCs w:val="24"/>
        </w:rPr>
      </w:pPr>
    </w:p>
    <w:p w14:paraId="31410247" w14:textId="77777777" w:rsidR="00610F9E" w:rsidRPr="00BA4BC1" w:rsidRDefault="00610F9E" w:rsidP="00BA4BC1">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ABSTRACT</w:t>
      </w:r>
    </w:p>
    <w:p w14:paraId="2601237A" w14:textId="77777777" w:rsidR="00500BF2" w:rsidRPr="00BA4BC1" w:rsidRDefault="00500BF2" w:rsidP="00BA4BC1">
      <w:pPr>
        <w:pStyle w:val="NormalWeb"/>
        <w:spacing w:before="0" w:beforeAutospacing="0" w:after="0" w:afterAutospacing="0"/>
        <w:jc w:val="both"/>
        <w:rPr>
          <w:color w:val="252525"/>
        </w:rPr>
      </w:pPr>
      <w:r w:rsidRPr="00BA4BC1">
        <w:rPr>
          <w:color w:val="252525"/>
        </w:rPr>
        <w:t xml:space="preserve">The article seeks to examine the effects of the Land Use Act of 1978 on the customary system of land holding in Nigeria. </w:t>
      </w:r>
      <w:commentRangeStart w:id="1"/>
      <w:r w:rsidRPr="00BA4BC1">
        <w:rPr>
          <w:color w:val="252525"/>
        </w:rPr>
        <w:t xml:space="preserve">Since the inception of the Act, the problem facing our courts, the unlearned public, and lawyers alike has been the determination of the true position of customary tenancy under the right of occupancy system introduced by the Act. In fact, the customary tenant is perplexed about the nature and scope of his property rights and obligations under the Act. </w:t>
      </w:r>
      <w:commentRangeEnd w:id="1"/>
      <w:r w:rsidR="00A832B8">
        <w:rPr>
          <w:rStyle w:val="CommentReference"/>
          <w:rFonts w:asciiTheme="minorHAnsi" w:eastAsiaTheme="minorHAnsi" w:hAnsiTheme="minorHAnsi" w:cstheme="minorBidi"/>
        </w:rPr>
        <w:commentReference w:id="1"/>
      </w:r>
      <w:r w:rsidRPr="00BA4BC1">
        <w:rPr>
          <w:color w:val="252525"/>
        </w:rPr>
        <w:t xml:space="preserve">These include his present duties and obligations, if any, to his customary overlord. The crux of the issue is whether he is to continue to pay the customary tribute to his overlord. Is he to continue seeking the approval or consent of the customary overlord before effecting a valid land transfer? Is he still under the </w:t>
      </w:r>
      <w:proofErr w:type="spellStart"/>
      <w:r w:rsidRPr="00BA4BC1">
        <w:rPr>
          <w:color w:val="252525"/>
        </w:rPr>
        <w:t>spectre</w:t>
      </w:r>
      <w:proofErr w:type="spellEnd"/>
      <w:r w:rsidRPr="00BA4BC1">
        <w:rPr>
          <w:color w:val="252525"/>
        </w:rPr>
        <w:t xml:space="preserve"> of forfeiture of his interests upon proof of bad </w:t>
      </w:r>
      <w:proofErr w:type="spellStart"/>
      <w:r w:rsidRPr="00BA4BC1">
        <w:rPr>
          <w:color w:val="252525"/>
        </w:rPr>
        <w:t>behaviour</w:t>
      </w:r>
      <w:proofErr w:type="spellEnd"/>
      <w:r w:rsidRPr="00BA4BC1">
        <w:rPr>
          <w:color w:val="252525"/>
        </w:rPr>
        <w:t xml:space="preserve"> against his overlord? Is the customary tenant entitled, as against his overlord, to the right of occupancy and the certificate of occupancy to be issued in evidence thereof? Thus, the controversy generated by these issues continues to defy consensus among the </w:t>
      </w:r>
      <w:r w:rsidR="00FD108C">
        <w:rPr>
          <w:color w:val="252525"/>
        </w:rPr>
        <w:t>“</w:t>
      </w:r>
      <w:r w:rsidRPr="00BA4BC1">
        <w:rPr>
          <w:color w:val="252525"/>
        </w:rPr>
        <w:t>egg heads</w:t>
      </w:r>
      <w:r w:rsidR="00FD108C">
        <w:rPr>
          <w:color w:val="252525"/>
        </w:rPr>
        <w:t>”</w:t>
      </w:r>
      <w:r w:rsidRPr="00BA4BC1">
        <w:rPr>
          <w:color w:val="252525"/>
        </w:rPr>
        <w:t xml:space="preserve"> of our academia as well as the erudite judges of our courts. Indeed, many judicial decisions seem to demonstrate that the judiciary is yet to put the controversy on this issue to rest. As a result, the judicial quandary for Nigerian conveyancers continues to this day. </w:t>
      </w:r>
    </w:p>
    <w:p w14:paraId="14BAD651" w14:textId="77777777" w:rsidR="00621F7C" w:rsidRPr="00BA4BC1" w:rsidRDefault="00621F7C" w:rsidP="00BA4BC1">
      <w:pPr>
        <w:spacing w:after="0" w:line="240" w:lineRule="auto"/>
        <w:jc w:val="both"/>
        <w:rPr>
          <w:rFonts w:ascii="Times New Roman" w:hAnsi="Times New Roman" w:cs="Times New Roman"/>
          <w:sz w:val="24"/>
          <w:szCs w:val="24"/>
        </w:rPr>
      </w:pPr>
    </w:p>
    <w:p w14:paraId="5EBC907B" w14:textId="77777777" w:rsidR="00621F7C" w:rsidRPr="00BA4BC1" w:rsidRDefault="00621F7C" w:rsidP="00BA4BC1">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Key Words: Customary Tenant, Overlord, Grantor, Grantee, Tribute, Rent, Forfeiture</w:t>
      </w:r>
    </w:p>
    <w:p w14:paraId="02FF9B39" w14:textId="77777777" w:rsidR="00BA4BC1" w:rsidRPr="00BA4BC1" w:rsidRDefault="00BA4BC1" w:rsidP="00EB3EFA">
      <w:pPr>
        <w:spacing w:after="0" w:line="240" w:lineRule="auto"/>
        <w:jc w:val="both"/>
        <w:rPr>
          <w:rFonts w:ascii="Times New Roman" w:hAnsi="Times New Roman" w:cs="Times New Roman"/>
          <w:sz w:val="24"/>
          <w:szCs w:val="24"/>
        </w:rPr>
      </w:pPr>
    </w:p>
    <w:p w14:paraId="22F299B3" w14:textId="77777777" w:rsidR="00F3522D" w:rsidRPr="00BA4BC1" w:rsidRDefault="00F3522D" w:rsidP="00EB3EFA">
      <w:pPr>
        <w:spacing w:after="0" w:line="240" w:lineRule="auto"/>
        <w:jc w:val="both"/>
        <w:rPr>
          <w:rFonts w:ascii="Times New Roman" w:hAnsi="Times New Roman" w:cs="Times New Roman"/>
          <w:b/>
          <w:sz w:val="24"/>
          <w:szCs w:val="24"/>
        </w:rPr>
      </w:pPr>
      <w:commentRangeStart w:id="2"/>
      <w:r w:rsidRPr="00BA4BC1">
        <w:rPr>
          <w:rFonts w:ascii="Times New Roman" w:hAnsi="Times New Roman" w:cs="Times New Roman"/>
          <w:b/>
          <w:sz w:val="24"/>
          <w:szCs w:val="24"/>
        </w:rPr>
        <w:t>INTRODUCTION</w:t>
      </w:r>
      <w:commentRangeEnd w:id="2"/>
      <w:r w:rsidR="00CB6753">
        <w:rPr>
          <w:rStyle w:val="CommentReference"/>
        </w:rPr>
        <w:commentReference w:id="2"/>
      </w:r>
    </w:p>
    <w:p w14:paraId="4FFF2026" w14:textId="77777777" w:rsidR="00EB3EFA" w:rsidRPr="00BA4BC1" w:rsidRDefault="00621F7C" w:rsidP="00EB3E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 phrase </w:t>
      </w:r>
      <w:r w:rsidR="00FD108C">
        <w:rPr>
          <w:rFonts w:ascii="Times New Roman" w:hAnsi="Times New Roman" w:cs="Times New Roman"/>
          <w:sz w:val="24"/>
          <w:szCs w:val="24"/>
        </w:rPr>
        <w:t>“</w:t>
      </w:r>
      <w:r w:rsidRPr="00BA4BC1">
        <w:rPr>
          <w:rFonts w:ascii="Times New Roman" w:hAnsi="Times New Roman" w:cs="Times New Roman"/>
          <w:sz w:val="24"/>
          <w:szCs w:val="24"/>
        </w:rPr>
        <w:t>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can be understood by first understanding the meaning of the words </w:t>
      </w:r>
      <w:r w:rsidR="00FD108C">
        <w:rPr>
          <w:rFonts w:ascii="Times New Roman" w:hAnsi="Times New Roman" w:cs="Times New Roman"/>
          <w:sz w:val="24"/>
          <w:szCs w:val="24"/>
        </w:rPr>
        <w:t>“</w:t>
      </w:r>
      <w:r w:rsidRPr="00BA4BC1">
        <w:rPr>
          <w:rFonts w:ascii="Times New Roman" w:hAnsi="Times New Roman" w:cs="Times New Roman"/>
          <w:sz w:val="24"/>
          <w:szCs w:val="24"/>
        </w:rPr>
        <w:t>Customary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Pr="00BA4BC1">
        <w:rPr>
          <w:rFonts w:ascii="Times New Roman" w:hAnsi="Times New Roman" w:cs="Times New Roman"/>
          <w:sz w:val="24"/>
          <w:szCs w:val="24"/>
        </w:rPr>
        <w:t>Tenant</w:t>
      </w:r>
      <w:r w:rsidR="00FD108C">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Ramos, 2020)</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Custom is a written law and is the mainspring of all the laws of a land</w:t>
      </w:r>
      <w:r w:rsidR="00B272B3">
        <w:rPr>
          <w:rFonts w:ascii="Times New Roman" w:hAnsi="Times New Roman" w:cs="Times New Roman"/>
          <w:sz w:val="24"/>
          <w:szCs w:val="24"/>
        </w:rPr>
        <w:t xml:space="preserve"> (</w:t>
      </w:r>
      <w:proofErr w:type="spellStart"/>
      <w:r w:rsidR="00B272B3">
        <w:rPr>
          <w:rFonts w:ascii="Arial" w:hAnsi="Arial" w:cs="Arial"/>
          <w:color w:val="000000" w:themeColor="text1"/>
          <w:sz w:val="20"/>
          <w:szCs w:val="20"/>
          <w:shd w:val="clear" w:color="auto" w:fill="FFFFFF"/>
        </w:rPr>
        <w:t>Otu</w:t>
      </w:r>
      <w:proofErr w:type="spellEnd"/>
      <w:r w:rsidR="00B272B3" w:rsidRPr="0059455E">
        <w:rPr>
          <w:rFonts w:ascii="Arial" w:hAnsi="Arial" w:cs="Arial"/>
          <w:color w:val="000000" w:themeColor="text1"/>
          <w:sz w:val="20"/>
          <w:szCs w:val="20"/>
          <w:shd w:val="clear" w:color="auto" w:fill="FFFFFF"/>
        </w:rPr>
        <w:t xml:space="preserve"> &amp; </w:t>
      </w:r>
      <w:proofErr w:type="spellStart"/>
      <w:r w:rsidR="00B272B3" w:rsidRPr="0059455E">
        <w:rPr>
          <w:rFonts w:ascii="Arial" w:hAnsi="Arial" w:cs="Arial"/>
          <w:color w:val="000000" w:themeColor="text1"/>
          <w:sz w:val="20"/>
          <w:szCs w:val="20"/>
          <w:shd w:val="clear" w:color="auto" w:fill="FFFFFF"/>
        </w:rPr>
        <w:t>Nabiebu</w:t>
      </w:r>
      <w:proofErr w:type="spellEnd"/>
      <w:r w:rsidR="00B272B3">
        <w:rPr>
          <w:rFonts w:ascii="Arial" w:hAnsi="Arial" w:cs="Arial"/>
          <w:color w:val="000000" w:themeColor="text1"/>
          <w:sz w:val="20"/>
          <w:szCs w:val="20"/>
          <w:shd w:val="clear" w:color="auto" w:fill="FFFFFF"/>
        </w:rPr>
        <w:t>, 2022)</w:t>
      </w:r>
      <w:r w:rsidRPr="00BA4BC1">
        <w:rPr>
          <w:rFonts w:ascii="Times New Roman" w:hAnsi="Times New Roman" w:cs="Times New Roman"/>
          <w:sz w:val="24"/>
          <w:szCs w:val="24"/>
        </w:rPr>
        <w:t xml:space="preserve">.  Therefore, </w:t>
      </w:r>
      <w:r w:rsidR="00FD108C">
        <w:rPr>
          <w:rFonts w:ascii="Times New Roman" w:hAnsi="Times New Roman" w:cs="Times New Roman"/>
          <w:sz w:val="24"/>
          <w:szCs w:val="24"/>
        </w:rPr>
        <w:t>“</w:t>
      </w:r>
      <w:r w:rsidRPr="00BA4BC1">
        <w:rPr>
          <w:rFonts w:ascii="Times New Roman" w:hAnsi="Times New Roman" w:cs="Times New Roman"/>
          <w:sz w:val="24"/>
          <w:szCs w:val="24"/>
        </w:rPr>
        <w:t>Customary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is a word suggesting something that has to do w</w:t>
      </w:r>
      <w:r w:rsidR="001E662F" w:rsidRPr="00BA4BC1">
        <w:rPr>
          <w:rFonts w:ascii="Times New Roman" w:hAnsi="Times New Roman" w:cs="Times New Roman"/>
          <w:sz w:val="24"/>
          <w:szCs w:val="24"/>
        </w:rPr>
        <w:t>ith the law</w:t>
      </w:r>
      <w:r w:rsidRPr="00BA4BC1">
        <w:rPr>
          <w:rFonts w:ascii="Times New Roman" w:hAnsi="Times New Roman" w:cs="Times New Roman"/>
          <w:sz w:val="24"/>
          <w:szCs w:val="24"/>
        </w:rPr>
        <w:t xml:space="preserve"> of the land.  </w:t>
      </w:r>
      <w:r w:rsidR="00FD108C">
        <w:rPr>
          <w:rFonts w:ascii="Times New Roman" w:hAnsi="Times New Roman" w:cs="Times New Roman"/>
          <w:sz w:val="24"/>
          <w:szCs w:val="24"/>
        </w:rPr>
        <w:t>“</w:t>
      </w:r>
      <w:r w:rsidRPr="00BA4BC1">
        <w:rPr>
          <w:rFonts w:ascii="Times New Roman" w:hAnsi="Times New Roman" w:cs="Times New Roman"/>
          <w:sz w:val="24"/>
          <w:szCs w:val="24"/>
        </w:rPr>
        <w:t>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on the other hand</w:t>
      </w:r>
      <w:r w:rsidR="001E662F" w:rsidRPr="00BA4BC1">
        <w:rPr>
          <w:rFonts w:ascii="Times New Roman" w:hAnsi="Times New Roman" w:cs="Times New Roman"/>
          <w:sz w:val="24"/>
          <w:szCs w:val="24"/>
        </w:rPr>
        <w:t>,</w:t>
      </w:r>
      <w:r w:rsidRPr="00BA4BC1">
        <w:rPr>
          <w:rFonts w:ascii="Times New Roman" w:hAnsi="Times New Roman" w:cs="Times New Roman"/>
          <w:sz w:val="24"/>
          <w:szCs w:val="24"/>
        </w:rPr>
        <w:t xml:space="preserve"> is one who holds land by any kind of title or right, whether permanently or temporary or one who leases premises from the land Lord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Goldberg, 1986)</w:t>
      </w:r>
      <w:r w:rsidRPr="00BA4BC1">
        <w:rPr>
          <w:rFonts w:ascii="Times New Roman" w:hAnsi="Times New Roman" w:cs="Times New Roman"/>
          <w:sz w:val="24"/>
          <w:szCs w:val="24"/>
        </w:rPr>
        <w:t>.</w:t>
      </w:r>
    </w:p>
    <w:p w14:paraId="09814486" w14:textId="77777777" w:rsidR="00EB3EFA" w:rsidRPr="00BA4BC1" w:rsidRDefault="00621F7C" w:rsidP="00BA4BC1">
      <w:pPr>
        <w:spacing w:after="0" w:line="240" w:lineRule="auto"/>
        <w:ind w:firstLine="720"/>
        <w:jc w:val="both"/>
        <w:rPr>
          <w:rFonts w:ascii="Times New Roman" w:hAnsi="Times New Roman" w:cs="Times New Roman"/>
          <w:sz w:val="24"/>
          <w:szCs w:val="24"/>
          <w:vertAlign w:val="superscript"/>
        </w:rPr>
      </w:pPr>
      <w:r w:rsidRPr="00BA4BC1">
        <w:rPr>
          <w:rFonts w:ascii="Times New Roman" w:hAnsi="Times New Roman" w:cs="Times New Roman"/>
          <w:sz w:val="24"/>
          <w:szCs w:val="24"/>
        </w:rPr>
        <w:t xml:space="preserve">In other words, </w:t>
      </w:r>
      <w:r w:rsidR="00FD108C">
        <w:rPr>
          <w:rFonts w:ascii="Times New Roman" w:hAnsi="Times New Roman" w:cs="Times New Roman"/>
          <w:sz w:val="24"/>
          <w:szCs w:val="24"/>
        </w:rPr>
        <w:t>“</w:t>
      </w:r>
      <w:r w:rsidRPr="00BA4BC1">
        <w:rPr>
          <w:rFonts w:ascii="Times New Roman" w:hAnsi="Times New Roman" w:cs="Times New Roman"/>
          <w:sz w:val="24"/>
          <w:szCs w:val="24"/>
        </w:rPr>
        <w:t>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is a person or family (as a unit) who is granted occupation and use of a piece of land by the traditional owner on payment of rent or tribute.  The rent payable must not be necessarily cash but money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worth.  Tribute is something given, done or said to show gratitude, </w:t>
      </w:r>
      <w:proofErr w:type="spellStart"/>
      <w:r w:rsidRPr="00BA4BC1">
        <w:rPr>
          <w:rFonts w:ascii="Times New Roman" w:hAnsi="Times New Roman" w:cs="Times New Roman"/>
          <w:sz w:val="24"/>
          <w:szCs w:val="24"/>
        </w:rPr>
        <w:t>honour</w:t>
      </w:r>
      <w:proofErr w:type="spellEnd"/>
      <w:r w:rsidRPr="00BA4BC1">
        <w:rPr>
          <w:rFonts w:ascii="Times New Roman" w:hAnsi="Times New Roman" w:cs="Times New Roman"/>
          <w:sz w:val="24"/>
          <w:szCs w:val="24"/>
        </w:rPr>
        <w:t xml:space="preserve"> or praise.  Thus, the features of customary tenancy </w:t>
      </w:r>
      <w:proofErr w:type="gramStart"/>
      <w:r w:rsidRPr="00BA4BC1">
        <w:rPr>
          <w:rFonts w:ascii="Times New Roman" w:hAnsi="Times New Roman" w:cs="Times New Roman"/>
          <w:sz w:val="24"/>
          <w:szCs w:val="24"/>
        </w:rPr>
        <w:t>is</w:t>
      </w:r>
      <w:proofErr w:type="gramEnd"/>
      <w:r w:rsidRPr="00BA4BC1">
        <w:rPr>
          <w:rFonts w:ascii="Times New Roman" w:hAnsi="Times New Roman" w:cs="Times New Roman"/>
          <w:sz w:val="24"/>
          <w:szCs w:val="24"/>
        </w:rPr>
        <w:t>, the relationship of the land held and tenant, payment of allegiance, tribute or loyalty of the tenant to the land</w:t>
      </w:r>
      <w:r w:rsidR="00A43297" w:rsidRPr="00BA4BC1">
        <w:rPr>
          <w:rFonts w:ascii="Times New Roman" w:hAnsi="Times New Roman" w:cs="Times New Roman"/>
          <w:sz w:val="24"/>
          <w:szCs w:val="24"/>
        </w:rPr>
        <w:t>- l</w:t>
      </w:r>
      <w:r w:rsidRPr="00BA4BC1">
        <w:rPr>
          <w:rFonts w:ascii="Times New Roman" w:hAnsi="Times New Roman" w:cs="Times New Roman"/>
          <w:sz w:val="24"/>
          <w:szCs w:val="24"/>
        </w:rPr>
        <w:t>ord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Dore, 2013)</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Customary Tenancy ar</w:t>
      </w:r>
      <w:r w:rsidR="00A43297" w:rsidRPr="00BA4BC1">
        <w:rPr>
          <w:rFonts w:ascii="Times New Roman" w:hAnsi="Times New Roman" w:cs="Times New Roman"/>
          <w:sz w:val="24"/>
          <w:szCs w:val="24"/>
        </w:rPr>
        <w:t>i</w:t>
      </w:r>
      <w:r w:rsidRPr="00BA4BC1">
        <w:rPr>
          <w:rFonts w:ascii="Times New Roman" w:hAnsi="Times New Roman" w:cs="Times New Roman"/>
          <w:sz w:val="24"/>
          <w:szCs w:val="24"/>
        </w:rPr>
        <w:t xml:space="preserve">ses where a customary landowner grants to </w:t>
      </w:r>
      <w:r w:rsidR="00483FB2" w:rsidRPr="00BA4BC1">
        <w:rPr>
          <w:rFonts w:ascii="Times New Roman" w:hAnsi="Times New Roman" w:cs="Times New Roman"/>
          <w:sz w:val="24"/>
          <w:szCs w:val="24"/>
        </w:rPr>
        <w:t>another person at customary</w:t>
      </w:r>
      <w:r w:rsidR="00A9300F" w:rsidRPr="00BA4BC1">
        <w:rPr>
          <w:rFonts w:ascii="Times New Roman" w:hAnsi="Times New Roman" w:cs="Times New Roman"/>
          <w:sz w:val="24"/>
          <w:szCs w:val="24"/>
        </w:rPr>
        <w:t xml:space="preserve"> law</w:t>
      </w:r>
      <w:r w:rsidR="00483FB2" w:rsidRPr="00BA4BC1">
        <w:rPr>
          <w:rFonts w:ascii="Times New Roman" w:hAnsi="Times New Roman" w:cs="Times New Roman"/>
          <w:sz w:val="24"/>
          <w:szCs w:val="24"/>
        </w:rPr>
        <w:t>; the right</w:t>
      </w:r>
      <w:r w:rsidR="00A9300F" w:rsidRPr="00BA4BC1">
        <w:rPr>
          <w:rFonts w:ascii="Times New Roman" w:hAnsi="Times New Roman" w:cs="Times New Roman"/>
          <w:sz w:val="24"/>
          <w:szCs w:val="24"/>
        </w:rPr>
        <w:t xml:space="preserve"> of </w:t>
      </w:r>
      <w:r w:rsidR="00A43297" w:rsidRPr="00BA4BC1">
        <w:rPr>
          <w:rFonts w:ascii="Times New Roman" w:hAnsi="Times New Roman" w:cs="Times New Roman"/>
          <w:sz w:val="24"/>
          <w:szCs w:val="24"/>
        </w:rPr>
        <w:t>occupation</w:t>
      </w:r>
      <w:r w:rsidRPr="00BA4BC1">
        <w:rPr>
          <w:rFonts w:ascii="Times New Roman" w:hAnsi="Times New Roman" w:cs="Times New Roman"/>
          <w:sz w:val="24"/>
          <w:szCs w:val="24"/>
        </w:rPr>
        <w:t xml:space="preserve"> and use of the land in return for the grantee</w:t>
      </w:r>
      <w:r w:rsidR="00FD108C">
        <w:rPr>
          <w:rFonts w:ascii="Times New Roman" w:hAnsi="Times New Roman" w:cs="Times New Roman"/>
          <w:sz w:val="24"/>
          <w:szCs w:val="24"/>
        </w:rPr>
        <w:t>’</w:t>
      </w:r>
      <w:r w:rsidRPr="00BA4BC1">
        <w:rPr>
          <w:rFonts w:ascii="Times New Roman" w:hAnsi="Times New Roman" w:cs="Times New Roman"/>
          <w:sz w:val="24"/>
          <w:szCs w:val="24"/>
        </w:rPr>
        <w:t>s recognition of the title of the grantor and payment of tribute</w:t>
      </w:r>
      <w:r w:rsidR="00A43297" w:rsidRPr="00BA4BC1">
        <w:rPr>
          <w:rFonts w:ascii="Times New Roman" w:hAnsi="Times New Roman" w:cs="Times New Roman"/>
          <w:sz w:val="24"/>
          <w:szCs w:val="24"/>
          <w:vertAlign w:val="superscript"/>
        </w:rPr>
        <w:t>.</w:t>
      </w:r>
    </w:p>
    <w:p w14:paraId="3F2E7FAD" w14:textId="77777777" w:rsidR="00621F7C" w:rsidRPr="00BA4BC1" w:rsidRDefault="00621F7C" w:rsidP="00EB3E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 legal nature of the interest of a customary tenant in the land granted to him has been described by Elias CJN (as he then as) in </w:t>
      </w:r>
      <w:proofErr w:type="spellStart"/>
      <w:r w:rsidRPr="00BA4BC1">
        <w:rPr>
          <w:rFonts w:ascii="Times New Roman" w:hAnsi="Times New Roman" w:cs="Times New Roman"/>
          <w:b/>
          <w:i/>
          <w:sz w:val="24"/>
          <w:szCs w:val="24"/>
        </w:rPr>
        <w:t>Aghenghen&amp;Ors</w:t>
      </w:r>
      <w:proofErr w:type="spellEnd"/>
      <w:r w:rsidRPr="00BA4BC1">
        <w:rPr>
          <w:rFonts w:ascii="Times New Roman" w:hAnsi="Times New Roman" w:cs="Times New Roman"/>
          <w:b/>
          <w:i/>
          <w:sz w:val="24"/>
          <w:szCs w:val="24"/>
        </w:rPr>
        <w:t xml:space="preserve"> V </w:t>
      </w:r>
      <w:proofErr w:type="spellStart"/>
      <w:r w:rsidRPr="00BA4BC1">
        <w:rPr>
          <w:rFonts w:ascii="Times New Roman" w:hAnsi="Times New Roman" w:cs="Times New Roman"/>
          <w:b/>
          <w:i/>
          <w:sz w:val="24"/>
          <w:szCs w:val="24"/>
        </w:rPr>
        <w:t>Waghoreghor&amp;ors</w:t>
      </w:r>
      <w:proofErr w:type="spellEnd"/>
      <w:r w:rsidRPr="00BA4BC1">
        <w:rPr>
          <w:rFonts w:ascii="Times New Roman" w:hAnsi="Times New Roman" w:cs="Times New Roman"/>
          <w:sz w:val="24"/>
          <w:szCs w:val="24"/>
        </w:rPr>
        <w:t xml:space="preserve"> as follows:</w:t>
      </w:r>
    </w:p>
    <w:p w14:paraId="75E4F61F" w14:textId="77777777" w:rsidR="00621F7C" w:rsidRPr="00BA4BC1" w:rsidRDefault="00621F7C" w:rsidP="00EB3EFA">
      <w:pPr>
        <w:spacing w:after="0" w:line="240" w:lineRule="auto"/>
        <w:ind w:left="1440"/>
        <w:jc w:val="both"/>
        <w:rPr>
          <w:rFonts w:ascii="Times New Roman" w:hAnsi="Times New Roman" w:cs="Times New Roman"/>
          <w:i/>
          <w:sz w:val="24"/>
          <w:szCs w:val="24"/>
        </w:rPr>
      </w:pPr>
      <w:r w:rsidRPr="00BA4BC1">
        <w:rPr>
          <w:rFonts w:ascii="Times New Roman" w:hAnsi="Times New Roman" w:cs="Times New Roman"/>
          <w:sz w:val="24"/>
          <w:szCs w:val="24"/>
        </w:rPr>
        <w:t>In customary Land Law Parlance, the customary</w:t>
      </w:r>
      <w:r w:rsidR="00DA64F1" w:rsidRPr="00BA4BC1">
        <w:rPr>
          <w:rFonts w:ascii="Times New Roman" w:hAnsi="Times New Roman" w:cs="Times New Roman"/>
          <w:sz w:val="24"/>
          <w:szCs w:val="24"/>
        </w:rPr>
        <w:t xml:space="preserve"> tenants are not gifted the land</w:t>
      </w:r>
      <w:r w:rsidRPr="00BA4BC1">
        <w:rPr>
          <w:rFonts w:ascii="Times New Roman" w:hAnsi="Times New Roman" w:cs="Times New Roman"/>
          <w:sz w:val="24"/>
          <w:szCs w:val="24"/>
        </w:rPr>
        <w:t xml:space="preserve">; </w:t>
      </w:r>
      <w:r w:rsidR="00DA64F1" w:rsidRPr="00BA4BC1">
        <w:rPr>
          <w:rFonts w:ascii="Times New Roman" w:hAnsi="Times New Roman" w:cs="Times New Roman"/>
          <w:sz w:val="24"/>
          <w:szCs w:val="24"/>
        </w:rPr>
        <w:t xml:space="preserve">they are not </w:t>
      </w:r>
      <w:r w:rsidR="00FD108C">
        <w:rPr>
          <w:rFonts w:ascii="Times New Roman" w:hAnsi="Times New Roman" w:cs="Times New Roman"/>
          <w:sz w:val="24"/>
          <w:szCs w:val="24"/>
        </w:rPr>
        <w:t>“</w:t>
      </w:r>
      <w:r w:rsidR="00DA64F1" w:rsidRPr="00BA4BC1">
        <w:rPr>
          <w:rFonts w:ascii="Times New Roman" w:hAnsi="Times New Roman" w:cs="Times New Roman"/>
          <w:sz w:val="24"/>
          <w:szCs w:val="24"/>
        </w:rPr>
        <w:t>borrowers</w:t>
      </w:r>
      <w:r w:rsidR="00FD108C">
        <w:rPr>
          <w:rFonts w:ascii="Times New Roman" w:hAnsi="Times New Roman" w:cs="Times New Roman"/>
          <w:sz w:val="24"/>
          <w:szCs w:val="24"/>
        </w:rPr>
        <w:t>”</w:t>
      </w:r>
      <w:r w:rsidR="00DA64F1" w:rsidRPr="00BA4BC1">
        <w:rPr>
          <w:rFonts w:ascii="Times New Roman" w:hAnsi="Times New Roman" w:cs="Times New Roman"/>
          <w:sz w:val="24"/>
          <w:szCs w:val="24"/>
        </w:rPr>
        <w:t xml:space="preserve"> or </w:t>
      </w:r>
      <w:r w:rsidR="00FD108C">
        <w:rPr>
          <w:rFonts w:ascii="Times New Roman" w:hAnsi="Times New Roman" w:cs="Times New Roman"/>
          <w:sz w:val="24"/>
          <w:szCs w:val="24"/>
        </w:rPr>
        <w:t>“</w:t>
      </w:r>
      <w:proofErr w:type="spellStart"/>
      <w:r w:rsidR="00DA64F1" w:rsidRPr="00BA4BC1">
        <w:rPr>
          <w:rFonts w:ascii="Times New Roman" w:hAnsi="Times New Roman" w:cs="Times New Roman"/>
          <w:sz w:val="24"/>
          <w:szCs w:val="24"/>
        </w:rPr>
        <w:t>le</w:t>
      </w:r>
      <w:r w:rsidRPr="00BA4BC1">
        <w:rPr>
          <w:rFonts w:ascii="Times New Roman" w:hAnsi="Times New Roman" w:cs="Times New Roman"/>
          <w:sz w:val="24"/>
          <w:szCs w:val="24"/>
        </w:rPr>
        <w:t>sees</w:t>
      </w:r>
      <w:proofErr w:type="spellEnd"/>
      <w:r w:rsidR="00FD108C">
        <w:rPr>
          <w:rFonts w:ascii="Times New Roman" w:hAnsi="Times New Roman" w:cs="Times New Roman"/>
          <w:sz w:val="24"/>
          <w:szCs w:val="24"/>
        </w:rPr>
        <w:t>”</w:t>
      </w:r>
      <w:r w:rsidRPr="00BA4BC1">
        <w:rPr>
          <w:rFonts w:ascii="Times New Roman" w:hAnsi="Times New Roman" w:cs="Times New Roman"/>
          <w:sz w:val="24"/>
          <w:szCs w:val="24"/>
        </w:rPr>
        <w:t xml:space="preserve">, they are grantees of land under customary tenure and hold as such, a determinable interest in the land which may be enjoyed in perpetuity subject to good </w:t>
      </w:r>
      <w:r w:rsidR="00EB3EFA" w:rsidRPr="00BA4BC1">
        <w:rPr>
          <w:rFonts w:ascii="Times New Roman" w:hAnsi="Times New Roman" w:cs="Times New Roman"/>
          <w:sz w:val="24"/>
          <w:szCs w:val="24"/>
        </w:rPr>
        <w:t>behavior</w:t>
      </w:r>
      <w:r w:rsidR="00EB3EFA" w:rsidRPr="00BA4BC1">
        <w:rPr>
          <w:rStyle w:val="FootnoteReference"/>
          <w:rFonts w:ascii="Times New Roman" w:hAnsi="Times New Roman" w:cs="Times New Roman"/>
          <w:i/>
          <w:sz w:val="24"/>
          <w:szCs w:val="24"/>
        </w:rPr>
        <w:t xml:space="preserve"> </w:t>
      </w:r>
      <w:r w:rsidR="00EB3EFA" w:rsidRPr="00BA4BC1">
        <w:rPr>
          <w:rFonts w:ascii="Times New Roman" w:hAnsi="Times New Roman" w:cs="Times New Roman"/>
          <w:sz w:val="24"/>
          <w:szCs w:val="24"/>
        </w:rPr>
        <w:t>(</w:t>
      </w:r>
      <w:r w:rsidR="00EB3EFA" w:rsidRPr="00BA4BC1">
        <w:rPr>
          <w:rFonts w:ascii="Times New Roman" w:hAnsi="Times New Roman" w:cs="Times New Roman"/>
          <w:color w:val="222222"/>
          <w:sz w:val="24"/>
          <w:szCs w:val="24"/>
          <w:shd w:val="clear" w:color="auto" w:fill="FFFFFF"/>
        </w:rPr>
        <w:t>Elias, 1977, p. 64)</w:t>
      </w:r>
      <w:r w:rsidRPr="00BA4BC1">
        <w:rPr>
          <w:rFonts w:ascii="Times New Roman" w:hAnsi="Times New Roman" w:cs="Times New Roman"/>
          <w:i/>
          <w:sz w:val="24"/>
          <w:szCs w:val="24"/>
        </w:rPr>
        <w:t>.</w:t>
      </w:r>
    </w:p>
    <w:p w14:paraId="6BC30124" w14:textId="77777777" w:rsidR="00621F7C" w:rsidRPr="00BA4BC1" w:rsidRDefault="00621F7C"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Customary tenancy is the relationship between the family and third party, where the family or community land holders grant rights of occupation to third parties to occupy and farm on land </w:t>
      </w:r>
      <w:r w:rsidRPr="00BA4BC1">
        <w:rPr>
          <w:rFonts w:ascii="Times New Roman" w:hAnsi="Times New Roman" w:cs="Times New Roman"/>
          <w:sz w:val="24"/>
          <w:szCs w:val="24"/>
        </w:rPr>
        <w:lastRenderedPageBreak/>
        <w:t>under customary law.  The rights enjoyed on land by the tenant is only occupational and not ownership.</w:t>
      </w:r>
    </w:p>
    <w:p w14:paraId="330FA1EA" w14:textId="77777777" w:rsidR="00EB3EFA" w:rsidRPr="00BA4BC1" w:rsidRDefault="00EB3EFA" w:rsidP="00EB3EFA">
      <w:pPr>
        <w:spacing w:after="0" w:line="240" w:lineRule="auto"/>
        <w:jc w:val="both"/>
        <w:rPr>
          <w:rFonts w:ascii="Times New Roman" w:hAnsi="Times New Roman" w:cs="Times New Roman"/>
          <w:b/>
          <w:sz w:val="24"/>
          <w:szCs w:val="24"/>
        </w:rPr>
      </w:pPr>
    </w:p>
    <w:p w14:paraId="79C34DC5" w14:textId="77777777" w:rsidR="00206E8E" w:rsidRPr="00BA4BC1" w:rsidRDefault="00206E8E"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MEANING AND NATURE OF THE INTEREST OF A CUSTOMARY</w:t>
      </w:r>
      <w:r w:rsidR="00EB3EFA" w:rsidRPr="00BA4BC1">
        <w:rPr>
          <w:rFonts w:ascii="Times New Roman" w:hAnsi="Times New Roman" w:cs="Times New Roman"/>
          <w:b/>
          <w:sz w:val="24"/>
          <w:szCs w:val="24"/>
        </w:rPr>
        <w:t xml:space="preserve"> </w:t>
      </w:r>
      <w:r w:rsidRPr="00BA4BC1">
        <w:rPr>
          <w:rFonts w:ascii="Times New Roman" w:hAnsi="Times New Roman" w:cs="Times New Roman"/>
          <w:b/>
          <w:sz w:val="24"/>
          <w:szCs w:val="24"/>
        </w:rPr>
        <w:t>TENANT</w:t>
      </w:r>
    </w:p>
    <w:p w14:paraId="548B6E82" w14:textId="77777777" w:rsidR="00206E8E" w:rsidRPr="00BA4BC1" w:rsidRDefault="00206E8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ab/>
      </w:r>
      <w:r w:rsidRPr="00BA4BC1">
        <w:rPr>
          <w:rFonts w:ascii="Times New Roman" w:hAnsi="Times New Roman" w:cs="Times New Roman"/>
          <w:sz w:val="24"/>
          <w:szCs w:val="24"/>
        </w:rPr>
        <w:t>A customary tenant is a grantee of land under Cus</w:t>
      </w:r>
      <w:r w:rsidR="00BE234F" w:rsidRPr="00BA4BC1">
        <w:rPr>
          <w:rFonts w:ascii="Times New Roman" w:hAnsi="Times New Roman" w:cs="Times New Roman"/>
          <w:sz w:val="24"/>
          <w:szCs w:val="24"/>
        </w:rPr>
        <w:t>tomary Law, which (land) he hold</w:t>
      </w:r>
      <w:r w:rsidRPr="00BA4BC1">
        <w:rPr>
          <w:rFonts w:ascii="Times New Roman" w:hAnsi="Times New Roman" w:cs="Times New Roman"/>
          <w:sz w:val="24"/>
          <w:szCs w:val="24"/>
        </w:rPr>
        <w:t>s in perpetuity determinable only upon proof of bad behavior against the grantor or his successors-in-title</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Chigbo¸2013)</w:t>
      </w:r>
      <w:r w:rsidRPr="00BA4BC1">
        <w:rPr>
          <w:rFonts w:ascii="Times New Roman" w:hAnsi="Times New Roman" w:cs="Times New Roman"/>
          <w:sz w:val="24"/>
          <w:szCs w:val="24"/>
        </w:rPr>
        <w:t>. In other words, the customary tenant holds a perpetual right of occupation and user over the land granted to him subject to good behavior</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Burns, 1985)</w:t>
      </w:r>
      <w:r w:rsidRPr="00BA4BC1">
        <w:rPr>
          <w:rFonts w:ascii="Times New Roman" w:hAnsi="Times New Roman" w:cs="Times New Roman"/>
          <w:sz w:val="24"/>
          <w:szCs w:val="24"/>
        </w:rPr>
        <w:t>.</w:t>
      </w:r>
    </w:p>
    <w:p w14:paraId="041B5975" w14:textId="77777777" w:rsidR="00206E8E" w:rsidRPr="00BA4BC1" w:rsidRDefault="00206E8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b/>
        <w:t>This interest has in practice now been regarded by the courts as practically indefeasible once permanent buildings or other forms</w:t>
      </w:r>
      <w:r w:rsidR="00DB616B" w:rsidRPr="00BA4BC1">
        <w:rPr>
          <w:rFonts w:ascii="Times New Roman" w:hAnsi="Times New Roman" w:cs="Times New Roman"/>
          <w:sz w:val="24"/>
          <w:szCs w:val="24"/>
        </w:rPr>
        <w:t xml:space="preserve"> of improvements like extensive</w:t>
      </w:r>
      <w:r w:rsidR="00873DCB" w:rsidRPr="00BA4BC1">
        <w:rPr>
          <w:rFonts w:ascii="Times New Roman" w:hAnsi="Times New Roman" w:cs="Times New Roman"/>
          <w:sz w:val="24"/>
          <w:szCs w:val="24"/>
        </w:rPr>
        <w:t xml:space="preserve"> </w:t>
      </w:r>
      <w:r w:rsidR="00DB616B" w:rsidRPr="00BA4BC1">
        <w:rPr>
          <w:rFonts w:ascii="Times New Roman" w:hAnsi="Times New Roman" w:cs="Times New Roman"/>
          <w:sz w:val="24"/>
          <w:szCs w:val="24"/>
        </w:rPr>
        <w:t>c</w:t>
      </w:r>
      <w:r w:rsidRPr="00BA4BC1">
        <w:rPr>
          <w:rFonts w:ascii="Times New Roman" w:hAnsi="Times New Roman" w:cs="Times New Roman"/>
          <w:sz w:val="24"/>
          <w:szCs w:val="24"/>
        </w:rPr>
        <w:t>ommercial farming and or occupation have been established thereon by the grantees</w:t>
      </w:r>
      <w:r w:rsidR="00EB3EFA" w:rsidRPr="00BA4BC1">
        <w:rPr>
          <w:rFonts w:ascii="Times New Roman" w:hAnsi="Times New Roman" w:cs="Times New Roman"/>
          <w:sz w:val="24"/>
          <w:szCs w:val="24"/>
        </w:rPr>
        <w:t xml:space="preserve"> (</w:t>
      </w:r>
      <w:proofErr w:type="spellStart"/>
      <w:r w:rsidR="00EB3EFA" w:rsidRPr="00BA4BC1">
        <w:rPr>
          <w:rFonts w:ascii="Times New Roman" w:hAnsi="Times New Roman" w:cs="Times New Roman"/>
          <w:color w:val="222222"/>
          <w:sz w:val="24"/>
          <w:szCs w:val="24"/>
          <w:shd w:val="clear" w:color="auto" w:fill="FFFFFF"/>
        </w:rPr>
        <w:t>Oshio</w:t>
      </w:r>
      <w:proofErr w:type="spellEnd"/>
      <w:r w:rsidR="00EB3EFA" w:rsidRPr="00BA4BC1">
        <w:rPr>
          <w:rFonts w:ascii="Times New Roman" w:hAnsi="Times New Roman" w:cs="Times New Roman"/>
          <w:color w:val="222222"/>
          <w:sz w:val="24"/>
          <w:szCs w:val="24"/>
          <w:shd w:val="clear" w:color="auto" w:fill="FFFFFF"/>
        </w:rPr>
        <w:t>, 1990)</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3B283E" w:rsidRPr="00BA4BC1">
        <w:rPr>
          <w:rFonts w:ascii="Times New Roman" w:hAnsi="Times New Roman" w:cs="Times New Roman"/>
          <w:sz w:val="24"/>
          <w:szCs w:val="24"/>
        </w:rPr>
        <w:t>Thus, a customary tenant right on the land is perpetual during good behavior.</w:t>
      </w:r>
    </w:p>
    <w:p w14:paraId="28438405" w14:textId="77777777" w:rsidR="003B283E" w:rsidRPr="00BA4BC1" w:rsidRDefault="003B283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b/>
        <w:t>However, if he exhibits bad behavior, he may be denied perpetual enjoyment on the land by his overlord. Some of the factors that may amount to bad behavior on the part of the customary tenant to warrant denying him perpetual enjoyment of the land are:</w:t>
      </w:r>
    </w:p>
    <w:p w14:paraId="412C753B"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Denial of the overlord</w:t>
      </w:r>
      <w:r w:rsidR="00FD108C">
        <w:rPr>
          <w:rFonts w:ascii="Times New Roman" w:hAnsi="Times New Roman" w:cs="Times New Roman"/>
          <w:sz w:val="24"/>
          <w:szCs w:val="24"/>
        </w:rPr>
        <w:t>’</w:t>
      </w:r>
      <w:r w:rsidRPr="00BA4BC1">
        <w:rPr>
          <w:rFonts w:ascii="Times New Roman" w:hAnsi="Times New Roman" w:cs="Times New Roman"/>
          <w:sz w:val="24"/>
          <w:szCs w:val="24"/>
        </w:rPr>
        <w:t>s title</w:t>
      </w:r>
      <w:r w:rsidR="00C865C0" w:rsidRPr="00BA4BC1">
        <w:rPr>
          <w:rFonts w:ascii="Times New Roman" w:hAnsi="Times New Roman" w:cs="Times New Roman"/>
          <w:sz w:val="24"/>
          <w:szCs w:val="24"/>
        </w:rPr>
        <w:t>.</w:t>
      </w:r>
    </w:p>
    <w:p w14:paraId="619A21DD"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Refusal</w:t>
      </w:r>
      <w:r w:rsidR="00C865C0" w:rsidRPr="00BA4BC1">
        <w:rPr>
          <w:rFonts w:ascii="Times New Roman" w:hAnsi="Times New Roman" w:cs="Times New Roman"/>
          <w:sz w:val="24"/>
          <w:szCs w:val="24"/>
        </w:rPr>
        <w:t xml:space="preserve"> to pay the traditional or custo</w:t>
      </w:r>
      <w:r w:rsidRPr="00BA4BC1">
        <w:rPr>
          <w:rFonts w:ascii="Times New Roman" w:hAnsi="Times New Roman" w:cs="Times New Roman"/>
          <w:sz w:val="24"/>
          <w:szCs w:val="24"/>
        </w:rPr>
        <w:t>mary tributes</w:t>
      </w:r>
      <w:r w:rsidR="00C865C0" w:rsidRPr="00BA4BC1">
        <w:rPr>
          <w:rFonts w:ascii="Times New Roman" w:hAnsi="Times New Roman" w:cs="Times New Roman"/>
          <w:sz w:val="24"/>
          <w:szCs w:val="24"/>
        </w:rPr>
        <w:t>.</w:t>
      </w:r>
    </w:p>
    <w:p w14:paraId="7111F56C"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Alienation of the land without the consent of the overlord.</w:t>
      </w:r>
    </w:p>
    <w:p w14:paraId="59011DC7"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Giving evidence in </w:t>
      </w:r>
      <w:proofErr w:type="spellStart"/>
      <w:r w:rsidRPr="00BA4BC1">
        <w:rPr>
          <w:rFonts w:ascii="Times New Roman" w:hAnsi="Times New Roman" w:cs="Times New Roman"/>
          <w:sz w:val="24"/>
          <w:szCs w:val="24"/>
        </w:rPr>
        <w:t>favour</w:t>
      </w:r>
      <w:proofErr w:type="spellEnd"/>
      <w:r w:rsidRPr="00BA4BC1">
        <w:rPr>
          <w:rFonts w:ascii="Times New Roman" w:hAnsi="Times New Roman" w:cs="Times New Roman"/>
          <w:sz w:val="24"/>
          <w:szCs w:val="24"/>
        </w:rPr>
        <w:t xml:space="preserve"> of opponents of the overlord in a litigation involving land or testifying against the overlord in such circumstances</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Ogilvie, 2005)</w:t>
      </w:r>
      <w:r w:rsidRPr="00BA4BC1">
        <w:rPr>
          <w:rFonts w:ascii="Times New Roman" w:hAnsi="Times New Roman" w:cs="Times New Roman"/>
          <w:sz w:val="24"/>
          <w:szCs w:val="24"/>
        </w:rPr>
        <w:t>.</w:t>
      </w:r>
    </w:p>
    <w:p w14:paraId="1AE04AB7" w14:textId="77777777"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Bringing of bad medicine or juju or voodoo on the land which is subject to customary tenancy.</w:t>
      </w:r>
    </w:p>
    <w:p w14:paraId="299F05C7" w14:textId="77777777" w:rsidR="003B283E" w:rsidRPr="00BA4BC1" w:rsidRDefault="003B283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It is the considered view of the writer that as long as the customary tenant or his successor-in-title refra</w:t>
      </w:r>
      <w:r w:rsidR="005A5537" w:rsidRPr="00BA4BC1">
        <w:rPr>
          <w:rFonts w:ascii="Times New Roman" w:hAnsi="Times New Roman" w:cs="Times New Roman"/>
          <w:sz w:val="24"/>
          <w:szCs w:val="24"/>
        </w:rPr>
        <w:t xml:space="preserve">ined </w:t>
      </w:r>
      <w:r w:rsidRPr="00BA4BC1">
        <w:rPr>
          <w:rFonts w:ascii="Times New Roman" w:hAnsi="Times New Roman" w:cs="Times New Roman"/>
          <w:sz w:val="24"/>
          <w:szCs w:val="24"/>
        </w:rPr>
        <w:t>from the above categories of bad behavior, he enjoyed a perpetual right in the land belonging to the overlord. We have two categories of cases which have upheld the rights of the customary tenant against his overlord and have given this right</w:t>
      </w:r>
      <w:r w:rsidR="00697347" w:rsidRPr="00BA4BC1">
        <w:rPr>
          <w:rFonts w:ascii="Times New Roman" w:hAnsi="Times New Roman" w:cs="Times New Roman"/>
          <w:sz w:val="24"/>
          <w:szCs w:val="24"/>
        </w:rPr>
        <w:t xml:space="preserve"> more recognition as against that of the overlord to </w:t>
      </w:r>
      <w:r w:rsidR="00697347" w:rsidRPr="00BA4BC1">
        <w:rPr>
          <w:rFonts w:ascii="Times New Roman" w:hAnsi="Times New Roman" w:cs="Times New Roman"/>
          <w:i/>
          <w:sz w:val="24"/>
          <w:szCs w:val="24"/>
        </w:rPr>
        <w:t>wit</w:t>
      </w:r>
      <w:r w:rsidR="00697347" w:rsidRPr="00BA4BC1">
        <w:rPr>
          <w:rFonts w:ascii="Times New Roman" w:hAnsi="Times New Roman" w:cs="Times New Roman"/>
          <w:sz w:val="24"/>
          <w:szCs w:val="24"/>
        </w:rPr>
        <w:t>:</w:t>
      </w:r>
    </w:p>
    <w:p w14:paraId="54AD7F14" w14:textId="77777777" w:rsidR="00697347" w:rsidRPr="00BA4BC1" w:rsidRDefault="00697347" w:rsidP="00EB3EFA">
      <w:pPr>
        <w:pStyle w:val="ListParagraph"/>
        <w:numPr>
          <w:ilvl w:val="0"/>
          <w:numId w:val="6"/>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Those which have asserted that the interest of the customary tenant cannot be over-reached by the overlord. This is a correct proposition of the law so long as land is subject to customary </w:t>
      </w:r>
      <w:r w:rsidR="005A5537" w:rsidRPr="00BA4BC1">
        <w:rPr>
          <w:rFonts w:ascii="Times New Roman" w:hAnsi="Times New Roman" w:cs="Times New Roman"/>
          <w:sz w:val="24"/>
          <w:szCs w:val="24"/>
        </w:rPr>
        <w:t>tenancy;</w:t>
      </w:r>
      <w:r w:rsidRPr="00BA4BC1">
        <w:rPr>
          <w:rFonts w:ascii="Times New Roman" w:hAnsi="Times New Roman" w:cs="Times New Roman"/>
          <w:sz w:val="24"/>
          <w:szCs w:val="24"/>
        </w:rPr>
        <w:t xml:space="preserve"> the effect of transfer of such land by the overlord is to make the transferee take subject to the interest of the customary tenancy except where the transfer has been consented to by him. In fact</w:t>
      </w:r>
      <w:r w:rsidR="009F30B1" w:rsidRPr="00BA4BC1">
        <w:rPr>
          <w:rFonts w:ascii="Times New Roman" w:hAnsi="Times New Roman" w:cs="Times New Roman"/>
          <w:sz w:val="24"/>
          <w:szCs w:val="24"/>
        </w:rPr>
        <w:t>,</w:t>
      </w:r>
      <w:r w:rsidRPr="00BA4BC1">
        <w:rPr>
          <w:rFonts w:ascii="Times New Roman" w:hAnsi="Times New Roman" w:cs="Times New Roman"/>
          <w:sz w:val="24"/>
          <w:szCs w:val="24"/>
        </w:rPr>
        <w:t xml:space="preserve"> some of these cases have even asserted that the transferee never obtains from the overlord the right to forfeit </w:t>
      </w:r>
      <w:r w:rsidR="009F30B1" w:rsidRPr="00BA4BC1">
        <w:rPr>
          <w:rFonts w:ascii="Times New Roman" w:hAnsi="Times New Roman" w:cs="Times New Roman"/>
          <w:sz w:val="24"/>
          <w:szCs w:val="24"/>
        </w:rPr>
        <w:t xml:space="preserve">the </w:t>
      </w:r>
      <w:r w:rsidRPr="00BA4BC1">
        <w:rPr>
          <w:rFonts w:ascii="Times New Roman" w:hAnsi="Times New Roman" w:cs="Times New Roman"/>
          <w:sz w:val="24"/>
          <w:szCs w:val="24"/>
        </w:rPr>
        <w:t xml:space="preserve">customary tenancy for </w:t>
      </w:r>
      <w:proofErr w:type="spellStart"/>
      <w:r w:rsidR="001E46B7" w:rsidRPr="00BA4BC1">
        <w:rPr>
          <w:rFonts w:ascii="Times New Roman" w:hAnsi="Times New Roman" w:cs="Times New Roman"/>
          <w:sz w:val="24"/>
          <w:szCs w:val="24"/>
        </w:rPr>
        <w:t>misbehavio</w:t>
      </w:r>
      <w:r w:rsidR="009F30B1" w:rsidRPr="00BA4BC1">
        <w:rPr>
          <w:rFonts w:ascii="Times New Roman" w:hAnsi="Times New Roman" w:cs="Times New Roman"/>
          <w:sz w:val="24"/>
          <w:szCs w:val="24"/>
        </w:rPr>
        <w:t>u</w:t>
      </w:r>
      <w:r w:rsidR="001E46B7" w:rsidRPr="00BA4BC1">
        <w:rPr>
          <w:rFonts w:ascii="Times New Roman" w:hAnsi="Times New Roman" w:cs="Times New Roman"/>
          <w:sz w:val="24"/>
          <w:szCs w:val="24"/>
        </w:rPr>
        <w:t>r</w:t>
      </w:r>
      <w:proofErr w:type="spellEnd"/>
      <w:r w:rsidR="001E46B7" w:rsidRPr="00BA4BC1">
        <w:rPr>
          <w:rFonts w:ascii="Times New Roman" w:hAnsi="Times New Roman" w:cs="Times New Roman"/>
          <w:sz w:val="24"/>
          <w:szCs w:val="24"/>
        </w:rPr>
        <w:t>.</w:t>
      </w:r>
    </w:p>
    <w:p w14:paraId="1EF10FAA" w14:textId="77777777" w:rsidR="00EB3EFA" w:rsidRPr="00BA4BC1" w:rsidRDefault="00EB3EFA" w:rsidP="00EB3EFA">
      <w:pPr>
        <w:pStyle w:val="ListParagraph"/>
        <w:spacing w:after="0" w:line="240" w:lineRule="auto"/>
        <w:ind w:left="1080"/>
        <w:jc w:val="both"/>
        <w:rPr>
          <w:rFonts w:ascii="Times New Roman" w:hAnsi="Times New Roman" w:cs="Times New Roman"/>
          <w:sz w:val="24"/>
          <w:szCs w:val="24"/>
        </w:rPr>
      </w:pPr>
    </w:p>
    <w:p w14:paraId="20F2A7BB" w14:textId="77777777" w:rsidR="00A47D37" w:rsidRPr="00BA4BC1" w:rsidRDefault="001E46B7" w:rsidP="00EB3EFA">
      <w:pPr>
        <w:pStyle w:val="ListParagraph"/>
        <w:numPr>
          <w:ilvl w:val="0"/>
          <w:numId w:val="6"/>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Those cases, dealing with the apportionment of compensation payable on acquisition of land which is subject to customary tenancy as between the overlord and the customary tenant. In </w:t>
      </w:r>
      <w:r w:rsidRPr="00BA4BC1">
        <w:rPr>
          <w:rFonts w:ascii="Times New Roman" w:hAnsi="Times New Roman" w:cs="Times New Roman"/>
          <w:b/>
          <w:i/>
          <w:sz w:val="24"/>
          <w:szCs w:val="24"/>
        </w:rPr>
        <w:t xml:space="preserve">Josiah </w:t>
      </w:r>
      <w:proofErr w:type="spellStart"/>
      <w:r w:rsidRPr="00BA4BC1">
        <w:rPr>
          <w:rFonts w:ascii="Times New Roman" w:hAnsi="Times New Roman" w:cs="Times New Roman"/>
          <w:b/>
          <w:i/>
          <w:sz w:val="24"/>
          <w:szCs w:val="24"/>
        </w:rPr>
        <w:t>Aghenghen&amp;Ors</w:t>
      </w:r>
      <w:proofErr w:type="spellEnd"/>
      <w:r w:rsidRPr="00BA4BC1">
        <w:rPr>
          <w:rFonts w:ascii="Times New Roman" w:hAnsi="Times New Roman" w:cs="Times New Roman"/>
          <w:b/>
          <w:i/>
          <w:sz w:val="24"/>
          <w:szCs w:val="24"/>
        </w:rPr>
        <w:t xml:space="preserve">. vs. Chief </w:t>
      </w:r>
      <w:proofErr w:type="spellStart"/>
      <w:proofErr w:type="gramStart"/>
      <w:r w:rsidRPr="00BA4BC1">
        <w:rPr>
          <w:rFonts w:ascii="Times New Roman" w:hAnsi="Times New Roman" w:cs="Times New Roman"/>
          <w:b/>
          <w:i/>
          <w:sz w:val="24"/>
          <w:szCs w:val="24"/>
        </w:rPr>
        <w:t>MadukaWaghoreghor</w:t>
      </w:r>
      <w:proofErr w:type="spellEnd"/>
      <w:r w:rsidRPr="00BA4BC1">
        <w:rPr>
          <w:rFonts w:ascii="Times New Roman" w:hAnsi="Times New Roman" w:cs="Times New Roman"/>
          <w:b/>
          <w:i/>
          <w:sz w:val="24"/>
          <w:szCs w:val="24"/>
        </w:rPr>
        <w:t>,</w:t>
      </w:r>
      <w:r w:rsidR="00EB3EFA" w:rsidRPr="00BA4BC1">
        <w:rPr>
          <w:rFonts w:ascii="Times New Roman" w:hAnsi="Times New Roman" w:cs="Times New Roman"/>
          <w:b/>
          <w:i/>
          <w:sz w:val="24"/>
          <w:szCs w:val="24"/>
        </w:rPr>
        <w:t xml:space="preserve"> </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the</w:t>
      </w:r>
      <w:proofErr w:type="gramEnd"/>
      <w:r w:rsidRPr="00BA4BC1">
        <w:rPr>
          <w:rFonts w:ascii="Times New Roman" w:hAnsi="Times New Roman" w:cs="Times New Roman"/>
          <w:sz w:val="24"/>
          <w:szCs w:val="24"/>
        </w:rPr>
        <w:t xml:space="preserve"> Supreme Court was faced with the problem of apportioning as between the overlord and his customary tenant, the compensation payable on the compulsory acquisition of land which is subject to customary tenancy. In awarding two-thirds of the compensation money to the customary tenant and one-third to the overlord</w:t>
      </w:r>
      <w:r w:rsidR="006429DF"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6429DF" w:rsidRPr="00BA4BC1">
        <w:rPr>
          <w:rFonts w:ascii="Times New Roman" w:hAnsi="Times New Roman" w:cs="Times New Roman"/>
          <w:sz w:val="24"/>
          <w:szCs w:val="24"/>
        </w:rPr>
        <w:t>t</w:t>
      </w:r>
      <w:r w:rsidR="00A47D37" w:rsidRPr="00BA4BC1">
        <w:rPr>
          <w:rFonts w:ascii="Times New Roman" w:hAnsi="Times New Roman" w:cs="Times New Roman"/>
          <w:sz w:val="24"/>
          <w:szCs w:val="24"/>
        </w:rPr>
        <w:t>he Supreme Court first considered the nature of the interest of the customary tenant as follows:</w:t>
      </w:r>
    </w:p>
    <w:p w14:paraId="1819628A" w14:textId="77777777" w:rsidR="00A47D37" w:rsidRPr="00BA4BC1" w:rsidRDefault="00A47D37"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b/>
        <w:t xml:space="preserve">… In customary land law parlance, the defendants, are not gifted the land; they are not </w:t>
      </w:r>
      <w:r w:rsidR="00FD108C">
        <w:rPr>
          <w:rFonts w:ascii="Times New Roman" w:hAnsi="Times New Roman" w:cs="Times New Roman"/>
          <w:sz w:val="24"/>
          <w:szCs w:val="24"/>
        </w:rPr>
        <w:t>‘</w:t>
      </w:r>
      <w:r w:rsidRPr="00BA4BC1">
        <w:rPr>
          <w:rFonts w:ascii="Times New Roman" w:hAnsi="Times New Roman" w:cs="Times New Roman"/>
          <w:sz w:val="24"/>
          <w:szCs w:val="24"/>
        </w:rPr>
        <w:t>borrowers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or </w:t>
      </w:r>
      <w:r w:rsidR="00FD108C">
        <w:rPr>
          <w:rFonts w:ascii="Times New Roman" w:hAnsi="Times New Roman" w:cs="Times New Roman"/>
          <w:sz w:val="24"/>
          <w:szCs w:val="24"/>
        </w:rPr>
        <w:t>‘</w:t>
      </w:r>
      <w:r w:rsidRPr="00BA4BC1">
        <w:rPr>
          <w:rFonts w:ascii="Times New Roman" w:hAnsi="Times New Roman" w:cs="Times New Roman"/>
          <w:sz w:val="24"/>
          <w:szCs w:val="24"/>
        </w:rPr>
        <w:t>lessees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they are grantees, of land under customary tenure and hold, as such, a determinable interest in the land which may be enjoyed in perpetuity subject to good </w:t>
      </w:r>
      <w:proofErr w:type="spellStart"/>
      <w:r w:rsidRPr="00BA4BC1">
        <w:rPr>
          <w:rFonts w:ascii="Times New Roman" w:hAnsi="Times New Roman" w:cs="Times New Roman"/>
          <w:sz w:val="24"/>
          <w:szCs w:val="24"/>
        </w:rPr>
        <w:t>behavio</w:t>
      </w:r>
      <w:r w:rsidR="00E70719" w:rsidRPr="00BA4BC1">
        <w:rPr>
          <w:rFonts w:ascii="Times New Roman" w:hAnsi="Times New Roman" w:cs="Times New Roman"/>
          <w:sz w:val="24"/>
          <w:szCs w:val="24"/>
        </w:rPr>
        <w:t>u</w:t>
      </w:r>
      <w:r w:rsidRPr="00BA4BC1">
        <w:rPr>
          <w:rFonts w:ascii="Times New Roman" w:hAnsi="Times New Roman" w:cs="Times New Roman"/>
          <w:sz w:val="24"/>
          <w:szCs w:val="24"/>
        </w:rPr>
        <w:t>r</w:t>
      </w:r>
      <w:proofErr w:type="spellEnd"/>
      <w:r w:rsidRPr="00BA4BC1">
        <w:rPr>
          <w:rFonts w:ascii="Times New Roman" w:hAnsi="Times New Roman" w:cs="Times New Roman"/>
          <w:sz w:val="24"/>
          <w:szCs w:val="24"/>
        </w:rPr>
        <w:t xml:space="preserve"> … They enjoy </w:t>
      </w:r>
      <w:r w:rsidRPr="00BA4BC1">
        <w:rPr>
          <w:rFonts w:ascii="Times New Roman" w:hAnsi="Times New Roman" w:cs="Times New Roman"/>
          <w:sz w:val="24"/>
          <w:szCs w:val="24"/>
        </w:rPr>
        <w:lastRenderedPageBreak/>
        <w:t>something akin to e</w:t>
      </w:r>
      <w:r w:rsidR="009B2404" w:rsidRPr="00BA4BC1">
        <w:rPr>
          <w:rFonts w:ascii="Times New Roman" w:hAnsi="Times New Roman" w:cs="Times New Roman"/>
          <w:sz w:val="24"/>
          <w:szCs w:val="24"/>
        </w:rPr>
        <w:t>m</w:t>
      </w:r>
      <w:r w:rsidRPr="00BA4BC1">
        <w:rPr>
          <w:rFonts w:ascii="Times New Roman" w:hAnsi="Times New Roman" w:cs="Times New Roman"/>
          <w:sz w:val="24"/>
          <w:szCs w:val="24"/>
        </w:rPr>
        <w:t>phyte</w:t>
      </w:r>
      <w:r w:rsidR="009B2404" w:rsidRPr="00BA4BC1">
        <w:rPr>
          <w:rFonts w:ascii="Times New Roman" w:hAnsi="Times New Roman" w:cs="Times New Roman"/>
          <w:sz w:val="24"/>
          <w:szCs w:val="24"/>
        </w:rPr>
        <w:t>u</w:t>
      </w:r>
      <w:r w:rsidRPr="00BA4BC1">
        <w:rPr>
          <w:rFonts w:ascii="Times New Roman" w:hAnsi="Times New Roman" w:cs="Times New Roman"/>
          <w:sz w:val="24"/>
          <w:szCs w:val="24"/>
        </w:rPr>
        <w:t>sis, a perpetual right in the land of another</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Salawu¸2022, p. 64</w:t>
      </w:r>
      <w:r w:rsidRPr="00BA4BC1">
        <w:rPr>
          <w:rFonts w:ascii="Times New Roman" w:hAnsi="Times New Roman" w:cs="Times New Roman"/>
          <w:sz w:val="24"/>
          <w:szCs w:val="24"/>
        </w:rPr>
        <w:t>.</w:t>
      </w:r>
    </w:p>
    <w:p w14:paraId="20E6050D" w14:textId="77777777" w:rsidR="00396417" w:rsidRPr="00BA4BC1" w:rsidRDefault="00A47D37"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Thus, it is settled law that the possess</w:t>
      </w:r>
      <w:r w:rsidR="00396417" w:rsidRPr="00BA4BC1">
        <w:rPr>
          <w:rFonts w:ascii="Times New Roman" w:hAnsi="Times New Roman" w:cs="Times New Roman"/>
          <w:sz w:val="24"/>
          <w:szCs w:val="24"/>
        </w:rPr>
        <w:t xml:space="preserve">ory right of a customary tenant goes on and on in perpetuity, unless and </w:t>
      </w:r>
      <w:r w:rsidR="00EB3EFA" w:rsidRPr="00BA4BC1">
        <w:rPr>
          <w:rFonts w:ascii="Times New Roman" w:hAnsi="Times New Roman" w:cs="Times New Roman"/>
          <w:sz w:val="24"/>
          <w:szCs w:val="24"/>
        </w:rPr>
        <w:t xml:space="preserve">until the tenancy is forfeited. </w:t>
      </w:r>
      <w:r w:rsidR="00396417" w:rsidRPr="00BA4BC1">
        <w:rPr>
          <w:rFonts w:ascii="Times New Roman" w:hAnsi="Times New Roman" w:cs="Times New Roman"/>
          <w:sz w:val="24"/>
          <w:szCs w:val="24"/>
        </w:rPr>
        <w:t>It is instructive or worthy of note to point out here, that the customary tenancy has no equivalent in English law. It is neither a lease hold interest nor a tenancy at will, or a yearly tenancy. The main incident of such tenure is the payment of tribute, not rent, by the customary tenant to the overlord.</w:t>
      </w:r>
      <w:r w:rsidR="00EB3EFA" w:rsidRPr="00BA4BC1">
        <w:rPr>
          <w:rFonts w:ascii="Times New Roman" w:hAnsi="Times New Roman" w:cs="Times New Roman"/>
          <w:sz w:val="24"/>
          <w:szCs w:val="24"/>
        </w:rPr>
        <w:t xml:space="preserve">  </w:t>
      </w:r>
      <w:r w:rsidR="00396417" w:rsidRPr="00BA4BC1">
        <w:rPr>
          <w:rFonts w:ascii="Times New Roman" w:hAnsi="Times New Roman" w:cs="Times New Roman"/>
          <w:sz w:val="24"/>
          <w:szCs w:val="24"/>
        </w:rPr>
        <w:t>Undoubtedly, from the views expressed above, Nigeria Courts have taken the position that the interest of a customary tenant over the land in his possession is significan</w:t>
      </w:r>
      <w:r w:rsidR="002E6015" w:rsidRPr="00BA4BC1">
        <w:rPr>
          <w:rFonts w:ascii="Times New Roman" w:hAnsi="Times New Roman" w:cs="Times New Roman"/>
          <w:sz w:val="24"/>
          <w:szCs w:val="24"/>
        </w:rPr>
        <w:t>t</w:t>
      </w:r>
      <w:r w:rsidR="00396417" w:rsidRPr="00BA4BC1">
        <w:rPr>
          <w:rFonts w:ascii="Times New Roman" w:hAnsi="Times New Roman" w:cs="Times New Roman"/>
          <w:sz w:val="24"/>
          <w:szCs w:val="24"/>
        </w:rPr>
        <w:t xml:space="preserve"> and </w:t>
      </w:r>
      <w:r w:rsidR="00245146" w:rsidRPr="00BA4BC1">
        <w:rPr>
          <w:rFonts w:ascii="Times New Roman" w:hAnsi="Times New Roman" w:cs="Times New Roman"/>
          <w:sz w:val="24"/>
          <w:szCs w:val="24"/>
        </w:rPr>
        <w:t>equal if not superior to that of the overlord.</w:t>
      </w:r>
    </w:p>
    <w:p w14:paraId="335C910D" w14:textId="77777777" w:rsidR="00EB3EFA" w:rsidRPr="00BA4BC1" w:rsidRDefault="00EB3EFA" w:rsidP="00EB3EFA">
      <w:pPr>
        <w:pStyle w:val="ListParagraph"/>
        <w:spacing w:after="0" w:line="240" w:lineRule="auto"/>
        <w:ind w:left="0"/>
        <w:jc w:val="both"/>
        <w:rPr>
          <w:rFonts w:ascii="Times New Roman" w:hAnsi="Times New Roman" w:cs="Times New Roman"/>
          <w:b/>
          <w:sz w:val="24"/>
          <w:szCs w:val="24"/>
        </w:rPr>
      </w:pPr>
    </w:p>
    <w:p w14:paraId="01356496" w14:textId="77777777" w:rsidR="00245146" w:rsidRPr="00BA4BC1" w:rsidRDefault="00245146" w:rsidP="00EB3EFA">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NATURE OF CUSTOMARY TENANCY BEFORE THE ACT</w:t>
      </w:r>
    </w:p>
    <w:p w14:paraId="78607F31" w14:textId="77777777" w:rsidR="00245146" w:rsidRPr="00BA4BC1" w:rsidRDefault="0024514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Before the Land Use Act of 1978, the nature of interest enjoyed over land by a customary tenant is absolutely indefeasible during good </w:t>
      </w:r>
      <w:proofErr w:type="spellStart"/>
      <w:r w:rsidRPr="00BA4BC1">
        <w:rPr>
          <w:rFonts w:ascii="Times New Roman" w:hAnsi="Times New Roman" w:cs="Times New Roman"/>
          <w:sz w:val="24"/>
          <w:szCs w:val="24"/>
        </w:rPr>
        <w:t>behavio</w:t>
      </w:r>
      <w:r w:rsidR="00D14BEC" w:rsidRPr="00BA4BC1">
        <w:rPr>
          <w:rFonts w:ascii="Times New Roman" w:hAnsi="Times New Roman" w:cs="Times New Roman"/>
          <w:sz w:val="24"/>
          <w:szCs w:val="24"/>
        </w:rPr>
        <w:t>u</w:t>
      </w:r>
      <w:r w:rsidRPr="00BA4BC1">
        <w:rPr>
          <w:rFonts w:ascii="Times New Roman" w:hAnsi="Times New Roman" w:cs="Times New Roman"/>
          <w:sz w:val="24"/>
          <w:szCs w:val="24"/>
        </w:rPr>
        <w:t>r</w:t>
      </w:r>
      <w:proofErr w:type="spellEnd"/>
      <w:r w:rsidRPr="00BA4BC1">
        <w:rPr>
          <w:rFonts w:ascii="Times New Roman" w:hAnsi="Times New Roman" w:cs="Times New Roman"/>
          <w:sz w:val="24"/>
          <w:szCs w:val="24"/>
        </w:rPr>
        <w:t>. Such interest is assured and secured under customary law.</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In </w:t>
      </w:r>
      <w:r w:rsidRPr="00BA4BC1">
        <w:rPr>
          <w:rFonts w:ascii="Times New Roman" w:hAnsi="Times New Roman" w:cs="Times New Roman"/>
          <w:b/>
          <w:i/>
          <w:sz w:val="24"/>
          <w:szCs w:val="24"/>
        </w:rPr>
        <w:t xml:space="preserve">Josiah </w:t>
      </w:r>
      <w:proofErr w:type="spellStart"/>
      <w:r w:rsidRPr="00BA4BC1">
        <w:rPr>
          <w:rFonts w:ascii="Times New Roman" w:hAnsi="Times New Roman" w:cs="Times New Roman"/>
          <w:b/>
          <w:i/>
          <w:sz w:val="24"/>
          <w:szCs w:val="24"/>
        </w:rPr>
        <w:t>Aghenghen</w:t>
      </w:r>
      <w:proofErr w:type="spellEnd"/>
      <w:r w:rsidRPr="00BA4BC1">
        <w:rPr>
          <w:rFonts w:ascii="Times New Roman" w:hAnsi="Times New Roman" w:cs="Times New Roman"/>
          <w:b/>
          <w:i/>
          <w:sz w:val="24"/>
          <w:szCs w:val="24"/>
        </w:rPr>
        <w:t xml:space="preserve"> vs. </w:t>
      </w:r>
      <w:proofErr w:type="spellStart"/>
      <w:r w:rsidRPr="00BA4BC1">
        <w:rPr>
          <w:rFonts w:ascii="Times New Roman" w:hAnsi="Times New Roman" w:cs="Times New Roman"/>
          <w:b/>
          <w:i/>
          <w:sz w:val="24"/>
          <w:szCs w:val="24"/>
        </w:rPr>
        <w:t>MadukaWaghoreghor</w:t>
      </w:r>
      <w:proofErr w:type="spellEnd"/>
      <w:r w:rsidRPr="00BA4BC1">
        <w:rPr>
          <w:rFonts w:ascii="Times New Roman" w:hAnsi="Times New Roman" w:cs="Times New Roman"/>
          <w:b/>
          <w:i/>
          <w:sz w:val="24"/>
          <w:szCs w:val="24"/>
        </w:rPr>
        <w:t xml:space="preserve">, </w:t>
      </w:r>
      <w:r w:rsidRPr="00BA4BC1">
        <w:rPr>
          <w:rFonts w:ascii="Times New Roman" w:hAnsi="Times New Roman" w:cs="Times New Roman"/>
          <w:b/>
          <w:sz w:val="24"/>
          <w:szCs w:val="24"/>
        </w:rPr>
        <w:t>Elias, CJN.,</w:t>
      </w:r>
      <w:r w:rsidR="00EB3EFA" w:rsidRPr="00BA4BC1">
        <w:rPr>
          <w:rFonts w:ascii="Times New Roman" w:hAnsi="Times New Roman" w:cs="Times New Roman"/>
          <w:b/>
          <w:sz w:val="24"/>
          <w:szCs w:val="24"/>
        </w:rPr>
        <w:t xml:space="preserve"> </w:t>
      </w:r>
      <w:r w:rsidRPr="00BA4BC1">
        <w:rPr>
          <w:rFonts w:ascii="Times New Roman" w:hAnsi="Times New Roman" w:cs="Times New Roman"/>
          <w:sz w:val="24"/>
          <w:szCs w:val="24"/>
        </w:rPr>
        <w:t>delivering the judgment of the Supreme Court described the nature of the interest of a tenant under customary law in the following vivid language</w:t>
      </w:r>
      <w:r w:rsidR="007C2CA3" w:rsidRPr="00BA4BC1">
        <w:rPr>
          <w:rFonts w:ascii="Times New Roman" w:hAnsi="Times New Roman" w:cs="Times New Roman"/>
          <w:sz w:val="24"/>
          <w:szCs w:val="24"/>
        </w:rPr>
        <w:t>:</w:t>
      </w:r>
    </w:p>
    <w:p w14:paraId="28FC7D8E" w14:textId="77777777" w:rsidR="00245146" w:rsidRPr="00BA4BC1" w:rsidRDefault="00245146" w:rsidP="00EB3EFA">
      <w:pPr>
        <w:pStyle w:val="ListParagraph"/>
        <w:spacing w:after="0" w:line="240" w:lineRule="auto"/>
        <w:ind w:left="1440" w:right="144"/>
        <w:jc w:val="both"/>
        <w:rPr>
          <w:rFonts w:ascii="Times New Roman" w:hAnsi="Times New Roman" w:cs="Times New Roman"/>
          <w:sz w:val="24"/>
          <w:szCs w:val="24"/>
        </w:rPr>
      </w:pPr>
      <w:r w:rsidRPr="00BA4BC1">
        <w:rPr>
          <w:rFonts w:ascii="Times New Roman" w:hAnsi="Times New Roman" w:cs="Times New Roman"/>
          <w:sz w:val="24"/>
          <w:szCs w:val="24"/>
        </w:rPr>
        <w:t>They enjoyed something akin to emphyte</w:t>
      </w:r>
      <w:r w:rsidR="007C2CA3" w:rsidRPr="00BA4BC1">
        <w:rPr>
          <w:rFonts w:ascii="Times New Roman" w:hAnsi="Times New Roman" w:cs="Times New Roman"/>
          <w:sz w:val="24"/>
          <w:szCs w:val="24"/>
        </w:rPr>
        <w:t>u</w:t>
      </w:r>
      <w:r w:rsidRPr="00BA4BC1">
        <w:rPr>
          <w:rFonts w:ascii="Times New Roman" w:hAnsi="Times New Roman" w:cs="Times New Roman"/>
          <w:sz w:val="24"/>
          <w:szCs w:val="24"/>
        </w:rPr>
        <w:t>sis, a perpetual right in the land of another. A very important factor is that the grantor of the land once</w:t>
      </w:r>
      <w:r w:rsidR="007C2CA3" w:rsidRPr="00BA4BC1">
        <w:rPr>
          <w:rFonts w:ascii="Times New Roman" w:hAnsi="Times New Roman" w:cs="Times New Roman"/>
          <w:sz w:val="24"/>
          <w:szCs w:val="24"/>
        </w:rPr>
        <w:t xml:space="preserve"> it</w:t>
      </w:r>
      <w:r w:rsidRPr="00BA4BC1">
        <w:rPr>
          <w:rFonts w:ascii="Times New Roman" w:hAnsi="Times New Roman" w:cs="Times New Roman"/>
          <w:sz w:val="24"/>
          <w:szCs w:val="24"/>
        </w:rPr>
        <w:t xml:space="preserve"> has been given to the grantees </w:t>
      </w:r>
      <w:r w:rsidR="007C2CA3" w:rsidRPr="00BA4BC1">
        <w:rPr>
          <w:rFonts w:ascii="Times New Roman" w:hAnsi="Times New Roman" w:cs="Times New Roman"/>
          <w:sz w:val="24"/>
          <w:szCs w:val="24"/>
        </w:rPr>
        <w:t>as</w:t>
      </w:r>
      <w:r w:rsidRPr="00BA4BC1">
        <w:rPr>
          <w:rFonts w:ascii="Times New Roman" w:hAnsi="Times New Roman" w:cs="Times New Roman"/>
          <w:sz w:val="24"/>
          <w:szCs w:val="24"/>
        </w:rPr>
        <w:t xml:space="preserve"> customary tenants, cannot thereafter grant it or any part of it to a third party without the consent and approval of the customary tenants. The grantor is not allowed to derogate from his grant</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Elias, 1977, p. 42)</w:t>
      </w:r>
      <w:r w:rsidRPr="00BA4BC1">
        <w:rPr>
          <w:rFonts w:ascii="Times New Roman" w:hAnsi="Times New Roman" w:cs="Times New Roman"/>
          <w:sz w:val="24"/>
          <w:szCs w:val="24"/>
        </w:rPr>
        <w:t>.</w:t>
      </w:r>
    </w:p>
    <w:p w14:paraId="79696E40" w14:textId="77777777" w:rsidR="00245146" w:rsidRPr="00BA4BC1" w:rsidRDefault="00245146" w:rsidP="00EB3EFA">
      <w:pPr>
        <w:pStyle w:val="ListParagraph"/>
        <w:spacing w:after="0" w:line="240" w:lineRule="auto"/>
        <w:ind w:left="0"/>
        <w:jc w:val="both"/>
        <w:rPr>
          <w:rFonts w:ascii="Times New Roman" w:hAnsi="Times New Roman" w:cs="Times New Roman"/>
          <w:b/>
          <w:i/>
          <w:sz w:val="24"/>
          <w:szCs w:val="24"/>
        </w:rPr>
      </w:pPr>
      <w:r w:rsidRPr="00BA4BC1">
        <w:rPr>
          <w:rFonts w:ascii="Times New Roman" w:hAnsi="Times New Roman" w:cs="Times New Roman"/>
          <w:sz w:val="24"/>
          <w:szCs w:val="24"/>
        </w:rPr>
        <w:t>No doubt, it is evident from the view expressed by Supreme Court above</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it is judicially settled that the interest of the tenant cannot be over reached by the over lord</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In other words, once the land is subject to customary tenancy, the Landlord is not entitled to and cannot lawfully take any step or steps that may </w:t>
      </w:r>
      <w:r w:rsidR="000118D3" w:rsidRPr="00BA4BC1">
        <w:rPr>
          <w:rFonts w:ascii="Times New Roman" w:hAnsi="Times New Roman" w:cs="Times New Roman"/>
          <w:sz w:val="24"/>
          <w:szCs w:val="24"/>
        </w:rPr>
        <w:t>b</w:t>
      </w:r>
      <w:r w:rsidRPr="00BA4BC1">
        <w:rPr>
          <w:rFonts w:ascii="Times New Roman" w:hAnsi="Times New Roman" w:cs="Times New Roman"/>
          <w:sz w:val="24"/>
          <w:szCs w:val="24"/>
        </w:rPr>
        <w:t>e prejudicial to, or capable of diminishing the interest of the customary tenant.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This invariably implies that the customary overlord cannot grant a lease</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mortgage or effect an outright sale over the land which is subject to customary tenancy without the consent and/or approval of the tenant.</w:t>
      </w:r>
    </w:p>
    <w:p w14:paraId="5CB779E5" w14:textId="77777777" w:rsidR="00A2367B" w:rsidRPr="00BA4BC1" w:rsidRDefault="00A2367B"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b/>
          <w:sz w:val="24"/>
          <w:szCs w:val="24"/>
        </w:rPr>
        <w:tab/>
      </w:r>
      <w:r w:rsidRPr="00BA4BC1">
        <w:rPr>
          <w:rFonts w:ascii="Times New Roman" w:hAnsi="Times New Roman" w:cs="Times New Roman"/>
          <w:sz w:val="24"/>
          <w:szCs w:val="24"/>
        </w:rPr>
        <w:t xml:space="preserve">The customary tenant interest on the land is more substantial due to the fact that he is more accorded higher or equal portion of the land as compared to the overlord. In </w:t>
      </w:r>
      <w:r w:rsidRPr="00BA4BC1">
        <w:rPr>
          <w:rFonts w:ascii="Times New Roman" w:hAnsi="Times New Roman" w:cs="Times New Roman"/>
          <w:b/>
          <w:i/>
          <w:sz w:val="24"/>
          <w:szCs w:val="24"/>
        </w:rPr>
        <w:t xml:space="preserve">Chief </w:t>
      </w:r>
      <w:proofErr w:type="spellStart"/>
      <w:r w:rsidRPr="00BA4BC1">
        <w:rPr>
          <w:rFonts w:ascii="Times New Roman" w:hAnsi="Times New Roman" w:cs="Times New Roman"/>
          <w:b/>
          <w:i/>
          <w:sz w:val="24"/>
          <w:szCs w:val="24"/>
        </w:rPr>
        <w:t>Etim</w:t>
      </w:r>
      <w:proofErr w:type="spellEnd"/>
      <w:r w:rsidRPr="00BA4BC1">
        <w:rPr>
          <w:rFonts w:ascii="Times New Roman" w:hAnsi="Times New Roman" w:cs="Times New Roman"/>
          <w:b/>
          <w:i/>
          <w:sz w:val="24"/>
          <w:szCs w:val="24"/>
        </w:rPr>
        <w:t xml:space="preserve"> vs. Chief Eke, </w:t>
      </w:r>
      <w:r w:rsidRPr="00BA4BC1">
        <w:rPr>
          <w:rFonts w:ascii="Times New Roman" w:hAnsi="Times New Roman" w:cs="Times New Roman"/>
          <w:sz w:val="24"/>
          <w:szCs w:val="24"/>
        </w:rPr>
        <w:t>Martindale J. was emphatic and observed that:</w:t>
      </w:r>
    </w:p>
    <w:p w14:paraId="05CC2EB8" w14:textId="77777777" w:rsidR="00ED4B3A" w:rsidRPr="00BA4BC1" w:rsidRDefault="00A2367B"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It is now settled law that once land is granted to a tenant in accordance with </w:t>
      </w:r>
      <w:r w:rsidR="00ED4B3A" w:rsidRPr="00BA4BC1">
        <w:rPr>
          <w:rFonts w:ascii="Times New Roman" w:hAnsi="Times New Roman" w:cs="Times New Roman"/>
          <w:sz w:val="24"/>
          <w:szCs w:val="24"/>
        </w:rPr>
        <w:t>native law and custom whatever be the consideration, full rights of possession are conveyed to the grantee The only right remaining in the grantor is that of reversion, should the grantee deny title or abandon or attempt to alienate. The grantor cannot convey to strangers without the grantee</w:t>
      </w:r>
      <w:r w:rsidR="00FD108C">
        <w:rPr>
          <w:rFonts w:ascii="Times New Roman" w:hAnsi="Times New Roman" w:cs="Times New Roman"/>
          <w:sz w:val="24"/>
          <w:szCs w:val="24"/>
        </w:rPr>
        <w:t>’</w:t>
      </w:r>
      <w:r w:rsidR="00ED4B3A" w:rsidRPr="00BA4BC1">
        <w:rPr>
          <w:rFonts w:ascii="Times New Roman" w:hAnsi="Times New Roman" w:cs="Times New Roman"/>
          <w:sz w:val="24"/>
          <w:szCs w:val="24"/>
        </w:rPr>
        <w:t>s permission of any rights in respect of the land</w:t>
      </w:r>
      <w:r w:rsidR="00EB3EFA" w:rsidRPr="00BA4BC1">
        <w:rPr>
          <w:rFonts w:ascii="Times New Roman" w:hAnsi="Times New Roman" w:cs="Times New Roman"/>
          <w:sz w:val="24"/>
          <w:szCs w:val="24"/>
        </w:rPr>
        <w:t xml:space="preserve"> (</w:t>
      </w:r>
      <w:proofErr w:type="spellStart"/>
      <w:r w:rsidR="00EB3EFA" w:rsidRPr="00BA4BC1">
        <w:rPr>
          <w:rFonts w:ascii="Times New Roman" w:hAnsi="Times New Roman" w:cs="Times New Roman"/>
          <w:color w:val="222222"/>
          <w:sz w:val="24"/>
          <w:szCs w:val="24"/>
          <w:shd w:val="clear" w:color="auto" w:fill="FFFFFF"/>
        </w:rPr>
        <w:t>Olawoye</w:t>
      </w:r>
      <w:proofErr w:type="spellEnd"/>
      <w:r w:rsidR="00EB3EFA" w:rsidRPr="00BA4BC1">
        <w:rPr>
          <w:rFonts w:ascii="Times New Roman" w:hAnsi="Times New Roman" w:cs="Times New Roman"/>
          <w:color w:val="222222"/>
          <w:sz w:val="24"/>
          <w:szCs w:val="24"/>
          <w:shd w:val="clear" w:color="auto" w:fill="FFFFFF"/>
        </w:rPr>
        <w:t>, 1971, p. 44)</w:t>
      </w:r>
      <w:r w:rsidR="00ED4B3A" w:rsidRPr="00BA4BC1">
        <w:rPr>
          <w:rFonts w:ascii="Times New Roman" w:hAnsi="Times New Roman" w:cs="Times New Roman"/>
          <w:sz w:val="24"/>
          <w:szCs w:val="24"/>
        </w:rPr>
        <w:t>.</w:t>
      </w:r>
    </w:p>
    <w:p w14:paraId="05290B3C" w14:textId="77777777" w:rsidR="00ED4B3A" w:rsidRPr="00BA4BC1" w:rsidRDefault="00ED4B3A"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Thus, when a grant of tenancy </w:t>
      </w:r>
      <w:r w:rsidR="00DD67DA" w:rsidRPr="00BA4BC1">
        <w:rPr>
          <w:rFonts w:ascii="Times New Roman" w:hAnsi="Times New Roman" w:cs="Times New Roman"/>
          <w:sz w:val="24"/>
          <w:szCs w:val="24"/>
        </w:rPr>
        <w:t xml:space="preserve">under customary law is made, the tenant takes full rights of possession which in law is exclusive against all including the landlord. What therefore arises </w:t>
      </w:r>
      <w:proofErr w:type="spellStart"/>
      <w:r w:rsidR="00DD67DA" w:rsidRPr="00BA4BC1">
        <w:rPr>
          <w:rFonts w:ascii="Times New Roman" w:hAnsi="Times New Roman" w:cs="Times New Roman"/>
          <w:sz w:val="24"/>
          <w:szCs w:val="24"/>
        </w:rPr>
        <w:t>inf</w:t>
      </w:r>
      <w:r w:rsidR="00BE0359" w:rsidRPr="00BA4BC1">
        <w:rPr>
          <w:rFonts w:ascii="Times New Roman" w:hAnsi="Times New Roman" w:cs="Times New Roman"/>
          <w:sz w:val="24"/>
          <w:szCs w:val="24"/>
        </w:rPr>
        <w:t>avour</w:t>
      </w:r>
      <w:proofErr w:type="spellEnd"/>
      <w:r w:rsidR="00BE0359" w:rsidRPr="00BA4BC1">
        <w:rPr>
          <w:rFonts w:ascii="Times New Roman" w:hAnsi="Times New Roman" w:cs="Times New Roman"/>
          <w:sz w:val="24"/>
          <w:szCs w:val="24"/>
        </w:rPr>
        <w:t xml:space="preserve"> of the landlord is a reversion which remains dormant until it crystalizes upon proof of bad behavior on the part of the tenant and that would mean the end of the tenancy</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Hawley¸2019)</w:t>
      </w:r>
      <w:r w:rsidR="00BE0359" w:rsidRPr="00BA4BC1">
        <w:rPr>
          <w:rFonts w:ascii="Times New Roman" w:hAnsi="Times New Roman" w:cs="Times New Roman"/>
          <w:sz w:val="24"/>
          <w:szCs w:val="24"/>
        </w:rPr>
        <w:t>.</w:t>
      </w:r>
    </w:p>
    <w:p w14:paraId="12A0ADBA" w14:textId="77777777" w:rsidR="00BE0359" w:rsidRPr="00BA4BC1" w:rsidRDefault="00BE0359"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From the foregoing, it therefore seems judicially settled that the interest of the customary tenant is practically indefeasible and that declaration of forfeiture of his interest would be a rarity. </w:t>
      </w:r>
    </w:p>
    <w:p w14:paraId="39358380" w14:textId="77777777" w:rsidR="005E0399" w:rsidRPr="00BA4BC1" w:rsidRDefault="005E0399" w:rsidP="00EB3EFA">
      <w:pPr>
        <w:pStyle w:val="ListParagraph"/>
        <w:spacing w:after="0" w:line="240" w:lineRule="auto"/>
        <w:ind w:left="0"/>
        <w:jc w:val="both"/>
        <w:rPr>
          <w:rFonts w:ascii="Times New Roman" w:hAnsi="Times New Roman" w:cs="Times New Roman"/>
          <w:sz w:val="24"/>
          <w:szCs w:val="24"/>
        </w:rPr>
      </w:pPr>
    </w:p>
    <w:p w14:paraId="5502918D" w14:textId="77777777" w:rsidR="00DC32E6" w:rsidRPr="00BA4BC1" w:rsidRDefault="00DC32E6" w:rsidP="00EB3EFA">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NATURE OF CUSTOMARY TENANCY UNDER THE LAND USE ACT</w:t>
      </w:r>
    </w:p>
    <w:p w14:paraId="5E96B612" w14:textId="77777777" w:rsidR="00DC32E6" w:rsidRPr="00BA4BC1" w:rsidRDefault="00DC32E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lastRenderedPageBreak/>
        <w:tab/>
        <w:t xml:space="preserve">In interpreting the Land Use Act, an understanding of its history, the preparatory works, and the mischief it sought to rectify must be of inexorable assistant. The issue therefore is in the matter of customary tenancy, what is the mischief which the Act sought to remedy? This question has been answered in the case of </w:t>
      </w:r>
      <w:proofErr w:type="spellStart"/>
      <w:r w:rsidRPr="00BA4BC1">
        <w:rPr>
          <w:rFonts w:ascii="Times New Roman" w:hAnsi="Times New Roman" w:cs="Times New Roman"/>
          <w:b/>
          <w:i/>
          <w:sz w:val="24"/>
          <w:szCs w:val="24"/>
        </w:rPr>
        <w:t>Abioye</w:t>
      </w:r>
      <w:proofErr w:type="spellEnd"/>
      <w:r w:rsidRPr="00BA4BC1">
        <w:rPr>
          <w:rFonts w:ascii="Times New Roman" w:hAnsi="Times New Roman" w:cs="Times New Roman"/>
          <w:b/>
          <w:i/>
          <w:sz w:val="24"/>
          <w:szCs w:val="24"/>
        </w:rPr>
        <w:t xml:space="preserve"> vs. Yakubu, </w:t>
      </w:r>
      <w:r w:rsidRPr="00BA4BC1">
        <w:rPr>
          <w:rFonts w:ascii="Times New Roman" w:hAnsi="Times New Roman" w:cs="Times New Roman"/>
          <w:sz w:val="24"/>
          <w:szCs w:val="24"/>
        </w:rPr>
        <w:t xml:space="preserve">where </w:t>
      </w:r>
      <w:proofErr w:type="spellStart"/>
      <w:r w:rsidRPr="00BA4BC1">
        <w:rPr>
          <w:rFonts w:ascii="Times New Roman" w:hAnsi="Times New Roman" w:cs="Times New Roman"/>
          <w:b/>
          <w:sz w:val="24"/>
          <w:szCs w:val="24"/>
        </w:rPr>
        <w:t>NnaemekaAgu</w:t>
      </w:r>
      <w:proofErr w:type="spellEnd"/>
      <w:r w:rsidRPr="00BA4BC1">
        <w:rPr>
          <w:rFonts w:ascii="Times New Roman" w:hAnsi="Times New Roman" w:cs="Times New Roman"/>
          <w:b/>
          <w:sz w:val="24"/>
          <w:szCs w:val="24"/>
        </w:rPr>
        <w:t xml:space="preserve"> JSC</w:t>
      </w:r>
      <w:r w:rsidRPr="00BA4BC1">
        <w:rPr>
          <w:rFonts w:ascii="Times New Roman" w:hAnsi="Times New Roman" w:cs="Times New Roman"/>
          <w:sz w:val="24"/>
          <w:szCs w:val="24"/>
        </w:rPr>
        <w:t xml:space="preserve"> observed thus:</w:t>
      </w:r>
    </w:p>
    <w:p w14:paraId="56D3C74D" w14:textId="77777777" w:rsidR="00FA7588" w:rsidRPr="00FD108C" w:rsidRDefault="00DC32E6" w:rsidP="005E0399">
      <w:pPr>
        <w:pStyle w:val="ListParagraph"/>
        <w:spacing w:after="0" w:line="240" w:lineRule="auto"/>
        <w:ind w:left="1440"/>
        <w:jc w:val="both"/>
        <w:rPr>
          <w:rFonts w:ascii="Times New Roman" w:hAnsi="Times New Roman" w:cs="Times New Roman"/>
          <w:color w:val="000000" w:themeColor="text1"/>
          <w:sz w:val="24"/>
          <w:szCs w:val="24"/>
        </w:rPr>
      </w:pPr>
      <w:r w:rsidRPr="00FD108C">
        <w:rPr>
          <w:rFonts w:ascii="Times New Roman" w:hAnsi="Times New Roman" w:cs="Times New Roman"/>
          <w:color w:val="000000" w:themeColor="text1"/>
          <w:sz w:val="24"/>
          <w:szCs w:val="24"/>
        </w:rPr>
        <w:t>I must pause here to advise myself that an important process in the exercise of my interpretative function is to find out what the law was before the promulgation of the Act, what mischief the Act set out to com</w:t>
      </w:r>
      <w:r w:rsidR="00FA7588" w:rsidRPr="00FD108C">
        <w:rPr>
          <w:rFonts w:ascii="Times New Roman" w:hAnsi="Times New Roman" w:cs="Times New Roman"/>
          <w:color w:val="000000" w:themeColor="text1"/>
          <w:sz w:val="24"/>
          <w:szCs w:val="24"/>
        </w:rPr>
        <w:t>b</w:t>
      </w:r>
      <w:r w:rsidRPr="00FD108C">
        <w:rPr>
          <w:rFonts w:ascii="Times New Roman" w:hAnsi="Times New Roman" w:cs="Times New Roman"/>
          <w:color w:val="000000" w:themeColor="text1"/>
          <w:sz w:val="24"/>
          <w:szCs w:val="24"/>
        </w:rPr>
        <w:t>at and what result was intended by the Act. In other words, what was</w:t>
      </w:r>
      <w:r w:rsidR="00FA7588" w:rsidRPr="00FD108C">
        <w:rPr>
          <w:rFonts w:ascii="Times New Roman" w:hAnsi="Times New Roman" w:cs="Times New Roman"/>
          <w:color w:val="000000" w:themeColor="text1"/>
          <w:sz w:val="24"/>
          <w:szCs w:val="24"/>
        </w:rPr>
        <w:t xml:space="preserve"> the relationship between the customary land owner and his customary tenant </w:t>
      </w:r>
      <w:r w:rsidR="00F6404C" w:rsidRPr="00FD108C">
        <w:rPr>
          <w:rFonts w:ascii="Times New Roman" w:hAnsi="Times New Roman" w:cs="Times New Roman"/>
          <w:color w:val="000000" w:themeColor="text1"/>
          <w:sz w:val="24"/>
          <w:szCs w:val="24"/>
        </w:rPr>
        <w:t>before the Act came into effect.</w:t>
      </w:r>
      <w:r w:rsidR="00FA7588" w:rsidRPr="00FD108C">
        <w:rPr>
          <w:rFonts w:ascii="Times New Roman" w:hAnsi="Times New Roman" w:cs="Times New Roman"/>
          <w:color w:val="000000" w:themeColor="text1"/>
          <w:sz w:val="24"/>
          <w:szCs w:val="24"/>
        </w:rPr>
        <w:t xml:space="preserve"> What was the Act designed to correct in this respect?</w:t>
      </w:r>
    </w:p>
    <w:p w14:paraId="1591AAFE" w14:textId="77777777" w:rsidR="00FA7588" w:rsidRPr="00BA4BC1" w:rsidRDefault="00FA758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As earlier explained above, the customary tenancy is created where a land owner allows another person (tenant) the occupation of his land for specific purposes and either for a term (</w:t>
      </w:r>
      <w:proofErr w:type="gramStart"/>
      <w:r w:rsidRPr="00BA4BC1">
        <w:rPr>
          <w:rFonts w:ascii="Times New Roman" w:hAnsi="Times New Roman" w:cs="Times New Roman"/>
          <w:sz w:val="24"/>
          <w:szCs w:val="24"/>
        </w:rPr>
        <w:t>e.g.</w:t>
      </w:r>
      <w:proofErr w:type="gramEnd"/>
      <w:r w:rsidRPr="00BA4BC1">
        <w:rPr>
          <w:rFonts w:ascii="Times New Roman" w:hAnsi="Times New Roman" w:cs="Times New Roman"/>
          <w:sz w:val="24"/>
          <w:szCs w:val="24"/>
        </w:rPr>
        <w:t xml:space="preserve"> planting season) or normally in perpetuity subject to good </w:t>
      </w:r>
      <w:proofErr w:type="spellStart"/>
      <w:r w:rsidRPr="00BA4BC1">
        <w:rPr>
          <w:rFonts w:ascii="Times New Roman" w:hAnsi="Times New Roman" w:cs="Times New Roman"/>
          <w:sz w:val="24"/>
          <w:szCs w:val="24"/>
        </w:rPr>
        <w:t>behavio</w:t>
      </w:r>
      <w:r w:rsidR="0066316B" w:rsidRPr="00BA4BC1">
        <w:rPr>
          <w:rFonts w:ascii="Times New Roman" w:hAnsi="Times New Roman" w:cs="Times New Roman"/>
          <w:sz w:val="24"/>
          <w:szCs w:val="24"/>
        </w:rPr>
        <w:t>u</w:t>
      </w:r>
      <w:r w:rsidRPr="00BA4BC1">
        <w:rPr>
          <w:rFonts w:ascii="Times New Roman" w:hAnsi="Times New Roman" w:cs="Times New Roman"/>
          <w:sz w:val="24"/>
          <w:szCs w:val="24"/>
        </w:rPr>
        <w:t>r</w:t>
      </w:r>
      <w:proofErr w:type="spellEnd"/>
      <w:r w:rsidRPr="00BA4BC1">
        <w:rPr>
          <w:rFonts w:ascii="Times New Roman" w:hAnsi="Times New Roman" w:cs="Times New Roman"/>
          <w:sz w:val="24"/>
          <w:szCs w:val="24"/>
        </w:rPr>
        <w:t xml:space="preserve"> of the tenant</w:t>
      </w:r>
      <w:r w:rsidR="00FD108C">
        <w:rPr>
          <w:rFonts w:ascii="Times New Roman" w:hAnsi="Times New Roman" w:cs="Times New Roman"/>
          <w:sz w:val="24"/>
          <w:szCs w:val="24"/>
        </w:rPr>
        <w:t xml:space="preserve"> (</w:t>
      </w:r>
      <w:r w:rsidR="00FD108C" w:rsidRPr="0059455E">
        <w:rPr>
          <w:rFonts w:ascii="Arial" w:eastAsia="Times New Roman" w:hAnsi="Arial" w:cs="Arial"/>
          <w:color w:val="000000" w:themeColor="text1"/>
          <w:sz w:val="20"/>
          <w:szCs w:val="20"/>
        </w:rPr>
        <w:t>Dorothy</w:t>
      </w:r>
      <w:r w:rsidR="00FD108C" w:rsidRPr="0059455E">
        <w:rPr>
          <w:rFonts w:ascii="Arial" w:hAnsi="Arial" w:cs="Arial"/>
          <w:color w:val="000000" w:themeColor="text1"/>
          <w:sz w:val="20"/>
          <w:szCs w:val="20"/>
          <w:shd w:val="clear" w:color="auto" w:fill="FFFFFF"/>
        </w:rPr>
        <w:t xml:space="preserve"> &amp; </w:t>
      </w:r>
      <w:proofErr w:type="spellStart"/>
      <w:r w:rsidR="00FD108C" w:rsidRPr="0059455E">
        <w:rPr>
          <w:rFonts w:ascii="Arial" w:hAnsi="Arial" w:cs="Arial"/>
          <w:color w:val="000000" w:themeColor="text1"/>
          <w:sz w:val="20"/>
          <w:szCs w:val="20"/>
          <w:shd w:val="clear" w:color="auto" w:fill="FFFFFF"/>
        </w:rPr>
        <w:t>Otu</w:t>
      </w:r>
      <w:proofErr w:type="spellEnd"/>
      <w:r w:rsidR="00FD108C" w:rsidRPr="0059455E">
        <w:rPr>
          <w:rFonts w:ascii="Arial" w:hAnsi="Arial" w:cs="Arial"/>
          <w:color w:val="000000" w:themeColor="text1"/>
          <w:sz w:val="20"/>
          <w:szCs w:val="20"/>
          <w:shd w:val="clear" w:color="auto" w:fill="FFFFFF"/>
        </w:rPr>
        <w:t>,</w:t>
      </w:r>
      <w:r w:rsidR="00FD108C">
        <w:rPr>
          <w:rFonts w:ascii="Arial" w:hAnsi="Arial" w:cs="Arial"/>
          <w:color w:val="000000" w:themeColor="text1"/>
          <w:sz w:val="20"/>
          <w:szCs w:val="20"/>
          <w:shd w:val="clear" w:color="auto" w:fill="FFFFFF"/>
        </w:rPr>
        <w:t xml:space="preserve"> </w:t>
      </w:r>
      <w:r w:rsidR="00FD108C" w:rsidRPr="0059455E">
        <w:rPr>
          <w:rFonts w:ascii="Arial" w:hAnsi="Arial" w:cs="Arial"/>
          <w:color w:val="000000" w:themeColor="text1"/>
          <w:sz w:val="20"/>
          <w:szCs w:val="20"/>
          <w:shd w:val="clear" w:color="auto" w:fill="FFFFFF"/>
        </w:rPr>
        <w:t>2012</w:t>
      </w:r>
      <w:r w:rsidR="00FD108C">
        <w:rPr>
          <w:rFonts w:ascii="Arial" w:hAnsi="Arial" w:cs="Arial"/>
          <w:color w:val="000000" w:themeColor="text1"/>
          <w:sz w:val="20"/>
          <w:szCs w:val="20"/>
          <w:shd w:val="clear" w:color="auto" w:fill="FFFFFF"/>
        </w:rPr>
        <w:t>)</w:t>
      </w:r>
      <w:r w:rsidRPr="00BA4BC1">
        <w:rPr>
          <w:rFonts w:ascii="Times New Roman" w:hAnsi="Times New Roman" w:cs="Times New Roman"/>
          <w:sz w:val="24"/>
          <w:szCs w:val="24"/>
        </w:rPr>
        <w:t>. The customary tenant only occupies the land and the title never passes to him. He is expected, to pay rent or tribute to the overlord, in the event of misbehavior, the tenancy is liable to forfeiture at the instance of the overlord.</w:t>
      </w:r>
    </w:p>
    <w:p w14:paraId="105999D5" w14:textId="77777777" w:rsidR="00FA7588" w:rsidRPr="00BA4BC1" w:rsidRDefault="00FA758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Upon the coming into force of the Land Use Act 1978, the pertinent question that had agitated the minds of jurists and scholars </w:t>
      </w:r>
      <w:r w:rsidR="00164FFE" w:rsidRPr="00BA4BC1">
        <w:rPr>
          <w:rFonts w:ascii="Times New Roman" w:hAnsi="Times New Roman" w:cs="Times New Roman"/>
          <w:sz w:val="24"/>
          <w:szCs w:val="24"/>
        </w:rPr>
        <w:t xml:space="preserve">had been what is the quantum of interest held by the customary tenant? Some authorities have ruled that the rights of the overlord have been swept away by the provisions of the Act especially </w:t>
      </w:r>
      <w:r w:rsidR="00164FFE" w:rsidRPr="00BA4BC1">
        <w:rPr>
          <w:rFonts w:ascii="Times New Roman" w:hAnsi="Times New Roman" w:cs="Times New Roman"/>
          <w:b/>
          <w:i/>
          <w:sz w:val="24"/>
          <w:szCs w:val="24"/>
        </w:rPr>
        <w:t xml:space="preserve">Section 36(2). </w:t>
      </w:r>
      <w:r w:rsidR="00164FFE" w:rsidRPr="00BA4BC1">
        <w:rPr>
          <w:rFonts w:ascii="Times New Roman" w:hAnsi="Times New Roman" w:cs="Times New Roman"/>
          <w:sz w:val="24"/>
          <w:szCs w:val="24"/>
        </w:rPr>
        <w:t>The Section provides as follows:</w:t>
      </w:r>
    </w:p>
    <w:p w14:paraId="586F45C3" w14:textId="77777777" w:rsidR="00164FFE" w:rsidRPr="00BA4BC1" w:rsidRDefault="00164FFE" w:rsidP="00EB3EFA">
      <w:pPr>
        <w:pStyle w:val="ListParagraph"/>
        <w:spacing w:after="0" w:line="240" w:lineRule="auto"/>
        <w:ind w:left="0"/>
        <w:jc w:val="both"/>
        <w:rPr>
          <w:rFonts w:ascii="Times New Roman" w:hAnsi="Times New Roman" w:cs="Times New Roman"/>
          <w:sz w:val="24"/>
          <w:szCs w:val="24"/>
        </w:rPr>
      </w:pPr>
    </w:p>
    <w:p w14:paraId="3FD42B52" w14:textId="77777777" w:rsidR="00164FFE" w:rsidRPr="00BA4BC1" w:rsidRDefault="00164FFE" w:rsidP="005E0399">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Any occupier or holder of such land, whether under customary rights or otherwise howsoever,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 and the reference in this section to land being used for agricultural purposes includes land which is, in accordance with the customary law of the locality concerned, allowed to lie fallow for purpos</w:t>
      </w:r>
      <w:r w:rsidR="005C1D09" w:rsidRPr="00BA4BC1">
        <w:rPr>
          <w:rFonts w:ascii="Times New Roman" w:hAnsi="Times New Roman" w:cs="Times New Roman"/>
          <w:sz w:val="24"/>
          <w:szCs w:val="24"/>
        </w:rPr>
        <w:t>es of recuperation of the soil</w:t>
      </w:r>
      <w:r w:rsidR="005E0399" w:rsidRPr="00BA4BC1">
        <w:rPr>
          <w:rFonts w:ascii="Times New Roman" w:hAnsi="Times New Roman" w:cs="Times New Roman"/>
          <w:sz w:val="24"/>
          <w:szCs w:val="24"/>
        </w:rPr>
        <w:t xml:space="preserve"> (</w:t>
      </w:r>
      <w:proofErr w:type="spellStart"/>
      <w:r w:rsidR="005E0399" w:rsidRPr="00BA4BC1">
        <w:rPr>
          <w:rFonts w:ascii="Times New Roman" w:hAnsi="Times New Roman" w:cs="Times New Roman"/>
          <w:color w:val="222222"/>
          <w:sz w:val="24"/>
          <w:szCs w:val="24"/>
          <w:shd w:val="clear" w:color="auto" w:fill="FFFFFF"/>
        </w:rPr>
        <w:t>Mabogunje</w:t>
      </w:r>
      <w:proofErr w:type="spellEnd"/>
      <w:r w:rsidR="005E0399" w:rsidRPr="00BA4BC1">
        <w:rPr>
          <w:rFonts w:ascii="Times New Roman" w:hAnsi="Times New Roman" w:cs="Times New Roman"/>
          <w:color w:val="222222"/>
          <w:sz w:val="24"/>
          <w:szCs w:val="24"/>
          <w:shd w:val="clear" w:color="auto" w:fill="FFFFFF"/>
        </w:rPr>
        <w:t>¸ 2010, p. 63)</w:t>
      </w:r>
      <w:r w:rsidR="005C1D09" w:rsidRPr="00BA4BC1">
        <w:rPr>
          <w:rFonts w:ascii="Times New Roman" w:hAnsi="Times New Roman" w:cs="Times New Roman"/>
          <w:sz w:val="24"/>
          <w:szCs w:val="24"/>
        </w:rPr>
        <w:t>.</w:t>
      </w:r>
    </w:p>
    <w:p w14:paraId="498ECEB1" w14:textId="77777777" w:rsidR="006C6BFB" w:rsidRPr="00BA4BC1" w:rsidRDefault="00164FF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While subsection 3 went further to permit the appropriate local government to issue the customary right of occupancy to the occupier or holder who is in possession and that the land was being used </w:t>
      </w:r>
      <w:r w:rsidR="006C6BFB" w:rsidRPr="00BA4BC1">
        <w:rPr>
          <w:rFonts w:ascii="Times New Roman" w:hAnsi="Times New Roman" w:cs="Times New Roman"/>
          <w:sz w:val="24"/>
          <w:szCs w:val="24"/>
        </w:rPr>
        <w:t>for agricultural purposes</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Oshio¸1990)</w:t>
      </w:r>
      <w:r w:rsidR="006C6BFB" w:rsidRPr="00BA4BC1">
        <w:rPr>
          <w:rFonts w:ascii="Times New Roman" w:hAnsi="Times New Roman" w:cs="Times New Roman"/>
          <w:sz w:val="24"/>
          <w:szCs w:val="24"/>
        </w:rPr>
        <w:t>.</w:t>
      </w:r>
    </w:p>
    <w:p w14:paraId="069C3758" w14:textId="77777777" w:rsidR="005E0399" w:rsidRPr="00BA4BC1" w:rsidRDefault="006C6BFB"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crux of the issue here is who </w:t>
      </w:r>
      <w:r w:rsidR="00AC2483" w:rsidRPr="00BA4BC1">
        <w:rPr>
          <w:rFonts w:ascii="Times New Roman" w:hAnsi="Times New Roman" w:cs="Times New Roman"/>
          <w:sz w:val="24"/>
          <w:szCs w:val="24"/>
        </w:rPr>
        <w:t>are</w:t>
      </w:r>
      <w:r w:rsidRPr="00BA4BC1">
        <w:rPr>
          <w:rFonts w:ascii="Times New Roman" w:hAnsi="Times New Roman" w:cs="Times New Roman"/>
          <w:sz w:val="24"/>
          <w:szCs w:val="24"/>
        </w:rPr>
        <w:t xml:space="preserve"> the holder</w:t>
      </w:r>
      <w:r w:rsidR="00AC2483" w:rsidRPr="00BA4BC1">
        <w:rPr>
          <w:rFonts w:ascii="Times New Roman" w:hAnsi="Times New Roman" w:cs="Times New Roman"/>
          <w:sz w:val="24"/>
          <w:szCs w:val="24"/>
        </w:rPr>
        <w:t>s</w:t>
      </w:r>
      <w:r w:rsidRPr="00BA4BC1">
        <w:rPr>
          <w:rFonts w:ascii="Times New Roman" w:hAnsi="Times New Roman" w:cs="Times New Roman"/>
          <w:sz w:val="24"/>
          <w:szCs w:val="24"/>
        </w:rPr>
        <w:t xml:space="preserve"> and the occupier</w:t>
      </w:r>
      <w:r w:rsidR="00AC2483" w:rsidRPr="00BA4BC1">
        <w:rPr>
          <w:rFonts w:ascii="Times New Roman" w:hAnsi="Times New Roman" w:cs="Times New Roman"/>
          <w:sz w:val="24"/>
          <w:szCs w:val="24"/>
        </w:rPr>
        <w:t>s</w:t>
      </w:r>
      <w:r w:rsidRPr="00BA4BC1">
        <w:rPr>
          <w:rFonts w:ascii="Times New Roman" w:hAnsi="Times New Roman" w:cs="Times New Roman"/>
          <w:sz w:val="24"/>
          <w:szCs w:val="24"/>
        </w:rPr>
        <w:t xml:space="preserve">? Occupier was defined in Section 50 of the Land Use Act as </w:t>
      </w:r>
      <w:r w:rsidR="00FD108C">
        <w:rPr>
          <w:rFonts w:ascii="Times New Roman" w:hAnsi="Times New Roman" w:cs="Times New Roman"/>
          <w:i/>
          <w:sz w:val="24"/>
          <w:szCs w:val="24"/>
        </w:rPr>
        <w:t>“</w:t>
      </w:r>
      <w:r w:rsidRPr="00BA4BC1">
        <w:rPr>
          <w:rFonts w:ascii="Times New Roman" w:hAnsi="Times New Roman" w:cs="Times New Roman"/>
          <w:i/>
          <w:sz w:val="24"/>
          <w:szCs w:val="24"/>
        </w:rPr>
        <w:t xml:space="preserve">any person </w:t>
      </w:r>
      <w:r w:rsidR="001E1A8B" w:rsidRPr="00BA4BC1">
        <w:rPr>
          <w:rFonts w:ascii="Times New Roman" w:hAnsi="Times New Roman" w:cs="Times New Roman"/>
          <w:i/>
          <w:sz w:val="24"/>
          <w:szCs w:val="24"/>
        </w:rPr>
        <w:t>lawfully is occupying</w:t>
      </w:r>
      <w:r w:rsidRPr="00BA4BC1">
        <w:rPr>
          <w:rFonts w:ascii="Times New Roman" w:hAnsi="Times New Roman" w:cs="Times New Roman"/>
          <w:i/>
          <w:sz w:val="24"/>
          <w:szCs w:val="24"/>
        </w:rPr>
        <w:t xml:space="preserve"> land under customary law and a person using or occupying land under customary law and a person using or occupying land in accordance with customary law and includes the sub-lessee or sub-under-lessee of a holder</w:t>
      </w:r>
      <w:r w:rsidR="00FD108C">
        <w:rPr>
          <w:rFonts w:ascii="Times New Roman" w:hAnsi="Times New Roman" w:cs="Times New Roman"/>
          <w:i/>
          <w:sz w:val="24"/>
          <w:szCs w:val="24"/>
        </w:rPr>
        <w:t>”</w:t>
      </w:r>
      <w:r w:rsidRPr="00BA4BC1">
        <w:rPr>
          <w:rFonts w:ascii="Times New Roman" w:hAnsi="Times New Roman" w:cs="Times New Roman"/>
          <w:i/>
          <w:sz w:val="24"/>
          <w:szCs w:val="24"/>
        </w:rPr>
        <w:t>.</w:t>
      </w:r>
      <w:r w:rsidR="005E0399" w:rsidRPr="00BA4BC1">
        <w:rPr>
          <w:rFonts w:ascii="Times New Roman" w:hAnsi="Times New Roman" w:cs="Times New Roman"/>
          <w:i/>
          <w:sz w:val="24"/>
          <w:szCs w:val="24"/>
        </w:rPr>
        <w:t xml:space="preserve"> </w:t>
      </w:r>
      <w:r w:rsidRPr="00BA4BC1">
        <w:rPr>
          <w:rFonts w:ascii="Times New Roman" w:hAnsi="Times New Roman" w:cs="Times New Roman"/>
          <w:sz w:val="24"/>
          <w:szCs w:val="24"/>
        </w:rPr>
        <w:t xml:space="preserve">While the </w:t>
      </w:r>
      <w:r w:rsidR="00E829EA" w:rsidRPr="00BA4BC1">
        <w:rPr>
          <w:rFonts w:ascii="Times New Roman" w:hAnsi="Times New Roman" w:cs="Times New Roman"/>
          <w:sz w:val="24"/>
          <w:szCs w:val="24"/>
        </w:rPr>
        <w:t>Holder</w:t>
      </w:r>
      <w:r w:rsidRPr="00BA4BC1">
        <w:rPr>
          <w:rFonts w:ascii="Times New Roman" w:hAnsi="Times New Roman" w:cs="Times New Roman"/>
          <w:sz w:val="24"/>
          <w:szCs w:val="24"/>
        </w:rPr>
        <w:t xml:space="preserve"> is the person entitled to the right of occupancy</w:t>
      </w:r>
      <w:r w:rsidR="00586C97" w:rsidRPr="00BA4BC1">
        <w:rPr>
          <w:rFonts w:ascii="Times New Roman" w:hAnsi="Times New Roman" w:cs="Times New Roman"/>
          <w:sz w:val="24"/>
          <w:szCs w:val="24"/>
        </w:rPr>
        <w:t>,</w:t>
      </w:r>
      <w:r w:rsidR="005E0399" w:rsidRPr="00BA4BC1">
        <w:rPr>
          <w:rFonts w:ascii="Times New Roman" w:hAnsi="Times New Roman" w:cs="Times New Roman"/>
          <w:sz w:val="24"/>
          <w:szCs w:val="24"/>
        </w:rPr>
        <w:t xml:space="preserve"> </w:t>
      </w:r>
      <w:r w:rsidR="00586C97" w:rsidRPr="00BA4BC1">
        <w:rPr>
          <w:rFonts w:ascii="Times New Roman" w:hAnsi="Times New Roman" w:cs="Times New Roman"/>
          <w:sz w:val="24"/>
          <w:szCs w:val="24"/>
        </w:rPr>
        <w:t>t</w:t>
      </w:r>
      <w:r w:rsidR="006B1DBD" w:rsidRPr="00BA4BC1">
        <w:rPr>
          <w:rFonts w:ascii="Times New Roman" w:hAnsi="Times New Roman" w:cs="Times New Roman"/>
          <w:sz w:val="24"/>
          <w:szCs w:val="24"/>
        </w:rPr>
        <w:t>he Supreme Court seem</w:t>
      </w:r>
      <w:r w:rsidR="00411EC0" w:rsidRPr="00BA4BC1">
        <w:rPr>
          <w:rFonts w:ascii="Times New Roman" w:hAnsi="Times New Roman" w:cs="Times New Roman"/>
          <w:sz w:val="24"/>
          <w:szCs w:val="24"/>
        </w:rPr>
        <w:t>ed</w:t>
      </w:r>
      <w:r w:rsidR="006B1DBD" w:rsidRPr="00BA4BC1">
        <w:rPr>
          <w:rFonts w:ascii="Times New Roman" w:hAnsi="Times New Roman" w:cs="Times New Roman"/>
          <w:sz w:val="24"/>
          <w:szCs w:val="24"/>
        </w:rPr>
        <w:t xml:space="preserve"> to </w:t>
      </w:r>
      <w:proofErr w:type="spellStart"/>
      <w:r w:rsidR="00411EC0" w:rsidRPr="00BA4BC1">
        <w:rPr>
          <w:rFonts w:ascii="Times New Roman" w:hAnsi="Times New Roman" w:cs="Times New Roman"/>
          <w:sz w:val="24"/>
          <w:szCs w:val="24"/>
        </w:rPr>
        <w:t>havelaid</w:t>
      </w:r>
      <w:proofErr w:type="spellEnd"/>
      <w:r w:rsidR="00411EC0" w:rsidRPr="00BA4BC1">
        <w:rPr>
          <w:rFonts w:ascii="Times New Roman" w:hAnsi="Times New Roman" w:cs="Times New Roman"/>
          <w:sz w:val="24"/>
          <w:szCs w:val="24"/>
        </w:rPr>
        <w:t xml:space="preserve"> to</w:t>
      </w:r>
      <w:r w:rsidR="00D44A25" w:rsidRPr="00BA4BC1">
        <w:rPr>
          <w:rFonts w:ascii="Times New Roman" w:hAnsi="Times New Roman" w:cs="Times New Roman"/>
          <w:sz w:val="24"/>
          <w:szCs w:val="24"/>
        </w:rPr>
        <w:t xml:space="preserve"> rest the arguments on the proper relationship of the customary tenant and the overlord in view of the impact of the Act in the case of </w:t>
      </w:r>
      <w:proofErr w:type="spellStart"/>
      <w:r w:rsidR="00D44A25" w:rsidRPr="00BA4BC1">
        <w:rPr>
          <w:rFonts w:ascii="Times New Roman" w:hAnsi="Times New Roman" w:cs="Times New Roman"/>
          <w:b/>
          <w:i/>
          <w:sz w:val="24"/>
          <w:szCs w:val="24"/>
        </w:rPr>
        <w:t>GarubaAbioye</w:t>
      </w:r>
      <w:proofErr w:type="spellEnd"/>
      <w:r w:rsidR="00D44A25" w:rsidRPr="00BA4BC1">
        <w:rPr>
          <w:rFonts w:ascii="Times New Roman" w:hAnsi="Times New Roman" w:cs="Times New Roman"/>
          <w:b/>
          <w:i/>
          <w:sz w:val="24"/>
          <w:szCs w:val="24"/>
        </w:rPr>
        <w:t xml:space="preserve"> and Others, vs. </w:t>
      </w:r>
      <w:proofErr w:type="spellStart"/>
      <w:r w:rsidR="00D44A25" w:rsidRPr="00BA4BC1">
        <w:rPr>
          <w:rFonts w:ascii="Times New Roman" w:hAnsi="Times New Roman" w:cs="Times New Roman"/>
          <w:b/>
          <w:i/>
          <w:sz w:val="24"/>
          <w:szCs w:val="24"/>
        </w:rPr>
        <w:t>Sa</w:t>
      </w:r>
      <w:r w:rsidR="00FD108C">
        <w:rPr>
          <w:rFonts w:ascii="Times New Roman" w:hAnsi="Times New Roman" w:cs="Times New Roman"/>
          <w:b/>
          <w:i/>
          <w:sz w:val="24"/>
          <w:szCs w:val="24"/>
        </w:rPr>
        <w:t>’</w:t>
      </w:r>
      <w:r w:rsidR="00D44A25" w:rsidRPr="00BA4BC1">
        <w:rPr>
          <w:rFonts w:ascii="Times New Roman" w:hAnsi="Times New Roman" w:cs="Times New Roman"/>
          <w:b/>
          <w:i/>
          <w:sz w:val="24"/>
          <w:szCs w:val="24"/>
        </w:rPr>
        <w:t>aduYakubu</w:t>
      </w:r>
      <w:proofErr w:type="spellEnd"/>
      <w:r w:rsidR="00D44A25" w:rsidRPr="00BA4BC1">
        <w:rPr>
          <w:rFonts w:ascii="Times New Roman" w:hAnsi="Times New Roman" w:cs="Times New Roman"/>
          <w:b/>
          <w:i/>
          <w:sz w:val="24"/>
          <w:szCs w:val="24"/>
        </w:rPr>
        <w:t xml:space="preserve"> and Others. </w:t>
      </w:r>
      <w:r w:rsidR="00D44A25" w:rsidRPr="00BA4BC1">
        <w:rPr>
          <w:rFonts w:ascii="Times New Roman" w:hAnsi="Times New Roman" w:cs="Times New Roman"/>
          <w:sz w:val="24"/>
          <w:szCs w:val="24"/>
        </w:rPr>
        <w:t xml:space="preserve">In this case, the main issue before the Supreme Court was whether having regard to the provisions of the Act, Customary overlords as against their customary tenants, were entitled to a declaration of right of occupancy or whether, put differently, the Act abolished the rights of customary </w:t>
      </w:r>
      <w:proofErr w:type="gramStart"/>
      <w:r w:rsidR="00712DE3" w:rsidRPr="00BA4BC1">
        <w:rPr>
          <w:rFonts w:ascii="Times New Roman" w:hAnsi="Times New Roman" w:cs="Times New Roman"/>
          <w:sz w:val="24"/>
          <w:szCs w:val="24"/>
        </w:rPr>
        <w:t>owner</w:t>
      </w:r>
      <w:r w:rsidR="00FD108C">
        <w:rPr>
          <w:rFonts w:ascii="Times New Roman" w:hAnsi="Times New Roman" w:cs="Times New Roman"/>
          <w:sz w:val="24"/>
          <w:szCs w:val="24"/>
        </w:rPr>
        <w:t>’</w:t>
      </w:r>
      <w:r w:rsidR="00712DE3" w:rsidRPr="00BA4BC1">
        <w:rPr>
          <w:rFonts w:ascii="Times New Roman" w:hAnsi="Times New Roman" w:cs="Times New Roman"/>
          <w:sz w:val="24"/>
          <w:szCs w:val="24"/>
        </w:rPr>
        <w:t>s</w:t>
      </w:r>
      <w:proofErr w:type="gramEnd"/>
      <w:r w:rsidR="005E0399" w:rsidRPr="00BA4BC1">
        <w:rPr>
          <w:rFonts w:ascii="Times New Roman" w:hAnsi="Times New Roman" w:cs="Times New Roman"/>
          <w:sz w:val="24"/>
          <w:szCs w:val="24"/>
        </w:rPr>
        <w:t xml:space="preserve"> </w:t>
      </w:r>
      <w:r w:rsidR="00D44A25" w:rsidRPr="00BA4BC1">
        <w:rPr>
          <w:rFonts w:ascii="Times New Roman" w:hAnsi="Times New Roman" w:cs="Times New Roman"/>
          <w:i/>
          <w:sz w:val="24"/>
          <w:szCs w:val="24"/>
        </w:rPr>
        <w:t>vis-à-vis</w:t>
      </w:r>
      <w:r w:rsidR="00D44A25" w:rsidRPr="00BA4BC1">
        <w:rPr>
          <w:rFonts w:ascii="Times New Roman" w:hAnsi="Times New Roman" w:cs="Times New Roman"/>
          <w:sz w:val="24"/>
          <w:szCs w:val="24"/>
        </w:rPr>
        <w:t xml:space="preserve"> the customary tenants. In fact, the brief facts of this case </w:t>
      </w:r>
      <w:proofErr w:type="gramStart"/>
      <w:r w:rsidR="00D44A25" w:rsidRPr="00BA4BC1">
        <w:rPr>
          <w:rFonts w:ascii="Times New Roman" w:hAnsi="Times New Roman" w:cs="Times New Roman"/>
          <w:sz w:val="24"/>
          <w:szCs w:val="24"/>
        </w:rPr>
        <w:t>is</w:t>
      </w:r>
      <w:proofErr w:type="gramEnd"/>
      <w:r w:rsidR="00D44A25" w:rsidRPr="00BA4BC1">
        <w:rPr>
          <w:rFonts w:ascii="Times New Roman" w:hAnsi="Times New Roman" w:cs="Times New Roman"/>
          <w:sz w:val="24"/>
          <w:szCs w:val="24"/>
        </w:rPr>
        <w:t xml:space="preserve"> that the customary tenants of the Plai</w:t>
      </w:r>
      <w:r w:rsidR="00712DE3" w:rsidRPr="00BA4BC1">
        <w:rPr>
          <w:rFonts w:ascii="Times New Roman" w:hAnsi="Times New Roman" w:cs="Times New Roman"/>
          <w:sz w:val="24"/>
          <w:szCs w:val="24"/>
        </w:rPr>
        <w:t>n</w:t>
      </w:r>
      <w:r w:rsidR="00D44A25" w:rsidRPr="00BA4BC1">
        <w:rPr>
          <w:rFonts w:ascii="Times New Roman" w:hAnsi="Times New Roman" w:cs="Times New Roman"/>
          <w:sz w:val="24"/>
          <w:szCs w:val="24"/>
        </w:rPr>
        <w:t xml:space="preserve">tiffs after about 60 years on the land as tenants, put up a sign post on the land that suggests that the land now belongs to them absolutely. </w:t>
      </w:r>
    </w:p>
    <w:p w14:paraId="3203D2AF" w14:textId="77777777" w:rsidR="006C6BFB" w:rsidRPr="00BA4BC1" w:rsidRDefault="00D44A25" w:rsidP="005E0399">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The plaintiffs sue</w:t>
      </w:r>
      <w:r w:rsidR="00712DE3" w:rsidRPr="00BA4BC1">
        <w:rPr>
          <w:rFonts w:ascii="Times New Roman" w:hAnsi="Times New Roman" w:cs="Times New Roman"/>
          <w:sz w:val="24"/>
          <w:szCs w:val="24"/>
        </w:rPr>
        <w:t>d</w:t>
      </w:r>
      <w:r w:rsidRPr="00BA4BC1">
        <w:rPr>
          <w:rFonts w:ascii="Times New Roman" w:hAnsi="Times New Roman" w:cs="Times New Roman"/>
          <w:sz w:val="24"/>
          <w:szCs w:val="24"/>
        </w:rPr>
        <w:t xml:space="preserve"> for forfeiture of the customary tenancy and the tenants claimed the Act ha</w:t>
      </w:r>
      <w:r w:rsidR="00712DE3" w:rsidRPr="00BA4BC1">
        <w:rPr>
          <w:rFonts w:ascii="Times New Roman" w:hAnsi="Times New Roman" w:cs="Times New Roman"/>
          <w:sz w:val="24"/>
          <w:szCs w:val="24"/>
        </w:rPr>
        <w:t>d</w:t>
      </w:r>
      <w:r w:rsidRPr="00BA4BC1">
        <w:rPr>
          <w:rFonts w:ascii="Times New Roman" w:hAnsi="Times New Roman" w:cs="Times New Roman"/>
          <w:sz w:val="24"/>
          <w:szCs w:val="24"/>
        </w:rPr>
        <w:t xml:space="preserve"> converted their rights to that of customary right of occupancy under the Act, the </w:t>
      </w:r>
      <w:r w:rsidRPr="00BA4BC1">
        <w:rPr>
          <w:rFonts w:ascii="Times New Roman" w:hAnsi="Times New Roman" w:cs="Times New Roman"/>
          <w:sz w:val="24"/>
          <w:szCs w:val="24"/>
        </w:rPr>
        <w:lastRenderedPageBreak/>
        <w:t xml:space="preserve">High Court held </w:t>
      </w:r>
      <w:r w:rsidRPr="00BA4BC1">
        <w:rPr>
          <w:rFonts w:ascii="Times New Roman" w:hAnsi="Times New Roman" w:cs="Times New Roman"/>
          <w:i/>
          <w:sz w:val="24"/>
          <w:szCs w:val="24"/>
        </w:rPr>
        <w:t>inter alia</w:t>
      </w:r>
      <w:r w:rsidR="007649C4" w:rsidRPr="00BA4BC1">
        <w:rPr>
          <w:rFonts w:ascii="Times New Roman" w:hAnsi="Times New Roman" w:cs="Times New Roman"/>
          <w:sz w:val="24"/>
          <w:szCs w:val="24"/>
        </w:rPr>
        <w:t xml:space="preserve"> that the Act did not convert the occupiers (tenants) into holders (owners) of the land. Upon appeal, the Court of Appeal held </w:t>
      </w:r>
      <w:r w:rsidR="007649C4" w:rsidRPr="00BA4BC1">
        <w:rPr>
          <w:rFonts w:ascii="Times New Roman" w:hAnsi="Times New Roman" w:cs="Times New Roman"/>
          <w:i/>
          <w:sz w:val="24"/>
          <w:szCs w:val="24"/>
        </w:rPr>
        <w:t xml:space="preserve">inter alia, </w:t>
      </w:r>
      <w:r w:rsidR="007649C4" w:rsidRPr="00BA4BC1">
        <w:rPr>
          <w:rFonts w:ascii="Times New Roman" w:hAnsi="Times New Roman" w:cs="Times New Roman"/>
          <w:sz w:val="24"/>
          <w:szCs w:val="24"/>
        </w:rPr>
        <w:t xml:space="preserve">that being occupiers of the land before the Land Use Act, the tenants are entitled to the customary right of occupancy, and that they now become the tenant of the Local Government. The plaintiffs appealed to the Supreme Court. The Supreme Court </w:t>
      </w:r>
      <w:r w:rsidR="002F4285" w:rsidRPr="00BA4BC1">
        <w:rPr>
          <w:rFonts w:ascii="Times New Roman" w:hAnsi="Times New Roman" w:cs="Times New Roman"/>
          <w:sz w:val="24"/>
          <w:szCs w:val="24"/>
        </w:rPr>
        <w:t>held as follows:</w:t>
      </w:r>
    </w:p>
    <w:p w14:paraId="57B64164" w14:textId="77777777"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relationship of Lessor and Lessee, mortgagor and mortgagee are continued by the Land Use Act. The Act never sought to disturb existing relationships.</w:t>
      </w:r>
    </w:p>
    <w:p w14:paraId="05F76D8D" w14:textId="77777777"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Act did not expressly divest or extinguish the customary rights of the owners of agricultural land in non-urban areas, as it did in respect of undeveloped land in excess of half hectare in urban areas. In deciding </w:t>
      </w:r>
      <w:proofErr w:type="gramStart"/>
      <w:r w:rsidRPr="00BA4BC1">
        <w:rPr>
          <w:rFonts w:ascii="Times New Roman" w:hAnsi="Times New Roman" w:cs="Times New Roman"/>
          <w:sz w:val="24"/>
          <w:szCs w:val="24"/>
        </w:rPr>
        <w:t>therefore</w:t>
      </w:r>
      <w:proofErr w:type="gramEnd"/>
      <w:r w:rsidRPr="00BA4BC1">
        <w:rPr>
          <w:rFonts w:ascii="Times New Roman" w:hAnsi="Times New Roman" w:cs="Times New Roman"/>
          <w:sz w:val="24"/>
          <w:szCs w:val="24"/>
        </w:rPr>
        <w:t xml:space="preserve"> the grant of the tenant of the deemed customary right of occupancy tantamount to the extinction and extinguishment of the customary right of the owner, the right to tributes, forfeiture and reversion, it is necessary to examine the quantum and content of the deemed customary right of occupancy granted to the occupier in the light of the rule</w:t>
      </w:r>
      <w:r w:rsidR="004F76CC" w:rsidRPr="00BA4BC1">
        <w:rPr>
          <w:rFonts w:ascii="Times New Roman" w:hAnsi="Times New Roman" w:cs="Times New Roman"/>
          <w:sz w:val="24"/>
          <w:szCs w:val="24"/>
        </w:rPr>
        <w:t xml:space="preserve">s of interpretation of </w:t>
      </w:r>
      <w:proofErr w:type="spellStart"/>
      <w:r w:rsidR="004F76CC" w:rsidRPr="00BA4BC1">
        <w:rPr>
          <w:rFonts w:ascii="Times New Roman" w:hAnsi="Times New Roman" w:cs="Times New Roman"/>
          <w:sz w:val="24"/>
          <w:szCs w:val="24"/>
        </w:rPr>
        <w:t>expropria</w:t>
      </w:r>
      <w:r w:rsidRPr="00BA4BC1">
        <w:rPr>
          <w:rFonts w:ascii="Times New Roman" w:hAnsi="Times New Roman" w:cs="Times New Roman"/>
          <w:sz w:val="24"/>
          <w:szCs w:val="24"/>
        </w:rPr>
        <w:t>tory</w:t>
      </w:r>
      <w:proofErr w:type="spellEnd"/>
      <w:r w:rsidRPr="00BA4BC1">
        <w:rPr>
          <w:rFonts w:ascii="Times New Roman" w:hAnsi="Times New Roman" w:cs="Times New Roman"/>
          <w:sz w:val="24"/>
          <w:szCs w:val="24"/>
        </w:rPr>
        <w:t xml:space="preserve"> statu</w:t>
      </w:r>
      <w:r w:rsidR="004F76CC" w:rsidRPr="00BA4BC1">
        <w:rPr>
          <w:rFonts w:ascii="Times New Roman" w:hAnsi="Times New Roman" w:cs="Times New Roman"/>
          <w:sz w:val="24"/>
          <w:szCs w:val="24"/>
        </w:rPr>
        <w:t>t</w:t>
      </w:r>
      <w:r w:rsidRPr="00BA4BC1">
        <w:rPr>
          <w:rFonts w:ascii="Times New Roman" w:hAnsi="Times New Roman" w:cs="Times New Roman"/>
          <w:sz w:val="24"/>
          <w:szCs w:val="24"/>
        </w:rPr>
        <w:t>es.</w:t>
      </w:r>
    </w:p>
    <w:p w14:paraId="003273FF" w14:textId="77777777"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1 has not taken away the right of the customary owners of enjoyment of the tributes rather it left it untouched.</w:t>
      </w:r>
    </w:p>
    <w:p w14:paraId="2A98B2D6" w14:textId="77777777" w:rsidR="009A5175" w:rsidRPr="00BA4BC1" w:rsidRDefault="009A517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occupier is the customary tenant while holder is the customary owner.</w:t>
      </w:r>
    </w:p>
    <w:p w14:paraId="3F11943C" w14:textId="77777777" w:rsidR="009A5175" w:rsidRPr="00BA4BC1" w:rsidRDefault="009A517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Where a certificate of occupancy is granted to a tenant who is subject to customary tenancy, the overlord retains his right as a </w:t>
      </w:r>
      <w:r w:rsidR="006B1DBD" w:rsidRPr="00BA4BC1">
        <w:rPr>
          <w:rFonts w:ascii="Times New Roman" w:hAnsi="Times New Roman" w:cs="Times New Roman"/>
          <w:sz w:val="24"/>
          <w:szCs w:val="24"/>
        </w:rPr>
        <w:t>reversionary</w:t>
      </w:r>
      <w:r w:rsidRPr="00BA4BC1">
        <w:rPr>
          <w:rFonts w:ascii="Times New Roman" w:hAnsi="Times New Roman" w:cs="Times New Roman"/>
          <w:sz w:val="24"/>
          <w:szCs w:val="24"/>
        </w:rPr>
        <w:t xml:space="preserve"> in case the certificate of occupancy is revoked for any reason and the overlord may apply for a grant of certificate of occupancy to him.</w:t>
      </w:r>
    </w:p>
    <w:p w14:paraId="20709784" w14:textId="77777777" w:rsidR="009A5175" w:rsidRPr="00BA4BC1" w:rsidRDefault="009A5175"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Furthermore, Bello, CJN who read the far-reaching judgment of the Supreme Court was impressively emphatic that:</w:t>
      </w:r>
    </w:p>
    <w:p w14:paraId="1A717501" w14:textId="77777777" w:rsidR="0081797C" w:rsidRPr="00BA4BC1" w:rsidRDefault="0081797C" w:rsidP="00EB3EFA">
      <w:pPr>
        <w:pStyle w:val="ListParagraph"/>
        <w:spacing w:after="0" w:line="240" w:lineRule="auto"/>
        <w:ind w:left="0"/>
        <w:jc w:val="both"/>
        <w:rPr>
          <w:rFonts w:ascii="Times New Roman" w:hAnsi="Times New Roman" w:cs="Times New Roman"/>
          <w:sz w:val="24"/>
          <w:szCs w:val="24"/>
        </w:rPr>
      </w:pPr>
    </w:p>
    <w:p w14:paraId="0DA256DF" w14:textId="77777777" w:rsidR="00036864" w:rsidRPr="00BA4BC1" w:rsidRDefault="009A5175" w:rsidP="005E0399">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A customary tenant has acquired the right to occupy and use land from its customary </w:t>
      </w:r>
      <w:proofErr w:type="gramStart"/>
      <w:r w:rsidRPr="00BA4BC1">
        <w:rPr>
          <w:rFonts w:ascii="Times New Roman" w:hAnsi="Times New Roman" w:cs="Times New Roman"/>
          <w:sz w:val="24"/>
          <w:szCs w:val="24"/>
        </w:rPr>
        <w:t>owner</w:t>
      </w:r>
      <w:r w:rsidR="00FD108C">
        <w:rPr>
          <w:rFonts w:ascii="Times New Roman" w:hAnsi="Times New Roman" w:cs="Times New Roman"/>
          <w:sz w:val="24"/>
          <w:szCs w:val="24"/>
        </w:rPr>
        <w:t>’</w:t>
      </w:r>
      <w:r w:rsidRPr="00BA4BC1">
        <w:rPr>
          <w:rFonts w:ascii="Times New Roman" w:hAnsi="Times New Roman" w:cs="Times New Roman"/>
          <w:sz w:val="24"/>
          <w:szCs w:val="24"/>
        </w:rPr>
        <w:t>s</w:t>
      </w:r>
      <w:proofErr w:type="gramEnd"/>
      <w:r w:rsidRPr="00BA4BC1">
        <w:rPr>
          <w:rFonts w:ascii="Times New Roman" w:hAnsi="Times New Roman" w:cs="Times New Roman"/>
          <w:sz w:val="24"/>
          <w:szCs w:val="24"/>
        </w:rPr>
        <w:t xml:space="preserve"> on terms under customary law which includes the owner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right to tributes, the continued recognition by the customary tenant of the reversionary right of the owner and the right to forfeiture. </w:t>
      </w:r>
      <w:proofErr w:type="gramStart"/>
      <w:r w:rsidRPr="00BA4BC1">
        <w:rPr>
          <w:rFonts w:ascii="Times New Roman" w:hAnsi="Times New Roman" w:cs="Times New Roman"/>
          <w:sz w:val="24"/>
          <w:szCs w:val="24"/>
        </w:rPr>
        <w:t>Consequently</w:t>
      </w:r>
      <w:proofErr w:type="gramEnd"/>
      <w:r w:rsidR="000438AF" w:rsidRPr="00BA4BC1">
        <w:rPr>
          <w:rFonts w:ascii="Times New Roman" w:hAnsi="Times New Roman" w:cs="Times New Roman"/>
          <w:sz w:val="24"/>
          <w:szCs w:val="24"/>
        </w:rPr>
        <w:t xml:space="preserve"> in the absence of express prov</w:t>
      </w:r>
      <w:r w:rsidRPr="00BA4BC1">
        <w:rPr>
          <w:rFonts w:ascii="Times New Roman" w:hAnsi="Times New Roman" w:cs="Times New Roman"/>
          <w:sz w:val="24"/>
          <w:szCs w:val="24"/>
        </w:rPr>
        <w:t>ision in the Act divesting the customary owner</w:t>
      </w:r>
      <w:r w:rsidR="00036864" w:rsidRPr="00BA4BC1">
        <w:rPr>
          <w:rFonts w:ascii="Times New Roman" w:hAnsi="Times New Roman" w:cs="Times New Roman"/>
          <w:sz w:val="24"/>
          <w:szCs w:val="24"/>
        </w:rPr>
        <w:t xml:space="preserve"> of his rights or extinguishing the same, Section 36 ought to be strictly construed so as to preserve the rights of the customary owners</w:t>
      </w:r>
      <w:r w:rsidR="005E0399" w:rsidRPr="00BA4BC1">
        <w:rPr>
          <w:rFonts w:ascii="Times New Roman" w:hAnsi="Times New Roman" w:cs="Times New Roman"/>
          <w:sz w:val="24"/>
          <w:szCs w:val="24"/>
        </w:rPr>
        <w:t xml:space="preserve"> (</w:t>
      </w:r>
      <w:proofErr w:type="spellStart"/>
      <w:r w:rsidR="005E0399" w:rsidRPr="00BA4BC1">
        <w:rPr>
          <w:rFonts w:ascii="Times New Roman" w:hAnsi="Times New Roman" w:cs="Times New Roman"/>
          <w:color w:val="222222"/>
          <w:sz w:val="24"/>
          <w:szCs w:val="24"/>
          <w:shd w:val="clear" w:color="auto" w:fill="FFFFFF"/>
        </w:rPr>
        <w:t>Adefi</w:t>
      </w:r>
      <w:proofErr w:type="spellEnd"/>
      <w:r w:rsidR="005E0399" w:rsidRPr="00BA4BC1">
        <w:rPr>
          <w:rFonts w:ascii="Times New Roman" w:hAnsi="Times New Roman" w:cs="Times New Roman"/>
          <w:color w:val="222222"/>
          <w:sz w:val="24"/>
          <w:szCs w:val="24"/>
          <w:shd w:val="clear" w:color="auto" w:fill="FFFFFF"/>
        </w:rPr>
        <w:t>, 2011, P. 142)</w:t>
      </w:r>
      <w:r w:rsidR="00036864" w:rsidRPr="00BA4BC1">
        <w:rPr>
          <w:rFonts w:ascii="Times New Roman" w:hAnsi="Times New Roman" w:cs="Times New Roman"/>
          <w:sz w:val="24"/>
          <w:szCs w:val="24"/>
        </w:rPr>
        <w:t>.</w:t>
      </w:r>
    </w:p>
    <w:p w14:paraId="27EB62A2" w14:textId="77777777" w:rsidR="00036864" w:rsidRPr="00BA4BC1" w:rsidRDefault="008961B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Thus, Bello</w:t>
      </w:r>
      <w:r w:rsidR="00036864" w:rsidRPr="00BA4BC1">
        <w:rPr>
          <w:rFonts w:ascii="Times New Roman" w:hAnsi="Times New Roman" w:cs="Times New Roman"/>
          <w:sz w:val="24"/>
          <w:szCs w:val="24"/>
        </w:rPr>
        <w:t xml:space="preserve"> CJN, who read the judgment of the Supreme </w:t>
      </w:r>
      <w:r w:rsidRPr="00BA4BC1">
        <w:rPr>
          <w:rFonts w:ascii="Times New Roman" w:hAnsi="Times New Roman" w:cs="Times New Roman"/>
          <w:sz w:val="24"/>
          <w:szCs w:val="24"/>
        </w:rPr>
        <w:t>Court,</w:t>
      </w:r>
      <w:r w:rsidR="00036864" w:rsidRPr="00BA4BC1">
        <w:rPr>
          <w:rFonts w:ascii="Times New Roman" w:hAnsi="Times New Roman" w:cs="Times New Roman"/>
          <w:sz w:val="24"/>
          <w:szCs w:val="24"/>
        </w:rPr>
        <w:t xml:space="preserve"> felt that the customary tenant should pay the customary tribute to the overlord. According to him:</w:t>
      </w:r>
    </w:p>
    <w:p w14:paraId="0C33AE7B" w14:textId="77777777" w:rsidR="0081797C" w:rsidRPr="00BA4BC1" w:rsidRDefault="00036864"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In the absence of express provision in the Act </w:t>
      </w:r>
      <w:r w:rsidR="008961B2" w:rsidRPr="00BA4BC1">
        <w:rPr>
          <w:rFonts w:ascii="Times New Roman" w:hAnsi="Times New Roman" w:cs="Times New Roman"/>
          <w:sz w:val="24"/>
          <w:szCs w:val="24"/>
        </w:rPr>
        <w:t>d</w:t>
      </w:r>
      <w:r w:rsidRPr="00BA4BC1">
        <w:rPr>
          <w:rFonts w:ascii="Times New Roman" w:hAnsi="Times New Roman" w:cs="Times New Roman"/>
          <w:sz w:val="24"/>
          <w:szCs w:val="24"/>
        </w:rPr>
        <w:t>ivesting the customary owner of his rights or extinguishing the same, Section 36 ought to be strictly construed so as to preserve the customary owner</w:t>
      </w:r>
      <w:r w:rsidR="005E0399" w:rsidRPr="00BA4BC1">
        <w:rPr>
          <w:rFonts w:ascii="Times New Roman" w:hAnsi="Times New Roman" w:cs="Times New Roman"/>
          <w:sz w:val="24"/>
          <w:szCs w:val="24"/>
        </w:rPr>
        <w:t xml:space="preserve"> (</w:t>
      </w:r>
      <w:proofErr w:type="spellStart"/>
      <w:r w:rsidR="005E0399" w:rsidRPr="00BA4BC1">
        <w:rPr>
          <w:rFonts w:ascii="Times New Roman" w:hAnsi="Times New Roman" w:cs="Times New Roman"/>
          <w:color w:val="222222"/>
          <w:sz w:val="24"/>
          <w:szCs w:val="24"/>
          <w:shd w:val="clear" w:color="auto" w:fill="FFFFFF"/>
        </w:rPr>
        <w:t>Fekumo</w:t>
      </w:r>
      <w:proofErr w:type="spellEnd"/>
      <w:r w:rsidR="005E0399" w:rsidRPr="00BA4BC1">
        <w:rPr>
          <w:rFonts w:ascii="Times New Roman" w:hAnsi="Times New Roman" w:cs="Times New Roman"/>
          <w:color w:val="222222"/>
          <w:sz w:val="24"/>
          <w:szCs w:val="24"/>
          <w:shd w:val="clear" w:color="auto" w:fill="FFFFFF"/>
        </w:rPr>
        <w:t>, 2002, p. 424)</w:t>
      </w:r>
      <w:r w:rsidR="001D7366" w:rsidRPr="00BA4BC1">
        <w:rPr>
          <w:rFonts w:ascii="Times New Roman" w:hAnsi="Times New Roman" w:cs="Times New Roman"/>
          <w:sz w:val="24"/>
          <w:szCs w:val="24"/>
        </w:rPr>
        <w:t>.</w:t>
      </w:r>
    </w:p>
    <w:p w14:paraId="35B95F0E" w14:textId="77777777" w:rsidR="0081797C" w:rsidRPr="00BA4BC1" w:rsidRDefault="0081797C" w:rsidP="00EB3EFA">
      <w:pPr>
        <w:pStyle w:val="ListParagraph"/>
        <w:spacing w:after="0" w:line="240" w:lineRule="auto"/>
        <w:ind w:left="0"/>
        <w:jc w:val="both"/>
        <w:rPr>
          <w:rFonts w:ascii="Times New Roman" w:hAnsi="Times New Roman" w:cs="Times New Roman"/>
          <w:sz w:val="24"/>
          <w:szCs w:val="24"/>
        </w:rPr>
      </w:pPr>
    </w:p>
    <w:p w14:paraId="238062AC" w14:textId="77777777" w:rsidR="0018723C" w:rsidRPr="00BA4BC1" w:rsidRDefault="0018723C"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CLASSIFICATION OF CUSTOMARY TENANCY</w:t>
      </w:r>
    </w:p>
    <w:p w14:paraId="0F561802" w14:textId="77777777" w:rsidR="005E0399" w:rsidRPr="00BA4BC1" w:rsidRDefault="0018723C" w:rsidP="005E0399">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There are two main </w:t>
      </w:r>
      <w:proofErr w:type="gramStart"/>
      <w:r w:rsidRPr="00BA4BC1">
        <w:rPr>
          <w:rFonts w:ascii="Times New Roman" w:hAnsi="Times New Roman" w:cs="Times New Roman"/>
          <w:sz w:val="24"/>
          <w:szCs w:val="24"/>
        </w:rPr>
        <w:t>classification</w:t>
      </w:r>
      <w:proofErr w:type="gramEnd"/>
      <w:r w:rsidRPr="00BA4BC1">
        <w:rPr>
          <w:rFonts w:ascii="Times New Roman" w:hAnsi="Times New Roman" w:cs="Times New Roman"/>
          <w:sz w:val="24"/>
          <w:szCs w:val="24"/>
        </w:rPr>
        <w:t xml:space="preserve"> of customary tenancy, (1) the length of tenancy and (2) the consideration given.  </w:t>
      </w:r>
    </w:p>
    <w:p w14:paraId="74E3CF0D" w14:textId="77777777" w:rsidR="005E0399" w:rsidRPr="00BA4BC1" w:rsidRDefault="005E0399" w:rsidP="005E0399">
      <w:pPr>
        <w:spacing w:after="0" w:line="240" w:lineRule="auto"/>
        <w:jc w:val="both"/>
        <w:rPr>
          <w:rFonts w:ascii="Times New Roman" w:hAnsi="Times New Roman" w:cs="Times New Roman"/>
          <w:sz w:val="24"/>
          <w:szCs w:val="24"/>
        </w:rPr>
      </w:pPr>
    </w:p>
    <w:p w14:paraId="628B2D1E" w14:textId="77777777" w:rsidR="0018723C" w:rsidRPr="00BA4BC1" w:rsidRDefault="0018723C" w:rsidP="005E0399">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Classification According to the Length of Tenancy</w:t>
      </w:r>
    </w:p>
    <w:p w14:paraId="104EBA6F" w14:textId="77777777" w:rsidR="00EC0244" w:rsidRPr="00BA4BC1" w:rsidRDefault="0018723C"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There are two main types, under this class.  Those granted for a specific or definite period, usually a farming season, and those granted for a long </w:t>
      </w:r>
      <w:r w:rsidR="004C1AD6" w:rsidRPr="00BA4BC1">
        <w:rPr>
          <w:rFonts w:ascii="Times New Roman" w:hAnsi="Times New Roman" w:cs="Times New Roman"/>
          <w:sz w:val="24"/>
          <w:szCs w:val="24"/>
        </w:rPr>
        <w:t>indefinite</w:t>
      </w:r>
      <w:r w:rsidRPr="00BA4BC1">
        <w:rPr>
          <w:rFonts w:ascii="Times New Roman" w:hAnsi="Times New Roman" w:cs="Times New Roman"/>
          <w:sz w:val="24"/>
          <w:szCs w:val="24"/>
        </w:rPr>
        <w:t xml:space="preserve"> or indeterminable period</w:t>
      </w:r>
      <w:r w:rsidR="005E0399"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difference between the two types lies in the fact that whereas a </w:t>
      </w:r>
      <w:r w:rsidR="00FD108C">
        <w:rPr>
          <w:rFonts w:ascii="Times New Roman" w:hAnsi="Times New Roman" w:cs="Times New Roman"/>
          <w:sz w:val="24"/>
          <w:szCs w:val="24"/>
        </w:rPr>
        <w:t>“</w:t>
      </w:r>
      <w:r w:rsidRPr="00BA4BC1">
        <w:rPr>
          <w:rFonts w:ascii="Times New Roman" w:hAnsi="Times New Roman" w:cs="Times New Roman"/>
          <w:sz w:val="24"/>
          <w:szCs w:val="24"/>
        </w:rPr>
        <w:t>term</w:t>
      </w:r>
      <w:r w:rsidR="00FD108C">
        <w:rPr>
          <w:rFonts w:ascii="Times New Roman" w:hAnsi="Times New Roman" w:cs="Times New Roman"/>
          <w:sz w:val="24"/>
          <w:szCs w:val="24"/>
        </w:rPr>
        <w:t>”</w:t>
      </w:r>
      <w:r w:rsidRPr="00BA4BC1">
        <w:rPr>
          <w:rFonts w:ascii="Times New Roman" w:hAnsi="Times New Roman" w:cs="Times New Roman"/>
          <w:sz w:val="24"/>
          <w:szCs w:val="24"/>
        </w:rPr>
        <w:t>, more or less certain, is set upon the one granted for a specific period, beyond which it cannot extend, the one granted for a long indefinite period has no specific period set u</w:t>
      </w:r>
      <w:r w:rsidR="004C1AD6" w:rsidRPr="00BA4BC1">
        <w:rPr>
          <w:rFonts w:ascii="Times New Roman" w:hAnsi="Times New Roman" w:cs="Times New Roman"/>
          <w:sz w:val="24"/>
          <w:szCs w:val="24"/>
        </w:rPr>
        <w:t>pon</w:t>
      </w:r>
      <w:r w:rsidRPr="00BA4BC1">
        <w:rPr>
          <w:rFonts w:ascii="Times New Roman" w:hAnsi="Times New Roman" w:cs="Times New Roman"/>
          <w:sz w:val="24"/>
          <w:szCs w:val="24"/>
        </w:rPr>
        <w:t xml:space="preserve"> it and goes on for as long as the parties wish, often </w:t>
      </w:r>
      <w:r w:rsidR="004C1AD6" w:rsidRPr="00BA4BC1">
        <w:rPr>
          <w:rFonts w:ascii="Times New Roman" w:hAnsi="Times New Roman" w:cs="Times New Roman"/>
          <w:sz w:val="24"/>
          <w:szCs w:val="24"/>
        </w:rPr>
        <w:t>forever</w:t>
      </w:r>
      <w:r w:rsidRPr="00BA4BC1">
        <w:rPr>
          <w:rFonts w:ascii="Times New Roman" w:hAnsi="Times New Roman" w:cs="Times New Roman"/>
          <w:sz w:val="24"/>
          <w:szCs w:val="24"/>
        </w:rPr>
        <w:t>; its maximum duration depends on what the parties intended the grant to be.</w:t>
      </w:r>
      <w:r w:rsidR="005E0399"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is important to note that if the overlord intends the grant of the </w:t>
      </w:r>
      <w:r w:rsidRPr="00BA4BC1">
        <w:rPr>
          <w:rFonts w:ascii="Times New Roman" w:hAnsi="Times New Roman" w:cs="Times New Roman"/>
          <w:sz w:val="24"/>
          <w:szCs w:val="24"/>
        </w:rPr>
        <w:lastRenderedPageBreak/>
        <w:t xml:space="preserve">land as a permanent residence for the grantee, then the grant is a perpetual one, but if it is understood between the parties that the grantee, although desiring to settle and work on the land, would eventually give up the use of </w:t>
      </w:r>
      <w:r w:rsidR="004C1AD6" w:rsidRPr="00BA4BC1">
        <w:rPr>
          <w:rFonts w:ascii="Times New Roman" w:hAnsi="Times New Roman" w:cs="Times New Roman"/>
          <w:sz w:val="24"/>
          <w:szCs w:val="24"/>
        </w:rPr>
        <w:t>t</w:t>
      </w:r>
      <w:r w:rsidRPr="00BA4BC1">
        <w:rPr>
          <w:rFonts w:ascii="Times New Roman" w:hAnsi="Times New Roman" w:cs="Times New Roman"/>
          <w:sz w:val="24"/>
          <w:szCs w:val="24"/>
        </w:rPr>
        <w:t xml:space="preserve">he land and return back to </w:t>
      </w:r>
      <w:r w:rsidRPr="00BA4BC1">
        <w:rPr>
          <w:rFonts w:ascii="Times New Roman" w:hAnsi="Times New Roman" w:cs="Times New Roman"/>
          <w:i/>
          <w:sz w:val="24"/>
          <w:szCs w:val="24"/>
        </w:rPr>
        <w:t>status quo ante</w:t>
      </w:r>
      <w:r w:rsidRPr="00BA4BC1">
        <w:rPr>
          <w:rFonts w:ascii="Times New Roman" w:hAnsi="Times New Roman" w:cs="Times New Roman"/>
          <w:sz w:val="24"/>
          <w:szCs w:val="24"/>
        </w:rPr>
        <w:t xml:space="preserve">, that is, by going back to his home, then the tenancy has a limited or finite duration and may be determined by the grantor at </w:t>
      </w:r>
      <w:r w:rsidR="004C1AD6" w:rsidRPr="00BA4BC1">
        <w:rPr>
          <w:rFonts w:ascii="Times New Roman" w:hAnsi="Times New Roman" w:cs="Times New Roman"/>
          <w:sz w:val="24"/>
          <w:szCs w:val="24"/>
        </w:rPr>
        <w:t>any time</w:t>
      </w:r>
      <w:r w:rsidRPr="00BA4BC1">
        <w:rPr>
          <w:rFonts w:ascii="Times New Roman" w:hAnsi="Times New Roman" w:cs="Times New Roman"/>
          <w:sz w:val="24"/>
          <w:szCs w:val="24"/>
        </w:rPr>
        <w:t xml:space="preserve"> by notice</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Turan¸2019)</w:t>
      </w:r>
      <w:r w:rsidRPr="00BA4BC1">
        <w:rPr>
          <w:rFonts w:ascii="Times New Roman" w:hAnsi="Times New Roman" w:cs="Times New Roman"/>
          <w:sz w:val="24"/>
          <w:szCs w:val="24"/>
        </w:rPr>
        <w:t>.</w:t>
      </w:r>
    </w:p>
    <w:p w14:paraId="3752E255" w14:textId="77777777" w:rsidR="00EC0244" w:rsidRPr="00BA4BC1" w:rsidRDefault="0018723C"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The difference in duration between the two types of tenancy naturally affects not only the purpose for which the tenancy is granted</w:t>
      </w:r>
      <w:r w:rsidR="001D639E" w:rsidRPr="00BA4BC1">
        <w:rPr>
          <w:rFonts w:ascii="Times New Roman" w:hAnsi="Times New Roman" w:cs="Times New Roman"/>
          <w:sz w:val="24"/>
          <w:szCs w:val="24"/>
        </w:rPr>
        <w:t xml:space="preserve"> but </w:t>
      </w:r>
      <w:r w:rsidR="00043E7B" w:rsidRPr="00BA4BC1">
        <w:rPr>
          <w:rFonts w:ascii="Times New Roman" w:hAnsi="Times New Roman" w:cs="Times New Roman"/>
          <w:sz w:val="24"/>
          <w:szCs w:val="24"/>
        </w:rPr>
        <w:t>also the character of the grantee</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Tenancies for a short period are generally made </w:t>
      </w:r>
      <w:r w:rsidR="00541B89" w:rsidRPr="00BA4BC1">
        <w:rPr>
          <w:rFonts w:ascii="Times New Roman" w:hAnsi="Times New Roman" w:cs="Times New Roman"/>
          <w:sz w:val="24"/>
          <w:szCs w:val="24"/>
        </w:rPr>
        <w:t>for the purpose of farming, fish</w:t>
      </w:r>
      <w:r w:rsidRPr="00BA4BC1">
        <w:rPr>
          <w:rFonts w:ascii="Times New Roman" w:hAnsi="Times New Roman" w:cs="Times New Roman"/>
          <w:sz w:val="24"/>
          <w:szCs w:val="24"/>
        </w:rPr>
        <w:t xml:space="preserve">ing and exploitation of crops on the land.  In some cases, though, the exploitation of </w:t>
      </w:r>
      <w:r w:rsidR="00085700" w:rsidRPr="00BA4BC1">
        <w:rPr>
          <w:rFonts w:ascii="Times New Roman" w:hAnsi="Times New Roman" w:cs="Times New Roman"/>
          <w:sz w:val="24"/>
          <w:szCs w:val="24"/>
        </w:rPr>
        <w:t>crops</w:t>
      </w:r>
      <w:r w:rsidRPr="00BA4BC1">
        <w:rPr>
          <w:rFonts w:ascii="Times New Roman" w:hAnsi="Times New Roman" w:cs="Times New Roman"/>
          <w:sz w:val="24"/>
          <w:szCs w:val="24"/>
        </w:rPr>
        <w:t xml:space="preserve"> or farming may in fact be in perpetuity, and the tenant is not permitted to change the purpose for which the land was granted except with the permission of the overlord. While indefinite long tenancies are granted for purposes of residence or for residence and farming.  Where, the land was given to the tenant to build his house and for farming thereon, the presumption is that the term is indeterminate.  In the case of </w:t>
      </w:r>
      <w:proofErr w:type="spellStart"/>
      <w:r w:rsidRPr="00BA4BC1">
        <w:rPr>
          <w:rFonts w:ascii="Times New Roman" w:hAnsi="Times New Roman" w:cs="Times New Roman"/>
          <w:b/>
          <w:i/>
          <w:sz w:val="24"/>
          <w:szCs w:val="24"/>
        </w:rPr>
        <w:t>Ochonma</w:t>
      </w:r>
      <w:proofErr w:type="spellEnd"/>
      <w:r w:rsidRPr="00BA4BC1">
        <w:rPr>
          <w:rFonts w:ascii="Times New Roman" w:hAnsi="Times New Roman" w:cs="Times New Roman"/>
          <w:b/>
          <w:i/>
          <w:sz w:val="24"/>
          <w:szCs w:val="24"/>
        </w:rPr>
        <w:t xml:space="preserve"> V. </w:t>
      </w:r>
      <w:proofErr w:type="spellStart"/>
      <w:r w:rsidRPr="00BA4BC1">
        <w:rPr>
          <w:rFonts w:ascii="Times New Roman" w:hAnsi="Times New Roman" w:cs="Times New Roman"/>
          <w:b/>
          <w:i/>
          <w:sz w:val="24"/>
          <w:szCs w:val="24"/>
        </w:rPr>
        <w:t>Unosi</w:t>
      </w:r>
      <w:proofErr w:type="spellEnd"/>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where land was granted for the purpose of establishing an oil pressing machine, the grantee later dismantled the machine and laid it out into plots, the court held that the tenancy is determined upon the change of user</w:t>
      </w:r>
      <w:r w:rsidR="00EC0244" w:rsidRPr="00BA4BC1">
        <w:rPr>
          <w:rFonts w:ascii="Times New Roman" w:hAnsi="Times New Roman" w:cs="Times New Roman"/>
          <w:sz w:val="24"/>
          <w:szCs w:val="24"/>
        </w:rPr>
        <w:t xml:space="preserve"> (</w:t>
      </w:r>
      <w:proofErr w:type="spellStart"/>
      <w:r w:rsidR="00B020FA" w:rsidRPr="0059455E">
        <w:rPr>
          <w:rFonts w:ascii="Arial" w:hAnsi="Arial" w:cs="Arial"/>
          <w:color w:val="000000" w:themeColor="text1"/>
          <w:sz w:val="20"/>
          <w:szCs w:val="20"/>
          <w:shd w:val="clear" w:color="auto" w:fill="FFFFFF"/>
        </w:rPr>
        <w:t>Otu</w:t>
      </w:r>
      <w:proofErr w:type="spellEnd"/>
      <w:r w:rsidR="00B020FA">
        <w:rPr>
          <w:rFonts w:ascii="Times New Roman" w:hAnsi="Times New Roman" w:cs="Times New Roman"/>
          <w:color w:val="222222"/>
          <w:sz w:val="24"/>
          <w:szCs w:val="24"/>
          <w:shd w:val="clear" w:color="auto" w:fill="FFFFFF"/>
        </w:rPr>
        <w:t xml:space="preserve">, 2018 </w:t>
      </w:r>
      <w:r w:rsidR="00EC0244" w:rsidRPr="00BA4BC1">
        <w:rPr>
          <w:rFonts w:ascii="Times New Roman" w:hAnsi="Times New Roman" w:cs="Times New Roman"/>
          <w:color w:val="222222"/>
          <w:sz w:val="24"/>
          <w:szCs w:val="24"/>
          <w:shd w:val="clear" w:color="auto" w:fill="FFFFFF"/>
        </w:rPr>
        <w:t>Oshio¸2018)</w:t>
      </w:r>
      <w:r w:rsidRPr="00BA4BC1">
        <w:rPr>
          <w:rFonts w:ascii="Times New Roman" w:hAnsi="Times New Roman" w:cs="Times New Roman"/>
          <w:sz w:val="24"/>
          <w:szCs w:val="24"/>
        </w:rPr>
        <w:t>.</w:t>
      </w:r>
    </w:p>
    <w:p w14:paraId="01C19E97" w14:textId="77777777" w:rsidR="0018723C" w:rsidRPr="00BA4BC1" w:rsidRDefault="0018723C" w:rsidP="00B020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It has been suggested that a third type of tenancy based on duration also exists in the form of a periodic tenancy.  </w:t>
      </w:r>
      <w:proofErr w:type="spellStart"/>
      <w:r w:rsidRPr="00BA4BC1">
        <w:rPr>
          <w:rFonts w:ascii="Times New Roman" w:hAnsi="Times New Roman" w:cs="Times New Roman"/>
          <w:sz w:val="24"/>
          <w:szCs w:val="24"/>
        </w:rPr>
        <w:t>Nwabueze</w:t>
      </w:r>
      <w:proofErr w:type="spellEnd"/>
      <w:r w:rsidRPr="00BA4BC1">
        <w:rPr>
          <w:rFonts w:ascii="Times New Roman" w:hAnsi="Times New Roman" w:cs="Times New Roman"/>
          <w:sz w:val="24"/>
          <w:szCs w:val="24"/>
        </w:rPr>
        <w:t xml:space="preserve"> has doubted such possibility of existence and rather states that the suggestion seems to be based upon </w:t>
      </w:r>
      <w:r w:rsidR="00085700" w:rsidRPr="00BA4BC1">
        <w:rPr>
          <w:rFonts w:ascii="Times New Roman" w:hAnsi="Times New Roman" w:cs="Times New Roman"/>
          <w:sz w:val="24"/>
          <w:szCs w:val="24"/>
        </w:rPr>
        <w:t>confusion</w:t>
      </w:r>
      <w:r w:rsidRPr="00BA4BC1">
        <w:rPr>
          <w:rFonts w:ascii="Times New Roman" w:hAnsi="Times New Roman" w:cs="Times New Roman"/>
          <w:sz w:val="24"/>
          <w:szCs w:val="24"/>
        </w:rPr>
        <w:t xml:space="preserve"> between periodic tenancy strictly so call</w:t>
      </w:r>
      <w:r w:rsidR="00085700" w:rsidRPr="00BA4BC1">
        <w:rPr>
          <w:rFonts w:ascii="Times New Roman" w:hAnsi="Times New Roman" w:cs="Times New Roman"/>
          <w:sz w:val="24"/>
          <w:szCs w:val="24"/>
        </w:rPr>
        <w:t>ed and a tenancy for a specific</w:t>
      </w:r>
      <w:r w:rsidRPr="00BA4BC1">
        <w:rPr>
          <w:rFonts w:ascii="Times New Roman" w:hAnsi="Times New Roman" w:cs="Times New Roman"/>
          <w:sz w:val="24"/>
          <w:szCs w:val="24"/>
        </w:rPr>
        <w:t xml:space="preserve"> period</w:t>
      </w:r>
      <w:r w:rsidR="00085700" w:rsidRPr="00BA4BC1">
        <w:rPr>
          <w:rFonts w:ascii="Times New Roman" w:hAnsi="Times New Roman" w:cs="Times New Roman"/>
          <w:sz w:val="24"/>
          <w:szCs w:val="24"/>
        </w:rPr>
        <w:t>, renewable at the end of each completed period</w:t>
      </w:r>
      <w:r w:rsidRPr="00BA4BC1">
        <w:rPr>
          <w:rFonts w:ascii="Times New Roman" w:hAnsi="Times New Roman" w:cs="Times New Roman"/>
          <w:sz w:val="24"/>
          <w:szCs w:val="24"/>
        </w:rPr>
        <w:t>.</w:t>
      </w:r>
      <w:r w:rsidR="00B020FA">
        <w:rPr>
          <w:rFonts w:ascii="Times New Roman" w:hAnsi="Times New Roman" w:cs="Times New Roman"/>
          <w:sz w:val="24"/>
          <w:szCs w:val="24"/>
        </w:rPr>
        <w:t xml:space="preserve"> </w:t>
      </w:r>
      <w:r w:rsidRPr="00BA4BC1">
        <w:rPr>
          <w:rFonts w:ascii="Times New Roman" w:hAnsi="Times New Roman" w:cs="Times New Roman"/>
          <w:sz w:val="24"/>
          <w:szCs w:val="24"/>
        </w:rPr>
        <w:t xml:space="preserve">A periodic tenancy implies a continuing grant, that is to say, although the tenancy is for a term of one year, or month or quarter, it continues indefinitely, without interruption from year </w:t>
      </w:r>
      <w:r w:rsidR="00795B08" w:rsidRPr="00BA4BC1">
        <w:rPr>
          <w:rFonts w:ascii="Times New Roman" w:hAnsi="Times New Roman" w:cs="Times New Roman"/>
          <w:sz w:val="24"/>
          <w:szCs w:val="24"/>
        </w:rPr>
        <w:t>to year or month to month, as the</w:t>
      </w:r>
      <w:r w:rsidRPr="00BA4BC1">
        <w:rPr>
          <w:rFonts w:ascii="Times New Roman" w:hAnsi="Times New Roman" w:cs="Times New Roman"/>
          <w:sz w:val="24"/>
          <w:szCs w:val="24"/>
        </w:rPr>
        <w:t xml:space="preserve"> case may be, until determined by either party giving to the other appropriate notice.  In the case of a tenancy for a specific period, on the other hand, the tenancy comes to an end when its purpose has been accomplished </w:t>
      </w:r>
      <w:proofErr w:type="gramStart"/>
      <w:r w:rsidRPr="00BA4BC1">
        <w:rPr>
          <w:rFonts w:ascii="Times New Roman" w:hAnsi="Times New Roman" w:cs="Times New Roman"/>
          <w:sz w:val="24"/>
          <w:szCs w:val="24"/>
        </w:rPr>
        <w:t>e.g.</w:t>
      </w:r>
      <w:proofErr w:type="gramEnd"/>
      <w:r w:rsidRPr="00BA4BC1">
        <w:rPr>
          <w:rFonts w:ascii="Times New Roman" w:hAnsi="Times New Roman" w:cs="Times New Roman"/>
          <w:sz w:val="24"/>
          <w:szCs w:val="24"/>
        </w:rPr>
        <w:t xml:space="preserve"> when the crops have been harvested, though the grantee is usually allowed an option of renewal during the next farming season.</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is however worthy of note to point out that the difference between periodic and specific tenancies appears subtle but at the </w:t>
      </w:r>
      <w:r w:rsidR="007C0B65" w:rsidRPr="00BA4BC1">
        <w:rPr>
          <w:rFonts w:ascii="Times New Roman" w:hAnsi="Times New Roman" w:cs="Times New Roman"/>
          <w:sz w:val="24"/>
          <w:szCs w:val="24"/>
        </w:rPr>
        <w:t>same time</w:t>
      </w:r>
      <w:r w:rsidRPr="00BA4BC1">
        <w:rPr>
          <w:rFonts w:ascii="Times New Roman" w:hAnsi="Times New Roman" w:cs="Times New Roman"/>
          <w:sz w:val="24"/>
          <w:szCs w:val="24"/>
        </w:rPr>
        <w:t xml:space="preserve"> it is significan</w:t>
      </w:r>
      <w:r w:rsidR="00154ECE" w:rsidRPr="00BA4BC1">
        <w:rPr>
          <w:rFonts w:ascii="Times New Roman" w:hAnsi="Times New Roman" w:cs="Times New Roman"/>
          <w:sz w:val="24"/>
          <w:szCs w:val="24"/>
        </w:rPr>
        <w:t>t</w:t>
      </w:r>
      <w:r w:rsidRPr="00BA4BC1">
        <w:rPr>
          <w:rFonts w:ascii="Times New Roman" w:hAnsi="Times New Roman" w:cs="Times New Roman"/>
          <w:sz w:val="24"/>
          <w:szCs w:val="24"/>
        </w:rPr>
        <w:t>.</w:t>
      </w:r>
    </w:p>
    <w:p w14:paraId="7BEDB3CF" w14:textId="77777777" w:rsidR="00EC0244" w:rsidRPr="00BA4BC1" w:rsidRDefault="00EC0244" w:rsidP="00EB3EFA">
      <w:pPr>
        <w:spacing w:after="0" w:line="240" w:lineRule="auto"/>
        <w:jc w:val="both"/>
        <w:rPr>
          <w:rFonts w:ascii="Times New Roman" w:hAnsi="Times New Roman" w:cs="Times New Roman"/>
          <w:b/>
          <w:sz w:val="24"/>
          <w:szCs w:val="24"/>
        </w:rPr>
      </w:pPr>
    </w:p>
    <w:p w14:paraId="69180BCD" w14:textId="77777777" w:rsidR="00A37E28" w:rsidRPr="00BA4BC1" w:rsidRDefault="0018723C"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Classification According to the Consideration Given by the Grantee to the Grantor</w:t>
      </w:r>
    </w:p>
    <w:p w14:paraId="5A89B520"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The consideration given to the grantor or overlord is an important classification of the nature of customary tenancy created.  The consideration may be in form of tribute or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in Yoruba Customary Law) or rent negotiated and agreed by the parties.</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The difference between tribute and rent consists in the fact that whereas rent, whether payable in cash, depends upon agreement between the parties, tribute on the other hand arises by operation of law independently of agreement, both the form of the tribute</w:t>
      </w:r>
      <w:r w:rsidR="001606BE" w:rsidRPr="00BA4BC1">
        <w:rPr>
          <w:rFonts w:ascii="Times New Roman" w:hAnsi="Times New Roman" w:cs="Times New Roman"/>
          <w:sz w:val="24"/>
          <w:szCs w:val="24"/>
        </w:rPr>
        <w:t xml:space="preserve"> and its amount being determined</w:t>
      </w:r>
      <w:r w:rsidRPr="00BA4BC1">
        <w:rPr>
          <w:rFonts w:ascii="Times New Roman" w:hAnsi="Times New Roman" w:cs="Times New Roman"/>
          <w:sz w:val="24"/>
          <w:szCs w:val="24"/>
        </w:rPr>
        <w:t xml:space="preserve"> by customary law</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Park, 2014)</w:t>
      </w:r>
      <w:r w:rsidRPr="00BA4BC1">
        <w:rPr>
          <w:rFonts w:ascii="Times New Roman" w:hAnsi="Times New Roman" w:cs="Times New Roman"/>
          <w:sz w:val="24"/>
          <w:szCs w:val="24"/>
        </w:rPr>
        <w:t>.</w:t>
      </w:r>
    </w:p>
    <w:p w14:paraId="6FF67DEA"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In </w:t>
      </w:r>
      <w:proofErr w:type="spellStart"/>
      <w:r w:rsidRPr="00BA4BC1">
        <w:rPr>
          <w:rFonts w:ascii="Times New Roman" w:hAnsi="Times New Roman" w:cs="Times New Roman"/>
          <w:b/>
          <w:i/>
          <w:sz w:val="24"/>
          <w:szCs w:val="24"/>
        </w:rPr>
        <w:t>Mgbelekeke</w:t>
      </w:r>
      <w:proofErr w:type="spellEnd"/>
      <w:r w:rsidRPr="00BA4BC1">
        <w:rPr>
          <w:rFonts w:ascii="Times New Roman" w:hAnsi="Times New Roman" w:cs="Times New Roman"/>
          <w:b/>
          <w:i/>
          <w:sz w:val="24"/>
          <w:szCs w:val="24"/>
        </w:rPr>
        <w:t xml:space="preserve"> Family V. </w:t>
      </w:r>
      <w:proofErr w:type="spellStart"/>
      <w:r w:rsidRPr="00BA4BC1">
        <w:rPr>
          <w:rFonts w:ascii="Times New Roman" w:hAnsi="Times New Roman" w:cs="Times New Roman"/>
          <w:b/>
          <w:i/>
          <w:sz w:val="24"/>
          <w:szCs w:val="24"/>
        </w:rPr>
        <w:t>Iyaji</w:t>
      </w:r>
      <w:proofErr w:type="spellEnd"/>
      <w:r w:rsidRPr="00BA4BC1">
        <w:rPr>
          <w:rFonts w:ascii="Times New Roman" w:hAnsi="Times New Roman" w:cs="Times New Roman"/>
          <w:sz w:val="24"/>
          <w:szCs w:val="24"/>
        </w:rPr>
        <w:t xml:space="preserve">, where a tenant under a grant made in </w:t>
      </w:r>
      <w:r w:rsidR="005B5510" w:rsidRPr="00BA4BC1">
        <w:rPr>
          <w:rFonts w:ascii="Times New Roman" w:hAnsi="Times New Roman" w:cs="Times New Roman"/>
          <w:sz w:val="24"/>
          <w:szCs w:val="24"/>
        </w:rPr>
        <w:t>re</w:t>
      </w:r>
      <w:r w:rsidRPr="00BA4BC1">
        <w:rPr>
          <w:rFonts w:ascii="Times New Roman" w:hAnsi="Times New Roman" w:cs="Times New Roman"/>
          <w:sz w:val="24"/>
          <w:szCs w:val="24"/>
        </w:rPr>
        <w:t>turn for tribute sub-let the land at an economic rent to a European firm, a claim by the grantors to a share of the rent reserved by the lease was dismissed, on the ground that there was no custom entitling them to such share.  It was held further that, by the customary law of the area where the land was situated (Onitsha), all the grantors were entitled to a customary payment in Kola and/or drinks.  And that the right to a share of the cash rent could only be claimed if there had been agreement between the parties to that effect.</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It is important to note that tribute is determined by customary law of the area and that of the family granting the tenancy.  It may be in form of Kola nuts, drinks or the part of the cannel harvest from the land.</w:t>
      </w:r>
    </w:p>
    <w:p w14:paraId="5E496C6C" w14:textId="77777777"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Tribute differs also from rent both in its form and purpose; whilst tribute invariably consists of kola, drink and/or farm produce and bears in amount no economic relation to the value of the land, being intended simply as an acknowledgement of the grantor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title, rent, </w:t>
      </w:r>
      <w:r w:rsidRPr="00BA4BC1">
        <w:rPr>
          <w:rFonts w:ascii="Times New Roman" w:hAnsi="Times New Roman" w:cs="Times New Roman"/>
          <w:sz w:val="24"/>
          <w:szCs w:val="24"/>
        </w:rPr>
        <w:lastRenderedPageBreak/>
        <w:t>on the other hand, is paid in cash or in kind, more usually in cash and provides not only an acknowledgement of the grantor</w:t>
      </w:r>
      <w:r w:rsidR="00FD108C">
        <w:rPr>
          <w:rFonts w:ascii="Times New Roman" w:hAnsi="Times New Roman" w:cs="Times New Roman"/>
          <w:sz w:val="24"/>
          <w:szCs w:val="24"/>
        </w:rPr>
        <w:t>’</w:t>
      </w:r>
      <w:r w:rsidRPr="00BA4BC1">
        <w:rPr>
          <w:rFonts w:ascii="Times New Roman" w:hAnsi="Times New Roman" w:cs="Times New Roman"/>
          <w:sz w:val="24"/>
          <w:szCs w:val="24"/>
        </w:rPr>
        <w:t>s title but also an economic return on the land</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Rigi &amp; Prey, 2015)</w:t>
      </w:r>
      <w:r w:rsidRPr="00BA4BC1">
        <w:rPr>
          <w:rFonts w:ascii="Times New Roman" w:hAnsi="Times New Roman" w:cs="Times New Roman"/>
          <w:sz w:val="24"/>
          <w:szCs w:val="24"/>
        </w:rPr>
        <w:t>.</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Upon the initial payment of tribute, the tenant is enjoined to bring an annual payment in form of crop yields and part of the harvest from the land to show appreciation for the grant and as acknowledgement of his status.  </w:t>
      </w:r>
      <w:r w:rsidR="001D08F6" w:rsidRPr="00BA4BC1">
        <w:rPr>
          <w:rFonts w:ascii="Times New Roman" w:hAnsi="Times New Roman" w:cs="Times New Roman"/>
          <w:sz w:val="24"/>
          <w:szCs w:val="24"/>
        </w:rPr>
        <w:t>Despite</w:t>
      </w:r>
      <w:r w:rsidRPr="00BA4BC1">
        <w:rPr>
          <w:rFonts w:ascii="Times New Roman" w:hAnsi="Times New Roman" w:cs="Times New Roman"/>
          <w:sz w:val="24"/>
          <w:szCs w:val="24"/>
        </w:rPr>
        <w:t xml:space="preserve"> the token nature of the tribute, if the tenant fails to bring the tribute, it does not necessarily lead to termination of his right on the land.</w:t>
      </w:r>
    </w:p>
    <w:p w14:paraId="41D15329"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In the case of rent, which was alleged to be foreign to a customary tenancy, and that its incidence in customary tenancy today was a current innovation due to increase in civilization and economic activities, the tribute is converted to monetary consideration.  In this case however, it bears relevance to the value of the land.  While tribute may not be definite in nature, the rent is more specific and precise in nature and its payment has a greater obligatory force.</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may be argued that rent is foreign to customary law, but </w:t>
      </w:r>
      <w:proofErr w:type="spellStart"/>
      <w:r w:rsidRPr="00BA4BC1">
        <w:rPr>
          <w:rFonts w:ascii="Times New Roman" w:hAnsi="Times New Roman" w:cs="Times New Roman"/>
          <w:sz w:val="24"/>
          <w:szCs w:val="24"/>
        </w:rPr>
        <w:t>Nwabueze</w:t>
      </w:r>
      <w:proofErr w:type="spellEnd"/>
      <w:r w:rsidRPr="00BA4BC1">
        <w:rPr>
          <w:rFonts w:ascii="Times New Roman" w:hAnsi="Times New Roman" w:cs="Times New Roman"/>
          <w:sz w:val="24"/>
          <w:szCs w:val="24"/>
        </w:rPr>
        <w:t xml:space="preserve"> in his book pointed out the fact that there </w:t>
      </w:r>
      <w:proofErr w:type="gramStart"/>
      <w:r w:rsidRPr="00BA4BC1">
        <w:rPr>
          <w:rFonts w:ascii="Times New Roman" w:hAnsi="Times New Roman" w:cs="Times New Roman"/>
          <w:sz w:val="24"/>
          <w:szCs w:val="24"/>
        </w:rPr>
        <w:t>has</w:t>
      </w:r>
      <w:proofErr w:type="gramEnd"/>
      <w:r w:rsidRPr="00BA4BC1">
        <w:rPr>
          <w:rFonts w:ascii="Times New Roman" w:hAnsi="Times New Roman" w:cs="Times New Roman"/>
          <w:sz w:val="24"/>
          <w:szCs w:val="24"/>
        </w:rPr>
        <w:t xml:space="preserve"> never been any custom prohibiting parties to a customary tenancy from adopting a form of payment different from the normal customary tributes, and the predominance of tribute in the olden days should not obscure this fact.</w:t>
      </w:r>
    </w:p>
    <w:p w14:paraId="16702344"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Rent is generally recognized as a form of </w:t>
      </w:r>
      <w:proofErr w:type="spellStart"/>
      <w:r w:rsidRPr="00BA4BC1">
        <w:rPr>
          <w:rFonts w:ascii="Times New Roman" w:hAnsi="Times New Roman" w:cs="Times New Roman"/>
          <w:sz w:val="24"/>
          <w:szCs w:val="24"/>
        </w:rPr>
        <w:t>Ishokole</w:t>
      </w:r>
      <w:proofErr w:type="spellEnd"/>
      <w:r w:rsidRPr="00BA4BC1">
        <w:rPr>
          <w:rFonts w:ascii="Times New Roman" w:hAnsi="Times New Roman" w:cs="Times New Roman"/>
          <w:sz w:val="24"/>
          <w:szCs w:val="24"/>
        </w:rPr>
        <w:t xml:space="preserve"> in modern terms.  In the case of </w:t>
      </w:r>
      <w:r w:rsidRPr="00BA4BC1">
        <w:rPr>
          <w:rFonts w:ascii="Times New Roman" w:hAnsi="Times New Roman" w:cs="Times New Roman"/>
          <w:b/>
          <w:i/>
          <w:sz w:val="24"/>
          <w:szCs w:val="24"/>
        </w:rPr>
        <w:t xml:space="preserve">Ife Overlords V </w:t>
      </w:r>
      <w:proofErr w:type="spellStart"/>
      <w:r w:rsidRPr="00BA4BC1">
        <w:rPr>
          <w:rFonts w:ascii="Times New Roman" w:hAnsi="Times New Roman" w:cs="Times New Roman"/>
          <w:b/>
          <w:i/>
          <w:sz w:val="24"/>
          <w:szCs w:val="24"/>
        </w:rPr>
        <w:t>Modakekes</w:t>
      </w:r>
      <w:proofErr w:type="spellEnd"/>
      <w:r w:rsidRPr="00BA4BC1">
        <w:rPr>
          <w:rFonts w:ascii="Times New Roman" w:hAnsi="Times New Roman" w:cs="Times New Roman"/>
          <w:sz w:val="24"/>
          <w:szCs w:val="24"/>
        </w:rPr>
        <w:t xml:space="preserve"> the plaintiffs claimed from the defendants 6 cwt. 1 qr. of cocoa or its equivalent in this case.  Calculated at (£18 25.6d) representing the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due from the latter to the plaintiffs in respect </w:t>
      </w:r>
      <w:proofErr w:type="gramStart"/>
      <w:r w:rsidRPr="00BA4BC1">
        <w:rPr>
          <w:rFonts w:ascii="Times New Roman" w:hAnsi="Times New Roman" w:cs="Times New Roman"/>
          <w:sz w:val="24"/>
          <w:szCs w:val="24"/>
        </w:rPr>
        <w:t>of  the</w:t>
      </w:r>
      <w:proofErr w:type="gramEnd"/>
      <w:r w:rsidRPr="00BA4BC1">
        <w:rPr>
          <w:rFonts w:ascii="Times New Roman" w:hAnsi="Times New Roman" w:cs="Times New Roman"/>
          <w:sz w:val="24"/>
          <w:szCs w:val="24"/>
        </w:rPr>
        <w:t xml:space="preserve">  year ended December 31, 1947.  The plaintiffs alleged that under an agreement of 1886 the defendants through their predecessors undertook to pay yams and kola-nuts as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to the plaintiffs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predecessors until the cocoa to be grown on their allotments should, begin to bear fruits when each grantee of land must pay 1 cwt of cocoa or its money equivalent to the grantors.  </w:t>
      </w:r>
    </w:p>
    <w:p w14:paraId="6705933C" w14:textId="77777777"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This agreement was not enforced until 1903 but it appeared that the defendants who had been granted their lands some eighteen yarns previously had paid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of yarns and kola-nuts for some </w:t>
      </w:r>
      <w:proofErr w:type="gramStart"/>
      <w:r w:rsidRPr="00BA4BC1">
        <w:rPr>
          <w:rFonts w:ascii="Times New Roman" w:hAnsi="Times New Roman" w:cs="Times New Roman"/>
          <w:sz w:val="24"/>
          <w:szCs w:val="24"/>
        </w:rPr>
        <w:t>eight year</w:t>
      </w:r>
      <w:proofErr w:type="gramEnd"/>
      <w:r w:rsidRPr="00BA4BC1">
        <w:rPr>
          <w:rFonts w:ascii="Times New Roman" w:hAnsi="Times New Roman" w:cs="Times New Roman"/>
          <w:sz w:val="24"/>
          <w:szCs w:val="24"/>
        </w:rPr>
        <w:t xml:space="preserve"> s and that thereafter when their cocoa trees began to yield, quantities of cocoa up to and including December 31, 1946.  They then decided not to pay any more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which had now come to be looked upon merely as a voluntary but burdensome tribute.  It was held by Hallinan J. in the Supreme Court of Ife, confirming the finding of the magistrate</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court, that </w:t>
      </w:r>
      <w:proofErr w:type="spellStart"/>
      <w:r w:rsidRPr="00BA4BC1">
        <w:rPr>
          <w:rFonts w:ascii="Times New Roman" w:hAnsi="Times New Roman" w:cs="Times New Roman"/>
          <w:sz w:val="24"/>
          <w:szCs w:val="24"/>
        </w:rPr>
        <w:t>Ishakole</w:t>
      </w:r>
      <w:proofErr w:type="spellEnd"/>
      <w:r w:rsidRPr="00BA4BC1">
        <w:rPr>
          <w:rFonts w:ascii="Times New Roman" w:hAnsi="Times New Roman" w:cs="Times New Roman"/>
          <w:sz w:val="24"/>
          <w:szCs w:val="24"/>
        </w:rPr>
        <w:t xml:space="preserve"> although usually paid in kind in the past, was in the nature of rent, the obligation to pay which arose, not from customary law as in the case of tribute, but from agreement between the grantors and grantees, and that the defendants were bound to pay the amount which under agreement they had agreed to pay.</w:t>
      </w:r>
    </w:p>
    <w:p w14:paraId="5BEE5317" w14:textId="77777777"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Payment of rent or tribute is </w:t>
      </w:r>
      <w:proofErr w:type="gramStart"/>
      <w:r w:rsidRPr="00BA4BC1">
        <w:rPr>
          <w:rFonts w:ascii="Times New Roman" w:hAnsi="Times New Roman" w:cs="Times New Roman"/>
          <w:sz w:val="24"/>
          <w:szCs w:val="24"/>
        </w:rPr>
        <w:t>a clear evidence of the existence</w:t>
      </w:r>
      <w:proofErr w:type="gramEnd"/>
      <w:r w:rsidRPr="00BA4BC1">
        <w:rPr>
          <w:rFonts w:ascii="Times New Roman" w:hAnsi="Times New Roman" w:cs="Times New Roman"/>
          <w:sz w:val="24"/>
          <w:szCs w:val="24"/>
        </w:rPr>
        <w:t xml:space="preserve"> of customary tenancy.  However, the fact that tribute was not paid annually is not also evidence that the relationship is not that of customary tenancy.  In the case of </w:t>
      </w:r>
      <w:proofErr w:type="spellStart"/>
      <w:r w:rsidR="00764950" w:rsidRPr="00BA4BC1">
        <w:rPr>
          <w:rFonts w:ascii="Times New Roman" w:hAnsi="Times New Roman" w:cs="Times New Roman"/>
          <w:b/>
          <w:i/>
          <w:sz w:val="24"/>
          <w:szCs w:val="24"/>
        </w:rPr>
        <w:t>Okuojevor</w:t>
      </w:r>
      <w:proofErr w:type="spellEnd"/>
      <w:r w:rsidR="00764950" w:rsidRPr="00BA4BC1">
        <w:rPr>
          <w:rFonts w:ascii="Times New Roman" w:hAnsi="Times New Roman" w:cs="Times New Roman"/>
          <w:b/>
          <w:i/>
          <w:sz w:val="24"/>
          <w:szCs w:val="24"/>
        </w:rPr>
        <w:t xml:space="preserve"> V </w:t>
      </w:r>
      <w:proofErr w:type="spellStart"/>
      <w:r w:rsidR="00764950" w:rsidRPr="00BA4BC1">
        <w:rPr>
          <w:rFonts w:ascii="Times New Roman" w:hAnsi="Times New Roman" w:cs="Times New Roman"/>
          <w:b/>
          <w:i/>
          <w:sz w:val="24"/>
          <w:szCs w:val="24"/>
        </w:rPr>
        <w:t>Sa</w:t>
      </w:r>
      <w:r w:rsidRPr="00BA4BC1">
        <w:rPr>
          <w:rFonts w:ascii="Times New Roman" w:hAnsi="Times New Roman" w:cs="Times New Roman"/>
          <w:b/>
          <w:i/>
          <w:sz w:val="24"/>
          <w:szCs w:val="24"/>
        </w:rPr>
        <w:t>gay</w:t>
      </w:r>
      <w:proofErr w:type="spellEnd"/>
      <w:r w:rsidRPr="00BA4BC1">
        <w:rPr>
          <w:rFonts w:ascii="Times New Roman" w:hAnsi="Times New Roman" w:cs="Times New Roman"/>
          <w:b/>
          <w:sz w:val="24"/>
          <w:szCs w:val="24"/>
        </w:rPr>
        <w:t xml:space="preserve">, </w:t>
      </w:r>
      <w:r w:rsidRPr="00BA4BC1">
        <w:rPr>
          <w:rFonts w:ascii="Times New Roman" w:hAnsi="Times New Roman" w:cs="Times New Roman"/>
          <w:sz w:val="24"/>
          <w:szCs w:val="24"/>
        </w:rPr>
        <w:t>th</w:t>
      </w:r>
      <w:r w:rsidR="007D08EC" w:rsidRPr="00BA4BC1">
        <w:rPr>
          <w:rFonts w:ascii="Times New Roman" w:hAnsi="Times New Roman" w:cs="Times New Roman"/>
          <w:sz w:val="24"/>
          <w:szCs w:val="24"/>
        </w:rPr>
        <w:t>e court observed as follows</w:t>
      </w:r>
      <w:r w:rsidR="00740FBC" w:rsidRPr="00BA4BC1">
        <w:rPr>
          <w:rFonts w:ascii="Times New Roman" w:hAnsi="Times New Roman" w:cs="Times New Roman"/>
          <w:sz w:val="24"/>
          <w:szCs w:val="24"/>
        </w:rPr>
        <w:t>:</w:t>
      </w:r>
      <w:r w:rsidR="005B71B9" w:rsidRPr="00BA4BC1">
        <w:rPr>
          <w:rFonts w:ascii="Times New Roman" w:hAnsi="Times New Roman" w:cs="Times New Roman"/>
          <w:sz w:val="24"/>
          <w:szCs w:val="24"/>
        </w:rPr>
        <w:t xml:space="preserve"> </w:t>
      </w:r>
      <w:r w:rsidR="00FD108C">
        <w:rPr>
          <w:rFonts w:ascii="Times New Roman" w:hAnsi="Times New Roman" w:cs="Times New Roman"/>
          <w:sz w:val="24"/>
          <w:szCs w:val="24"/>
        </w:rPr>
        <w:t>“</w:t>
      </w:r>
      <w:r w:rsidR="005B71B9" w:rsidRPr="00BA4BC1">
        <w:rPr>
          <w:rFonts w:ascii="Times New Roman" w:hAnsi="Times New Roman" w:cs="Times New Roman"/>
          <w:sz w:val="24"/>
          <w:szCs w:val="24"/>
        </w:rPr>
        <w:t xml:space="preserve">It </w:t>
      </w:r>
      <w:r w:rsidRPr="00BA4BC1">
        <w:rPr>
          <w:rFonts w:ascii="Times New Roman" w:hAnsi="Times New Roman" w:cs="Times New Roman"/>
          <w:sz w:val="24"/>
          <w:szCs w:val="24"/>
        </w:rPr>
        <w:t>has… been held by the courts in many cases that non-payment of rent or tribute by the occupier is not itself conclusive as to his ownership of land held under customary tenure</w:t>
      </w:r>
      <w:r w:rsidR="00FD108C">
        <w:rPr>
          <w:rFonts w:ascii="Times New Roman" w:hAnsi="Times New Roman" w:cs="Times New Roman"/>
          <w:i/>
          <w:sz w:val="24"/>
          <w:szCs w:val="24"/>
        </w:rPr>
        <w:t>”</w:t>
      </w:r>
      <w:r w:rsidRPr="00BA4BC1">
        <w:rPr>
          <w:rFonts w:ascii="Times New Roman" w:hAnsi="Times New Roman" w:cs="Times New Roman"/>
          <w:i/>
          <w:sz w:val="24"/>
          <w:szCs w:val="24"/>
        </w:rPr>
        <w:t>.</w:t>
      </w:r>
      <w:r w:rsidR="00EC0244" w:rsidRPr="00BA4BC1">
        <w:rPr>
          <w:rFonts w:ascii="Times New Roman" w:hAnsi="Times New Roman" w:cs="Times New Roman"/>
          <w:sz w:val="24"/>
          <w:szCs w:val="24"/>
        </w:rPr>
        <w:t xml:space="preserve"> </w:t>
      </w:r>
    </w:p>
    <w:p w14:paraId="60F68194" w14:textId="77777777"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Nowadays, rent is almost always paid in cash, for cash is today the basis upon which most customary transactions are carried on.  The court no doubt, may order tribute to be paid in cases where it is found that the relationship is that of customary tenancy</w:t>
      </w:r>
      <w:r w:rsidR="00B020FA">
        <w:rPr>
          <w:rFonts w:ascii="Times New Roman" w:hAnsi="Times New Roman" w:cs="Times New Roman"/>
          <w:sz w:val="24"/>
          <w:szCs w:val="24"/>
        </w:rPr>
        <w:t xml:space="preserve"> (</w:t>
      </w:r>
      <w:r w:rsidR="00B020FA">
        <w:rPr>
          <w:rFonts w:ascii="Arial" w:hAnsi="Arial" w:cs="Arial"/>
          <w:color w:val="000000" w:themeColor="text1"/>
          <w:sz w:val="20"/>
          <w:szCs w:val="20"/>
          <w:shd w:val="clear" w:color="auto" w:fill="FFFFFF"/>
        </w:rPr>
        <w:t xml:space="preserve">Out </w:t>
      </w:r>
      <w:r w:rsidR="00B020FA" w:rsidRPr="0059455E">
        <w:rPr>
          <w:rFonts w:ascii="Arial" w:hAnsi="Arial" w:cs="Arial"/>
          <w:color w:val="000000" w:themeColor="text1"/>
          <w:sz w:val="20"/>
          <w:szCs w:val="20"/>
          <w:shd w:val="clear" w:color="auto" w:fill="FFFFFF"/>
        </w:rPr>
        <w:t xml:space="preserve">&amp; </w:t>
      </w:r>
      <w:proofErr w:type="spellStart"/>
      <w:r w:rsidR="00B020FA" w:rsidRPr="0059455E">
        <w:rPr>
          <w:rFonts w:ascii="Arial" w:hAnsi="Arial" w:cs="Arial"/>
          <w:color w:val="000000" w:themeColor="text1"/>
          <w:sz w:val="20"/>
          <w:szCs w:val="20"/>
          <w:shd w:val="clear" w:color="auto" w:fill="FFFFFF"/>
        </w:rPr>
        <w:t>Enyia</w:t>
      </w:r>
      <w:proofErr w:type="spellEnd"/>
      <w:r w:rsidR="00B020FA">
        <w:rPr>
          <w:rFonts w:ascii="Arial" w:hAnsi="Arial" w:cs="Arial"/>
          <w:color w:val="000000" w:themeColor="text1"/>
          <w:sz w:val="20"/>
          <w:szCs w:val="20"/>
          <w:shd w:val="clear" w:color="auto" w:fill="FFFFFF"/>
        </w:rPr>
        <w:t xml:space="preserve">, </w:t>
      </w:r>
      <w:r w:rsidR="00B020FA" w:rsidRPr="0059455E">
        <w:rPr>
          <w:rFonts w:ascii="Arial" w:hAnsi="Arial" w:cs="Arial"/>
          <w:color w:val="000000" w:themeColor="text1"/>
          <w:sz w:val="20"/>
          <w:szCs w:val="20"/>
          <w:shd w:val="clear" w:color="auto" w:fill="FFFFFF"/>
        </w:rPr>
        <w:t>2015</w:t>
      </w:r>
      <w:r w:rsidR="00B020FA">
        <w:rPr>
          <w:rFonts w:ascii="Times New Roman" w:hAnsi="Times New Roman" w:cs="Times New Roman"/>
          <w:sz w:val="24"/>
          <w:szCs w:val="24"/>
        </w:rPr>
        <w:t>)</w:t>
      </w:r>
      <w:r w:rsidRPr="00BA4BC1">
        <w:rPr>
          <w:rFonts w:ascii="Times New Roman" w:hAnsi="Times New Roman" w:cs="Times New Roman"/>
          <w:sz w:val="24"/>
          <w:szCs w:val="24"/>
        </w:rPr>
        <w:t>.  Tribute may consist of a single payment in kola and drinks made at the time of the grant or it may couple such initial payment with an annual payment in kola, drinks and/or farm produce.  Payment of tribute may be appropriate in order to remove bitter controversy.</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On the payment of yearly rent and its significance on the nature of the tenure, </w:t>
      </w:r>
      <w:proofErr w:type="spellStart"/>
      <w:r w:rsidRPr="00BA4BC1">
        <w:rPr>
          <w:rFonts w:ascii="Times New Roman" w:hAnsi="Times New Roman" w:cs="Times New Roman"/>
          <w:sz w:val="24"/>
          <w:szCs w:val="24"/>
        </w:rPr>
        <w:t>Obaseki</w:t>
      </w:r>
      <w:proofErr w:type="spellEnd"/>
      <w:r w:rsidRPr="00BA4BC1">
        <w:rPr>
          <w:rFonts w:ascii="Times New Roman" w:hAnsi="Times New Roman" w:cs="Times New Roman"/>
          <w:sz w:val="24"/>
          <w:szCs w:val="24"/>
        </w:rPr>
        <w:t xml:space="preserve">, J.S.C observed in the case of </w:t>
      </w:r>
      <w:proofErr w:type="spellStart"/>
      <w:r w:rsidRPr="00BA4BC1">
        <w:rPr>
          <w:rFonts w:ascii="Times New Roman" w:hAnsi="Times New Roman" w:cs="Times New Roman"/>
          <w:b/>
          <w:i/>
          <w:sz w:val="24"/>
          <w:szCs w:val="24"/>
        </w:rPr>
        <w:t>OjomorAjao</w:t>
      </w:r>
      <w:proofErr w:type="spellEnd"/>
      <w:r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thus:</w:t>
      </w:r>
    </w:p>
    <w:p w14:paraId="6BD5FE01" w14:textId="77777777" w:rsidR="00A37E28" w:rsidRPr="00BA4BC1" w:rsidRDefault="00A37E28" w:rsidP="00EC0244">
      <w:pPr>
        <w:spacing w:after="0" w:line="240" w:lineRule="auto"/>
        <w:ind w:left="1440"/>
        <w:contextualSpacing/>
        <w:jc w:val="both"/>
        <w:rPr>
          <w:rFonts w:ascii="Times New Roman" w:hAnsi="Times New Roman" w:cs="Times New Roman"/>
          <w:sz w:val="24"/>
          <w:szCs w:val="24"/>
        </w:rPr>
      </w:pPr>
      <w:r w:rsidRPr="00BA4BC1">
        <w:rPr>
          <w:rFonts w:ascii="Times New Roman" w:hAnsi="Times New Roman" w:cs="Times New Roman"/>
          <w:sz w:val="24"/>
          <w:szCs w:val="24"/>
        </w:rPr>
        <w:t xml:space="preserve">He did not get a freehold title but a customary title to remain on the land provided he pays his yearly rent…. The grant has been loosely described as a </w:t>
      </w:r>
      <w:r w:rsidR="00FD108C">
        <w:rPr>
          <w:rFonts w:ascii="Times New Roman" w:hAnsi="Times New Roman" w:cs="Times New Roman"/>
          <w:sz w:val="24"/>
          <w:szCs w:val="24"/>
        </w:rPr>
        <w:lastRenderedPageBreak/>
        <w:t>‘</w:t>
      </w:r>
      <w:r w:rsidRPr="00BA4BC1">
        <w:rPr>
          <w:rFonts w:ascii="Times New Roman" w:hAnsi="Times New Roman" w:cs="Times New Roman"/>
          <w:sz w:val="24"/>
          <w:szCs w:val="24"/>
        </w:rPr>
        <w:t>lease</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but it is not a lease in</w:t>
      </w:r>
      <w:r w:rsidR="00345743" w:rsidRPr="00BA4BC1">
        <w:rPr>
          <w:rFonts w:ascii="Times New Roman" w:hAnsi="Times New Roman" w:cs="Times New Roman"/>
          <w:sz w:val="24"/>
          <w:szCs w:val="24"/>
        </w:rPr>
        <w:t xml:space="preserve"> the strict legal sense of the w</w:t>
      </w:r>
      <w:r w:rsidRPr="00BA4BC1">
        <w:rPr>
          <w:rFonts w:ascii="Times New Roman" w:hAnsi="Times New Roman" w:cs="Times New Roman"/>
          <w:sz w:val="24"/>
          <w:szCs w:val="24"/>
        </w:rPr>
        <w:t>ord</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 xml:space="preserve">Godden &amp; </w:t>
      </w:r>
      <w:proofErr w:type="spellStart"/>
      <w:r w:rsidR="00EC0244" w:rsidRPr="00BA4BC1">
        <w:rPr>
          <w:rFonts w:ascii="Times New Roman" w:hAnsi="Times New Roman" w:cs="Times New Roman"/>
          <w:color w:val="222222"/>
          <w:sz w:val="24"/>
          <w:szCs w:val="24"/>
          <w:shd w:val="clear" w:color="auto" w:fill="FFFFFF"/>
        </w:rPr>
        <w:t>Tehan</w:t>
      </w:r>
      <w:proofErr w:type="spellEnd"/>
      <w:r w:rsidR="00EC0244" w:rsidRPr="00BA4BC1">
        <w:rPr>
          <w:rFonts w:ascii="Times New Roman" w:hAnsi="Times New Roman" w:cs="Times New Roman"/>
          <w:color w:val="222222"/>
          <w:sz w:val="24"/>
          <w:szCs w:val="24"/>
          <w:shd w:val="clear" w:color="auto" w:fill="FFFFFF"/>
        </w:rPr>
        <w:t>, 2010, p. 146)</w:t>
      </w:r>
      <w:r w:rsidRPr="00BA4BC1">
        <w:rPr>
          <w:rFonts w:ascii="Times New Roman" w:hAnsi="Times New Roman" w:cs="Times New Roman"/>
          <w:sz w:val="24"/>
          <w:szCs w:val="24"/>
        </w:rPr>
        <w:t>.</w:t>
      </w:r>
    </w:p>
    <w:p w14:paraId="0B7E5424" w14:textId="77777777" w:rsidR="00EC0244" w:rsidRPr="00BA4BC1" w:rsidRDefault="00A37E28" w:rsidP="00EC0244">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And on the distinction between rent and tribute, His Lordship was very forthcoming, as he said that one of the obligations of a customary tenant is to pay his rents into which tributes formerly paid in olden times have been converted.</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above extracts from the </w:t>
      </w:r>
      <w:proofErr w:type="spellStart"/>
      <w:r w:rsidRPr="00BA4BC1">
        <w:rPr>
          <w:rFonts w:ascii="Times New Roman" w:hAnsi="Times New Roman" w:cs="Times New Roman"/>
          <w:sz w:val="24"/>
          <w:szCs w:val="24"/>
        </w:rPr>
        <w:t>Ojomo</w:t>
      </w:r>
      <w:proofErr w:type="spellEnd"/>
      <w:r w:rsidRPr="00BA4BC1">
        <w:rPr>
          <w:rFonts w:ascii="Times New Roman" w:hAnsi="Times New Roman" w:cs="Times New Roman"/>
          <w:sz w:val="24"/>
          <w:szCs w:val="24"/>
        </w:rPr>
        <w:t xml:space="preserve"> case have blurred the distinction between rent and tribute as a determinant of customary tenancy.  It is submitted that the distinction is not necessary.  </w:t>
      </w:r>
      <w:r w:rsidR="00705E00" w:rsidRPr="00BA4BC1">
        <w:rPr>
          <w:rFonts w:ascii="Times New Roman" w:hAnsi="Times New Roman" w:cs="Times New Roman"/>
          <w:sz w:val="24"/>
          <w:szCs w:val="24"/>
        </w:rPr>
        <w:t>Customary</w:t>
      </w:r>
      <w:r w:rsidRPr="00BA4BC1">
        <w:rPr>
          <w:rFonts w:ascii="Times New Roman" w:hAnsi="Times New Roman" w:cs="Times New Roman"/>
          <w:sz w:val="24"/>
          <w:szCs w:val="24"/>
        </w:rPr>
        <w:t xml:space="preserve"> tenancy and a customary lease, mean one and the same thing</w:t>
      </w:r>
      <w:r w:rsidR="00705E00" w:rsidRPr="00BA4BC1">
        <w:rPr>
          <w:rFonts w:ascii="Times New Roman" w:hAnsi="Times New Roman" w:cs="Times New Roman"/>
          <w:sz w:val="24"/>
          <w:szCs w:val="24"/>
        </w:rPr>
        <w:t>,</w:t>
      </w:r>
      <w:r w:rsidRPr="00BA4BC1">
        <w:rPr>
          <w:rFonts w:ascii="Times New Roman" w:hAnsi="Times New Roman" w:cs="Times New Roman"/>
          <w:sz w:val="24"/>
          <w:szCs w:val="24"/>
        </w:rPr>
        <w:t xml:space="preserve"> hence</w:t>
      </w:r>
      <w:r w:rsidR="00705E00" w:rsidRPr="00BA4BC1">
        <w:rPr>
          <w:rFonts w:ascii="Times New Roman" w:hAnsi="Times New Roman" w:cs="Times New Roman"/>
          <w:sz w:val="24"/>
          <w:szCs w:val="24"/>
        </w:rPr>
        <w:t>,</w:t>
      </w:r>
      <w:r w:rsidRPr="00BA4BC1">
        <w:rPr>
          <w:rFonts w:ascii="Times New Roman" w:hAnsi="Times New Roman" w:cs="Times New Roman"/>
          <w:sz w:val="24"/>
          <w:szCs w:val="24"/>
        </w:rPr>
        <w:t xml:space="preserve"> we agree with </w:t>
      </w:r>
      <w:proofErr w:type="spellStart"/>
      <w:r w:rsidRPr="00BA4BC1">
        <w:rPr>
          <w:rFonts w:ascii="Times New Roman" w:hAnsi="Times New Roman" w:cs="Times New Roman"/>
          <w:sz w:val="24"/>
          <w:szCs w:val="24"/>
        </w:rPr>
        <w:t>An</w:t>
      </w:r>
      <w:r w:rsidR="00705E00" w:rsidRPr="00BA4BC1">
        <w:rPr>
          <w:rFonts w:ascii="Times New Roman" w:hAnsi="Times New Roman" w:cs="Times New Roman"/>
          <w:sz w:val="24"/>
          <w:szCs w:val="24"/>
        </w:rPr>
        <w:t>i</w:t>
      </w:r>
      <w:r w:rsidRPr="00BA4BC1">
        <w:rPr>
          <w:rFonts w:ascii="Times New Roman" w:hAnsi="Times New Roman" w:cs="Times New Roman"/>
          <w:sz w:val="24"/>
          <w:szCs w:val="24"/>
        </w:rPr>
        <w:t>agola</w:t>
      </w:r>
      <w:proofErr w:type="spellEnd"/>
      <w:r w:rsidRPr="00BA4BC1">
        <w:rPr>
          <w:rFonts w:ascii="Times New Roman" w:hAnsi="Times New Roman" w:cs="Times New Roman"/>
          <w:sz w:val="24"/>
          <w:szCs w:val="24"/>
        </w:rPr>
        <w:t xml:space="preserve"> J.S.C that the practical effect is the same.  The most relevant incident is the perpetuity of tenure and not whether the consideration is rent or tribute</w:t>
      </w:r>
      <w:r w:rsidR="00EC0244" w:rsidRPr="00BA4BC1">
        <w:rPr>
          <w:rFonts w:ascii="Times New Roman" w:hAnsi="Times New Roman" w:cs="Times New Roman"/>
          <w:sz w:val="24"/>
          <w:szCs w:val="24"/>
        </w:rPr>
        <w:t>.</w:t>
      </w:r>
    </w:p>
    <w:p w14:paraId="086EB296" w14:textId="77777777" w:rsidR="00A37E28" w:rsidRPr="00BA4BC1" w:rsidRDefault="00A37E28" w:rsidP="00EC0244">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foregoing opinion has support from the recent decision of the </w:t>
      </w:r>
      <w:r w:rsidR="0091490D" w:rsidRPr="00BA4BC1">
        <w:rPr>
          <w:rFonts w:ascii="Times New Roman" w:hAnsi="Times New Roman" w:cs="Times New Roman"/>
          <w:sz w:val="24"/>
          <w:szCs w:val="24"/>
        </w:rPr>
        <w:t>Supreme Court</w:t>
      </w:r>
      <w:r w:rsidRPr="00BA4BC1">
        <w:rPr>
          <w:rFonts w:ascii="Times New Roman" w:hAnsi="Times New Roman" w:cs="Times New Roman"/>
          <w:sz w:val="24"/>
          <w:szCs w:val="24"/>
        </w:rPr>
        <w:t xml:space="preserve"> in the case of </w:t>
      </w:r>
      <w:proofErr w:type="spellStart"/>
      <w:r w:rsidRPr="00BA4BC1">
        <w:rPr>
          <w:rFonts w:ascii="Times New Roman" w:hAnsi="Times New Roman" w:cs="Times New Roman"/>
          <w:b/>
          <w:i/>
          <w:sz w:val="24"/>
          <w:szCs w:val="24"/>
        </w:rPr>
        <w:t>AuduMakinde</w:t>
      </w:r>
      <w:proofErr w:type="spellEnd"/>
      <w:r w:rsidRPr="00BA4BC1">
        <w:rPr>
          <w:rFonts w:ascii="Times New Roman" w:hAnsi="Times New Roman" w:cs="Times New Roman"/>
          <w:b/>
          <w:i/>
          <w:sz w:val="24"/>
          <w:szCs w:val="24"/>
        </w:rPr>
        <w:t xml:space="preserve"> V. </w:t>
      </w:r>
      <w:proofErr w:type="spellStart"/>
      <w:r w:rsidRPr="00BA4BC1">
        <w:rPr>
          <w:rFonts w:ascii="Times New Roman" w:hAnsi="Times New Roman" w:cs="Times New Roman"/>
          <w:b/>
          <w:i/>
          <w:sz w:val="24"/>
          <w:szCs w:val="24"/>
        </w:rPr>
        <w:t>DawudaAkinwale</w:t>
      </w:r>
      <w:proofErr w:type="spellEnd"/>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 xml:space="preserve">where it was held that there can be customary tenancy </w:t>
      </w:r>
      <w:r w:rsidR="00246E55" w:rsidRPr="00BA4BC1">
        <w:rPr>
          <w:rFonts w:ascii="Times New Roman" w:hAnsi="Times New Roman" w:cs="Times New Roman"/>
          <w:sz w:val="24"/>
          <w:szCs w:val="24"/>
        </w:rPr>
        <w:t>without the payment of tribute.</w:t>
      </w:r>
      <w:r w:rsidRPr="00BA4BC1">
        <w:rPr>
          <w:rFonts w:ascii="Times New Roman" w:hAnsi="Times New Roman" w:cs="Times New Roman"/>
          <w:sz w:val="24"/>
          <w:szCs w:val="24"/>
        </w:rPr>
        <w:t xml:space="preserve"> As </w:t>
      </w:r>
      <w:proofErr w:type="spellStart"/>
      <w:r w:rsidRPr="00BA4BC1">
        <w:rPr>
          <w:rFonts w:ascii="Times New Roman" w:hAnsi="Times New Roman" w:cs="Times New Roman"/>
          <w:sz w:val="24"/>
          <w:szCs w:val="24"/>
        </w:rPr>
        <w:t>Uwaifo</w:t>
      </w:r>
      <w:proofErr w:type="spellEnd"/>
      <w:r w:rsidRPr="00BA4BC1">
        <w:rPr>
          <w:rFonts w:ascii="Times New Roman" w:hAnsi="Times New Roman" w:cs="Times New Roman"/>
          <w:sz w:val="24"/>
          <w:szCs w:val="24"/>
        </w:rPr>
        <w:t>, J.S.C observed.</w:t>
      </w:r>
    </w:p>
    <w:p w14:paraId="19C5DF3D" w14:textId="77777777" w:rsidR="00A37E28" w:rsidRPr="00BA4BC1" w:rsidRDefault="00EC0244" w:rsidP="00EC0244">
      <w:pPr>
        <w:spacing w:after="0" w:line="240" w:lineRule="auto"/>
        <w:ind w:left="2146" w:hanging="706"/>
        <w:contextualSpacing/>
        <w:jc w:val="both"/>
        <w:rPr>
          <w:rFonts w:ascii="Times New Roman" w:hAnsi="Times New Roman" w:cs="Times New Roman"/>
          <w:i/>
          <w:sz w:val="24"/>
          <w:szCs w:val="24"/>
        </w:rPr>
      </w:pPr>
      <w:r w:rsidRPr="00BA4BC1">
        <w:rPr>
          <w:rFonts w:ascii="Times New Roman" w:hAnsi="Times New Roman" w:cs="Times New Roman"/>
          <w:sz w:val="24"/>
          <w:szCs w:val="24"/>
        </w:rPr>
        <w:tab/>
      </w:r>
      <w:r w:rsidRPr="00BA4BC1">
        <w:rPr>
          <w:rFonts w:ascii="Times New Roman" w:hAnsi="Times New Roman" w:cs="Times New Roman"/>
          <w:sz w:val="24"/>
          <w:szCs w:val="24"/>
        </w:rPr>
        <w:tab/>
      </w:r>
      <w:r w:rsidR="00A37E28" w:rsidRPr="00BA4BC1">
        <w:rPr>
          <w:rFonts w:ascii="Times New Roman" w:hAnsi="Times New Roman" w:cs="Times New Roman"/>
          <w:sz w:val="24"/>
          <w:szCs w:val="24"/>
        </w:rPr>
        <w:t>…. It is not unknown that there can be customary tenancy without the payment of tribute</w:t>
      </w:r>
      <w:proofErr w:type="gramStart"/>
      <w:r w:rsidR="00A37E28" w:rsidRPr="00BA4BC1">
        <w:rPr>
          <w:rFonts w:ascii="Times New Roman" w:hAnsi="Times New Roman" w:cs="Times New Roman"/>
          <w:sz w:val="24"/>
          <w:szCs w:val="24"/>
        </w:rPr>
        <w:t>…..</w:t>
      </w:r>
      <w:proofErr w:type="gramEnd"/>
      <w:r w:rsidR="00A37E28" w:rsidRPr="00BA4BC1">
        <w:rPr>
          <w:rFonts w:ascii="Times New Roman" w:hAnsi="Times New Roman" w:cs="Times New Roman"/>
          <w:sz w:val="24"/>
          <w:szCs w:val="24"/>
        </w:rPr>
        <w:t xml:space="preserve"> As long as the land owners accept or permit the use and occupation or possession of their land not upon absolute grant although without spelling out the terms of the tribute, not for a temporary use as li</w:t>
      </w:r>
      <w:r w:rsidR="00246E55" w:rsidRPr="00BA4BC1">
        <w:rPr>
          <w:rFonts w:ascii="Times New Roman" w:hAnsi="Times New Roman" w:cs="Times New Roman"/>
          <w:sz w:val="24"/>
          <w:szCs w:val="24"/>
        </w:rPr>
        <w:t xml:space="preserve">censees, a customary tenancy is </w:t>
      </w:r>
      <w:r w:rsidR="00A37E28" w:rsidRPr="00BA4BC1">
        <w:rPr>
          <w:rFonts w:ascii="Times New Roman" w:hAnsi="Times New Roman" w:cs="Times New Roman"/>
          <w:sz w:val="24"/>
          <w:szCs w:val="24"/>
        </w:rPr>
        <w:t xml:space="preserve">liable to forfeiture when the tenant commits any offence that can lead to forfeiture or that is incompatible with the customary tenancy such as the denial of the </w:t>
      </w:r>
      <w:r w:rsidR="00C416DB" w:rsidRPr="00BA4BC1">
        <w:rPr>
          <w:rFonts w:ascii="Times New Roman" w:hAnsi="Times New Roman" w:cs="Times New Roman"/>
          <w:sz w:val="24"/>
          <w:szCs w:val="24"/>
        </w:rPr>
        <w:t>over lordship</w:t>
      </w:r>
      <w:r w:rsidR="00A37E28" w:rsidRPr="00BA4BC1">
        <w:rPr>
          <w:rFonts w:ascii="Times New Roman" w:hAnsi="Times New Roman" w:cs="Times New Roman"/>
          <w:sz w:val="24"/>
          <w:szCs w:val="24"/>
        </w:rPr>
        <w:t xml:space="preserve"> of the land owners</w:t>
      </w:r>
      <w:r w:rsidRPr="00BA4BC1">
        <w:rPr>
          <w:rFonts w:ascii="Times New Roman" w:hAnsi="Times New Roman" w:cs="Times New Roman"/>
          <w:i/>
          <w:sz w:val="24"/>
          <w:szCs w:val="24"/>
        </w:rPr>
        <w:t xml:space="preserve"> </w:t>
      </w:r>
      <w:r w:rsidRPr="00BA4BC1">
        <w:rPr>
          <w:rFonts w:ascii="Times New Roman" w:hAnsi="Times New Roman" w:cs="Times New Roman"/>
          <w:sz w:val="24"/>
          <w:szCs w:val="24"/>
        </w:rPr>
        <w:t>(</w:t>
      </w:r>
      <w:proofErr w:type="spellStart"/>
      <w:r w:rsidRPr="00BA4BC1">
        <w:rPr>
          <w:rFonts w:ascii="Times New Roman" w:hAnsi="Times New Roman" w:cs="Times New Roman"/>
          <w:color w:val="222222"/>
          <w:sz w:val="24"/>
          <w:szCs w:val="24"/>
          <w:shd w:val="clear" w:color="auto" w:fill="FFFFFF"/>
        </w:rPr>
        <w:t>Mwalimu</w:t>
      </w:r>
      <w:proofErr w:type="spellEnd"/>
      <w:r w:rsidRPr="00BA4BC1">
        <w:rPr>
          <w:rFonts w:ascii="Times New Roman" w:hAnsi="Times New Roman" w:cs="Times New Roman"/>
          <w:color w:val="222222"/>
          <w:sz w:val="24"/>
          <w:szCs w:val="24"/>
          <w:shd w:val="clear" w:color="auto" w:fill="FFFFFF"/>
        </w:rPr>
        <w:t>, 2005, p. 209)</w:t>
      </w:r>
      <w:r w:rsidR="00A37E28" w:rsidRPr="00BA4BC1">
        <w:rPr>
          <w:rFonts w:ascii="Times New Roman" w:hAnsi="Times New Roman" w:cs="Times New Roman"/>
          <w:i/>
          <w:sz w:val="24"/>
          <w:szCs w:val="24"/>
        </w:rPr>
        <w:t>.</w:t>
      </w:r>
    </w:p>
    <w:p w14:paraId="5711EA38" w14:textId="77777777" w:rsidR="0081797C" w:rsidRPr="00BA4BC1" w:rsidRDefault="00A37E2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Today, the interest of the customary tenant or lessee has in practice now been regarded by</w:t>
      </w:r>
      <w:r w:rsidR="00F41804" w:rsidRPr="00BA4BC1">
        <w:rPr>
          <w:rFonts w:ascii="Times New Roman" w:hAnsi="Times New Roman" w:cs="Times New Roman"/>
          <w:sz w:val="24"/>
          <w:szCs w:val="24"/>
        </w:rPr>
        <w:t xml:space="preserve"> the courts as practically indefeasible</w:t>
      </w:r>
      <w:r w:rsidRPr="00BA4BC1">
        <w:rPr>
          <w:rFonts w:ascii="Times New Roman" w:hAnsi="Times New Roman" w:cs="Times New Roman"/>
          <w:sz w:val="24"/>
          <w:szCs w:val="24"/>
        </w:rPr>
        <w:t xml:space="preserve"> once permanent buildings or other forms of improvements like extensive commercial farming and/or occupation have been established thereon by the grantees.  Any proved </w:t>
      </w:r>
      <w:proofErr w:type="spellStart"/>
      <w:r w:rsidR="004B4A84" w:rsidRPr="00BA4BC1">
        <w:rPr>
          <w:rFonts w:ascii="Times New Roman" w:hAnsi="Times New Roman" w:cs="Times New Roman"/>
          <w:sz w:val="24"/>
          <w:szCs w:val="24"/>
        </w:rPr>
        <w:t>misbehaviour</w:t>
      </w:r>
      <w:proofErr w:type="spellEnd"/>
      <w:r w:rsidRPr="00BA4BC1">
        <w:rPr>
          <w:rFonts w:ascii="Times New Roman" w:hAnsi="Times New Roman" w:cs="Times New Roman"/>
          <w:sz w:val="24"/>
          <w:szCs w:val="24"/>
        </w:rPr>
        <w:t xml:space="preserve"> is usually now punished by a fine.  They enjoy something</w:t>
      </w:r>
      <w:r w:rsidR="001567ED" w:rsidRPr="00BA4BC1">
        <w:rPr>
          <w:rFonts w:ascii="Times New Roman" w:hAnsi="Times New Roman" w:cs="Times New Roman"/>
          <w:sz w:val="24"/>
          <w:szCs w:val="24"/>
        </w:rPr>
        <w:t xml:space="preserve"> akin to emphyteusis</w:t>
      </w:r>
      <w:r w:rsidR="006519D7" w:rsidRPr="00BA4BC1">
        <w:rPr>
          <w:rFonts w:ascii="Times New Roman" w:hAnsi="Times New Roman" w:cs="Times New Roman"/>
          <w:sz w:val="24"/>
          <w:szCs w:val="24"/>
        </w:rPr>
        <w:t>.</w:t>
      </w:r>
    </w:p>
    <w:p w14:paraId="655355FC" w14:textId="77777777" w:rsidR="00EC0244" w:rsidRPr="00BA4BC1" w:rsidRDefault="00EC0244" w:rsidP="00EB3EFA">
      <w:pPr>
        <w:pStyle w:val="ListParagraph"/>
        <w:spacing w:after="0" w:line="240" w:lineRule="auto"/>
        <w:ind w:left="0"/>
        <w:jc w:val="both"/>
        <w:rPr>
          <w:rFonts w:ascii="Times New Roman" w:hAnsi="Times New Roman" w:cs="Times New Roman"/>
          <w:sz w:val="24"/>
          <w:szCs w:val="24"/>
        </w:rPr>
      </w:pPr>
    </w:p>
    <w:p w14:paraId="4916971D" w14:textId="77777777" w:rsidR="000438D0" w:rsidRPr="00BA4BC1" w:rsidRDefault="000438D0" w:rsidP="00EC0244">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T</w:t>
      </w:r>
      <w:r w:rsidR="00E51389" w:rsidRPr="00BA4BC1">
        <w:rPr>
          <w:rFonts w:ascii="Times New Roman" w:hAnsi="Times New Roman" w:cs="Times New Roman"/>
          <w:b/>
          <w:sz w:val="24"/>
          <w:szCs w:val="24"/>
        </w:rPr>
        <w:t>he</w:t>
      </w:r>
      <w:r w:rsidRPr="00BA4BC1">
        <w:rPr>
          <w:rFonts w:ascii="Times New Roman" w:hAnsi="Times New Roman" w:cs="Times New Roman"/>
          <w:b/>
          <w:sz w:val="24"/>
          <w:szCs w:val="24"/>
        </w:rPr>
        <w:t xml:space="preserve"> C</w:t>
      </w:r>
      <w:r w:rsidR="00E51389" w:rsidRPr="00BA4BC1">
        <w:rPr>
          <w:rFonts w:ascii="Times New Roman" w:hAnsi="Times New Roman" w:cs="Times New Roman"/>
          <w:b/>
          <w:sz w:val="24"/>
          <w:szCs w:val="24"/>
        </w:rPr>
        <w:t>ustomary</w:t>
      </w:r>
      <w:r w:rsidRPr="00BA4BC1">
        <w:rPr>
          <w:rFonts w:ascii="Times New Roman" w:hAnsi="Times New Roman" w:cs="Times New Roman"/>
          <w:b/>
          <w:sz w:val="24"/>
          <w:szCs w:val="24"/>
        </w:rPr>
        <w:t xml:space="preserve"> T</w:t>
      </w:r>
      <w:r w:rsidR="00E51389" w:rsidRPr="00BA4BC1">
        <w:rPr>
          <w:rFonts w:ascii="Times New Roman" w:hAnsi="Times New Roman" w:cs="Times New Roman"/>
          <w:b/>
          <w:sz w:val="24"/>
          <w:szCs w:val="24"/>
        </w:rPr>
        <w:t>enant</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and</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the</w:t>
      </w:r>
      <w:r w:rsidRPr="00BA4BC1">
        <w:rPr>
          <w:rFonts w:ascii="Times New Roman" w:hAnsi="Times New Roman" w:cs="Times New Roman"/>
          <w:b/>
          <w:sz w:val="24"/>
          <w:szCs w:val="24"/>
        </w:rPr>
        <w:t xml:space="preserve"> T</w:t>
      </w:r>
      <w:r w:rsidR="00E51389" w:rsidRPr="00BA4BC1">
        <w:rPr>
          <w:rFonts w:ascii="Times New Roman" w:hAnsi="Times New Roman" w:cs="Times New Roman"/>
          <w:b/>
          <w:sz w:val="24"/>
          <w:szCs w:val="24"/>
        </w:rPr>
        <w:t>ransfer</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of</w:t>
      </w:r>
      <w:r w:rsidRPr="00BA4BC1">
        <w:rPr>
          <w:rFonts w:ascii="Times New Roman" w:hAnsi="Times New Roman" w:cs="Times New Roman"/>
          <w:b/>
          <w:sz w:val="24"/>
          <w:szCs w:val="24"/>
        </w:rPr>
        <w:t xml:space="preserve"> L</w:t>
      </w:r>
      <w:r w:rsidR="00E51389" w:rsidRPr="00BA4BC1">
        <w:rPr>
          <w:rFonts w:ascii="Times New Roman" w:hAnsi="Times New Roman" w:cs="Times New Roman"/>
          <w:b/>
          <w:sz w:val="24"/>
          <w:szCs w:val="24"/>
        </w:rPr>
        <w:t>and</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in</w:t>
      </w:r>
      <w:r w:rsidR="00EC0244" w:rsidRPr="00BA4BC1">
        <w:rPr>
          <w:rFonts w:ascii="Times New Roman" w:hAnsi="Times New Roman" w:cs="Times New Roman"/>
          <w:b/>
          <w:sz w:val="24"/>
          <w:szCs w:val="24"/>
        </w:rPr>
        <w:t xml:space="preserve"> </w:t>
      </w:r>
      <w:r w:rsidRPr="00BA4BC1">
        <w:rPr>
          <w:rFonts w:ascii="Times New Roman" w:hAnsi="Times New Roman" w:cs="Times New Roman"/>
          <w:b/>
          <w:sz w:val="24"/>
          <w:szCs w:val="24"/>
        </w:rPr>
        <w:t>N</w:t>
      </w:r>
      <w:r w:rsidR="00E51389" w:rsidRPr="00BA4BC1">
        <w:rPr>
          <w:rFonts w:ascii="Times New Roman" w:hAnsi="Times New Roman" w:cs="Times New Roman"/>
          <w:b/>
          <w:sz w:val="24"/>
          <w:szCs w:val="24"/>
        </w:rPr>
        <w:t>igeria</w:t>
      </w:r>
      <w:r w:rsidRPr="00BA4BC1">
        <w:rPr>
          <w:rFonts w:ascii="Times New Roman" w:hAnsi="Times New Roman" w:cs="Times New Roman"/>
          <w:b/>
          <w:sz w:val="24"/>
          <w:szCs w:val="24"/>
        </w:rPr>
        <w:t>: The Judicial Dilemma for the Conveyance</w:t>
      </w:r>
      <w:r w:rsidR="00E51389" w:rsidRPr="00BA4BC1">
        <w:rPr>
          <w:rFonts w:ascii="Times New Roman" w:hAnsi="Times New Roman" w:cs="Times New Roman"/>
          <w:b/>
          <w:sz w:val="24"/>
          <w:szCs w:val="24"/>
        </w:rPr>
        <w:t>rs</w:t>
      </w:r>
      <w:r w:rsidR="00FD108C">
        <w:rPr>
          <w:rFonts w:ascii="Times New Roman" w:hAnsi="Times New Roman" w:cs="Times New Roman"/>
          <w:b/>
          <w:sz w:val="24"/>
          <w:szCs w:val="24"/>
        </w:rPr>
        <w:t>’</w:t>
      </w:r>
      <w:r w:rsidR="00E51389" w:rsidRPr="00BA4BC1">
        <w:rPr>
          <w:rFonts w:ascii="Times New Roman" w:hAnsi="Times New Roman" w:cs="Times New Roman"/>
          <w:b/>
          <w:sz w:val="24"/>
          <w:szCs w:val="24"/>
        </w:rPr>
        <w:t xml:space="preserve"> today</w:t>
      </w:r>
    </w:p>
    <w:p w14:paraId="02B002F7" w14:textId="77777777" w:rsidR="000438D0" w:rsidRPr="00BA4BC1" w:rsidRDefault="000438D0"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As early as 1954, it had been judicially recognized that the tenure of customary tenancy was irksome. Consequently, two decades after an eminent authority in property law in Nigeria, suggested its abolition because of the constant friction it produced between the tenants and the overlords. In his profound and prophetic words, the erudite scholar stated thus:</w:t>
      </w:r>
    </w:p>
    <w:p w14:paraId="356E5F86" w14:textId="77777777" w:rsidR="00A807B9" w:rsidRPr="00BA4BC1" w:rsidRDefault="000438D0" w:rsidP="00EC0244">
      <w:pPr>
        <w:pStyle w:val="ListParagraph"/>
        <w:tabs>
          <w:tab w:val="left" w:pos="8460"/>
        </w:tabs>
        <w:spacing w:after="0" w:line="240" w:lineRule="auto"/>
        <w:ind w:left="1440"/>
        <w:jc w:val="both"/>
        <w:rPr>
          <w:rFonts w:ascii="Times New Roman" w:hAnsi="Times New Roman" w:cs="Times New Roman"/>
          <w:b/>
          <w:sz w:val="24"/>
          <w:szCs w:val="24"/>
        </w:rPr>
      </w:pPr>
      <w:r w:rsidRPr="00BA4BC1">
        <w:rPr>
          <w:rFonts w:ascii="Times New Roman" w:hAnsi="Times New Roman" w:cs="Times New Roman"/>
          <w:sz w:val="24"/>
          <w:szCs w:val="24"/>
        </w:rPr>
        <w:t>Suggestion for reform of the ancient rule of customary law will here be based on the view which has been taken that the 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s interest in any land which is subject to customary tenancy is equal if not larger than the interest of his overlords. In view however of the Courts approach in</w:t>
      </w:r>
      <w:r w:rsidRPr="00BA4BC1">
        <w:rPr>
          <w:rFonts w:ascii="Times New Roman" w:hAnsi="Times New Roman" w:cs="Times New Roman"/>
          <w:b/>
          <w:sz w:val="24"/>
          <w:szCs w:val="24"/>
        </w:rPr>
        <w:t xml:space="preserve"> </w:t>
      </w:r>
      <w:proofErr w:type="spellStart"/>
      <w:r w:rsidRPr="00BA4BC1">
        <w:rPr>
          <w:rFonts w:ascii="Times New Roman" w:hAnsi="Times New Roman" w:cs="Times New Roman"/>
          <w:sz w:val="24"/>
          <w:szCs w:val="24"/>
        </w:rPr>
        <w:t>AsaniTaiwo</w:t>
      </w:r>
      <w:r w:rsidR="00FD108C">
        <w:rPr>
          <w:rFonts w:ascii="Times New Roman" w:hAnsi="Times New Roman" w:cs="Times New Roman"/>
          <w:sz w:val="24"/>
          <w:szCs w:val="24"/>
        </w:rPr>
        <w:t>’</w:t>
      </w:r>
      <w:r w:rsidRPr="00BA4BC1">
        <w:rPr>
          <w:rFonts w:ascii="Times New Roman" w:hAnsi="Times New Roman" w:cs="Times New Roman"/>
          <w:sz w:val="24"/>
          <w:szCs w:val="24"/>
        </w:rPr>
        <w:t>s</w:t>
      </w:r>
      <w:proofErr w:type="spellEnd"/>
      <w:r w:rsidRPr="00BA4BC1">
        <w:rPr>
          <w:rFonts w:ascii="Times New Roman" w:hAnsi="Times New Roman" w:cs="Times New Roman"/>
          <w:sz w:val="24"/>
          <w:szCs w:val="24"/>
        </w:rPr>
        <w:t xml:space="preserve"> case, it is clear that a change in the present rule cannot come from the court. The courts having therefore refused to come to our aid, one can only hope for a Legislation that would restore certainty to this branch of our law</w:t>
      </w:r>
      <w:r w:rsidR="00EC0244" w:rsidRPr="00BA4BC1">
        <w:rPr>
          <w:rFonts w:ascii="Times New Roman" w:hAnsi="Times New Roman" w:cs="Times New Roman"/>
          <w:sz w:val="24"/>
          <w:szCs w:val="24"/>
        </w:rPr>
        <w:t xml:space="preserve"> (</w:t>
      </w:r>
      <w:proofErr w:type="spellStart"/>
      <w:r w:rsidR="00EC0244" w:rsidRPr="00BA4BC1">
        <w:rPr>
          <w:rFonts w:ascii="Times New Roman" w:hAnsi="Times New Roman" w:cs="Times New Roman"/>
          <w:sz w:val="24"/>
          <w:szCs w:val="24"/>
        </w:rPr>
        <w:t>Omotola</w:t>
      </w:r>
      <w:proofErr w:type="spellEnd"/>
      <w:r w:rsidR="00EC0244" w:rsidRPr="00BA4BC1">
        <w:rPr>
          <w:rFonts w:ascii="Times New Roman" w:hAnsi="Times New Roman" w:cs="Times New Roman"/>
          <w:sz w:val="24"/>
          <w:szCs w:val="24"/>
        </w:rPr>
        <w:t>, 1975, p. 44)</w:t>
      </w:r>
      <w:r w:rsidRPr="00BA4BC1">
        <w:rPr>
          <w:rFonts w:ascii="Times New Roman" w:hAnsi="Times New Roman" w:cs="Times New Roman"/>
          <w:sz w:val="24"/>
          <w:szCs w:val="24"/>
        </w:rPr>
        <w:t>.</w:t>
      </w:r>
    </w:p>
    <w:p w14:paraId="66536E72" w14:textId="77777777" w:rsidR="00A807B9" w:rsidRPr="00BA4BC1" w:rsidRDefault="00A807B9" w:rsidP="00EC0244">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He proceeded to suggest a legislative reform in the nature of the moribund </w:t>
      </w:r>
      <w:proofErr w:type="spellStart"/>
      <w:r w:rsidRPr="00BA4BC1">
        <w:rPr>
          <w:rFonts w:ascii="Times New Roman" w:hAnsi="Times New Roman" w:cs="Times New Roman"/>
          <w:sz w:val="24"/>
          <w:szCs w:val="24"/>
        </w:rPr>
        <w:t>Epetedo</w:t>
      </w:r>
      <w:proofErr w:type="spellEnd"/>
      <w:r w:rsidRPr="00BA4BC1">
        <w:rPr>
          <w:rFonts w:ascii="Times New Roman" w:hAnsi="Times New Roman" w:cs="Times New Roman"/>
          <w:sz w:val="24"/>
          <w:szCs w:val="24"/>
        </w:rPr>
        <w:t xml:space="preserve"> Lands ordinance </w:t>
      </w:r>
      <w:r w:rsidR="003F0FC6" w:rsidRPr="00BA4BC1">
        <w:rPr>
          <w:rFonts w:ascii="Times New Roman" w:hAnsi="Times New Roman" w:cs="Times New Roman"/>
          <w:sz w:val="24"/>
          <w:szCs w:val="24"/>
        </w:rPr>
        <w:t>(Cap. 60) which would invest a customary tenant with absolute title fr</w:t>
      </w:r>
      <w:r w:rsidR="00EC0244" w:rsidRPr="00BA4BC1">
        <w:rPr>
          <w:rFonts w:ascii="Times New Roman" w:hAnsi="Times New Roman" w:cs="Times New Roman"/>
          <w:sz w:val="24"/>
          <w:szCs w:val="24"/>
        </w:rPr>
        <w:t xml:space="preserve">ee from any customary incident. </w:t>
      </w:r>
      <w:r w:rsidR="003F0FC6" w:rsidRPr="00BA4BC1">
        <w:rPr>
          <w:rFonts w:ascii="Times New Roman" w:hAnsi="Times New Roman" w:cs="Times New Roman"/>
          <w:sz w:val="24"/>
          <w:szCs w:val="24"/>
        </w:rPr>
        <w:t>This, it is submitted is exactly what the Land Use Act, 1978 has sought to achieve, hence, the submission that the above write</w:t>
      </w:r>
      <w:r w:rsidR="001672D8" w:rsidRPr="00BA4BC1">
        <w:rPr>
          <w:rFonts w:ascii="Times New Roman" w:hAnsi="Times New Roman" w:cs="Times New Roman"/>
          <w:sz w:val="24"/>
          <w:szCs w:val="24"/>
        </w:rPr>
        <w:t>r</w:t>
      </w:r>
      <w:r w:rsidR="003F0FC6" w:rsidRPr="00BA4BC1">
        <w:rPr>
          <w:rFonts w:ascii="Times New Roman" w:hAnsi="Times New Roman" w:cs="Times New Roman"/>
          <w:sz w:val="24"/>
          <w:szCs w:val="24"/>
        </w:rPr>
        <w:t xml:space="preserve"> was prophetic.</w:t>
      </w:r>
    </w:p>
    <w:p w14:paraId="29C1094C" w14:textId="77777777" w:rsidR="003F0FC6" w:rsidRPr="00BA4BC1" w:rsidRDefault="003F0FC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case of </w:t>
      </w:r>
      <w:proofErr w:type="spellStart"/>
      <w:r w:rsidRPr="00BA4BC1">
        <w:rPr>
          <w:rFonts w:ascii="Times New Roman" w:hAnsi="Times New Roman" w:cs="Times New Roman"/>
          <w:b/>
          <w:i/>
          <w:sz w:val="24"/>
          <w:szCs w:val="24"/>
        </w:rPr>
        <w:t>AsaniTaiwo</w:t>
      </w:r>
      <w:proofErr w:type="spellEnd"/>
      <w:r w:rsidRPr="00BA4BC1">
        <w:rPr>
          <w:rFonts w:ascii="Times New Roman" w:hAnsi="Times New Roman" w:cs="Times New Roman"/>
          <w:b/>
          <w:i/>
          <w:sz w:val="24"/>
          <w:szCs w:val="24"/>
        </w:rPr>
        <w:t xml:space="preserve"> v. </w:t>
      </w:r>
      <w:proofErr w:type="spellStart"/>
      <w:r w:rsidRPr="00BA4BC1">
        <w:rPr>
          <w:rFonts w:ascii="Times New Roman" w:hAnsi="Times New Roman" w:cs="Times New Roman"/>
          <w:b/>
          <w:i/>
          <w:sz w:val="24"/>
          <w:szCs w:val="24"/>
        </w:rPr>
        <w:t>AdamoAkinwunmi&amp;Ors</w:t>
      </w:r>
      <w:proofErr w:type="spellEnd"/>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will remain for a long time, the most important decision of the Supreme Court of Nigeria on Customary Land Law. It will also remain for a long time the greatest dilemma for the conveyancers in Nigeria. For in this case, the Sup</w:t>
      </w:r>
      <w:r w:rsidR="001B7964" w:rsidRPr="00BA4BC1">
        <w:rPr>
          <w:rFonts w:ascii="Times New Roman" w:hAnsi="Times New Roman" w:cs="Times New Roman"/>
          <w:sz w:val="24"/>
          <w:szCs w:val="24"/>
        </w:rPr>
        <w:t xml:space="preserve">reme Court </w:t>
      </w:r>
      <w:proofErr w:type="spellStart"/>
      <w:r w:rsidR="001B7964" w:rsidRPr="00BA4BC1">
        <w:rPr>
          <w:rFonts w:ascii="Times New Roman" w:hAnsi="Times New Roman" w:cs="Times New Roman"/>
          <w:sz w:val="24"/>
          <w:szCs w:val="24"/>
        </w:rPr>
        <w:t>ga</w:t>
      </w:r>
      <w:r w:rsidR="006C5AF6" w:rsidRPr="00BA4BC1">
        <w:rPr>
          <w:rFonts w:ascii="Times New Roman" w:hAnsi="Times New Roman" w:cs="Times New Roman"/>
          <w:sz w:val="24"/>
          <w:szCs w:val="24"/>
        </w:rPr>
        <w:t>ve</w:t>
      </w:r>
      <w:r w:rsidR="002561A6" w:rsidRPr="00BA4BC1">
        <w:rPr>
          <w:rFonts w:ascii="Times New Roman" w:hAnsi="Times New Roman" w:cs="Times New Roman"/>
          <w:sz w:val="24"/>
          <w:szCs w:val="24"/>
        </w:rPr>
        <w:t>a</w:t>
      </w:r>
      <w:proofErr w:type="spellEnd"/>
      <w:r w:rsidR="002561A6" w:rsidRPr="00BA4BC1">
        <w:rPr>
          <w:rFonts w:ascii="Times New Roman" w:hAnsi="Times New Roman" w:cs="Times New Roman"/>
          <w:sz w:val="24"/>
          <w:szCs w:val="24"/>
        </w:rPr>
        <w:t xml:space="preserve"> decision which many would see as an unfortunate reversal of </w:t>
      </w:r>
      <w:r w:rsidR="002561A6" w:rsidRPr="00BA4BC1">
        <w:rPr>
          <w:rFonts w:ascii="Times New Roman" w:hAnsi="Times New Roman" w:cs="Times New Roman"/>
          <w:sz w:val="24"/>
          <w:szCs w:val="24"/>
        </w:rPr>
        <w:lastRenderedPageBreak/>
        <w:t xml:space="preserve">the desirable trend in this branch of our real property law. In fact, the Supreme Court, per </w:t>
      </w:r>
      <w:proofErr w:type="spellStart"/>
      <w:r w:rsidR="002561A6" w:rsidRPr="00BA4BC1">
        <w:rPr>
          <w:rFonts w:ascii="Times New Roman" w:hAnsi="Times New Roman" w:cs="Times New Roman"/>
          <w:b/>
          <w:sz w:val="24"/>
          <w:szCs w:val="24"/>
        </w:rPr>
        <w:t>Fatayi</w:t>
      </w:r>
      <w:proofErr w:type="spellEnd"/>
      <w:r w:rsidR="002561A6" w:rsidRPr="00BA4BC1">
        <w:rPr>
          <w:rFonts w:ascii="Times New Roman" w:hAnsi="Times New Roman" w:cs="Times New Roman"/>
          <w:b/>
          <w:sz w:val="24"/>
          <w:szCs w:val="24"/>
        </w:rPr>
        <w:t xml:space="preserve"> William JSC </w:t>
      </w:r>
      <w:r w:rsidR="002561A6" w:rsidRPr="00BA4BC1">
        <w:rPr>
          <w:rFonts w:ascii="Times New Roman" w:hAnsi="Times New Roman" w:cs="Times New Roman"/>
          <w:sz w:val="24"/>
          <w:szCs w:val="24"/>
        </w:rPr>
        <w:t>put the matter beyond doubt thus:</w:t>
      </w:r>
    </w:p>
    <w:p w14:paraId="6D8E6214" w14:textId="77777777" w:rsidR="00BD2CE6" w:rsidRPr="00BA4BC1" w:rsidRDefault="00FD108C" w:rsidP="00EC0244">
      <w:pPr>
        <w:pStyle w:val="ListParagraph"/>
        <w:tabs>
          <w:tab w:val="left" w:pos="8460"/>
        </w:tabs>
        <w:spacing w:after="0" w:line="240" w:lineRule="auto"/>
        <w:ind w:left="1440"/>
        <w:jc w:val="both"/>
        <w:rPr>
          <w:rFonts w:ascii="Times New Roman" w:hAnsi="Times New Roman" w:cs="Times New Roman"/>
          <w:b/>
          <w:sz w:val="24"/>
          <w:szCs w:val="24"/>
        </w:rPr>
      </w:pPr>
      <w:r>
        <w:rPr>
          <w:rFonts w:ascii="Times New Roman" w:hAnsi="Times New Roman" w:cs="Times New Roman"/>
          <w:sz w:val="24"/>
          <w:szCs w:val="24"/>
        </w:rPr>
        <w:t>“</w:t>
      </w:r>
      <w:r w:rsidR="002561A6" w:rsidRPr="00BA4BC1">
        <w:rPr>
          <w:rFonts w:ascii="Times New Roman" w:hAnsi="Times New Roman" w:cs="Times New Roman"/>
          <w:sz w:val="24"/>
          <w:szCs w:val="24"/>
        </w:rPr>
        <w:t>Where a tenant, whether he is a customary tenant or not commits an act which could incur a forfeiture of the tenancy and a claim for forfeiture is brought against him in the High Court, the proper procedure is not just asking for relief in the pleading as it has been done in the application for amendment. The procedure to be followed and which are recommended for future use is described in Atkins Court forms, 2</w:t>
      </w:r>
      <w:r w:rsidR="002561A6" w:rsidRPr="00BA4BC1">
        <w:rPr>
          <w:rFonts w:ascii="Times New Roman" w:hAnsi="Times New Roman" w:cs="Times New Roman"/>
          <w:sz w:val="24"/>
          <w:szCs w:val="24"/>
          <w:vertAlign w:val="superscript"/>
        </w:rPr>
        <w:t>nd</w:t>
      </w:r>
      <w:r w:rsidR="002561A6" w:rsidRPr="00BA4BC1">
        <w:rPr>
          <w:rFonts w:ascii="Times New Roman" w:hAnsi="Times New Roman" w:cs="Times New Roman"/>
          <w:sz w:val="24"/>
          <w:szCs w:val="24"/>
        </w:rPr>
        <w:t xml:space="preserve"> Edition, Volume 24 at page 30 as follows: </w:t>
      </w:r>
      <w:r>
        <w:rPr>
          <w:rFonts w:ascii="Times New Roman" w:hAnsi="Times New Roman" w:cs="Times New Roman"/>
          <w:sz w:val="24"/>
          <w:szCs w:val="24"/>
        </w:rPr>
        <w:t>‘</w:t>
      </w:r>
      <w:r w:rsidR="002561A6" w:rsidRPr="00BA4BC1">
        <w:rPr>
          <w:rFonts w:ascii="Times New Roman" w:hAnsi="Times New Roman" w:cs="Times New Roman"/>
          <w:sz w:val="24"/>
          <w:szCs w:val="24"/>
        </w:rPr>
        <w:t xml:space="preserve">A claim for relief from forfeiture for non-payment of rent may be made in a number of ways. If the landlord has not begun any proceedings the tenants or subtenant may initiate </w:t>
      </w:r>
      <w:r w:rsidR="00995F5E" w:rsidRPr="00BA4BC1">
        <w:rPr>
          <w:rFonts w:ascii="Times New Roman" w:hAnsi="Times New Roman" w:cs="Times New Roman"/>
          <w:sz w:val="24"/>
          <w:szCs w:val="24"/>
        </w:rPr>
        <w:t>a claim for relief by writ or originating summons. Alternatively, the tenant may counter-claim for relief in the lessor</w:t>
      </w:r>
      <w:r>
        <w:rPr>
          <w:rFonts w:ascii="Times New Roman" w:hAnsi="Times New Roman" w:cs="Times New Roman"/>
          <w:sz w:val="24"/>
          <w:szCs w:val="24"/>
        </w:rPr>
        <w:t>’</w:t>
      </w:r>
      <w:r w:rsidR="00995F5E" w:rsidRPr="00BA4BC1">
        <w:rPr>
          <w:rFonts w:ascii="Times New Roman" w:hAnsi="Times New Roman" w:cs="Times New Roman"/>
          <w:sz w:val="24"/>
          <w:szCs w:val="24"/>
        </w:rPr>
        <w:t>s action or simply apply by summons in that action. If the application is made after judgment, it is usually by summons</w:t>
      </w:r>
      <w:r w:rsidR="00EC0244" w:rsidRPr="00BA4BC1">
        <w:rPr>
          <w:rFonts w:ascii="Times New Roman" w:hAnsi="Times New Roman" w:cs="Times New Roman"/>
          <w:sz w:val="24"/>
          <w:szCs w:val="24"/>
        </w:rPr>
        <w:t xml:space="preserve"> ((</w:t>
      </w:r>
      <w:proofErr w:type="spellStart"/>
      <w:r w:rsidR="00EC0244" w:rsidRPr="00BA4BC1">
        <w:rPr>
          <w:rFonts w:ascii="Times New Roman" w:hAnsi="Times New Roman" w:cs="Times New Roman"/>
          <w:sz w:val="24"/>
          <w:szCs w:val="24"/>
        </w:rPr>
        <w:t>Omotola</w:t>
      </w:r>
      <w:proofErr w:type="spellEnd"/>
      <w:r w:rsidR="00EC0244" w:rsidRPr="00BA4BC1">
        <w:rPr>
          <w:rFonts w:ascii="Times New Roman" w:hAnsi="Times New Roman" w:cs="Times New Roman"/>
          <w:sz w:val="24"/>
          <w:szCs w:val="24"/>
        </w:rPr>
        <w:t>, 1975, p. 171)</w:t>
      </w:r>
      <w:r w:rsidR="00995F5E" w:rsidRPr="00BA4BC1">
        <w:rPr>
          <w:rFonts w:ascii="Times New Roman" w:hAnsi="Times New Roman" w:cs="Times New Roman"/>
          <w:sz w:val="24"/>
          <w:szCs w:val="24"/>
        </w:rPr>
        <w:t>.</w:t>
      </w:r>
    </w:p>
    <w:p w14:paraId="0A557F52" w14:textId="77777777" w:rsidR="00683021" w:rsidRPr="00BA4BC1" w:rsidRDefault="00196D1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The reason for the above elaborate procedure is to enable the tenant set out in detail the facts upon which he relies such as the circumstances </w:t>
      </w:r>
      <w:r w:rsidR="0019527F" w:rsidRPr="00BA4BC1">
        <w:rPr>
          <w:rFonts w:ascii="Times New Roman" w:hAnsi="Times New Roman" w:cs="Times New Roman"/>
          <w:sz w:val="24"/>
          <w:szCs w:val="24"/>
        </w:rPr>
        <w:t xml:space="preserve">leading to the breach. This would also provide the landlord the opportunity to reply to the facts on which the tenant </w:t>
      </w:r>
      <w:r w:rsidR="00683021" w:rsidRPr="00BA4BC1">
        <w:rPr>
          <w:rFonts w:ascii="Times New Roman" w:hAnsi="Times New Roman" w:cs="Times New Roman"/>
          <w:sz w:val="24"/>
          <w:szCs w:val="24"/>
        </w:rPr>
        <w:t>is relying. Issues as to whether to grant relief or not would therefore be joined and neither party will be taken by surprise and the court after hearing evidence from both sides will be in a better position to come to a conclusion one way or the other.</w:t>
      </w:r>
      <w:r w:rsidR="00EC0244" w:rsidRPr="00BA4BC1">
        <w:rPr>
          <w:rFonts w:ascii="Times New Roman" w:hAnsi="Times New Roman" w:cs="Times New Roman"/>
          <w:sz w:val="24"/>
          <w:szCs w:val="24"/>
        </w:rPr>
        <w:t xml:space="preserve"> </w:t>
      </w:r>
      <w:r w:rsidR="00683021" w:rsidRPr="00BA4BC1">
        <w:rPr>
          <w:rFonts w:ascii="Times New Roman" w:hAnsi="Times New Roman" w:cs="Times New Roman"/>
          <w:sz w:val="24"/>
          <w:szCs w:val="24"/>
        </w:rPr>
        <w:t>To the conveyance</w:t>
      </w:r>
      <w:r w:rsidR="00951C3D" w:rsidRPr="00BA4BC1">
        <w:rPr>
          <w:rFonts w:ascii="Times New Roman" w:hAnsi="Times New Roman" w:cs="Times New Roman"/>
          <w:sz w:val="24"/>
          <w:szCs w:val="24"/>
        </w:rPr>
        <w:t>r</w:t>
      </w:r>
      <w:r w:rsidR="00683021" w:rsidRPr="00BA4BC1">
        <w:rPr>
          <w:rFonts w:ascii="Times New Roman" w:hAnsi="Times New Roman" w:cs="Times New Roman"/>
          <w:sz w:val="24"/>
          <w:szCs w:val="24"/>
        </w:rPr>
        <w:t>, perhaps the most intriguing question today is the exact status of the customary tenant in relation to land held by him under customary law</w:t>
      </w:r>
      <w:r w:rsidR="00627A3E" w:rsidRPr="00BA4BC1">
        <w:rPr>
          <w:rFonts w:ascii="Times New Roman" w:hAnsi="Times New Roman" w:cs="Times New Roman"/>
          <w:sz w:val="24"/>
          <w:szCs w:val="24"/>
        </w:rPr>
        <w:t>?</w:t>
      </w:r>
      <w:r w:rsidR="00683021" w:rsidRPr="00BA4BC1">
        <w:rPr>
          <w:rFonts w:ascii="Times New Roman" w:hAnsi="Times New Roman" w:cs="Times New Roman"/>
          <w:sz w:val="24"/>
          <w:szCs w:val="24"/>
        </w:rPr>
        <w:t xml:space="preserve"> This question often brings with it the other problem as to validity of a conveyance of land which is subject to customary tenancy. </w:t>
      </w:r>
    </w:p>
    <w:p w14:paraId="0D022F8E" w14:textId="77777777" w:rsidR="000108B3" w:rsidRPr="00BA4BC1" w:rsidRDefault="00683021" w:rsidP="00BA4BC1">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Thus, in Nigeria today, there seems to be some certainty in expressing the rule which governs the alienation of family land</w:t>
      </w:r>
      <w:r w:rsidR="00A60F54" w:rsidRPr="00BA4BC1">
        <w:rPr>
          <w:rFonts w:ascii="Times New Roman" w:hAnsi="Times New Roman" w:cs="Times New Roman"/>
          <w:sz w:val="24"/>
          <w:szCs w:val="24"/>
        </w:rPr>
        <w:t xml:space="preserve">, no one, however, has bothered to state any rule for the conveyance of land which is subject to customary </w:t>
      </w:r>
      <w:r w:rsidR="00BE083F" w:rsidRPr="00BA4BC1">
        <w:rPr>
          <w:rFonts w:ascii="Times New Roman" w:hAnsi="Times New Roman" w:cs="Times New Roman"/>
          <w:sz w:val="24"/>
          <w:szCs w:val="24"/>
        </w:rPr>
        <w:t>tenancy except in the negative sense which is found</w:t>
      </w:r>
      <w:r w:rsidR="000108B3" w:rsidRPr="00BA4BC1">
        <w:rPr>
          <w:rFonts w:ascii="Times New Roman" w:hAnsi="Times New Roman" w:cs="Times New Roman"/>
          <w:sz w:val="24"/>
          <w:szCs w:val="24"/>
        </w:rPr>
        <w:t xml:space="preserve"> in the rule which prohibits a customary tenant from alienating the land and also bars the overlord from doing the same without the consent of his tenant. The issue then is, who is really the true owner, if both parties are seeking consent one way or the other?</w:t>
      </w:r>
      <w:r w:rsidR="00BA4BC1" w:rsidRPr="00BA4BC1">
        <w:rPr>
          <w:rFonts w:ascii="Times New Roman" w:hAnsi="Times New Roman" w:cs="Times New Roman"/>
          <w:sz w:val="24"/>
          <w:szCs w:val="24"/>
        </w:rPr>
        <w:t xml:space="preserve"> </w:t>
      </w:r>
      <w:r w:rsidR="000108B3" w:rsidRPr="00BA4BC1">
        <w:rPr>
          <w:rFonts w:ascii="Times New Roman" w:hAnsi="Times New Roman" w:cs="Times New Roman"/>
          <w:sz w:val="24"/>
          <w:szCs w:val="24"/>
        </w:rPr>
        <w:t>The truth remains that the position of the customary tenants under customary law remain unchanged even after the promulgation of the Land Use Act, for he never had ownership but only possession.</w:t>
      </w:r>
    </w:p>
    <w:p w14:paraId="27E707FF" w14:textId="77777777" w:rsidR="00595E8D" w:rsidRPr="00BA4BC1" w:rsidRDefault="00595E8D"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In any case, it is safe to conclude that the Act has customary tenure in mind but fails to give it adequate recognition and this omission, it is submitted, will provide one of the causes of conflict or confusion for the conveyancers in Nigeria today. For instance, Section 24(a) </w:t>
      </w:r>
      <w:r w:rsidR="00B03417" w:rsidRPr="00BA4BC1">
        <w:rPr>
          <w:rFonts w:ascii="Times New Roman" w:hAnsi="Times New Roman" w:cs="Times New Roman"/>
          <w:sz w:val="24"/>
          <w:szCs w:val="24"/>
        </w:rPr>
        <w:t xml:space="preserve">of </w:t>
      </w:r>
      <w:proofErr w:type="spellStart"/>
      <w:r w:rsidR="00B03417" w:rsidRPr="00BA4BC1">
        <w:rPr>
          <w:rFonts w:ascii="Times New Roman" w:hAnsi="Times New Roman" w:cs="Times New Roman"/>
          <w:sz w:val="24"/>
          <w:szCs w:val="24"/>
        </w:rPr>
        <w:t>the</w:t>
      </w:r>
      <w:r w:rsidR="0097491C" w:rsidRPr="00BA4BC1">
        <w:rPr>
          <w:rFonts w:ascii="Times New Roman" w:hAnsi="Times New Roman" w:cs="Times New Roman"/>
          <w:sz w:val="24"/>
          <w:szCs w:val="24"/>
        </w:rPr>
        <w:t>Land</w:t>
      </w:r>
      <w:proofErr w:type="spellEnd"/>
      <w:r w:rsidR="0097491C" w:rsidRPr="00BA4BC1">
        <w:rPr>
          <w:rFonts w:ascii="Times New Roman" w:hAnsi="Times New Roman" w:cs="Times New Roman"/>
          <w:sz w:val="24"/>
          <w:szCs w:val="24"/>
        </w:rPr>
        <w:t xml:space="preserve"> Use Act 1978 preserves the customary law</w:t>
      </w:r>
      <w:r w:rsidR="00B03417" w:rsidRPr="00BA4BC1">
        <w:rPr>
          <w:rFonts w:ascii="Times New Roman" w:hAnsi="Times New Roman" w:cs="Times New Roman"/>
          <w:sz w:val="24"/>
          <w:szCs w:val="24"/>
        </w:rPr>
        <w:t xml:space="preserve"> rules</w:t>
      </w:r>
      <w:r w:rsidR="0097491C" w:rsidRPr="00BA4BC1">
        <w:rPr>
          <w:rFonts w:ascii="Times New Roman" w:hAnsi="Times New Roman" w:cs="Times New Roman"/>
          <w:sz w:val="24"/>
          <w:szCs w:val="24"/>
        </w:rPr>
        <w:t xml:space="preserve"> regarding devolution of property and Section 25 of the same Act </w:t>
      </w:r>
      <w:r w:rsidR="00B03417" w:rsidRPr="00BA4BC1">
        <w:rPr>
          <w:rFonts w:ascii="Times New Roman" w:hAnsi="Times New Roman" w:cs="Times New Roman"/>
          <w:sz w:val="24"/>
          <w:szCs w:val="24"/>
        </w:rPr>
        <w:t>prohibit</w:t>
      </w:r>
      <w:r w:rsidR="0097491C" w:rsidRPr="00BA4BC1">
        <w:rPr>
          <w:rFonts w:ascii="Times New Roman" w:hAnsi="Times New Roman" w:cs="Times New Roman"/>
          <w:sz w:val="24"/>
          <w:szCs w:val="24"/>
        </w:rPr>
        <w:t xml:space="preserve"> partitioning of land expressly, ex</w:t>
      </w:r>
      <w:r w:rsidR="00B03417" w:rsidRPr="00BA4BC1">
        <w:rPr>
          <w:rFonts w:ascii="Times New Roman" w:hAnsi="Times New Roman" w:cs="Times New Roman"/>
          <w:sz w:val="24"/>
          <w:szCs w:val="24"/>
        </w:rPr>
        <w:t>empts</w:t>
      </w:r>
      <w:r w:rsidR="0097491C" w:rsidRPr="00BA4BC1">
        <w:rPr>
          <w:rFonts w:ascii="Times New Roman" w:hAnsi="Times New Roman" w:cs="Times New Roman"/>
          <w:sz w:val="24"/>
          <w:szCs w:val="24"/>
        </w:rPr>
        <w:t xml:space="preserve"> cases which are regulated by customary law. A disposition of family property must be in accordance with customary law and this law requires that it must enjoy the consent of the family as a whole which has now been taken to mean the consent of the head of the family and the principal members.</w:t>
      </w:r>
    </w:p>
    <w:p w14:paraId="652A77F5" w14:textId="77777777" w:rsidR="008A744E" w:rsidRPr="00BA4BC1" w:rsidRDefault="008A744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It should be noted that under Customary Law, a customary tenant holds his land in perpetuity subject to good behavior. It appears that his position remains the same even if the land is in non-urban area. Section 36 </w:t>
      </w:r>
      <w:r w:rsidR="002F7ED7" w:rsidRPr="00BA4BC1">
        <w:rPr>
          <w:rFonts w:ascii="Times New Roman" w:hAnsi="Times New Roman" w:cs="Times New Roman"/>
          <w:sz w:val="24"/>
          <w:szCs w:val="24"/>
        </w:rPr>
        <w:t xml:space="preserve">of the Land Use Act </w:t>
      </w:r>
      <w:r w:rsidRPr="00BA4BC1">
        <w:rPr>
          <w:rFonts w:ascii="Times New Roman" w:hAnsi="Times New Roman" w:cs="Times New Roman"/>
          <w:sz w:val="24"/>
          <w:szCs w:val="24"/>
        </w:rPr>
        <w:t xml:space="preserve">which </w:t>
      </w:r>
      <w:r w:rsidR="006D2CF9" w:rsidRPr="00BA4BC1">
        <w:rPr>
          <w:rFonts w:ascii="Times New Roman" w:hAnsi="Times New Roman" w:cs="Times New Roman"/>
          <w:sz w:val="24"/>
          <w:szCs w:val="24"/>
        </w:rPr>
        <w:t>enables</w:t>
      </w:r>
      <w:r w:rsidRPr="00BA4BC1">
        <w:rPr>
          <w:rFonts w:ascii="Times New Roman" w:hAnsi="Times New Roman" w:cs="Times New Roman"/>
          <w:sz w:val="24"/>
          <w:szCs w:val="24"/>
        </w:rPr>
        <w:t xml:space="preserve"> him to continue in possession does not fix any duration for his possession and it can therefore be implied that he is to hold in perpetuity subject of course to the provisions contained in Section 28 regarding revocation. Section 36 subsection 2 enacts:</w:t>
      </w:r>
    </w:p>
    <w:p w14:paraId="2948E64B" w14:textId="77777777" w:rsidR="00B33606" w:rsidRPr="00BA4BC1" w:rsidRDefault="008A744E" w:rsidP="00BA4BC1">
      <w:pPr>
        <w:pStyle w:val="ListParagraph"/>
        <w:spacing w:after="0" w:line="240" w:lineRule="auto"/>
        <w:ind w:left="1440"/>
        <w:contextualSpacing w:val="0"/>
        <w:jc w:val="both"/>
        <w:rPr>
          <w:rFonts w:ascii="Times New Roman" w:hAnsi="Times New Roman" w:cs="Times New Roman"/>
          <w:sz w:val="24"/>
          <w:szCs w:val="24"/>
        </w:rPr>
      </w:pPr>
      <w:r w:rsidRPr="00BA4BC1">
        <w:rPr>
          <w:rFonts w:ascii="Times New Roman" w:hAnsi="Times New Roman" w:cs="Times New Roman"/>
          <w:sz w:val="24"/>
          <w:szCs w:val="24"/>
        </w:rPr>
        <w:t xml:space="preserve">Any occupier or holder of such land whether under customary rights or otherwise however, shall if that land was on the commencement of this Act being used for agricultural purposes continue to be entitled to possession of </w:t>
      </w:r>
      <w:r w:rsidRPr="00BA4BC1">
        <w:rPr>
          <w:rFonts w:ascii="Times New Roman" w:hAnsi="Times New Roman" w:cs="Times New Roman"/>
          <w:sz w:val="24"/>
          <w:szCs w:val="24"/>
        </w:rPr>
        <w:lastRenderedPageBreak/>
        <w:t>the land for use for agricultural purposes as if a customary right of occupancy had been granted to the occupier or holder thereof by the appropriate Local Government …</w:t>
      </w:r>
    </w:p>
    <w:p w14:paraId="6CB7A17C" w14:textId="77777777" w:rsidR="00B33606" w:rsidRPr="00BA4BC1" w:rsidRDefault="00B3360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Furthermore, Section 36 subsection 3 enacts:</w:t>
      </w:r>
    </w:p>
    <w:p w14:paraId="5BBB14DF" w14:textId="77777777" w:rsidR="00997FC6" w:rsidRPr="00BA4BC1" w:rsidRDefault="00B33606"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On the production to the Local Government by the occupier of such land at his discretion of a sketch or diagram or other sufficient</w:t>
      </w:r>
      <w:r w:rsidR="00997FC6" w:rsidRPr="00BA4BC1">
        <w:rPr>
          <w:rFonts w:ascii="Times New Roman" w:hAnsi="Times New Roman" w:cs="Times New Roman"/>
          <w:sz w:val="24"/>
          <w:szCs w:val="24"/>
        </w:rPr>
        <w:t xml:space="preserve"> description of the land in question and on application thereof in the prescribed form, the Local Government shall if satisfied that the occupier or holder was entitled to the possession of such land whether under customary rights or otherwise, however and that the land was being used for agricultural purposes at the commencement of the Act, register the holder or occupier as one to whom a customary right of occupancy had been issued in respect of the land.</w:t>
      </w:r>
    </w:p>
    <w:p w14:paraId="331C8E8C" w14:textId="77777777" w:rsidR="00997FC6" w:rsidRPr="00BA4BC1" w:rsidRDefault="00997FC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Finally, Section 36 subsection 4 enacts:</w:t>
      </w:r>
    </w:p>
    <w:p w14:paraId="69955B09" w14:textId="77777777" w:rsidR="00997FC6" w:rsidRPr="00BA4BC1" w:rsidRDefault="00997FC6"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Where the land is developed, the land shall continue to be held by the person in whom it was vested immediately before the commencement of the Act as if the holder of the land was the holder of a customary right of occupancy issued by the Local Government…</w:t>
      </w:r>
      <w:r w:rsidR="00FD108C">
        <w:rPr>
          <w:rFonts w:ascii="Times New Roman" w:hAnsi="Times New Roman" w:cs="Times New Roman"/>
          <w:sz w:val="24"/>
          <w:szCs w:val="24"/>
        </w:rPr>
        <w:t>”</w:t>
      </w:r>
    </w:p>
    <w:p w14:paraId="21D261BB" w14:textId="77777777" w:rsidR="00997FC6" w:rsidRPr="00BA4BC1" w:rsidRDefault="00997FC6" w:rsidP="00BA4BC1">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It is obvious from the foregoing that the customary tenant is the person entitled to customary right of occupancy. This follows from the undoubted fact that he is the occupier o</w:t>
      </w:r>
      <w:r w:rsidR="00121D14" w:rsidRPr="00BA4BC1">
        <w:rPr>
          <w:rFonts w:ascii="Times New Roman" w:hAnsi="Times New Roman" w:cs="Times New Roman"/>
          <w:sz w:val="24"/>
          <w:szCs w:val="24"/>
        </w:rPr>
        <w:t>f the land and also the person usually using the land for agricultural purposes. The land under customary tenancy cannot lawfully be under the possession and use of the customary overlord. Such phenomenon is unknown to customary law. Undoubtedly, based on the foregoing arguments, the customary tenant satisfied the provisions of Section 36(2) of the Act. In respect of Section 36(4) of the Act, suffice it to state that the customary tenant is the person who has developed the land and held it at the commencement of the Act.</w:t>
      </w:r>
    </w:p>
    <w:p w14:paraId="1EFC0745" w14:textId="77777777" w:rsidR="00121D14" w:rsidRPr="00BA4BC1" w:rsidRDefault="00646E9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r>
      <w:proofErr w:type="gramStart"/>
      <w:r w:rsidRPr="00BA4BC1">
        <w:rPr>
          <w:rFonts w:ascii="Times New Roman" w:hAnsi="Times New Roman" w:cs="Times New Roman"/>
          <w:sz w:val="24"/>
          <w:szCs w:val="24"/>
        </w:rPr>
        <w:t>Thus</w:t>
      </w:r>
      <w:proofErr w:type="gramEnd"/>
      <w:r w:rsidRPr="00BA4BC1">
        <w:rPr>
          <w:rFonts w:ascii="Times New Roman" w:hAnsi="Times New Roman" w:cs="Times New Roman"/>
          <w:sz w:val="24"/>
          <w:szCs w:val="24"/>
        </w:rPr>
        <w:t xml:space="preserve"> the A</w:t>
      </w:r>
      <w:r w:rsidR="00121D14" w:rsidRPr="00BA4BC1">
        <w:rPr>
          <w:rFonts w:ascii="Times New Roman" w:hAnsi="Times New Roman" w:cs="Times New Roman"/>
          <w:sz w:val="24"/>
          <w:szCs w:val="24"/>
        </w:rPr>
        <w:t xml:space="preserve">ct clearly recognizes customary right of occupancy in the customary tenant who at the commencement of the Act has developed the land, or is using it for agricultural purposes. </w:t>
      </w:r>
      <w:proofErr w:type="spellStart"/>
      <w:r w:rsidR="00121D14" w:rsidRPr="00BA4BC1">
        <w:rPr>
          <w:rFonts w:ascii="Times New Roman" w:hAnsi="Times New Roman" w:cs="Times New Roman"/>
          <w:sz w:val="24"/>
          <w:szCs w:val="24"/>
        </w:rPr>
        <w:t>Umezulike</w:t>
      </w:r>
      <w:proofErr w:type="spellEnd"/>
      <w:r w:rsidR="00BA4BC1" w:rsidRPr="00BA4BC1">
        <w:rPr>
          <w:rFonts w:ascii="Times New Roman" w:hAnsi="Times New Roman" w:cs="Times New Roman"/>
          <w:sz w:val="24"/>
          <w:szCs w:val="24"/>
        </w:rPr>
        <w:t xml:space="preserve"> (2013)</w:t>
      </w:r>
      <w:r w:rsidR="00121D14" w:rsidRPr="00BA4BC1">
        <w:rPr>
          <w:rFonts w:ascii="Times New Roman" w:hAnsi="Times New Roman" w:cs="Times New Roman"/>
          <w:sz w:val="24"/>
          <w:szCs w:val="24"/>
        </w:rPr>
        <w:t xml:space="preserve"> has stated emphatically that </w:t>
      </w:r>
      <w:r w:rsidR="00FD108C">
        <w:rPr>
          <w:rFonts w:ascii="Times New Roman" w:hAnsi="Times New Roman" w:cs="Times New Roman"/>
          <w:sz w:val="24"/>
          <w:szCs w:val="24"/>
        </w:rPr>
        <w:t>“</w:t>
      </w:r>
      <w:r w:rsidR="00121D14" w:rsidRPr="00BA4BC1">
        <w:rPr>
          <w:rFonts w:ascii="Times New Roman" w:hAnsi="Times New Roman" w:cs="Times New Roman"/>
          <w:i/>
          <w:sz w:val="24"/>
          <w:szCs w:val="24"/>
        </w:rPr>
        <w:t xml:space="preserve">the use of the word </w:t>
      </w:r>
      <w:r w:rsidR="00121D14" w:rsidRPr="00BA4BC1">
        <w:rPr>
          <w:rFonts w:ascii="Times New Roman" w:hAnsi="Times New Roman" w:cs="Times New Roman"/>
          <w:b/>
          <w:i/>
          <w:sz w:val="24"/>
          <w:szCs w:val="24"/>
        </w:rPr>
        <w:t>holder</w:t>
      </w:r>
      <w:r w:rsidR="00121D14" w:rsidRPr="00BA4BC1">
        <w:rPr>
          <w:rFonts w:ascii="Times New Roman" w:hAnsi="Times New Roman" w:cs="Times New Roman"/>
          <w:i/>
          <w:sz w:val="24"/>
          <w:szCs w:val="24"/>
        </w:rPr>
        <w:t xml:space="preserve"> in several places under Section 36(4) of the Act does not in any way diminish the force of our above conclusion</w:t>
      </w:r>
      <w:r w:rsidR="00FD108C">
        <w:rPr>
          <w:rFonts w:ascii="Times New Roman" w:hAnsi="Times New Roman" w:cs="Times New Roman"/>
          <w:i/>
          <w:sz w:val="24"/>
          <w:szCs w:val="24"/>
        </w:rPr>
        <w:t>”</w:t>
      </w:r>
      <w:r w:rsidR="00121D14" w:rsidRPr="00BA4BC1">
        <w:rPr>
          <w:rFonts w:ascii="Times New Roman" w:hAnsi="Times New Roman" w:cs="Times New Roman"/>
          <w:i/>
          <w:sz w:val="24"/>
          <w:szCs w:val="24"/>
        </w:rPr>
        <w:t xml:space="preserve">. </w:t>
      </w:r>
      <w:r w:rsidR="00121D14" w:rsidRPr="00BA4BC1">
        <w:rPr>
          <w:rFonts w:ascii="Times New Roman" w:hAnsi="Times New Roman" w:cs="Times New Roman"/>
          <w:sz w:val="24"/>
          <w:szCs w:val="24"/>
        </w:rPr>
        <w:t>It is no more than an anomaly or misnomer in draftsmanship.</w:t>
      </w:r>
      <w:r w:rsidR="00BA4BC1" w:rsidRPr="00BA4BC1">
        <w:rPr>
          <w:rFonts w:ascii="Times New Roman" w:hAnsi="Times New Roman" w:cs="Times New Roman"/>
          <w:sz w:val="24"/>
          <w:szCs w:val="24"/>
        </w:rPr>
        <w:t xml:space="preserve">  </w:t>
      </w:r>
      <w:r w:rsidR="00121D14" w:rsidRPr="00BA4BC1">
        <w:rPr>
          <w:rFonts w:ascii="Times New Roman" w:hAnsi="Times New Roman" w:cs="Times New Roman"/>
          <w:sz w:val="24"/>
          <w:szCs w:val="24"/>
        </w:rPr>
        <w:t xml:space="preserve">Furthermore, the reference to </w:t>
      </w:r>
      <w:r w:rsidR="00FD108C">
        <w:rPr>
          <w:rFonts w:ascii="Times New Roman" w:hAnsi="Times New Roman" w:cs="Times New Roman"/>
          <w:sz w:val="24"/>
          <w:szCs w:val="24"/>
        </w:rPr>
        <w:t>“</w:t>
      </w:r>
      <w:r w:rsidR="00121D14" w:rsidRPr="00BA4BC1">
        <w:rPr>
          <w:rFonts w:ascii="Times New Roman" w:hAnsi="Times New Roman" w:cs="Times New Roman"/>
          <w:sz w:val="24"/>
          <w:szCs w:val="24"/>
        </w:rPr>
        <w:t>holder</w:t>
      </w:r>
      <w:r w:rsidR="00FD108C">
        <w:rPr>
          <w:rFonts w:ascii="Times New Roman" w:hAnsi="Times New Roman" w:cs="Times New Roman"/>
          <w:sz w:val="24"/>
          <w:szCs w:val="24"/>
        </w:rPr>
        <w:t>”</w:t>
      </w:r>
      <w:r w:rsidR="00121D14" w:rsidRPr="00BA4BC1">
        <w:rPr>
          <w:rFonts w:ascii="Times New Roman" w:hAnsi="Times New Roman" w:cs="Times New Roman"/>
          <w:sz w:val="24"/>
          <w:szCs w:val="24"/>
        </w:rPr>
        <w:t xml:space="preserve"> in the later part of Section 36 subsection 3 is evidence of confused drafting</w:t>
      </w:r>
      <w:r w:rsidR="00BA4BC1" w:rsidRPr="00BA4BC1">
        <w:rPr>
          <w:rFonts w:ascii="Times New Roman" w:hAnsi="Times New Roman" w:cs="Times New Roman"/>
          <w:sz w:val="24"/>
          <w:szCs w:val="24"/>
        </w:rPr>
        <w:t>.</w:t>
      </w:r>
      <w:r w:rsidR="00121D14" w:rsidRPr="00BA4BC1">
        <w:rPr>
          <w:rFonts w:ascii="Times New Roman" w:hAnsi="Times New Roman" w:cs="Times New Roman"/>
          <w:sz w:val="24"/>
          <w:szCs w:val="24"/>
        </w:rPr>
        <w:t xml:space="preserve"> Obviously, it would be anomalous to register the holder or overlord upon an application and survey plan or sketch presented or submitted by the tenant – occupier who at his own expense produced the sketch, plan or diagram of the land. This scenario is not practical and commonsensical.</w:t>
      </w:r>
    </w:p>
    <w:p w14:paraId="45AFAEB8" w14:textId="77777777" w:rsidR="00C75FF2" w:rsidRPr="00BA4BC1" w:rsidRDefault="00C75FF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view that a customary tenant is entitled to the right of occupancy is reinforced by the provision of Section 9(1)(b) of the Act under which only a </w:t>
      </w:r>
      <w:r w:rsidR="00FD108C">
        <w:rPr>
          <w:rFonts w:ascii="Times New Roman" w:hAnsi="Times New Roman" w:cs="Times New Roman"/>
          <w:sz w:val="24"/>
          <w:szCs w:val="24"/>
        </w:rPr>
        <w:t>“</w:t>
      </w:r>
      <w:r w:rsidRPr="00BA4BC1">
        <w:rPr>
          <w:rFonts w:ascii="Times New Roman" w:hAnsi="Times New Roman" w:cs="Times New Roman"/>
          <w:sz w:val="24"/>
          <w:szCs w:val="24"/>
        </w:rPr>
        <w:t>person in occupation of land under customary right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may apply and be issued with a certificate of occupancy. Thus, the 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s philosopher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stone is the certificate of occupancy which once it is issued to him establishes a direct tenurial relationship between himself and the State and </w:t>
      </w:r>
      <w:r w:rsidRPr="00BA4BC1">
        <w:rPr>
          <w:rFonts w:ascii="Times New Roman" w:hAnsi="Times New Roman" w:cs="Times New Roman"/>
          <w:i/>
          <w:sz w:val="24"/>
          <w:szCs w:val="24"/>
        </w:rPr>
        <w:t xml:space="preserve">ipso facto </w:t>
      </w:r>
      <w:r w:rsidRPr="00BA4BC1">
        <w:rPr>
          <w:rFonts w:ascii="Times New Roman" w:hAnsi="Times New Roman" w:cs="Times New Roman"/>
          <w:sz w:val="24"/>
          <w:szCs w:val="24"/>
        </w:rPr>
        <w:t xml:space="preserve">discharges all the burdens and bondages of the tenant and thereby giving him freedom from the pre-Act Landlord. </w:t>
      </w:r>
      <w:proofErr w:type="spellStart"/>
      <w:r w:rsidRPr="00BA4BC1">
        <w:rPr>
          <w:rFonts w:ascii="Times New Roman" w:hAnsi="Times New Roman" w:cs="Times New Roman"/>
          <w:b/>
          <w:i/>
          <w:sz w:val="24"/>
          <w:szCs w:val="24"/>
        </w:rPr>
        <w:t>Nnaemeka-Agu</w:t>
      </w:r>
      <w:proofErr w:type="spellEnd"/>
      <w:r w:rsidRPr="00BA4BC1">
        <w:rPr>
          <w:rFonts w:ascii="Times New Roman" w:hAnsi="Times New Roman" w:cs="Times New Roman"/>
          <w:b/>
          <w:i/>
          <w:sz w:val="24"/>
          <w:szCs w:val="24"/>
        </w:rPr>
        <w:t xml:space="preserve"> JSC </w:t>
      </w:r>
      <w:r w:rsidRPr="00BA4BC1">
        <w:rPr>
          <w:rFonts w:ascii="Times New Roman" w:hAnsi="Times New Roman" w:cs="Times New Roman"/>
          <w:sz w:val="24"/>
          <w:szCs w:val="24"/>
        </w:rPr>
        <w:t xml:space="preserve">in </w:t>
      </w:r>
      <w:proofErr w:type="spellStart"/>
      <w:r w:rsidRPr="00BA4BC1">
        <w:rPr>
          <w:rFonts w:ascii="Times New Roman" w:hAnsi="Times New Roman" w:cs="Times New Roman"/>
          <w:b/>
          <w:i/>
          <w:sz w:val="24"/>
          <w:szCs w:val="24"/>
        </w:rPr>
        <w:t>Abioye</w:t>
      </w:r>
      <w:proofErr w:type="spellEnd"/>
      <w:r w:rsidRPr="00BA4BC1">
        <w:rPr>
          <w:rFonts w:ascii="Times New Roman" w:hAnsi="Times New Roman" w:cs="Times New Roman"/>
          <w:b/>
          <w:i/>
          <w:sz w:val="24"/>
          <w:szCs w:val="24"/>
        </w:rPr>
        <w:t xml:space="preserve"> </w:t>
      </w:r>
      <w:proofErr w:type="spellStart"/>
      <w:proofErr w:type="gramStart"/>
      <w:r w:rsidRPr="00BA4BC1">
        <w:rPr>
          <w:rFonts w:ascii="Times New Roman" w:hAnsi="Times New Roman" w:cs="Times New Roman"/>
          <w:b/>
          <w:i/>
          <w:sz w:val="24"/>
          <w:szCs w:val="24"/>
        </w:rPr>
        <w:t>v</w:t>
      </w:r>
      <w:r w:rsidR="006B1DBD" w:rsidRPr="00BA4BC1">
        <w:rPr>
          <w:rFonts w:ascii="Times New Roman" w:hAnsi="Times New Roman" w:cs="Times New Roman"/>
          <w:b/>
          <w:i/>
          <w:sz w:val="24"/>
          <w:szCs w:val="24"/>
        </w:rPr>
        <w:t>.</w:t>
      </w:r>
      <w:r w:rsidRPr="00BA4BC1">
        <w:rPr>
          <w:rFonts w:ascii="Times New Roman" w:hAnsi="Times New Roman" w:cs="Times New Roman"/>
          <w:b/>
          <w:i/>
          <w:sz w:val="24"/>
          <w:szCs w:val="24"/>
        </w:rPr>
        <w:t>Yakubu</w:t>
      </w:r>
      <w:proofErr w:type="spellEnd"/>
      <w:proofErr w:type="gramEnd"/>
      <w:r w:rsidR="00BA4BC1"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finally said:</w:t>
      </w:r>
    </w:p>
    <w:p w14:paraId="7FCE9BB6" w14:textId="77777777" w:rsidR="00C75FF2" w:rsidRPr="00BA4BC1" w:rsidRDefault="00C75FF2"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It will be injustice to the holder who was the owner of the land before the commencement of the Act and who gave his erstwhile customary tenant a status and a right to which he was not entitled before the Act – a typical illustration of the appropriate metaphor to rob Peter to pay Paul…</w:t>
      </w:r>
      <w:r w:rsidR="00BA4BC1" w:rsidRPr="00BA4BC1">
        <w:rPr>
          <w:rFonts w:ascii="Times New Roman" w:hAnsi="Times New Roman" w:cs="Times New Roman"/>
          <w:sz w:val="24"/>
          <w:szCs w:val="24"/>
        </w:rPr>
        <w:t xml:space="preserve"> (</w:t>
      </w:r>
      <w:proofErr w:type="spellStart"/>
      <w:r w:rsidR="00BA4BC1" w:rsidRPr="00BA4BC1">
        <w:rPr>
          <w:rFonts w:ascii="Times New Roman" w:hAnsi="Times New Roman" w:cs="Times New Roman"/>
          <w:color w:val="222222"/>
          <w:sz w:val="24"/>
          <w:szCs w:val="24"/>
          <w:shd w:val="clear" w:color="auto" w:fill="FFFFFF"/>
        </w:rPr>
        <w:t>Igwe</w:t>
      </w:r>
      <w:proofErr w:type="spellEnd"/>
      <w:r w:rsidR="00BA4BC1" w:rsidRPr="00BA4BC1">
        <w:rPr>
          <w:rFonts w:ascii="Times New Roman" w:hAnsi="Times New Roman" w:cs="Times New Roman"/>
          <w:color w:val="222222"/>
          <w:sz w:val="24"/>
          <w:szCs w:val="24"/>
          <w:shd w:val="clear" w:color="auto" w:fill="FFFFFF"/>
        </w:rPr>
        <w:t>, 2022, p. 111).</w:t>
      </w:r>
    </w:p>
    <w:p w14:paraId="34389146" w14:textId="77777777" w:rsidR="00C75FF2" w:rsidRPr="00BA4BC1" w:rsidRDefault="00C75FF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However, the writer of this article submits here that, it is not a case of </w:t>
      </w:r>
      <w:r w:rsidR="00FD108C">
        <w:rPr>
          <w:rFonts w:ascii="Times New Roman" w:hAnsi="Times New Roman" w:cs="Times New Roman"/>
          <w:sz w:val="24"/>
          <w:szCs w:val="24"/>
        </w:rPr>
        <w:t>“</w:t>
      </w:r>
      <w:r w:rsidRPr="00BA4BC1">
        <w:rPr>
          <w:rFonts w:ascii="Times New Roman" w:hAnsi="Times New Roman" w:cs="Times New Roman"/>
          <w:sz w:val="24"/>
          <w:szCs w:val="24"/>
        </w:rPr>
        <w:t>robbing Peter to pay Paul</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but a void declaration of national policy and social objective. It has been of course, judicially settled that in considering questions of entitlement of right of occupancy under the </w:t>
      </w:r>
      <w:r w:rsidRPr="00BA4BC1">
        <w:rPr>
          <w:rFonts w:ascii="Times New Roman" w:hAnsi="Times New Roman" w:cs="Times New Roman"/>
          <w:sz w:val="24"/>
          <w:szCs w:val="24"/>
        </w:rPr>
        <w:lastRenderedPageBreak/>
        <w:t>Act, the interests of the pre-Act fee-simple owners could in certain circumstances be subsumed under those having only possessory rights such as customary tenants</w:t>
      </w:r>
      <w:r w:rsidR="00B020FA">
        <w:rPr>
          <w:rFonts w:ascii="Times New Roman" w:hAnsi="Times New Roman" w:cs="Times New Roman"/>
          <w:sz w:val="24"/>
          <w:szCs w:val="24"/>
        </w:rPr>
        <w:t xml:space="preserve"> (</w:t>
      </w:r>
      <w:proofErr w:type="spellStart"/>
      <w:r w:rsidR="00B020FA">
        <w:rPr>
          <w:rFonts w:ascii="Arial" w:hAnsi="Arial" w:cs="Arial"/>
          <w:color w:val="000000" w:themeColor="text1"/>
          <w:sz w:val="20"/>
          <w:szCs w:val="20"/>
          <w:shd w:val="clear" w:color="auto" w:fill="FFFFFF"/>
        </w:rPr>
        <w:t>Otu</w:t>
      </w:r>
      <w:proofErr w:type="spellEnd"/>
      <w:r w:rsidR="00B020FA" w:rsidRPr="0059455E">
        <w:rPr>
          <w:rFonts w:ascii="Arial" w:hAnsi="Arial" w:cs="Arial"/>
          <w:color w:val="000000" w:themeColor="text1"/>
          <w:sz w:val="20"/>
          <w:szCs w:val="20"/>
          <w:shd w:val="clear" w:color="auto" w:fill="FFFFFF"/>
        </w:rPr>
        <w:t xml:space="preserve"> &amp; Mohammed</w:t>
      </w:r>
      <w:r w:rsidR="00FD108C">
        <w:rPr>
          <w:rFonts w:ascii="Arial" w:hAnsi="Arial" w:cs="Arial"/>
          <w:color w:val="000000" w:themeColor="text1"/>
          <w:sz w:val="20"/>
          <w:szCs w:val="20"/>
          <w:shd w:val="clear" w:color="auto" w:fill="FFFFFF"/>
        </w:rPr>
        <w:t>, 200</w:t>
      </w:r>
      <w:r w:rsidR="00B020FA">
        <w:rPr>
          <w:rFonts w:ascii="Arial" w:hAnsi="Arial" w:cs="Arial"/>
          <w:color w:val="000000" w:themeColor="text1"/>
          <w:sz w:val="20"/>
          <w:szCs w:val="20"/>
          <w:shd w:val="clear" w:color="auto" w:fill="FFFFFF"/>
        </w:rPr>
        <w:t>9)</w:t>
      </w:r>
      <w:r w:rsidRPr="00BA4BC1">
        <w:rPr>
          <w:rFonts w:ascii="Times New Roman" w:hAnsi="Times New Roman" w:cs="Times New Roman"/>
          <w:sz w:val="24"/>
          <w:szCs w:val="24"/>
        </w:rPr>
        <w:t>.</w:t>
      </w:r>
    </w:p>
    <w:p w14:paraId="792A0384" w14:textId="77777777" w:rsidR="00286120" w:rsidRPr="00BA4BC1" w:rsidRDefault="00286120"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However, where the land is not being us</w:t>
      </w:r>
      <w:r w:rsidR="009464EB" w:rsidRPr="00BA4BC1">
        <w:rPr>
          <w:rFonts w:ascii="Times New Roman" w:hAnsi="Times New Roman" w:cs="Times New Roman"/>
          <w:sz w:val="24"/>
          <w:szCs w:val="24"/>
        </w:rPr>
        <w:t xml:space="preserve">ed for agricultural purposes </w:t>
      </w:r>
      <w:r w:rsidR="00594D6C" w:rsidRPr="00BA4BC1">
        <w:rPr>
          <w:rFonts w:ascii="Times New Roman" w:hAnsi="Times New Roman" w:cs="Times New Roman"/>
          <w:sz w:val="24"/>
          <w:szCs w:val="24"/>
        </w:rPr>
        <w:t xml:space="preserve">and </w:t>
      </w:r>
      <w:r w:rsidR="009464EB" w:rsidRPr="00BA4BC1">
        <w:rPr>
          <w:rFonts w:ascii="Times New Roman" w:hAnsi="Times New Roman" w:cs="Times New Roman"/>
          <w:sz w:val="24"/>
          <w:szCs w:val="24"/>
        </w:rPr>
        <w:t xml:space="preserve">has not been developed by the tenant-occupier, then it would seem that the overlord would be entitled to the customary right of occupancy over such portions of land by operation of law. Thus, it is evidently inconceivable </w:t>
      </w:r>
      <w:r w:rsidR="00990B2C" w:rsidRPr="00BA4BC1">
        <w:rPr>
          <w:rFonts w:ascii="Times New Roman" w:hAnsi="Times New Roman" w:cs="Times New Roman"/>
          <w:sz w:val="24"/>
          <w:szCs w:val="24"/>
        </w:rPr>
        <w:t xml:space="preserve">to find such seemingly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vacant land</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in places held under customary tenant in view of the libel definition of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developed land</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agricultural purposes</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grazing purposes</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under Section 51 of the Act. </w:t>
      </w:r>
    </w:p>
    <w:p w14:paraId="5BD5DE08" w14:textId="77777777" w:rsidR="00C54114" w:rsidRPr="00BA4BC1" w:rsidRDefault="00990B2C"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customary tenant pays tribute to his overlord, he may be required to pay rent to the Governor or the Local Government. </w:t>
      </w:r>
      <w:proofErr w:type="gramStart"/>
      <w:r w:rsidRPr="00BA4BC1">
        <w:rPr>
          <w:rFonts w:ascii="Times New Roman" w:hAnsi="Times New Roman" w:cs="Times New Roman"/>
          <w:sz w:val="24"/>
          <w:szCs w:val="24"/>
        </w:rPr>
        <w:t>Again</w:t>
      </w:r>
      <w:proofErr w:type="gramEnd"/>
      <w:r w:rsidRPr="00BA4BC1">
        <w:rPr>
          <w:rFonts w:ascii="Times New Roman" w:hAnsi="Times New Roman" w:cs="Times New Roman"/>
          <w:sz w:val="24"/>
          <w:szCs w:val="24"/>
        </w:rPr>
        <w:t xml:space="preserve"> his right may be affected specially if the land is in urban area, he may not be able to retain more than half hectare unless the same is developed.</w:t>
      </w:r>
      <w:r w:rsidR="00BA4BC1" w:rsidRPr="00BA4BC1">
        <w:rPr>
          <w:rFonts w:ascii="Times New Roman" w:hAnsi="Times New Roman" w:cs="Times New Roman"/>
          <w:sz w:val="24"/>
          <w:szCs w:val="24"/>
        </w:rPr>
        <w:t xml:space="preserve"> </w:t>
      </w:r>
      <w:r w:rsidR="00C54114" w:rsidRPr="00BA4BC1">
        <w:rPr>
          <w:rFonts w:ascii="Times New Roman" w:hAnsi="Times New Roman" w:cs="Times New Roman"/>
          <w:sz w:val="24"/>
          <w:szCs w:val="24"/>
        </w:rPr>
        <w:t>Where his land is in non-urban, he enjoys greater freedom sincere there is no real limit to the land he can hold under section 36</w:t>
      </w:r>
      <w:r w:rsidR="00594D6C" w:rsidRPr="00BA4BC1">
        <w:rPr>
          <w:rFonts w:ascii="Times New Roman" w:hAnsi="Times New Roman" w:cs="Times New Roman"/>
          <w:sz w:val="24"/>
          <w:szCs w:val="24"/>
        </w:rPr>
        <w:t xml:space="preserve"> of the Act</w:t>
      </w:r>
      <w:r w:rsidR="00C54114" w:rsidRPr="00BA4BC1">
        <w:rPr>
          <w:rFonts w:ascii="Times New Roman" w:hAnsi="Times New Roman" w:cs="Times New Roman"/>
          <w:sz w:val="24"/>
          <w:szCs w:val="24"/>
        </w:rPr>
        <w:t>. His possession, however, is no longer exclusive since it is now subject to the right of the Governor in the case of land in urban area</w:t>
      </w:r>
      <w:r w:rsidR="00BA4BC1" w:rsidRPr="00BA4BC1">
        <w:rPr>
          <w:rFonts w:ascii="Times New Roman" w:hAnsi="Times New Roman" w:cs="Times New Roman"/>
          <w:sz w:val="24"/>
          <w:szCs w:val="24"/>
        </w:rPr>
        <w:t>,</w:t>
      </w:r>
      <w:r w:rsidR="00C54114" w:rsidRPr="00BA4BC1">
        <w:rPr>
          <w:rFonts w:ascii="Times New Roman" w:hAnsi="Times New Roman" w:cs="Times New Roman"/>
          <w:sz w:val="24"/>
          <w:szCs w:val="24"/>
        </w:rPr>
        <w:t xml:space="preserve"> and where the land is in non-urban area, the Local Government has exclusive possession of the land. </w:t>
      </w:r>
    </w:p>
    <w:p w14:paraId="36B3B525" w14:textId="77777777" w:rsidR="00BA4BC1" w:rsidRPr="00BA4BC1" w:rsidRDefault="00C54114"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There is a fundamental question to determine under the Act, suppose a piece of land was prior to</w:t>
      </w:r>
      <w:r w:rsidR="00D80CC9" w:rsidRPr="00BA4BC1">
        <w:rPr>
          <w:rFonts w:ascii="Times New Roman" w:hAnsi="Times New Roman" w:cs="Times New Roman"/>
          <w:sz w:val="24"/>
          <w:szCs w:val="24"/>
        </w:rPr>
        <w:t xml:space="preserve"> the Act, subject to customary tenancy. Then the Act came and provides under Sections 34 and 36 that the land is to continue to be held by the person in whom the same was vested immediately before its commencement. No </w:t>
      </w:r>
      <w:r w:rsidR="00CF3A45" w:rsidRPr="00BA4BC1">
        <w:rPr>
          <w:rFonts w:ascii="Times New Roman" w:hAnsi="Times New Roman" w:cs="Times New Roman"/>
          <w:sz w:val="24"/>
          <w:szCs w:val="24"/>
        </w:rPr>
        <w:t xml:space="preserve">doubt, under customary law both the overlord and his customary tenant have vested interests in land that is subject to customary tenancy. For instance, suppose the absolute owner of a piece of land was vested in </w:t>
      </w:r>
      <w:proofErr w:type="spellStart"/>
      <w:r w:rsidR="00CF3A45" w:rsidRPr="00BA4BC1">
        <w:rPr>
          <w:rFonts w:ascii="Times New Roman" w:hAnsi="Times New Roman" w:cs="Times New Roman"/>
          <w:sz w:val="24"/>
          <w:szCs w:val="24"/>
        </w:rPr>
        <w:t>Otu</w:t>
      </w:r>
      <w:proofErr w:type="spellEnd"/>
      <w:r w:rsidR="00CF3A45" w:rsidRPr="00BA4BC1">
        <w:rPr>
          <w:rFonts w:ascii="Times New Roman" w:hAnsi="Times New Roman" w:cs="Times New Roman"/>
          <w:sz w:val="24"/>
          <w:szCs w:val="24"/>
        </w:rPr>
        <w:t xml:space="preserve"> family which granted farming rights to </w:t>
      </w:r>
      <w:proofErr w:type="spellStart"/>
      <w:r w:rsidR="00CF3A45" w:rsidRPr="00BA4BC1">
        <w:rPr>
          <w:rFonts w:ascii="Times New Roman" w:hAnsi="Times New Roman" w:cs="Times New Roman"/>
          <w:sz w:val="24"/>
          <w:szCs w:val="24"/>
        </w:rPr>
        <w:t>Bikom</w:t>
      </w:r>
      <w:proofErr w:type="spellEnd"/>
      <w:r w:rsidR="00CF3A45" w:rsidRPr="00BA4BC1">
        <w:rPr>
          <w:rFonts w:ascii="Times New Roman" w:hAnsi="Times New Roman" w:cs="Times New Roman"/>
          <w:sz w:val="24"/>
          <w:szCs w:val="24"/>
        </w:rPr>
        <w:t xml:space="preserve"> family. Then you have Section 34 or 36 which provides that the</w:t>
      </w:r>
      <w:r w:rsidR="00324795" w:rsidRPr="00BA4BC1">
        <w:rPr>
          <w:rFonts w:ascii="Times New Roman" w:hAnsi="Times New Roman" w:cs="Times New Roman"/>
          <w:sz w:val="24"/>
          <w:szCs w:val="24"/>
        </w:rPr>
        <w:t xml:space="preserve"> land</w:t>
      </w:r>
      <w:r w:rsidR="00CF3A45" w:rsidRPr="00BA4BC1">
        <w:rPr>
          <w:rFonts w:ascii="Times New Roman" w:hAnsi="Times New Roman" w:cs="Times New Roman"/>
          <w:sz w:val="24"/>
          <w:szCs w:val="24"/>
        </w:rPr>
        <w:t xml:space="preserve"> is to be held by the person in whom it was vested before the Act came into effect. How will this problem be resolved? Who will be entitled to a right of occupancy over the land? Would both families now be so entitled? It seems that the answer to these questions </w:t>
      </w:r>
      <w:proofErr w:type="gramStart"/>
      <w:r w:rsidR="00CF3A45" w:rsidRPr="00BA4BC1">
        <w:rPr>
          <w:rFonts w:ascii="Times New Roman" w:hAnsi="Times New Roman" w:cs="Times New Roman"/>
          <w:sz w:val="24"/>
          <w:szCs w:val="24"/>
        </w:rPr>
        <w:t>are</w:t>
      </w:r>
      <w:proofErr w:type="gramEnd"/>
      <w:r w:rsidR="00CF3A45" w:rsidRPr="00BA4BC1">
        <w:rPr>
          <w:rFonts w:ascii="Times New Roman" w:hAnsi="Times New Roman" w:cs="Times New Roman"/>
          <w:sz w:val="24"/>
          <w:szCs w:val="24"/>
        </w:rPr>
        <w:t xml:space="preserve"> not as obvious as it might seem, since there is no provision in the Act for revoking in an existing right except as contained in Section 28. The problem appears to have resulted from the use of the word </w:t>
      </w:r>
      <w:r w:rsidR="00FD108C">
        <w:rPr>
          <w:rFonts w:ascii="Times New Roman" w:hAnsi="Times New Roman" w:cs="Times New Roman"/>
          <w:sz w:val="24"/>
          <w:szCs w:val="24"/>
        </w:rPr>
        <w:t>“</w:t>
      </w:r>
      <w:r w:rsidR="00CF3A45" w:rsidRPr="00BA4BC1">
        <w:rPr>
          <w:rFonts w:ascii="Times New Roman" w:hAnsi="Times New Roman" w:cs="Times New Roman"/>
          <w:sz w:val="24"/>
          <w:szCs w:val="24"/>
        </w:rPr>
        <w:t>person</w:t>
      </w:r>
      <w:r w:rsidR="00FD108C">
        <w:rPr>
          <w:rFonts w:ascii="Times New Roman" w:hAnsi="Times New Roman" w:cs="Times New Roman"/>
          <w:sz w:val="24"/>
          <w:szCs w:val="24"/>
        </w:rPr>
        <w:t>”</w:t>
      </w:r>
      <w:r w:rsidR="00CF3A45" w:rsidRPr="00BA4BC1">
        <w:rPr>
          <w:rFonts w:ascii="Times New Roman" w:hAnsi="Times New Roman" w:cs="Times New Roman"/>
          <w:sz w:val="24"/>
          <w:szCs w:val="24"/>
        </w:rPr>
        <w:t xml:space="preserve"> in Section 34. </w:t>
      </w:r>
    </w:p>
    <w:p w14:paraId="273916EC" w14:textId="77777777" w:rsidR="00BD6F32" w:rsidRPr="00BA4BC1" w:rsidRDefault="00CF3A45" w:rsidP="00BA4BC1">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This word is not defined in the Act and the question is whether </w:t>
      </w:r>
      <w:r w:rsidR="00FD108C">
        <w:rPr>
          <w:rFonts w:ascii="Times New Roman" w:hAnsi="Times New Roman" w:cs="Times New Roman"/>
          <w:sz w:val="24"/>
          <w:szCs w:val="24"/>
        </w:rPr>
        <w:t>“</w:t>
      </w:r>
      <w:r w:rsidRPr="00BA4BC1">
        <w:rPr>
          <w:rFonts w:ascii="Times New Roman" w:hAnsi="Times New Roman" w:cs="Times New Roman"/>
          <w:sz w:val="24"/>
          <w:szCs w:val="24"/>
        </w:rPr>
        <w:t>person</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as used there will include the overlord, the customary tenant, the family or indeed the community as known to customary law. This point is also important in interpreting section 36, where the same word is used. If the overlord, the customary tenant, the family or the community comes within the word, as indeed it must do if an absurd result is to be averted, then there is the further problem of the unit of land holding. For instance, when the Act provides for the maximum size of undeveloped</w:t>
      </w:r>
      <w:r w:rsidR="00AD5F42" w:rsidRPr="00BA4BC1">
        <w:rPr>
          <w:rFonts w:ascii="Times New Roman" w:hAnsi="Times New Roman" w:cs="Times New Roman"/>
          <w:sz w:val="24"/>
          <w:szCs w:val="24"/>
        </w:rPr>
        <w:t xml:space="preserve"> land</w:t>
      </w:r>
      <w:r w:rsidRPr="00BA4BC1">
        <w:rPr>
          <w:rFonts w:ascii="Times New Roman" w:hAnsi="Times New Roman" w:cs="Times New Roman"/>
          <w:sz w:val="24"/>
          <w:szCs w:val="24"/>
        </w:rPr>
        <w:t xml:space="preserve"> in urban area which can be held by any person within anyone state, there may be the problem of deciding who is the </w:t>
      </w:r>
      <w:r w:rsidR="00FD108C">
        <w:rPr>
          <w:rFonts w:ascii="Times New Roman" w:hAnsi="Times New Roman" w:cs="Times New Roman"/>
          <w:sz w:val="24"/>
          <w:szCs w:val="24"/>
        </w:rPr>
        <w:t>“</w:t>
      </w:r>
      <w:r w:rsidRPr="00BA4BC1">
        <w:rPr>
          <w:rFonts w:ascii="Times New Roman" w:hAnsi="Times New Roman" w:cs="Times New Roman"/>
          <w:sz w:val="24"/>
          <w:szCs w:val="24"/>
        </w:rPr>
        <w:t>person</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for this purpose. Is it the family in the case of family land or the individual member of family who is referred to in </w:t>
      </w:r>
      <w:r w:rsidR="00671F65" w:rsidRPr="00BA4BC1">
        <w:rPr>
          <w:rFonts w:ascii="Times New Roman" w:hAnsi="Times New Roman" w:cs="Times New Roman"/>
          <w:sz w:val="24"/>
          <w:szCs w:val="24"/>
        </w:rPr>
        <w:t xml:space="preserve">the Act? Suppose prior to the Act a family was under customary law entitled to one thousand </w:t>
      </w:r>
      <w:proofErr w:type="gramStart"/>
      <w:r w:rsidR="00671F65" w:rsidRPr="00BA4BC1">
        <w:rPr>
          <w:rFonts w:ascii="Times New Roman" w:hAnsi="Times New Roman" w:cs="Times New Roman"/>
          <w:sz w:val="24"/>
          <w:szCs w:val="24"/>
        </w:rPr>
        <w:t>hectare</w:t>
      </w:r>
      <w:proofErr w:type="gramEnd"/>
      <w:r w:rsidR="00671F65" w:rsidRPr="00BA4BC1">
        <w:rPr>
          <w:rFonts w:ascii="Times New Roman" w:hAnsi="Times New Roman" w:cs="Times New Roman"/>
          <w:sz w:val="24"/>
          <w:szCs w:val="24"/>
        </w:rPr>
        <w:t xml:space="preserve"> of land in </w:t>
      </w:r>
      <w:r w:rsidR="00BD6F32" w:rsidRPr="00BA4BC1">
        <w:rPr>
          <w:rFonts w:ascii="Times New Roman" w:hAnsi="Times New Roman" w:cs="Times New Roman"/>
          <w:sz w:val="24"/>
          <w:szCs w:val="24"/>
        </w:rPr>
        <w:t xml:space="preserve">what has now become urban area of a state. Do you cut this to half </w:t>
      </w:r>
      <w:proofErr w:type="gramStart"/>
      <w:r w:rsidR="00BD6F32" w:rsidRPr="00BA4BC1">
        <w:rPr>
          <w:rFonts w:ascii="Times New Roman" w:hAnsi="Times New Roman" w:cs="Times New Roman"/>
          <w:sz w:val="24"/>
          <w:szCs w:val="24"/>
        </w:rPr>
        <w:t>an</w:t>
      </w:r>
      <w:proofErr w:type="gramEnd"/>
      <w:r w:rsidR="00BD6F32" w:rsidRPr="00BA4BC1">
        <w:rPr>
          <w:rFonts w:ascii="Times New Roman" w:hAnsi="Times New Roman" w:cs="Times New Roman"/>
          <w:sz w:val="24"/>
          <w:szCs w:val="24"/>
        </w:rPr>
        <w:t xml:space="preserve"> hectare or do you line up all the members of the family and give each half a hectare? This difficulty will also arise in the case of land held by customary tenants and communities prior to the Act. </w:t>
      </w:r>
      <w:proofErr w:type="spellStart"/>
      <w:r w:rsidR="00BD6F32" w:rsidRPr="00BA4BC1">
        <w:rPr>
          <w:rFonts w:ascii="Times New Roman" w:hAnsi="Times New Roman" w:cs="Times New Roman"/>
          <w:sz w:val="24"/>
          <w:szCs w:val="24"/>
        </w:rPr>
        <w:t>Omotola</w:t>
      </w:r>
      <w:proofErr w:type="spellEnd"/>
      <w:r w:rsidR="00BD6F32" w:rsidRPr="00BA4BC1">
        <w:rPr>
          <w:rFonts w:ascii="Times New Roman" w:hAnsi="Times New Roman" w:cs="Times New Roman"/>
          <w:sz w:val="24"/>
          <w:szCs w:val="24"/>
        </w:rPr>
        <w:t xml:space="preserve"> has suggested that these problems may be resolved by the High Court on application to it under section 39 or by the Customary Court or Area Court under Section 41 of the Land Use Act.</w:t>
      </w:r>
    </w:p>
    <w:p w14:paraId="54312457" w14:textId="77777777" w:rsidR="009006B1" w:rsidRPr="00BA4BC1" w:rsidRDefault="00BD6F3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It is an established rule of law that a ma</w:t>
      </w:r>
      <w:r w:rsidR="006B46A6" w:rsidRPr="00BA4BC1">
        <w:rPr>
          <w:rFonts w:ascii="Times New Roman" w:hAnsi="Times New Roman" w:cs="Times New Roman"/>
          <w:sz w:val="24"/>
          <w:szCs w:val="24"/>
        </w:rPr>
        <w:t>n who has no title, can pass none to another (</w:t>
      </w:r>
      <w:r w:rsidR="006B46A6" w:rsidRPr="00BA4BC1">
        <w:rPr>
          <w:rFonts w:ascii="Times New Roman" w:hAnsi="Times New Roman" w:cs="Times New Roman"/>
          <w:i/>
          <w:sz w:val="24"/>
          <w:szCs w:val="24"/>
        </w:rPr>
        <w:t xml:space="preserve">nemo da </w:t>
      </w:r>
      <w:proofErr w:type="spellStart"/>
      <w:r w:rsidR="006B46A6" w:rsidRPr="00BA4BC1">
        <w:rPr>
          <w:rFonts w:ascii="Times New Roman" w:hAnsi="Times New Roman" w:cs="Times New Roman"/>
          <w:i/>
          <w:sz w:val="24"/>
          <w:szCs w:val="24"/>
        </w:rPr>
        <w:t>quod</w:t>
      </w:r>
      <w:proofErr w:type="spellEnd"/>
      <w:r w:rsidR="006B46A6" w:rsidRPr="00BA4BC1">
        <w:rPr>
          <w:rFonts w:ascii="Times New Roman" w:hAnsi="Times New Roman" w:cs="Times New Roman"/>
          <w:i/>
          <w:sz w:val="24"/>
          <w:szCs w:val="24"/>
        </w:rPr>
        <w:t xml:space="preserve"> non </w:t>
      </w:r>
      <w:proofErr w:type="spellStart"/>
      <w:r w:rsidR="006B46A6" w:rsidRPr="00BA4BC1">
        <w:rPr>
          <w:rFonts w:ascii="Times New Roman" w:hAnsi="Times New Roman" w:cs="Times New Roman"/>
          <w:i/>
          <w:sz w:val="24"/>
          <w:szCs w:val="24"/>
        </w:rPr>
        <w:t>habet</w:t>
      </w:r>
      <w:proofErr w:type="spellEnd"/>
      <w:r w:rsidR="006B46A6" w:rsidRPr="00BA4BC1">
        <w:rPr>
          <w:rFonts w:ascii="Times New Roman" w:hAnsi="Times New Roman" w:cs="Times New Roman"/>
          <w:i/>
          <w:sz w:val="24"/>
          <w:szCs w:val="24"/>
        </w:rPr>
        <w:t xml:space="preserve">). </w:t>
      </w:r>
      <w:r w:rsidR="006B46A6" w:rsidRPr="00BA4BC1">
        <w:rPr>
          <w:rFonts w:ascii="Times New Roman" w:hAnsi="Times New Roman" w:cs="Times New Roman"/>
          <w:sz w:val="24"/>
          <w:szCs w:val="24"/>
        </w:rPr>
        <w:t xml:space="preserve">It would be noted that while in Section 34 of the Act, the word </w:t>
      </w:r>
      <w:r w:rsidR="00FD108C">
        <w:rPr>
          <w:rFonts w:ascii="Times New Roman" w:hAnsi="Times New Roman" w:cs="Times New Roman"/>
          <w:sz w:val="24"/>
          <w:szCs w:val="24"/>
        </w:rPr>
        <w:t>“</w:t>
      </w:r>
      <w:r w:rsidR="006B46A6" w:rsidRPr="00BA4BC1">
        <w:rPr>
          <w:rFonts w:ascii="Times New Roman" w:hAnsi="Times New Roman" w:cs="Times New Roman"/>
          <w:sz w:val="24"/>
          <w:szCs w:val="24"/>
        </w:rPr>
        <w:t>vested</w:t>
      </w:r>
      <w:r w:rsidR="00FD108C">
        <w:rPr>
          <w:rFonts w:ascii="Times New Roman" w:hAnsi="Times New Roman" w:cs="Times New Roman"/>
          <w:sz w:val="24"/>
          <w:szCs w:val="24"/>
        </w:rPr>
        <w:t>”</w:t>
      </w:r>
      <w:r w:rsidR="006B46A6" w:rsidRPr="00BA4BC1">
        <w:rPr>
          <w:rFonts w:ascii="Times New Roman" w:hAnsi="Times New Roman" w:cs="Times New Roman"/>
          <w:sz w:val="24"/>
          <w:szCs w:val="24"/>
        </w:rPr>
        <w:t xml:space="preserve"> is used, Section </w:t>
      </w:r>
      <w:r w:rsidR="002B0E0E" w:rsidRPr="00BA4BC1">
        <w:rPr>
          <w:rFonts w:ascii="Times New Roman" w:hAnsi="Times New Roman" w:cs="Times New Roman"/>
          <w:sz w:val="24"/>
          <w:szCs w:val="24"/>
        </w:rPr>
        <w:t>36(2) prefe</w:t>
      </w:r>
      <w:r w:rsidR="006B46A6" w:rsidRPr="00BA4BC1">
        <w:rPr>
          <w:rFonts w:ascii="Times New Roman" w:hAnsi="Times New Roman" w:cs="Times New Roman"/>
          <w:sz w:val="24"/>
          <w:szCs w:val="24"/>
        </w:rPr>
        <w:t xml:space="preserve">rs the expression </w:t>
      </w:r>
      <w:r w:rsidR="00FD108C">
        <w:rPr>
          <w:rFonts w:ascii="Times New Roman" w:hAnsi="Times New Roman" w:cs="Times New Roman"/>
          <w:sz w:val="24"/>
          <w:szCs w:val="24"/>
        </w:rPr>
        <w:t>“</w:t>
      </w:r>
      <w:r w:rsidR="006B46A6" w:rsidRPr="00BA4BC1">
        <w:rPr>
          <w:rFonts w:ascii="Times New Roman" w:hAnsi="Times New Roman" w:cs="Times New Roman"/>
          <w:sz w:val="24"/>
          <w:szCs w:val="24"/>
        </w:rPr>
        <w:t>being used</w:t>
      </w:r>
      <w:r w:rsidR="00FD108C">
        <w:rPr>
          <w:rFonts w:ascii="Times New Roman" w:hAnsi="Times New Roman" w:cs="Times New Roman"/>
          <w:sz w:val="24"/>
          <w:szCs w:val="24"/>
        </w:rPr>
        <w:t>”</w:t>
      </w:r>
      <w:r w:rsidR="006B46A6" w:rsidRPr="00BA4BC1">
        <w:rPr>
          <w:rFonts w:ascii="Times New Roman" w:hAnsi="Times New Roman" w:cs="Times New Roman"/>
          <w:sz w:val="24"/>
          <w:szCs w:val="24"/>
        </w:rPr>
        <w:t xml:space="preserve">. Under </w:t>
      </w:r>
      <w:r w:rsidR="00AD75BA" w:rsidRPr="00BA4BC1">
        <w:rPr>
          <w:rFonts w:ascii="Times New Roman" w:hAnsi="Times New Roman" w:cs="Times New Roman"/>
          <w:sz w:val="24"/>
          <w:szCs w:val="24"/>
        </w:rPr>
        <w:t xml:space="preserve">Section 34 therefore the person who is to be entitled to hold a right of occupancy in the land as if the </w:t>
      </w:r>
      <w:r w:rsidR="00AD75BA" w:rsidRPr="00BA4BC1">
        <w:rPr>
          <w:rFonts w:ascii="Times New Roman" w:hAnsi="Times New Roman" w:cs="Times New Roman"/>
          <w:sz w:val="24"/>
          <w:szCs w:val="24"/>
        </w:rPr>
        <w:lastRenderedPageBreak/>
        <w:t xml:space="preserve">same is granted by the Governor appears to be </w:t>
      </w:r>
      <w:r w:rsidR="009006B1" w:rsidRPr="00BA4BC1">
        <w:rPr>
          <w:rFonts w:ascii="Times New Roman" w:hAnsi="Times New Roman" w:cs="Times New Roman"/>
          <w:sz w:val="24"/>
          <w:szCs w:val="24"/>
        </w:rPr>
        <w:t xml:space="preserve">the person in whom the land was </w:t>
      </w:r>
      <w:r w:rsidR="00FD108C">
        <w:rPr>
          <w:rFonts w:ascii="Times New Roman" w:hAnsi="Times New Roman" w:cs="Times New Roman"/>
          <w:sz w:val="24"/>
          <w:szCs w:val="24"/>
        </w:rPr>
        <w:t>“</w:t>
      </w:r>
      <w:r w:rsidR="009006B1" w:rsidRPr="00BA4BC1">
        <w:rPr>
          <w:rFonts w:ascii="Times New Roman" w:hAnsi="Times New Roman" w:cs="Times New Roman"/>
          <w:sz w:val="24"/>
          <w:szCs w:val="24"/>
        </w:rPr>
        <w:t>vested</w:t>
      </w:r>
      <w:r w:rsidR="00FD108C">
        <w:rPr>
          <w:rFonts w:ascii="Times New Roman" w:hAnsi="Times New Roman" w:cs="Times New Roman"/>
          <w:sz w:val="24"/>
          <w:szCs w:val="24"/>
        </w:rPr>
        <w:t>”</w:t>
      </w:r>
      <w:r w:rsidR="009006B1" w:rsidRPr="00BA4BC1">
        <w:rPr>
          <w:rFonts w:ascii="Times New Roman" w:hAnsi="Times New Roman" w:cs="Times New Roman"/>
          <w:sz w:val="24"/>
          <w:szCs w:val="24"/>
        </w:rPr>
        <w:t xml:space="preserve"> immediately before the commencement of the Act. Under Section 36(2) however, the person who shall be entitled to possession of the land as if he held a customary right of occupancy granted by the Local Government shall be the person by whom the land was being used for agricultural purposes. This lack of clarity has given rise to some misconceptions resulting in feuds among people since the Act came into effect.</w:t>
      </w:r>
    </w:p>
    <w:p w14:paraId="7C4BF7D1" w14:textId="77777777" w:rsidR="001D2AF0" w:rsidRPr="00BA4BC1" w:rsidRDefault="009006B1"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Again, the Act in Section 50 defines a customary right of occupation as: </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the right of a person or community lawfully using or occupying land in accordance with customary law and </w:t>
      </w:r>
      <w:r w:rsidR="00792AE3" w:rsidRPr="00BA4BC1">
        <w:rPr>
          <w:rFonts w:ascii="Times New Roman" w:hAnsi="Times New Roman" w:cs="Times New Roman"/>
          <w:sz w:val="24"/>
          <w:szCs w:val="24"/>
        </w:rPr>
        <w:t>includes a customary right of occupancy granted by Local Government under this Act</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xml:space="preserve">. Yet Section 6 permits this right to be granted by the Local Government having converted in Section 36 all rights held in land in non-urban area to customary right of occupancy. It is clearly inconsistent to say that a right is held and enjoyed in accordance with customary law yet permit such right to be granted by Local Government which is a statutory body. The same view was held by Lord Lugard in his dual mandate where he said that land in the Northern Region of Nigeria could not properly be described as </w:t>
      </w:r>
      <w:r w:rsidR="00FD108C">
        <w:rPr>
          <w:rFonts w:ascii="Times New Roman" w:hAnsi="Times New Roman" w:cs="Times New Roman"/>
          <w:sz w:val="24"/>
          <w:szCs w:val="24"/>
        </w:rPr>
        <w:t>“</w:t>
      </w:r>
      <w:r w:rsidR="00792AE3" w:rsidRPr="00BA4BC1">
        <w:rPr>
          <w:rFonts w:ascii="Times New Roman" w:hAnsi="Times New Roman" w:cs="Times New Roman"/>
          <w:sz w:val="24"/>
          <w:szCs w:val="24"/>
        </w:rPr>
        <w:t>native lands</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Where the Governor</w:t>
      </w:r>
      <w:r w:rsidR="00FD108C">
        <w:rPr>
          <w:rFonts w:ascii="Times New Roman" w:hAnsi="Times New Roman" w:cs="Times New Roman"/>
          <w:sz w:val="24"/>
          <w:szCs w:val="24"/>
        </w:rPr>
        <w:t>’</w:t>
      </w:r>
      <w:r w:rsidR="00792AE3" w:rsidRPr="00BA4BC1">
        <w:rPr>
          <w:rFonts w:ascii="Times New Roman" w:hAnsi="Times New Roman" w:cs="Times New Roman"/>
          <w:sz w:val="24"/>
          <w:szCs w:val="24"/>
        </w:rPr>
        <w:t>s consent was necessary to the validity of the native occupier</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xml:space="preserve">s title, the Governor had the right to demand rents, to nullify all </w:t>
      </w:r>
      <w:r w:rsidR="00247BFB" w:rsidRPr="00BA4BC1">
        <w:rPr>
          <w:rFonts w:ascii="Times New Roman" w:hAnsi="Times New Roman" w:cs="Times New Roman"/>
          <w:sz w:val="24"/>
          <w:szCs w:val="24"/>
        </w:rPr>
        <w:t>alienations without his approval and above all to revoke the right at will</w:t>
      </w:r>
      <w:r w:rsidR="00BA4BC1" w:rsidRPr="00BA4BC1">
        <w:rPr>
          <w:rFonts w:ascii="Times New Roman" w:hAnsi="Times New Roman" w:cs="Times New Roman"/>
          <w:sz w:val="24"/>
          <w:szCs w:val="24"/>
        </w:rPr>
        <w:t xml:space="preserve"> (Elias, 1971).</w:t>
      </w:r>
      <w:r w:rsidR="00247BFB" w:rsidRPr="00BA4BC1">
        <w:rPr>
          <w:rFonts w:ascii="Times New Roman" w:hAnsi="Times New Roman" w:cs="Times New Roman"/>
          <w:sz w:val="24"/>
          <w:szCs w:val="24"/>
        </w:rPr>
        <w:t xml:space="preserve"> The solution perhaps lies in removing the Local Government from the scheme and accept that this type of right is to continue to be dealt with by the </w:t>
      </w:r>
      <w:proofErr w:type="spellStart"/>
      <w:r w:rsidR="00247BFB" w:rsidRPr="00BA4BC1">
        <w:rPr>
          <w:rFonts w:ascii="Times New Roman" w:hAnsi="Times New Roman" w:cs="Times New Roman"/>
          <w:sz w:val="24"/>
          <w:szCs w:val="24"/>
        </w:rPr>
        <w:t>Obas</w:t>
      </w:r>
      <w:proofErr w:type="spellEnd"/>
      <w:r w:rsidR="00247BFB" w:rsidRPr="00BA4BC1">
        <w:rPr>
          <w:rFonts w:ascii="Times New Roman" w:hAnsi="Times New Roman" w:cs="Times New Roman"/>
          <w:sz w:val="24"/>
          <w:szCs w:val="24"/>
        </w:rPr>
        <w:t xml:space="preserve">, Obis, Chiefs and Heads of family as before the Act. This is so because, if customary right of occupancy is one that is enjoyed in accordance with customary law, then the customary law rule may continue to apply to such right which means that the right cannot be validly transferred without the consent of the </w:t>
      </w:r>
      <w:proofErr w:type="spellStart"/>
      <w:r w:rsidR="00247BFB" w:rsidRPr="00BA4BC1">
        <w:rPr>
          <w:rFonts w:ascii="Times New Roman" w:hAnsi="Times New Roman" w:cs="Times New Roman"/>
          <w:sz w:val="24"/>
          <w:szCs w:val="24"/>
        </w:rPr>
        <w:t>Obas</w:t>
      </w:r>
      <w:proofErr w:type="spellEnd"/>
      <w:r w:rsidR="00247BFB" w:rsidRPr="00BA4BC1">
        <w:rPr>
          <w:rFonts w:ascii="Times New Roman" w:hAnsi="Times New Roman" w:cs="Times New Roman"/>
          <w:sz w:val="24"/>
          <w:szCs w:val="24"/>
        </w:rPr>
        <w:t xml:space="preserve">, Obis, Chiefs and Heads of family as the case may be. </w:t>
      </w:r>
    </w:p>
    <w:p w14:paraId="096F0171" w14:textId="77777777" w:rsidR="001D2AF0" w:rsidRPr="00BA4BC1" w:rsidRDefault="001D2AF0" w:rsidP="00EB3EFA">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The problem created by Sections 34 and 36 of the Act is more pronounced in the relationship of the overlord and the customary tenant. Both, according to these sections, have vested interest in the land which is subject to customary tenancy. This position is further strengthened by the rule that neither of them could alienate the land without the consent of the other</w:t>
      </w:r>
      <w:r w:rsidR="00240AC3" w:rsidRPr="00BA4BC1">
        <w:rPr>
          <w:rFonts w:ascii="Times New Roman" w:hAnsi="Times New Roman" w:cs="Times New Roman"/>
          <w:sz w:val="24"/>
          <w:szCs w:val="24"/>
        </w:rPr>
        <w:t xml:space="preserve">. These provisions which simply provide that land is to continue to be held by the person in whom it was vested is not only ambiguous in the </w:t>
      </w:r>
      <w:r w:rsidR="00B8284F" w:rsidRPr="00BA4BC1">
        <w:rPr>
          <w:rFonts w:ascii="Times New Roman" w:hAnsi="Times New Roman" w:cs="Times New Roman"/>
          <w:sz w:val="24"/>
          <w:szCs w:val="24"/>
        </w:rPr>
        <w:t>sense that it does not tell us who of these persons under the customary land shall be entitled to the right of occupancy in the land, but is also dangerous since it has led to a lot of misconceptions and resultant warfare.</w:t>
      </w:r>
    </w:p>
    <w:p w14:paraId="029710EA" w14:textId="77777777" w:rsidR="00BA4BC1" w:rsidRPr="00BA4BC1" w:rsidRDefault="00BA4BC1" w:rsidP="00EB3EFA">
      <w:pPr>
        <w:pStyle w:val="ListParagraph"/>
        <w:spacing w:after="0" w:line="240" w:lineRule="auto"/>
        <w:ind w:left="0"/>
        <w:jc w:val="both"/>
        <w:rPr>
          <w:rFonts w:ascii="Times New Roman" w:hAnsi="Times New Roman" w:cs="Times New Roman"/>
          <w:sz w:val="24"/>
          <w:szCs w:val="24"/>
        </w:rPr>
      </w:pPr>
    </w:p>
    <w:p w14:paraId="787091B5" w14:textId="77777777" w:rsidR="00B8284F" w:rsidRPr="00BA4BC1" w:rsidRDefault="00B8284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b/>
          <w:sz w:val="24"/>
          <w:szCs w:val="24"/>
        </w:rPr>
        <w:t>CONCLUSION AND RECOMMENDATION</w:t>
      </w:r>
    </w:p>
    <w:p w14:paraId="1192CF82" w14:textId="77777777" w:rsidR="004E3C25" w:rsidRPr="00BA4BC1" w:rsidRDefault="00B8284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 Land Use Act and</w:t>
      </w:r>
      <w:r w:rsidR="00E95683" w:rsidRPr="00BA4BC1">
        <w:rPr>
          <w:rFonts w:ascii="Times New Roman" w:hAnsi="Times New Roman" w:cs="Times New Roman"/>
          <w:sz w:val="24"/>
          <w:szCs w:val="24"/>
        </w:rPr>
        <w:t xml:space="preserve"> Customary</w:t>
      </w:r>
      <w:r w:rsidRPr="00BA4BC1">
        <w:rPr>
          <w:rFonts w:ascii="Times New Roman" w:hAnsi="Times New Roman" w:cs="Times New Roman"/>
          <w:sz w:val="24"/>
          <w:szCs w:val="24"/>
        </w:rPr>
        <w:t xml:space="preserve"> Land owner have a lot in common. They </w:t>
      </w:r>
      <w:r w:rsidR="004E3C25" w:rsidRPr="00BA4BC1">
        <w:rPr>
          <w:rFonts w:ascii="Times New Roman" w:hAnsi="Times New Roman" w:cs="Times New Roman"/>
          <w:sz w:val="24"/>
          <w:szCs w:val="24"/>
        </w:rPr>
        <w:t>are complimentary to each other. Nothing has changed except that the Land Use Act fortified the customary tenure for better</w:t>
      </w:r>
      <w:r w:rsidR="00E95683" w:rsidRPr="00BA4BC1">
        <w:rPr>
          <w:rFonts w:ascii="Times New Roman" w:hAnsi="Times New Roman" w:cs="Times New Roman"/>
          <w:sz w:val="24"/>
          <w:szCs w:val="24"/>
        </w:rPr>
        <w:t>.</w:t>
      </w:r>
      <w:r w:rsidR="00BA4BC1" w:rsidRPr="00BA4BC1">
        <w:rPr>
          <w:rFonts w:ascii="Times New Roman" w:hAnsi="Times New Roman" w:cs="Times New Roman"/>
          <w:sz w:val="24"/>
          <w:szCs w:val="24"/>
        </w:rPr>
        <w:t xml:space="preserve"> </w:t>
      </w:r>
      <w:r w:rsidR="00E95683" w:rsidRPr="00BA4BC1">
        <w:rPr>
          <w:rFonts w:ascii="Times New Roman" w:hAnsi="Times New Roman" w:cs="Times New Roman"/>
          <w:sz w:val="24"/>
          <w:szCs w:val="24"/>
        </w:rPr>
        <w:t>I</w:t>
      </w:r>
      <w:r w:rsidR="004E3C25" w:rsidRPr="00BA4BC1">
        <w:rPr>
          <w:rFonts w:ascii="Times New Roman" w:hAnsi="Times New Roman" w:cs="Times New Roman"/>
          <w:sz w:val="24"/>
          <w:szCs w:val="24"/>
        </w:rPr>
        <w:t xml:space="preserve">n the Southern States the delays in the grant of certificate of occupancy and consent are the </w:t>
      </w:r>
      <w:r w:rsidR="00BA4BC1" w:rsidRPr="00BA4BC1">
        <w:rPr>
          <w:rFonts w:ascii="Times New Roman" w:hAnsi="Times New Roman" w:cs="Times New Roman"/>
          <w:sz w:val="24"/>
          <w:szCs w:val="24"/>
        </w:rPr>
        <w:t xml:space="preserve">noticeable changes. </w:t>
      </w:r>
      <w:r w:rsidR="004E3C25" w:rsidRPr="00BA4BC1">
        <w:rPr>
          <w:rFonts w:ascii="Times New Roman" w:hAnsi="Times New Roman" w:cs="Times New Roman"/>
          <w:sz w:val="24"/>
          <w:szCs w:val="24"/>
        </w:rPr>
        <w:t>The Act no doubt is inelegantly drafted. The Act is silent on the question of consent with respect to the holder of deemed statutory right of occupancy under Section 34. It took the intervention of the Supreme Court applying the policy and object of the Act to hold</w:t>
      </w:r>
      <w:r w:rsidR="00B1562D" w:rsidRPr="00BA4BC1">
        <w:rPr>
          <w:rFonts w:ascii="Times New Roman" w:hAnsi="Times New Roman" w:cs="Times New Roman"/>
          <w:sz w:val="24"/>
          <w:szCs w:val="24"/>
        </w:rPr>
        <w:t xml:space="preserve"> that Section 22 applies to holders of right of occupancy expressly granted by the governor as well as to those deemed granted under the transition provision.</w:t>
      </w:r>
    </w:p>
    <w:p w14:paraId="482F7748" w14:textId="77777777" w:rsidR="00B1562D" w:rsidRPr="00BA4BC1" w:rsidRDefault="00B1562D"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same problem is caused by indiscriminate use of the word </w:t>
      </w:r>
      <w:r w:rsidR="00FD108C">
        <w:rPr>
          <w:rFonts w:ascii="Times New Roman" w:hAnsi="Times New Roman" w:cs="Times New Roman"/>
          <w:sz w:val="24"/>
          <w:szCs w:val="24"/>
        </w:rPr>
        <w:t>“</w:t>
      </w:r>
      <w:r w:rsidRPr="00BA4BC1">
        <w:rPr>
          <w:rFonts w:ascii="Times New Roman" w:hAnsi="Times New Roman" w:cs="Times New Roman"/>
          <w:sz w:val="24"/>
          <w:szCs w:val="24"/>
        </w:rPr>
        <w:t>holder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Pr="00BA4BC1">
        <w:rPr>
          <w:rFonts w:ascii="Times New Roman" w:hAnsi="Times New Roman" w:cs="Times New Roman"/>
          <w:sz w:val="24"/>
          <w:szCs w:val="24"/>
        </w:rPr>
        <w:t>occupier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in Section 36(2) and (3) of the Act</w:t>
      </w:r>
      <w:r w:rsidR="004564E6" w:rsidRPr="00BA4BC1">
        <w:rPr>
          <w:rFonts w:ascii="Times New Roman" w:hAnsi="Times New Roman" w:cs="Times New Roman"/>
          <w:sz w:val="24"/>
          <w:szCs w:val="24"/>
        </w:rPr>
        <w:t xml:space="preserve">. This created a lot of problems in the interpretation of that Section in the case of </w:t>
      </w:r>
      <w:proofErr w:type="spellStart"/>
      <w:r w:rsidR="004564E6" w:rsidRPr="00BA4BC1">
        <w:rPr>
          <w:rFonts w:ascii="Times New Roman" w:hAnsi="Times New Roman" w:cs="Times New Roman"/>
          <w:b/>
          <w:i/>
          <w:sz w:val="24"/>
          <w:szCs w:val="24"/>
        </w:rPr>
        <w:t>Abioye</w:t>
      </w:r>
      <w:proofErr w:type="spellEnd"/>
      <w:r w:rsidR="004564E6" w:rsidRPr="00BA4BC1">
        <w:rPr>
          <w:rFonts w:ascii="Times New Roman" w:hAnsi="Times New Roman" w:cs="Times New Roman"/>
          <w:b/>
          <w:i/>
          <w:sz w:val="24"/>
          <w:szCs w:val="24"/>
        </w:rPr>
        <w:t xml:space="preserve"> v. Yakubu. </w:t>
      </w:r>
      <w:r w:rsidR="004564E6" w:rsidRPr="00BA4BC1">
        <w:rPr>
          <w:rFonts w:ascii="Times New Roman" w:hAnsi="Times New Roman" w:cs="Times New Roman"/>
          <w:sz w:val="24"/>
          <w:szCs w:val="24"/>
        </w:rPr>
        <w:t xml:space="preserve">We therefore share the view of </w:t>
      </w:r>
      <w:proofErr w:type="spellStart"/>
      <w:r w:rsidR="004564E6" w:rsidRPr="00BA4BC1">
        <w:rPr>
          <w:rFonts w:ascii="Times New Roman" w:hAnsi="Times New Roman" w:cs="Times New Roman"/>
          <w:sz w:val="24"/>
          <w:szCs w:val="24"/>
        </w:rPr>
        <w:t>Olatawura</w:t>
      </w:r>
      <w:proofErr w:type="spellEnd"/>
      <w:r w:rsidR="004564E6" w:rsidRPr="00BA4BC1">
        <w:rPr>
          <w:rFonts w:ascii="Times New Roman" w:hAnsi="Times New Roman" w:cs="Times New Roman"/>
          <w:sz w:val="24"/>
          <w:szCs w:val="24"/>
        </w:rPr>
        <w:t xml:space="preserve"> JSC (as he then was) when he said that:</w:t>
      </w:r>
    </w:p>
    <w:p w14:paraId="5FFFE2D1" w14:textId="77777777" w:rsidR="004564E6" w:rsidRPr="00BA4BC1" w:rsidRDefault="00FD108C" w:rsidP="00BA4BC1">
      <w:pPr>
        <w:pStyle w:val="ListParagraph"/>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sidR="004564E6" w:rsidRPr="00BA4BC1">
        <w:rPr>
          <w:rFonts w:ascii="Times New Roman" w:hAnsi="Times New Roman" w:cs="Times New Roman"/>
          <w:sz w:val="24"/>
          <w:szCs w:val="24"/>
        </w:rPr>
        <w:t xml:space="preserve">It is to be noted that opinions are still divided on the correct interpretation of Section 36(2) and </w:t>
      </w:r>
      <w:r w:rsidR="007B5B1F" w:rsidRPr="00BA4BC1">
        <w:rPr>
          <w:rFonts w:ascii="Times New Roman" w:hAnsi="Times New Roman" w:cs="Times New Roman"/>
          <w:sz w:val="24"/>
          <w:szCs w:val="24"/>
        </w:rPr>
        <w:t xml:space="preserve">(3) of the Act. This is not unexpected… to save money and </w:t>
      </w:r>
      <w:r w:rsidR="007B5B1F" w:rsidRPr="00BA4BC1">
        <w:rPr>
          <w:rFonts w:ascii="Times New Roman" w:hAnsi="Times New Roman" w:cs="Times New Roman"/>
          <w:sz w:val="24"/>
          <w:szCs w:val="24"/>
        </w:rPr>
        <w:lastRenderedPageBreak/>
        <w:t xml:space="preserve">time, the time has now come for a </w:t>
      </w:r>
      <w:r w:rsidR="00BA4BC1" w:rsidRPr="00BA4BC1">
        <w:rPr>
          <w:rFonts w:ascii="Times New Roman" w:hAnsi="Times New Roman" w:cs="Times New Roman"/>
          <w:sz w:val="24"/>
          <w:szCs w:val="24"/>
        </w:rPr>
        <w:t>comprehensive review of the Act</w:t>
      </w:r>
      <w:r>
        <w:rPr>
          <w:rFonts w:ascii="Times New Roman" w:hAnsi="Times New Roman" w:cs="Times New Roman"/>
          <w:sz w:val="24"/>
          <w:szCs w:val="24"/>
        </w:rPr>
        <w:t>”</w:t>
      </w:r>
      <w:r w:rsidR="00BA4BC1" w:rsidRPr="00BA4BC1">
        <w:rPr>
          <w:rFonts w:ascii="Times New Roman" w:hAnsi="Times New Roman" w:cs="Times New Roman"/>
          <w:sz w:val="24"/>
          <w:szCs w:val="24"/>
        </w:rPr>
        <w:t xml:space="preserve"> (</w:t>
      </w:r>
      <w:proofErr w:type="spellStart"/>
      <w:r w:rsidR="00BA4BC1" w:rsidRPr="00BA4BC1">
        <w:rPr>
          <w:rFonts w:ascii="Times New Roman" w:hAnsi="Times New Roman" w:cs="Times New Roman"/>
          <w:color w:val="222222"/>
          <w:sz w:val="24"/>
          <w:szCs w:val="24"/>
          <w:shd w:val="clear" w:color="auto" w:fill="FFFFFF"/>
        </w:rPr>
        <w:t>Sholanke</w:t>
      </w:r>
      <w:proofErr w:type="spellEnd"/>
      <w:r w:rsidR="00BA4BC1" w:rsidRPr="00BA4BC1">
        <w:rPr>
          <w:rFonts w:ascii="Times New Roman" w:hAnsi="Times New Roman" w:cs="Times New Roman"/>
          <w:color w:val="222222"/>
          <w:sz w:val="24"/>
          <w:szCs w:val="24"/>
          <w:shd w:val="clear" w:color="auto" w:fill="FFFFFF"/>
        </w:rPr>
        <w:t>, 1992).</w:t>
      </w:r>
    </w:p>
    <w:p w14:paraId="76AD47B6" w14:textId="77777777" w:rsidR="007B5B1F" w:rsidRPr="00BA4BC1" w:rsidRDefault="007B5B1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Suffice it to say that the Act is about, the most controversial piece of legislation in the country today. For it cannot be doubted that the Land Use Act attempts a reversal of the culture of the people wh</w:t>
      </w:r>
      <w:r w:rsidR="00BA4BC1" w:rsidRPr="00BA4BC1">
        <w:rPr>
          <w:rFonts w:ascii="Times New Roman" w:hAnsi="Times New Roman" w:cs="Times New Roman"/>
          <w:sz w:val="24"/>
          <w:szCs w:val="24"/>
        </w:rPr>
        <w:t xml:space="preserve">o are subject to customary law. </w:t>
      </w:r>
      <w:r w:rsidRPr="00BA4BC1">
        <w:rPr>
          <w:rFonts w:ascii="Times New Roman" w:hAnsi="Times New Roman" w:cs="Times New Roman"/>
          <w:sz w:val="24"/>
          <w:szCs w:val="24"/>
        </w:rPr>
        <w:t xml:space="preserve">The Act seeks to undermine the position of the head of family, the </w:t>
      </w:r>
      <w:proofErr w:type="spellStart"/>
      <w:r w:rsidRPr="00BA4BC1">
        <w:rPr>
          <w:rFonts w:ascii="Times New Roman" w:hAnsi="Times New Roman" w:cs="Times New Roman"/>
          <w:sz w:val="24"/>
          <w:szCs w:val="24"/>
        </w:rPr>
        <w:t>obas</w:t>
      </w:r>
      <w:proofErr w:type="spellEnd"/>
      <w:r w:rsidRPr="00BA4BC1">
        <w:rPr>
          <w:rFonts w:ascii="Times New Roman" w:hAnsi="Times New Roman" w:cs="Times New Roman"/>
          <w:sz w:val="24"/>
          <w:szCs w:val="24"/>
        </w:rPr>
        <w:t>, obis and others who from time immemorial have enjoyed a special position in relation to their people and are seen by their customs as trustees, in relation to them as regards the issue of land. If the Act is to be given the full effect, it may mean the end of the concept of family ownership, customary tenancy, pledge and the like</w:t>
      </w:r>
      <w:r w:rsidR="007A3FFA" w:rsidRPr="00BA4BC1">
        <w:rPr>
          <w:rFonts w:ascii="Times New Roman" w:hAnsi="Times New Roman" w:cs="Times New Roman"/>
          <w:sz w:val="24"/>
          <w:szCs w:val="24"/>
        </w:rPr>
        <w:t xml:space="preserve">. A property legislation need not wipe away the culture of the people overnight in order to achieve social goals. </w:t>
      </w:r>
    </w:p>
    <w:p w14:paraId="70A4FE83" w14:textId="77777777" w:rsidR="007A3FFA" w:rsidRPr="00BA4BC1" w:rsidRDefault="007A3FFA"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From what we have seen so far, an immediate review of the Act is the only answer. To this effect, the Act should be treated as a draft legislation on property law. The following matters must be urgently looked into with the intention to review and amend the Act.</w:t>
      </w:r>
    </w:p>
    <w:p w14:paraId="04C4C8ED" w14:textId="77777777"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relationship of the overlord and the customary tenant in relation to land subject to customary tenancy.</w:t>
      </w:r>
    </w:p>
    <w:p w14:paraId="0C5CDDC7" w14:textId="77777777"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Clarification of the provisions in Section 36 of the Land Use Act relating to the Land in non-urban area.</w:t>
      </w:r>
    </w:p>
    <w:p w14:paraId="61B4DF2D" w14:textId="77777777"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half-hectare rule in so far as it affects communal land and family property. </w:t>
      </w:r>
    </w:p>
    <w:p w14:paraId="72E2B0EA" w14:textId="77777777"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Consent provisions </w:t>
      </w:r>
      <w:r w:rsidR="008D6B24" w:rsidRPr="00BA4BC1">
        <w:rPr>
          <w:rFonts w:ascii="Times New Roman" w:hAnsi="Times New Roman" w:cs="Times New Roman"/>
          <w:sz w:val="24"/>
          <w:szCs w:val="24"/>
        </w:rPr>
        <w:t>in</w:t>
      </w:r>
      <w:r w:rsidR="00297F30" w:rsidRPr="00BA4BC1">
        <w:rPr>
          <w:rFonts w:ascii="Times New Roman" w:hAnsi="Times New Roman" w:cs="Times New Roman"/>
          <w:sz w:val="24"/>
          <w:szCs w:val="24"/>
        </w:rPr>
        <w:t xml:space="preserve"> the </w:t>
      </w:r>
      <w:r w:rsidRPr="00BA4BC1">
        <w:rPr>
          <w:rFonts w:ascii="Times New Roman" w:hAnsi="Times New Roman" w:cs="Times New Roman"/>
          <w:sz w:val="24"/>
          <w:szCs w:val="24"/>
        </w:rPr>
        <w:t>Act must be reviewed.</w:t>
      </w:r>
    </w:p>
    <w:p w14:paraId="7DA9EC9A" w14:textId="77777777"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5(2) must be reviewed because it can lead to absurdity especially in view of the revocation power contained in the Act.</w:t>
      </w:r>
    </w:p>
    <w:p w14:paraId="7AE6C9DA" w14:textId="77777777"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36(6) should be removed immediately since it negates the principle of communal ownership or family ownership by providing that a customary right of occupancy arising under the section cannot be transferred at all or even partitioned. Although, we all know that where such right</w:t>
      </w:r>
      <w:r w:rsidR="00DC40CA" w:rsidRPr="00BA4BC1">
        <w:rPr>
          <w:rFonts w:ascii="Times New Roman" w:hAnsi="Times New Roman" w:cs="Times New Roman"/>
          <w:sz w:val="24"/>
          <w:szCs w:val="24"/>
        </w:rPr>
        <w:t>,</w:t>
      </w:r>
      <w:r w:rsidRPr="00BA4BC1">
        <w:rPr>
          <w:rFonts w:ascii="Times New Roman" w:hAnsi="Times New Roman" w:cs="Times New Roman"/>
          <w:sz w:val="24"/>
          <w:szCs w:val="24"/>
        </w:rPr>
        <w:t xml:space="preserve"> if held by the community or family, a fact which the Act itself accepts, the only way a member of the community or family can claim a distinct interest in the right of occupancy is through partition of the right, gifts or sale under customary law.</w:t>
      </w:r>
    </w:p>
    <w:p w14:paraId="02DA9E6B" w14:textId="77777777" w:rsidR="00036864" w:rsidRPr="00BA4BC1" w:rsidRDefault="00036864" w:rsidP="00EB3EFA">
      <w:pPr>
        <w:pStyle w:val="ListParagraph"/>
        <w:spacing w:after="0" w:line="240" w:lineRule="auto"/>
        <w:ind w:left="90"/>
        <w:jc w:val="both"/>
        <w:rPr>
          <w:rFonts w:ascii="Times New Roman" w:hAnsi="Times New Roman" w:cs="Times New Roman"/>
          <w:sz w:val="24"/>
          <w:szCs w:val="24"/>
        </w:rPr>
      </w:pPr>
    </w:p>
    <w:p w14:paraId="17FC29D8" w14:textId="77777777" w:rsidR="00FD108C" w:rsidRPr="00FD108C" w:rsidRDefault="00BA4BC1" w:rsidP="00FD108C">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REFERENCES</w:t>
      </w:r>
    </w:p>
    <w:p w14:paraId="3FDDF513"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Adefi</w:t>
      </w:r>
      <w:proofErr w:type="spellEnd"/>
      <w:r w:rsidRPr="00FD108C">
        <w:rPr>
          <w:rFonts w:ascii="Times New Roman" w:hAnsi="Times New Roman" w:cs="Times New Roman"/>
          <w:color w:val="222222"/>
          <w:sz w:val="24"/>
          <w:szCs w:val="24"/>
          <w:shd w:val="clear" w:color="auto" w:fill="FFFFFF"/>
        </w:rPr>
        <w:t>, O. M. (2011). Modern Corporate Responsibility and the Doctrine of Lifting the Veil-A Desideratum. </w:t>
      </w:r>
      <w:r w:rsidRPr="00FD108C">
        <w:rPr>
          <w:rFonts w:ascii="Times New Roman" w:hAnsi="Times New Roman" w:cs="Times New Roman"/>
          <w:i/>
          <w:iCs/>
          <w:color w:val="222222"/>
          <w:sz w:val="24"/>
          <w:szCs w:val="24"/>
          <w:shd w:val="clear" w:color="auto" w:fill="FFFFFF"/>
        </w:rPr>
        <w:t>Nigerian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15</w:t>
      </w:r>
      <w:r w:rsidRPr="00FD108C">
        <w:rPr>
          <w:rFonts w:ascii="Times New Roman" w:hAnsi="Times New Roman" w:cs="Times New Roman"/>
          <w:color w:val="222222"/>
          <w:sz w:val="24"/>
          <w:szCs w:val="24"/>
          <w:shd w:val="clear" w:color="auto" w:fill="FFFFFF"/>
        </w:rPr>
        <w:t>, 114.</w:t>
      </w:r>
    </w:p>
    <w:p w14:paraId="410FADD3"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Burns, R. P. (1985). Blackstone</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 Theory of the Absolute Rights of Property. </w:t>
      </w:r>
      <w:r w:rsidRPr="00FD108C">
        <w:rPr>
          <w:rFonts w:ascii="Times New Roman" w:hAnsi="Times New Roman" w:cs="Times New Roman"/>
          <w:i/>
          <w:iCs/>
          <w:color w:val="222222"/>
          <w:sz w:val="24"/>
          <w:szCs w:val="24"/>
          <w:shd w:val="clear" w:color="auto" w:fill="FFFFFF"/>
        </w:rPr>
        <w:t xml:space="preserve">U. </w:t>
      </w:r>
      <w:proofErr w:type="spellStart"/>
      <w:r w:rsidRPr="00FD108C">
        <w:rPr>
          <w:rFonts w:ascii="Times New Roman" w:hAnsi="Times New Roman" w:cs="Times New Roman"/>
          <w:i/>
          <w:iCs/>
          <w:color w:val="222222"/>
          <w:sz w:val="24"/>
          <w:szCs w:val="24"/>
          <w:shd w:val="clear" w:color="auto" w:fill="FFFFFF"/>
        </w:rPr>
        <w:t>Cin</w:t>
      </w:r>
      <w:proofErr w:type="spellEnd"/>
      <w:r w:rsidRPr="00FD108C">
        <w:rPr>
          <w:rFonts w:ascii="Times New Roman" w:hAnsi="Times New Roman" w:cs="Times New Roman"/>
          <w:i/>
          <w:iCs/>
          <w:color w:val="222222"/>
          <w:sz w:val="24"/>
          <w:szCs w:val="24"/>
          <w:shd w:val="clear" w:color="auto" w:fill="FFFFFF"/>
        </w:rPr>
        <w:t>. L. Rev.</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54</w:t>
      </w:r>
      <w:r w:rsidRPr="00FD108C">
        <w:rPr>
          <w:rFonts w:ascii="Times New Roman" w:hAnsi="Times New Roman" w:cs="Times New Roman"/>
          <w:color w:val="222222"/>
          <w:sz w:val="24"/>
          <w:szCs w:val="24"/>
          <w:shd w:val="clear" w:color="auto" w:fill="FFFFFF"/>
        </w:rPr>
        <w:t>, 67.</w:t>
      </w:r>
    </w:p>
    <w:p w14:paraId="118C3BEA"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Chigbo</w:t>
      </w:r>
      <w:proofErr w:type="spellEnd"/>
      <w:r w:rsidRPr="00FD108C">
        <w:rPr>
          <w:rFonts w:ascii="Times New Roman" w:hAnsi="Times New Roman" w:cs="Times New Roman"/>
          <w:color w:val="222222"/>
          <w:sz w:val="24"/>
          <w:szCs w:val="24"/>
          <w:shd w:val="clear" w:color="auto" w:fill="FFFFFF"/>
        </w:rPr>
        <w:t>, C. C. (2013). The nature of land ownership and the protection of the purchaser. </w:t>
      </w:r>
      <w:r w:rsidRPr="00FD108C">
        <w:rPr>
          <w:rFonts w:ascii="Times New Roman" w:hAnsi="Times New Roman" w:cs="Times New Roman"/>
          <w:i/>
          <w:iCs/>
          <w:color w:val="222222"/>
          <w:sz w:val="24"/>
          <w:szCs w:val="24"/>
          <w:shd w:val="clear" w:color="auto" w:fill="FFFFFF"/>
        </w:rPr>
        <w:t>Journal of Sustainable Development Law and Policy (The)</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w:t>
      </w:r>
      <w:r w:rsidRPr="00FD108C">
        <w:rPr>
          <w:rFonts w:ascii="Times New Roman" w:hAnsi="Times New Roman" w:cs="Times New Roman"/>
          <w:color w:val="222222"/>
          <w:sz w:val="24"/>
          <w:szCs w:val="24"/>
          <w:shd w:val="clear" w:color="auto" w:fill="FFFFFF"/>
        </w:rPr>
        <w:t>(1), 1-20.</w:t>
      </w:r>
    </w:p>
    <w:p w14:paraId="4BE345B1"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Dore, R. (2013). </w:t>
      </w:r>
      <w:r w:rsidRPr="00FD108C">
        <w:rPr>
          <w:rFonts w:ascii="Times New Roman" w:hAnsi="Times New Roman" w:cs="Times New Roman"/>
          <w:i/>
          <w:iCs/>
          <w:color w:val="222222"/>
          <w:sz w:val="24"/>
          <w:szCs w:val="24"/>
          <w:shd w:val="clear" w:color="auto" w:fill="FFFFFF"/>
        </w:rPr>
        <w:t>Land reform in Japan</w:t>
      </w:r>
      <w:r w:rsidRPr="00FD108C">
        <w:rPr>
          <w:rFonts w:ascii="Times New Roman" w:hAnsi="Times New Roman" w:cs="Times New Roman"/>
          <w:color w:val="222222"/>
          <w:sz w:val="24"/>
          <w:szCs w:val="24"/>
          <w:shd w:val="clear" w:color="auto" w:fill="FFFFFF"/>
        </w:rPr>
        <w:t>. A&amp;C Black.</w:t>
      </w:r>
    </w:p>
    <w:p w14:paraId="68F56E4A" w14:textId="77777777" w:rsidR="00FD108C" w:rsidRPr="0059455E" w:rsidRDefault="00FD108C" w:rsidP="00FD108C">
      <w:pPr>
        <w:spacing w:after="0" w:line="240" w:lineRule="auto"/>
        <w:ind w:left="720" w:hanging="720"/>
        <w:rPr>
          <w:rFonts w:ascii="Times New Roman" w:eastAsia="Times New Roman" w:hAnsi="Times New Roman" w:cs="Times New Roman"/>
          <w:color w:val="000000" w:themeColor="text1"/>
          <w:sz w:val="24"/>
          <w:szCs w:val="24"/>
        </w:rPr>
      </w:pPr>
      <w:r w:rsidRPr="0059455E">
        <w:rPr>
          <w:rFonts w:ascii="Times New Roman" w:eastAsia="Times New Roman" w:hAnsi="Times New Roman" w:cs="Times New Roman"/>
          <w:color w:val="000000" w:themeColor="text1"/>
          <w:sz w:val="20"/>
          <w:szCs w:val="20"/>
        </w:rPr>
        <w:t>Dorothy</w:t>
      </w:r>
      <w:r w:rsidRPr="00FD108C">
        <w:rPr>
          <w:rFonts w:ascii="Times New Roman" w:hAnsi="Times New Roman" w:cs="Times New Roman"/>
          <w:color w:val="000000" w:themeColor="text1"/>
          <w:sz w:val="20"/>
          <w:szCs w:val="20"/>
          <w:shd w:val="clear" w:color="auto" w:fill="FFFFFF"/>
        </w:rPr>
        <w:t xml:space="preserve">, N., &amp; </w:t>
      </w: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(2012). </w:t>
      </w:r>
      <w:hyperlink r:id="rId12" w:history="1">
        <w:r w:rsidRPr="00FD108C">
          <w:rPr>
            <w:rFonts w:ascii="Times New Roman" w:eastAsia="Times New Roman" w:hAnsi="Times New Roman" w:cs="Times New Roman"/>
            <w:color w:val="000000" w:themeColor="text1"/>
            <w:sz w:val="24"/>
            <w:szCs w:val="24"/>
            <w:shd w:val="clear" w:color="auto" w:fill="FFFFFF"/>
          </w:rPr>
          <w:t>Guarantee as a Secured Credit Instrument in Contemporary Business Climate</w:t>
        </w:r>
      </w:hyperlink>
      <w:r w:rsidRPr="00FD108C">
        <w:rPr>
          <w:rFonts w:ascii="Times New Roman" w:eastAsia="Times New Roman" w:hAnsi="Times New Roman" w:cs="Times New Roman"/>
          <w:color w:val="000000" w:themeColor="text1"/>
          <w:sz w:val="24"/>
          <w:szCs w:val="24"/>
        </w:rPr>
        <w:t xml:space="preserve">. </w:t>
      </w:r>
      <w:r w:rsidRPr="0059455E">
        <w:rPr>
          <w:rFonts w:ascii="Times New Roman" w:eastAsia="Times New Roman" w:hAnsi="Times New Roman" w:cs="Times New Roman"/>
          <w:i/>
          <w:color w:val="000000" w:themeColor="text1"/>
          <w:sz w:val="20"/>
          <w:szCs w:val="20"/>
        </w:rPr>
        <w:t>UNIUYO Journal</w:t>
      </w:r>
      <w:r w:rsidRPr="00FD108C">
        <w:rPr>
          <w:rFonts w:ascii="Times New Roman" w:eastAsia="Times New Roman" w:hAnsi="Times New Roman" w:cs="Times New Roman"/>
          <w:i/>
          <w:color w:val="000000" w:themeColor="text1"/>
          <w:sz w:val="20"/>
          <w:szCs w:val="20"/>
        </w:rPr>
        <w:t xml:space="preserve"> of Commercial and Property Law, </w:t>
      </w:r>
      <w:r w:rsidRPr="0059455E">
        <w:rPr>
          <w:rFonts w:ascii="Times New Roman" w:eastAsia="Times New Roman" w:hAnsi="Times New Roman" w:cs="Times New Roman"/>
          <w:i/>
          <w:color w:val="000000" w:themeColor="text1"/>
          <w:sz w:val="20"/>
          <w:szCs w:val="20"/>
        </w:rPr>
        <w:t>3</w:t>
      </w:r>
      <w:r w:rsidRPr="0059455E">
        <w:rPr>
          <w:rFonts w:ascii="Times New Roman" w:eastAsia="Times New Roman" w:hAnsi="Times New Roman" w:cs="Times New Roman"/>
          <w:color w:val="000000" w:themeColor="text1"/>
          <w:sz w:val="20"/>
          <w:szCs w:val="20"/>
        </w:rPr>
        <w:t>(1), 191-204</w:t>
      </w:r>
    </w:p>
    <w:p w14:paraId="2A9508AA" w14:textId="77777777" w:rsidR="00FD108C" w:rsidRPr="00FD108C" w:rsidRDefault="00FD108C" w:rsidP="00FD108C">
      <w:pPr>
        <w:pStyle w:val="FootnoteText"/>
        <w:ind w:left="720" w:hanging="720"/>
        <w:contextualSpacing/>
        <w:jc w:val="both"/>
        <w:rPr>
          <w:rFonts w:ascii="Times New Roman" w:hAnsi="Times New Roman" w:cs="Times New Roman"/>
          <w:sz w:val="24"/>
          <w:szCs w:val="24"/>
        </w:rPr>
      </w:pPr>
      <w:r w:rsidRPr="00FD108C">
        <w:rPr>
          <w:rFonts w:ascii="Times New Roman" w:hAnsi="Times New Roman" w:cs="Times New Roman"/>
          <w:sz w:val="24"/>
          <w:szCs w:val="24"/>
        </w:rPr>
        <w:t>Elias, T. O. (1971). Nigerian land law. Sweet &amp; Maxwell.</w:t>
      </w:r>
    </w:p>
    <w:p w14:paraId="327A3E4C"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Elias, T. O. (1977). </w:t>
      </w:r>
      <w:r w:rsidRPr="00FD108C">
        <w:rPr>
          <w:rFonts w:ascii="Times New Roman" w:hAnsi="Times New Roman" w:cs="Times New Roman"/>
          <w:i/>
          <w:iCs/>
          <w:color w:val="222222"/>
          <w:sz w:val="24"/>
          <w:szCs w:val="24"/>
          <w:shd w:val="clear" w:color="auto" w:fill="FFFFFF"/>
        </w:rPr>
        <w:t>The judicial process in commonwealth Africa</w:t>
      </w:r>
      <w:r w:rsidRPr="00FD108C">
        <w:rPr>
          <w:rFonts w:ascii="Times New Roman" w:hAnsi="Times New Roman" w:cs="Times New Roman"/>
          <w:color w:val="222222"/>
          <w:sz w:val="24"/>
          <w:szCs w:val="24"/>
          <w:shd w:val="clear" w:color="auto" w:fill="FFFFFF"/>
        </w:rPr>
        <w:t>. University of Ghana, Legon.</w:t>
      </w:r>
    </w:p>
    <w:p w14:paraId="16B4A99A"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Fekumo</w:t>
      </w:r>
      <w:proofErr w:type="spellEnd"/>
      <w:r w:rsidRPr="00FD108C">
        <w:rPr>
          <w:rFonts w:ascii="Times New Roman" w:hAnsi="Times New Roman" w:cs="Times New Roman"/>
          <w:color w:val="222222"/>
          <w:sz w:val="24"/>
          <w:szCs w:val="24"/>
          <w:shd w:val="clear" w:color="auto" w:fill="FFFFFF"/>
        </w:rPr>
        <w:t>, J. F. (2002). </w:t>
      </w:r>
      <w:r w:rsidRPr="00FD108C">
        <w:rPr>
          <w:rFonts w:ascii="Times New Roman" w:hAnsi="Times New Roman" w:cs="Times New Roman"/>
          <w:i/>
          <w:iCs/>
          <w:color w:val="222222"/>
          <w:sz w:val="24"/>
          <w:szCs w:val="24"/>
          <w:shd w:val="clear" w:color="auto" w:fill="FFFFFF"/>
        </w:rPr>
        <w:t>Principles of Nigerian customary land law</w:t>
      </w:r>
      <w:r w:rsidRPr="00FD108C">
        <w:rPr>
          <w:rFonts w:ascii="Times New Roman" w:hAnsi="Times New Roman" w:cs="Times New Roman"/>
          <w:color w:val="222222"/>
          <w:sz w:val="24"/>
          <w:szCs w:val="24"/>
          <w:shd w:val="clear" w:color="auto" w:fill="FFFFFF"/>
        </w:rPr>
        <w:t>. F &amp; F Publishers.</w:t>
      </w:r>
    </w:p>
    <w:p w14:paraId="2BDB3111"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 xml:space="preserve">Godden, L., &amp; </w:t>
      </w:r>
      <w:proofErr w:type="spellStart"/>
      <w:r w:rsidRPr="00FD108C">
        <w:rPr>
          <w:rFonts w:ascii="Times New Roman" w:hAnsi="Times New Roman" w:cs="Times New Roman"/>
          <w:color w:val="222222"/>
          <w:sz w:val="24"/>
          <w:szCs w:val="24"/>
          <w:shd w:val="clear" w:color="auto" w:fill="FFFFFF"/>
        </w:rPr>
        <w:t>Tehan</w:t>
      </w:r>
      <w:proofErr w:type="spellEnd"/>
      <w:r w:rsidRPr="00FD108C">
        <w:rPr>
          <w:rFonts w:ascii="Times New Roman" w:hAnsi="Times New Roman" w:cs="Times New Roman"/>
          <w:color w:val="222222"/>
          <w:sz w:val="24"/>
          <w:szCs w:val="24"/>
          <w:shd w:val="clear" w:color="auto" w:fill="FFFFFF"/>
        </w:rPr>
        <w:t>, M. (Eds.). (2010). </w:t>
      </w:r>
      <w:r w:rsidRPr="00FD108C">
        <w:rPr>
          <w:rFonts w:ascii="Times New Roman" w:hAnsi="Times New Roman" w:cs="Times New Roman"/>
          <w:i/>
          <w:iCs/>
          <w:color w:val="222222"/>
          <w:sz w:val="24"/>
          <w:szCs w:val="24"/>
          <w:shd w:val="clear" w:color="auto" w:fill="FFFFFF"/>
        </w:rPr>
        <w:t>Comparative perspectives on communal lands and individual ownership: sustainable futures</w:t>
      </w:r>
      <w:r w:rsidRPr="00FD108C">
        <w:rPr>
          <w:rFonts w:ascii="Times New Roman" w:hAnsi="Times New Roman" w:cs="Times New Roman"/>
          <w:color w:val="222222"/>
          <w:sz w:val="24"/>
          <w:szCs w:val="24"/>
          <w:shd w:val="clear" w:color="auto" w:fill="FFFFFF"/>
        </w:rPr>
        <w:t>. Routledge.</w:t>
      </w:r>
    </w:p>
    <w:p w14:paraId="12F634E4"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 xml:space="preserve">Goldberg, V. P., Merrill, T. W., &amp; </w:t>
      </w:r>
      <w:proofErr w:type="spellStart"/>
      <w:r w:rsidRPr="00FD108C">
        <w:rPr>
          <w:rFonts w:ascii="Times New Roman" w:hAnsi="Times New Roman" w:cs="Times New Roman"/>
          <w:color w:val="222222"/>
          <w:sz w:val="24"/>
          <w:szCs w:val="24"/>
          <w:shd w:val="clear" w:color="auto" w:fill="FFFFFF"/>
        </w:rPr>
        <w:t>Unumb</w:t>
      </w:r>
      <w:proofErr w:type="spellEnd"/>
      <w:r w:rsidRPr="00FD108C">
        <w:rPr>
          <w:rFonts w:ascii="Times New Roman" w:hAnsi="Times New Roman" w:cs="Times New Roman"/>
          <w:color w:val="222222"/>
          <w:sz w:val="24"/>
          <w:szCs w:val="24"/>
          <w:shd w:val="clear" w:color="auto" w:fill="FFFFFF"/>
        </w:rPr>
        <w:t>, D. (1986). Bargaining in the shadow of eminent domain: Valuing and apportioning condemnation awards between landlord and tenant. </w:t>
      </w:r>
      <w:proofErr w:type="spellStart"/>
      <w:r w:rsidRPr="00FD108C">
        <w:rPr>
          <w:rFonts w:ascii="Times New Roman" w:hAnsi="Times New Roman" w:cs="Times New Roman"/>
          <w:i/>
          <w:iCs/>
          <w:color w:val="222222"/>
          <w:sz w:val="24"/>
          <w:szCs w:val="24"/>
          <w:shd w:val="clear" w:color="auto" w:fill="FFFFFF"/>
        </w:rPr>
        <w:t>Ucla</w:t>
      </w:r>
      <w:proofErr w:type="spellEnd"/>
      <w:r w:rsidRPr="00FD108C">
        <w:rPr>
          <w:rFonts w:ascii="Times New Roman" w:hAnsi="Times New Roman" w:cs="Times New Roman"/>
          <w:i/>
          <w:iCs/>
          <w:color w:val="222222"/>
          <w:sz w:val="24"/>
          <w:szCs w:val="24"/>
          <w:shd w:val="clear" w:color="auto" w:fill="FFFFFF"/>
        </w:rPr>
        <w:t xml:space="preserve"> L. Rev.</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34</w:t>
      </w:r>
      <w:r w:rsidRPr="00FD108C">
        <w:rPr>
          <w:rFonts w:ascii="Times New Roman" w:hAnsi="Times New Roman" w:cs="Times New Roman"/>
          <w:color w:val="222222"/>
          <w:sz w:val="24"/>
          <w:szCs w:val="24"/>
          <w:shd w:val="clear" w:color="auto" w:fill="FFFFFF"/>
        </w:rPr>
        <w:t>, 1083.</w:t>
      </w:r>
    </w:p>
    <w:p w14:paraId="0A57CEE5"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lastRenderedPageBreak/>
        <w:t>Hawley, J. (2019). </w:t>
      </w:r>
      <w:r w:rsidRPr="00FD108C">
        <w:rPr>
          <w:rFonts w:ascii="Times New Roman" w:hAnsi="Times New Roman" w:cs="Times New Roman"/>
          <w:i/>
          <w:iCs/>
          <w:color w:val="222222"/>
          <w:sz w:val="24"/>
          <w:szCs w:val="24"/>
          <w:shd w:val="clear" w:color="auto" w:fill="FFFFFF"/>
        </w:rPr>
        <w:t>One Bad Board Away from Bankruptcy: Housing Co-operatives, Self-management, and the Landlord–tenant Relationship</w:t>
      </w:r>
      <w:r w:rsidRPr="00FD108C">
        <w:rPr>
          <w:rFonts w:ascii="Times New Roman" w:hAnsi="Times New Roman" w:cs="Times New Roman"/>
          <w:color w:val="222222"/>
          <w:sz w:val="24"/>
          <w:szCs w:val="24"/>
          <w:shd w:val="clear" w:color="auto" w:fill="FFFFFF"/>
        </w:rPr>
        <w:t> (Doctoral dissertation, Queen</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 University (Canada)).</w:t>
      </w:r>
    </w:p>
    <w:p w14:paraId="65A8E647" w14:textId="77777777" w:rsidR="00FD108C" w:rsidRPr="00FD108C" w:rsidRDefault="00FD108C" w:rsidP="00FD108C">
      <w:pPr>
        <w:pStyle w:val="FootnoteText"/>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Igwe</w:t>
      </w:r>
      <w:proofErr w:type="spellEnd"/>
      <w:r w:rsidRPr="00FD108C">
        <w:rPr>
          <w:rFonts w:ascii="Times New Roman" w:hAnsi="Times New Roman" w:cs="Times New Roman"/>
          <w:color w:val="222222"/>
          <w:sz w:val="24"/>
          <w:szCs w:val="24"/>
          <w:shd w:val="clear" w:color="auto" w:fill="FFFFFF"/>
        </w:rPr>
        <w:t>, O. (2022). Use of Right of Occupancy as a Security for Advances and Its Role in Land Development in Nigeria. </w:t>
      </w:r>
      <w:r w:rsidRPr="00FD108C">
        <w:rPr>
          <w:rFonts w:ascii="Times New Roman" w:hAnsi="Times New Roman" w:cs="Times New Roman"/>
          <w:i/>
          <w:iCs/>
          <w:color w:val="222222"/>
          <w:sz w:val="24"/>
          <w:szCs w:val="24"/>
          <w:shd w:val="clear" w:color="auto" w:fill="FFFFFF"/>
        </w:rPr>
        <w:t>IJOCLLEP</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4</w:t>
      </w:r>
      <w:r w:rsidRPr="00FD108C">
        <w:rPr>
          <w:rFonts w:ascii="Times New Roman" w:hAnsi="Times New Roman" w:cs="Times New Roman"/>
          <w:color w:val="222222"/>
          <w:sz w:val="24"/>
          <w:szCs w:val="24"/>
          <w:shd w:val="clear" w:color="auto" w:fill="FFFFFF"/>
        </w:rPr>
        <w:t>, 111.</w:t>
      </w:r>
    </w:p>
    <w:p w14:paraId="1B972FC0"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Mabogunje</w:t>
      </w:r>
      <w:proofErr w:type="spellEnd"/>
      <w:r w:rsidRPr="00FD108C">
        <w:rPr>
          <w:rFonts w:ascii="Times New Roman" w:hAnsi="Times New Roman" w:cs="Times New Roman"/>
          <w:color w:val="222222"/>
          <w:sz w:val="24"/>
          <w:szCs w:val="24"/>
          <w:shd w:val="clear" w:color="auto" w:fill="FFFFFF"/>
        </w:rPr>
        <w:t>, A. L. (2010, April). Land reform in Nigeria: progress, problems and prospects. In </w:t>
      </w:r>
      <w:r w:rsidRPr="00FD108C">
        <w:rPr>
          <w:rFonts w:ascii="Times New Roman" w:hAnsi="Times New Roman" w:cs="Times New Roman"/>
          <w:i/>
          <w:iCs/>
          <w:color w:val="222222"/>
          <w:sz w:val="24"/>
          <w:szCs w:val="24"/>
          <w:shd w:val="clear" w:color="auto" w:fill="FFFFFF"/>
        </w:rPr>
        <w:t>Annual conference on land policy and administration, World Bank</w:t>
      </w:r>
      <w:r w:rsidRPr="00FD108C">
        <w:rPr>
          <w:rFonts w:ascii="Times New Roman" w:hAnsi="Times New Roman" w:cs="Times New Roman"/>
          <w:color w:val="222222"/>
          <w:sz w:val="24"/>
          <w:szCs w:val="24"/>
          <w:shd w:val="clear" w:color="auto" w:fill="FFFFFF"/>
        </w:rPr>
        <w:t>.</w:t>
      </w:r>
    </w:p>
    <w:p w14:paraId="120F9931"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Mwalimu</w:t>
      </w:r>
      <w:proofErr w:type="spellEnd"/>
      <w:r w:rsidRPr="00FD108C">
        <w:rPr>
          <w:rFonts w:ascii="Times New Roman" w:hAnsi="Times New Roman" w:cs="Times New Roman"/>
          <w:color w:val="222222"/>
          <w:sz w:val="24"/>
          <w:szCs w:val="24"/>
          <w:shd w:val="clear" w:color="auto" w:fill="FFFFFF"/>
        </w:rPr>
        <w:t>, C. (2005). </w:t>
      </w:r>
      <w:r w:rsidRPr="00FD108C">
        <w:rPr>
          <w:rFonts w:ascii="Times New Roman" w:hAnsi="Times New Roman" w:cs="Times New Roman"/>
          <w:i/>
          <w:iCs/>
          <w:color w:val="222222"/>
          <w:sz w:val="24"/>
          <w:szCs w:val="24"/>
          <w:shd w:val="clear" w:color="auto" w:fill="FFFFFF"/>
        </w:rPr>
        <w:t>The Nigerian legal system</w:t>
      </w:r>
      <w:r w:rsidRPr="00FD108C">
        <w:rPr>
          <w:rFonts w:ascii="Times New Roman" w:hAnsi="Times New Roman" w:cs="Times New Roman"/>
          <w:color w:val="222222"/>
          <w:sz w:val="24"/>
          <w:szCs w:val="24"/>
          <w:shd w:val="clear" w:color="auto" w:fill="FFFFFF"/>
        </w:rPr>
        <w:t> (Vol. 2). Peter Lang Pub Incorporated.</w:t>
      </w:r>
    </w:p>
    <w:p w14:paraId="7B74A85E"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 xml:space="preserve">Ogilvie, S. (2005). Communities and </w:t>
      </w:r>
      <w:proofErr w:type="spellStart"/>
      <w:r w:rsidRPr="00FD108C">
        <w:rPr>
          <w:rFonts w:ascii="Times New Roman" w:hAnsi="Times New Roman" w:cs="Times New Roman"/>
          <w:color w:val="222222"/>
          <w:sz w:val="24"/>
          <w:szCs w:val="24"/>
          <w:shd w:val="clear" w:color="auto" w:fill="FFFFFF"/>
        </w:rPr>
        <w:t>the</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second</w:t>
      </w:r>
      <w:proofErr w:type="spellEnd"/>
      <w:r w:rsidRPr="00FD108C">
        <w:rPr>
          <w:rFonts w:ascii="Times New Roman" w:hAnsi="Times New Roman" w:cs="Times New Roman"/>
          <w:color w:val="222222"/>
          <w:sz w:val="24"/>
          <w:szCs w:val="24"/>
          <w:shd w:val="clear" w:color="auto" w:fill="FFFFFF"/>
        </w:rPr>
        <w:t xml:space="preserve"> </w:t>
      </w:r>
      <w:proofErr w:type="spellStart"/>
      <w:r w:rsidRPr="00FD108C">
        <w:rPr>
          <w:rFonts w:ascii="Times New Roman" w:hAnsi="Times New Roman" w:cs="Times New Roman"/>
          <w:color w:val="222222"/>
          <w:sz w:val="24"/>
          <w:szCs w:val="24"/>
          <w:shd w:val="clear" w:color="auto" w:fill="FFFFFF"/>
        </w:rPr>
        <w:t>serfdom</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in</w:t>
      </w:r>
      <w:proofErr w:type="spellEnd"/>
      <w:r w:rsidRPr="00FD108C">
        <w:rPr>
          <w:rFonts w:ascii="Times New Roman" w:hAnsi="Times New Roman" w:cs="Times New Roman"/>
          <w:color w:val="222222"/>
          <w:sz w:val="24"/>
          <w:szCs w:val="24"/>
          <w:shd w:val="clear" w:color="auto" w:fill="FFFFFF"/>
        </w:rPr>
        <w:t xml:space="preserve"> early modern bohemia. </w:t>
      </w:r>
      <w:r w:rsidRPr="00FD108C">
        <w:rPr>
          <w:rFonts w:ascii="Times New Roman" w:hAnsi="Times New Roman" w:cs="Times New Roman"/>
          <w:i/>
          <w:iCs/>
          <w:color w:val="222222"/>
          <w:sz w:val="24"/>
          <w:szCs w:val="24"/>
          <w:shd w:val="clear" w:color="auto" w:fill="FFFFFF"/>
        </w:rPr>
        <w:t>Past &amp; Present</w:t>
      </w:r>
      <w:r w:rsidRPr="00FD108C">
        <w:rPr>
          <w:rFonts w:ascii="Times New Roman" w:hAnsi="Times New Roman" w:cs="Times New Roman"/>
          <w:color w:val="222222"/>
          <w:sz w:val="24"/>
          <w:szCs w:val="24"/>
          <w:shd w:val="clear" w:color="auto" w:fill="FFFFFF"/>
        </w:rPr>
        <w:t>, (187), 69-119.</w:t>
      </w:r>
    </w:p>
    <w:p w14:paraId="456C077F"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Olawoye</w:t>
      </w:r>
      <w:proofErr w:type="spellEnd"/>
      <w:r w:rsidRPr="00FD108C">
        <w:rPr>
          <w:rFonts w:ascii="Times New Roman" w:hAnsi="Times New Roman" w:cs="Times New Roman"/>
          <w:color w:val="222222"/>
          <w:sz w:val="24"/>
          <w:szCs w:val="24"/>
          <w:shd w:val="clear" w:color="auto" w:fill="FFFFFF"/>
        </w:rPr>
        <w:t>, C. O. (1971). Evidence in Land Suits. </w:t>
      </w:r>
      <w:r w:rsidRPr="00FD108C">
        <w:rPr>
          <w:rFonts w:ascii="Times New Roman" w:hAnsi="Times New Roman" w:cs="Times New Roman"/>
          <w:i/>
          <w:iCs/>
          <w:color w:val="222222"/>
          <w:sz w:val="24"/>
          <w:szCs w:val="24"/>
          <w:shd w:val="clear" w:color="auto" w:fill="FFFFFF"/>
        </w:rPr>
        <w:t>Nigerian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 104.</w:t>
      </w:r>
    </w:p>
    <w:p w14:paraId="5C687BF6" w14:textId="77777777" w:rsidR="00FD108C" w:rsidRPr="00FD108C" w:rsidRDefault="00FD108C" w:rsidP="00FD108C">
      <w:pPr>
        <w:pStyle w:val="FootnoteText"/>
        <w:ind w:left="720" w:hanging="720"/>
        <w:contextualSpacing/>
        <w:jc w:val="both"/>
        <w:rPr>
          <w:rFonts w:ascii="Times New Roman" w:hAnsi="Times New Roman" w:cs="Times New Roman"/>
          <w:i/>
          <w:sz w:val="24"/>
          <w:szCs w:val="24"/>
        </w:rPr>
      </w:pPr>
      <w:proofErr w:type="spellStart"/>
      <w:r w:rsidRPr="00FD108C">
        <w:rPr>
          <w:rFonts w:ascii="Times New Roman" w:hAnsi="Times New Roman" w:cs="Times New Roman"/>
          <w:sz w:val="24"/>
          <w:szCs w:val="24"/>
        </w:rPr>
        <w:t>Omotola</w:t>
      </w:r>
      <w:proofErr w:type="spellEnd"/>
      <w:r w:rsidRPr="00FD108C">
        <w:rPr>
          <w:rFonts w:ascii="Times New Roman" w:hAnsi="Times New Roman" w:cs="Times New Roman"/>
          <w:sz w:val="24"/>
          <w:szCs w:val="24"/>
        </w:rPr>
        <w:t xml:space="preserve">, J. A. (1975). Customary Tenant and the Transfer of Land in Nigeria. Nig. J. Contemporary </w:t>
      </w:r>
      <w:proofErr w:type="gramStart"/>
      <w:r w:rsidRPr="00FD108C">
        <w:rPr>
          <w:rFonts w:ascii="Times New Roman" w:hAnsi="Times New Roman" w:cs="Times New Roman"/>
          <w:sz w:val="24"/>
          <w:szCs w:val="24"/>
        </w:rPr>
        <w:t>Law,.</w:t>
      </w:r>
      <w:proofErr w:type="gramEnd"/>
      <w:r w:rsidRPr="00FD108C">
        <w:rPr>
          <w:rFonts w:ascii="Times New Roman" w:hAnsi="Times New Roman" w:cs="Times New Roman"/>
          <w:sz w:val="24"/>
          <w:szCs w:val="24"/>
        </w:rPr>
        <w:t xml:space="preserve"> 6(1&amp;2) p. 44</w:t>
      </w:r>
      <w:r w:rsidRPr="00FD108C">
        <w:rPr>
          <w:rFonts w:ascii="Times New Roman" w:hAnsi="Times New Roman" w:cs="Times New Roman"/>
          <w:i/>
          <w:sz w:val="24"/>
          <w:szCs w:val="24"/>
        </w:rPr>
        <w:t>.</w:t>
      </w:r>
    </w:p>
    <w:p w14:paraId="2F686AA1"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Oshio</w:t>
      </w:r>
      <w:proofErr w:type="spellEnd"/>
      <w:r w:rsidRPr="00FD108C">
        <w:rPr>
          <w:rFonts w:ascii="Times New Roman" w:hAnsi="Times New Roman" w:cs="Times New Roman"/>
          <w:color w:val="222222"/>
          <w:sz w:val="24"/>
          <w:szCs w:val="24"/>
          <w:shd w:val="clear" w:color="auto" w:fill="FFFFFF"/>
        </w:rPr>
        <w:t xml:space="preserve">, P. E. (1990). Indigenous Land Tenure and </w:t>
      </w:r>
      <w:proofErr w:type="spellStart"/>
      <w:r w:rsidRPr="00FD108C">
        <w:rPr>
          <w:rFonts w:ascii="Times New Roman" w:hAnsi="Times New Roman" w:cs="Times New Roman"/>
          <w:color w:val="222222"/>
          <w:sz w:val="24"/>
          <w:szCs w:val="24"/>
          <w:shd w:val="clear" w:color="auto" w:fill="FFFFFF"/>
        </w:rPr>
        <w:t>Nationalisation</w:t>
      </w:r>
      <w:proofErr w:type="spellEnd"/>
      <w:r w:rsidRPr="00FD108C">
        <w:rPr>
          <w:rFonts w:ascii="Times New Roman" w:hAnsi="Times New Roman" w:cs="Times New Roman"/>
          <w:color w:val="222222"/>
          <w:sz w:val="24"/>
          <w:szCs w:val="24"/>
          <w:shd w:val="clear" w:color="auto" w:fill="FFFFFF"/>
        </w:rPr>
        <w:t xml:space="preserve"> of Land in Nigeria. </w:t>
      </w:r>
      <w:r w:rsidRPr="00FD108C">
        <w:rPr>
          <w:rFonts w:ascii="Times New Roman" w:hAnsi="Times New Roman" w:cs="Times New Roman"/>
          <w:i/>
          <w:iCs/>
          <w:color w:val="222222"/>
          <w:sz w:val="24"/>
          <w:szCs w:val="24"/>
          <w:shd w:val="clear" w:color="auto" w:fill="FFFFFF"/>
        </w:rPr>
        <w:t>Journal of Land Use &amp; Environmental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(2), 685-701.</w:t>
      </w:r>
    </w:p>
    <w:p w14:paraId="53CF694B"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Oshio</w:t>
      </w:r>
      <w:proofErr w:type="spellEnd"/>
      <w:r w:rsidRPr="00FD108C">
        <w:rPr>
          <w:rFonts w:ascii="Times New Roman" w:hAnsi="Times New Roman" w:cs="Times New Roman"/>
          <w:color w:val="222222"/>
          <w:sz w:val="24"/>
          <w:szCs w:val="24"/>
          <w:shd w:val="clear" w:color="auto" w:fill="FFFFFF"/>
        </w:rPr>
        <w:t>, P. E. (1990). The indigenous land tenure and nationalization of land in Nigeria. </w:t>
      </w:r>
      <w:r w:rsidRPr="00FD108C">
        <w:rPr>
          <w:rFonts w:ascii="Times New Roman" w:hAnsi="Times New Roman" w:cs="Times New Roman"/>
          <w:i/>
          <w:iCs/>
          <w:color w:val="222222"/>
          <w:sz w:val="24"/>
          <w:szCs w:val="24"/>
          <w:shd w:val="clear" w:color="auto" w:fill="FFFFFF"/>
        </w:rPr>
        <w:t>BC Third World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10</w:t>
      </w:r>
      <w:r w:rsidRPr="00FD108C">
        <w:rPr>
          <w:rFonts w:ascii="Times New Roman" w:hAnsi="Times New Roman" w:cs="Times New Roman"/>
          <w:color w:val="222222"/>
          <w:sz w:val="24"/>
          <w:szCs w:val="24"/>
          <w:shd w:val="clear" w:color="auto" w:fill="FFFFFF"/>
        </w:rPr>
        <w:t>, 43.</w:t>
      </w:r>
    </w:p>
    <w:p w14:paraId="57075509"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Oshio</w:t>
      </w:r>
      <w:proofErr w:type="spellEnd"/>
      <w:r w:rsidRPr="00FD108C">
        <w:rPr>
          <w:rFonts w:ascii="Times New Roman" w:hAnsi="Times New Roman" w:cs="Times New Roman"/>
          <w:color w:val="222222"/>
          <w:sz w:val="24"/>
          <w:szCs w:val="24"/>
          <w:shd w:val="clear" w:color="auto" w:fill="FFFFFF"/>
        </w:rPr>
        <w:t xml:space="preserve">, P. E. (2018). Indigenous Land Tenure and </w:t>
      </w:r>
      <w:proofErr w:type="spellStart"/>
      <w:r w:rsidRPr="00FD108C">
        <w:rPr>
          <w:rFonts w:ascii="Times New Roman" w:hAnsi="Times New Roman" w:cs="Times New Roman"/>
          <w:color w:val="222222"/>
          <w:sz w:val="24"/>
          <w:szCs w:val="24"/>
          <w:shd w:val="clear" w:color="auto" w:fill="FFFFFF"/>
        </w:rPr>
        <w:t>Nationalisation</w:t>
      </w:r>
      <w:proofErr w:type="spellEnd"/>
      <w:r w:rsidRPr="00FD108C">
        <w:rPr>
          <w:rFonts w:ascii="Times New Roman" w:hAnsi="Times New Roman" w:cs="Times New Roman"/>
          <w:color w:val="222222"/>
          <w:sz w:val="24"/>
          <w:szCs w:val="24"/>
          <w:shd w:val="clear" w:color="auto" w:fill="FFFFFF"/>
        </w:rPr>
        <w:t xml:space="preserve"> of Land in Nigeria. </w:t>
      </w:r>
      <w:r w:rsidRPr="00FD108C">
        <w:rPr>
          <w:rFonts w:ascii="Times New Roman" w:hAnsi="Times New Roman" w:cs="Times New Roman"/>
          <w:i/>
          <w:iCs/>
          <w:color w:val="222222"/>
          <w:sz w:val="24"/>
          <w:szCs w:val="24"/>
          <w:shd w:val="clear" w:color="auto" w:fill="FFFFFF"/>
        </w:rPr>
        <w:t>Florida State University Journal of Land Use and Environmental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(2), 6.</w:t>
      </w:r>
    </w:p>
    <w:p w14:paraId="4F561E99" w14:textId="77777777"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(2018). Ownership of Oil and Gas: International and National Regimes. </w:t>
      </w:r>
      <w:r w:rsidRPr="00FD108C">
        <w:rPr>
          <w:rFonts w:ascii="Times New Roman" w:hAnsi="Times New Roman" w:cs="Times New Roman"/>
          <w:i/>
          <w:color w:val="000000" w:themeColor="text1"/>
          <w:sz w:val="20"/>
          <w:szCs w:val="20"/>
          <w:shd w:val="clear" w:color="auto" w:fill="FFFFFF"/>
        </w:rPr>
        <w:t>University of Port Harcourt Journal of Private Law, 3</w:t>
      </w:r>
      <w:r w:rsidRPr="00FD108C">
        <w:rPr>
          <w:rFonts w:ascii="Times New Roman" w:hAnsi="Times New Roman" w:cs="Times New Roman"/>
          <w:color w:val="000000" w:themeColor="text1"/>
          <w:sz w:val="20"/>
          <w:szCs w:val="20"/>
          <w:shd w:val="clear" w:color="auto" w:fill="FFFFFF"/>
        </w:rPr>
        <w:t>, 136-155.</w:t>
      </w:r>
    </w:p>
    <w:p w14:paraId="35E0B5BD" w14:textId="77777777"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&amp; </w:t>
      </w:r>
      <w:proofErr w:type="spellStart"/>
      <w:r w:rsidRPr="00FD108C">
        <w:rPr>
          <w:rFonts w:ascii="Times New Roman" w:hAnsi="Times New Roman" w:cs="Times New Roman"/>
          <w:color w:val="000000" w:themeColor="text1"/>
          <w:sz w:val="20"/>
          <w:szCs w:val="20"/>
          <w:shd w:val="clear" w:color="auto" w:fill="FFFFFF"/>
        </w:rPr>
        <w:t>Enyia</w:t>
      </w:r>
      <w:proofErr w:type="spellEnd"/>
      <w:r w:rsidRPr="00FD108C">
        <w:rPr>
          <w:rFonts w:ascii="Times New Roman" w:hAnsi="Times New Roman" w:cs="Times New Roman"/>
          <w:color w:val="000000" w:themeColor="text1"/>
          <w:sz w:val="20"/>
          <w:szCs w:val="20"/>
          <w:shd w:val="clear" w:color="auto" w:fill="FFFFFF"/>
        </w:rPr>
        <w:t xml:space="preserve">, J. O. (2015). Documentary Credit: An Assessment of its Autonomous Character in Modern day commercial Transactions. </w:t>
      </w:r>
      <w:r w:rsidRPr="00FD108C">
        <w:rPr>
          <w:rFonts w:ascii="Times New Roman" w:hAnsi="Times New Roman" w:cs="Times New Roman"/>
          <w:i/>
          <w:color w:val="000000" w:themeColor="text1"/>
          <w:sz w:val="20"/>
          <w:szCs w:val="20"/>
          <w:shd w:val="clear" w:color="auto" w:fill="FFFFFF"/>
        </w:rPr>
        <w:t>Calabar Law Journal, 16</w:t>
      </w:r>
      <w:r w:rsidRPr="00FD108C">
        <w:rPr>
          <w:rFonts w:ascii="Times New Roman" w:hAnsi="Times New Roman" w:cs="Times New Roman"/>
          <w:color w:val="000000" w:themeColor="text1"/>
          <w:sz w:val="20"/>
          <w:szCs w:val="20"/>
          <w:shd w:val="clear" w:color="auto" w:fill="FFFFFF"/>
        </w:rPr>
        <w:t>(1), 295-307</w:t>
      </w:r>
    </w:p>
    <w:p w14:paraId="08A8EB8E" w14:textId="77777777"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&amp; Mohammed, M. A. (2009). The Issue of Compensation on Revocation of Rights of Occupancy under the Land Use Act: Problems and Prospects. </w:t>
      </w:r>
      <w:r w:rsidRPr="00FD108C">
        <w:rPr>
          <w:rFonts w:ascii="Times New Roman" w:hAnsi="Times New Roman" w:cs="Times New Roman"/>
          <w:i/>
          <w:color w:val="000000" w:themeColor="text1"/>
          <w:sz w:val="20"/>
          <w:szCs w:val="20"/>
          <w:shd w:val="clear" w:color="auto" w:fill="FFFFFF"/>
        </w:rPr>
        <w:t>Calabar Law Journal, 13</w:t>
      </w:r>
      <w:r w:rsidRPr="00FD108C">
        <w:rPr>
          <w:rFonts w:ascii="Times New Roman" w:hAnsi="Times New Roman" w:cs="Times New Roman"/>
          <w:color w:val="000000" w:themeColor="text1"/>
          <w:sz w:val="20"/>
          <w:szCs w:val="20"/>
          <w:shd w:val="clear" w:color="auto" w:fill="FFFFFF"/>
        </w:rPr>
        <w:t>(1), 316 – 326.</w:t>
      </w:r>
    </w:p>
    <w:p w14:paraId="53615C89" w14:textId="77777777"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proofErr w:type="spellStart"/>
      <w:r w:rsidRPr="00FD108C">
        <w:rPr>
          <w:rFonts w:ascii="Times New Roman" w:hAnsi="Times New Roman" w:cs="Times New Roman"/>
          <w:color w:val="000000" w:themeColor="text1"/>
          <w:sz w:val="20"/>
          <w:szCs w:val="20"/>
          <w:shd w:val="clear" w:color="auto" w:fill="FFFFFF"/>
        </w:rPr>
        <w:t>Otu</w:t>
      </w:r>
      <w:proofErr w:type="spellEnd"/>
      <w:r w:rsidRPr="00FD108C">
        <w:rPr>
          <w:rFonts w:ascii="Times New Roman" w:hAnsi="Times New Roman" w:cs="Times New Roman"/>
          <w:color w:val="000000" w:themeColor="text1"/>
          <w:sz w:val="20"/>
          <w:szCs w:val="20"/>
          <w:shd w:val="clear" w:color="auto" w:fill="FFFFFF"/>
        </w:rPr>
        <w:t xml:space="preserve">, M. T., &amp; </w:t>
      </w:r>
      <w:proofErr w:type="spellStart"/>
      <w:r w:rsidRPr="00FD108C">
        <w:rPr>
          <w:rFonts w:ascii="Times New Roman" w:hAnsi="Times New Roman" w:cs="Times New Roman"/>
          <w:color w:val="000000" w:themeColor="text1"/>
          <w:sz w:val="20"/>
          <w:szCs w:val="20"/>
          <w:shd w:val="clear" w:color="auto" w:fill="FFFFFF"/>
        </w:rPr>
        <w:t>Nabiebu</w:t>
      </w:r>
      <w:proofErr w:type="spellEnd"/>
      <w:r w:rsidRPr="00FD108C">
        <w:rPr>
          <w:rFonts w:ascii="Times New Roman" w:hAnsi="Times New Roman" w:cs="Times New Roman"/>
          <w:color w:val="000000" w:themeColor="text1"/>
          <w:sz w:val="20"/>
          <w:szCs w:val="20"/>
          <w:shd w:val="clear" w:color="auto" w:fill="FFFFFF"/>
        </w:rPr>
        <w:t>, M. (2022). The Legal Effect of Appointment and Possession of a Receiver Over the Property of a Company. </w:t>
      </w:r>
      <w:proofErr w:type="spellStart"/>
      <w:r w:rsidRPr="00FD108C">
        <w:rPr>
          <w:rFonts w:ascii="Times New Roman" w:hAnsi="Times New Roman" w:cs="Times New Roman"/>
          <w:i/>
          <w:iCs/>
          <w:color w:val="000000" w:themeColor="text1"/>
          <w:sz w:val="20"/>
          <w:szCs w:val="20"/>
          <w:shd w:val="clear" w:color="auto" w:fill="FFFFFF"/>
        </w:rPr>
        <w:t>Tamaddun</w:t>
      </w:r>
      <w:proofErr w:type="spellEnd"/>
      <w:r w:rsidRPr="00FD108C">
        <w:rPr>
          <w:rFonts w:ascii="Times New Roman" w:hAnsi="Times New Roman" w:cs="Times New Roman"/>
          <w:color w:val="000000" w:themeColor="text1"/>
          <w:sz w:val="20"/>
          <w:szCs w:val="20"/>
          <w:shd w:val="clear" w:color="auto" w:fill="FFFFFF"/>
        </w:rPr>
        <w:t>, </w:t>
      </w:r>
      <w:r w:rsidRPr="00FD108C">
        <w:rPr>
          <w:rFonts w:ascii="Times New Roman" w:hAnsi="Times New Roman" w:cs="Times New Roman"/>
          <w:i/>
          <w:iCs/>
          <w:color w:val="000000" w:themeColor="text1"/>
          <w:sz w:val="20"/>
          <w:szCs w:val="20"/>
          <w:shd w:val="clear" w:color="auto" w:fill="FFFFFF"/>
        </w:rPr>
        <w:t>21</w:t>
      </w:r>
      <w:r w:rsidRPr="00FD108C">
        <w:rPr>
          <w:rFonts w:ascii="Times New Roman" w:hAnsi="Times New Roman" w:cs="Times New Roman"/>
          <w:color w:val="000000" w:themeColor="text1"/>
          <w:sz w:val="20"/>
          <w:szCs w:val="20"/>
          <w:shd w:val="clear" w:color="auto" w:fill="FFFFFF"/>
        </w:rPr>
        <w:t>(2), 198-211.</w:t>
      </w:r>
    </w:p>
    <w:p w14:paraId="5927C537"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Park, J. (2014). Land rent theory revisited. </w:t>
      </w:r>
      <w:r w:rsidRPr="00FD108C">
        <w:rPr>
          <w:rFonts w:ascii="Times New Roman" w:hAnsi="Times New Roman" w:cs="Times New Roman"/>
          <w:i/>
          <w:iCs/>
          <w:color w:val="222222"/>
          <w:sz w:val="24"/>
          <w:szCs w:val="24"/>
          <w:shd w:val="clear" w:color="auto" w:fill="FFFFFF"/>
        </w:rPr>
        <w:t>Science &amp; Society</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78</w:t>
      </w:r>
      <w:r w:rsidRPr="00FD108C">
        <w:rPr>
          <w:rFonts w:ascii="Times New Roman" w:hAnsi="Times New Roman" w:cs="Times New Roman"/>
          <w:color w:val="222222"/>
          <w:sz w:val="24"/>
          <w:szCs w:val="24"/>
          <w:shd w:val="clear" w:color="auto" w:fill="FFFFFF"/>
        </w:rPr>
        <w:t>(1), 88-109.</w:t>
      </w:r>
    </w:p>
    <w:p w14:paraId="65C5B9D4"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Ramos, B. S. (2020). Understanding the essential principles of landlord and tenant laws in Nigeria through judicial decisions. </w:t>
      </w:r>
      <w:r w:rsidRPr="00FD108C">
        <w:rPr>
          <w:rFonts w:ascii="Times New Roman" w:hAnsi="Times New Roman" w:cs="Times New Roman"/>
          <w:i/>
          <w:iCs/>
          <w:color w:val="222222"/>
          <w:sz w:val="24"/>
          <w:szCs w:val="24"/>
          <w:shd w:val="clear" w:color="auto" w:fill="FFFFFF"/>
        </w:rPr>
        <w:t>Commonwealth Law Bulletin</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46</w:t>
      </w:r>
      <w:r w:rsidRPr="00FD108C">
        <w:rPr>
          <w:rFonts w:ascii="Times New Roman" w:hAnsi="Times New Roman" w:cs="Times New Roman"/>
          <w:color w:val="222222"/>
          <w:sz w:val="24"/>
          <w:szCs w:val="24"/>
          <w:shd w:val="clear" w:color="auto" w:fill="FFFFFF"/>
        </w:rPr>
        <w:t>(1), 151-173.</w:t>
      </w:r>
    </w:p>
    <w:p w14:paraId="6D76D49A"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Rigi, J., &amp; Prey, R. (2015). Value, rent, and the political economy of social media. </w:t>
      </w:r>
      <w:r w:rsidRPr="00FD108C">
        <w:rPr>
          <w:rFonts w:ascii="Times New Roman" w:hAnsi="Times New Roman" w:cs="Times New Roman"/>
          <w:i/>
          <w:iCs/>
          <w:color w:val="222222"/>
          <w:sz w:val="24"/>
          <w:szCs w:val="24"/>
          <w:shd w:val="clear" w:color="auto" w:fill="FFFFFF"/>
        </w:rPr>
        <w:t>The Information Society</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31</w:t>
      </w:r>
      <w:r w:rsidRPr="00FD108C">
        <w:rPr>
          <w:rFonts w:ascii="Times New Roman" w:hAnsi="Times New Roman" w:cs="Times New Roman"/>
          <w:color w:val="222222"/>
          <w:sz w:val="24"/>
          <w:szCs w:val="24"/>
          <w:shd w:val="clear" w:color="auto" w:fill="FFFFFF"/>
        </w:rPr>
        <w:t>(5), 392-406.</w:t>
      </w:r>
    </w:p>
    <w:p w14:paraId="02C708F1"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Salawu</w:t>
      </w:r>
      <w:proofErr w:type="spellEnd"/>
      <w:r w:rsidRPr="00FD108C">
        <w:rPr>
          <w:rFonts w:ascii="Times New Roman" w:hAnsi="Times New Roman" w:cs="Times New Roman"/>
          <w:color w:val="222222"/>
          <w:sz w:val="24"/>
          <w:szCs w:val="24"/>
          <w:shd w:val="clear" w:color="auto" w:fill="FFFFFF"/>
        </w:rPr>
        <w:t xml:space="preserve">, B. M., </w:t>
      </w:r>
      <w:proofErr w:type="spellStart"/>
      <w:r w:rsidRPr="00FD108C">
        <w:rPr>
          <w:rFonts w:ascii="Times New Roman" w:hAnsi="Times New Roman" w:cs="Times New Roman"/>
          <w:color w:val="222222"/>
          <w:sz w:val="24"/>
          <w:szCs w:val="24"/>
          <w:shd w:val="clear" w:color="auto" w:fill="FFFFFF"/>
        </w:rPr>
        <w:t>Salawudeen</w:t>
      </w:r>
      <w:proofErr w:type="spellEnd"/>
      <w:r w:rsidRPr="00FD108C">
        <w:rPr>
          <w:rFonts w:ascii="Times New Roman" w:hAnsi="Times New Roman" w:cs="Times New Roman"/>
          <w:color w:val="222222"/>
          <w:sz w:val="24"/>
          <w:szCs w:val="24"/>
          <w:shd w:val="clear" w:color="auto" w:fill="FFFFFF"/>
        </w:rPr>
        <w:t xml:space="preserve">, M. O., &amp; </w:t>
      </w:r>
      <w:proofErr w:type="spellStart"/>
      <w:r w:rsidRPr="00FD108C">
        <w:rPr>
          <w:rFonts w:ascii="Times New Roman" w:hAnsi="Times New Roman" w:cs="Times New Roman"/>
          <w:color w:val="222222"/>
          <w:sz w:val="24"/>
          <w:szCs w:val="24"/>
          <w:shd w:val="clear" w:color="auto" w:fill="FFFFFF"/>
        </w:rPr>
        <w:t>Salawudeen</w:t>
      </w:r>
      <w:proofErr w:type="spellEnd"/>
      <w:r w:rsidRPr="00FD108C">
        <w:rPr>
          <w:rFonts w:ascii="Times New Roman" w:hAnsi="Times New Roman" w:cs="Times New Roman"/>
          <w:color w:val="222222"/>
          <w:sz w:val="24"/>
          <w:szCs w:val="24"/>
          <w:shd w:val="clear" w:color="auto" w:fill="FFFFFF"/>
        </w:rPr>
        <w:t>, M. D. (2022). Customary Tenancy and Sustainable Post COVID-19 Agricultural Development in Nigeria. In </w:t>
      </w:r>
      <w:r w:rsidRPr="00FD108C">
        <w:rPr>
          <w:rFonts w:ascii="Times New Roman" w:hAnsi="Times New Roman" w:cs="Times New Roman"/>
          <w:i/>
          <w:iCs/>
          <w:color w:val="222222"/>
          <w:sz w:val="24"/>
          <w:szCs w:val="24"/>
          <w:shd w:val="clear" w:color="auto" w:fill="FFFFFF"/>
        </w:rPr>
        <w:t>Entrepreneurship and Post-Pandemic Future</w:t>
      </w:r>
      <w:r w:rsidRPr="00FD108C">
        <w:rPr>
          <w:rFonts w:ascii="Times New Roman" w:hAnsi="Times New Roman" w:cs="Times New Roman"/>
          <w:color w:val="222222"/>
          <w:sz w:val="24"/>
          <w:szCs w:val="24"/>
          <w:shd w:val="clear" w:color="auto" w:fill="FFFFFF"/>
        </w:rPr>
        <w:t>. Emerald Publishing Limited.</w:t>
      </w:r>
    </w:p>
    <w:p w14:paraId="28AEB5BB" w14:textId="77777777" w:rsidR="00FD108C" w:rsidRPr="00FD108C" w:rsidRDefault="00FD108C" w:rsidP="00FD108C">
      <w:pPr>
        <w:pStyle w:val="FootnoteText"/>
        <w:ind w:left="720" w:hanging="720"/>
        <w:contextualSpacing/>
        <w:jc w:val="both"/>
        <w:rPr>
          <w:rFonts w:ascii="Times New Roman" w:hAnsi="Times New Roman" w:cs="Times New Roman"/>
          <w:sz w:val="24"/>
          <w:szCs w:val="24"/>
        </w:rPr>
      </w:pPr>
      <w:proofErr w:type="spellStart"/>
      <w:r w:rsidRPr="00FD108C">
        <w:rPr>
          <w:rFonts w:ascii="Times New Roman" w:hAnsi="Times New Roman" w:cs="Times New Roman"/>
          <w:color w:val="222222"/>
          <w:sz w:val="24"/>
          <w:szCs w:val="24"/>
          <w:shd w:val="clear" w:color="auto" w:fill="FFFFFF"/>
        </w:rPr>
        <w:t>Sholanke</w:t>
      </w:r>
      <w:proofErr w:type="spellEnd"/>
      <w:r w:rsidRPr="00FD108C">
        <w:rPr>
          <w:rFonts w:ascii="Times New Roman" w:hAnsi="Times New Roman" w:cs="Times New Roman"/>
          <w:color w:val="222222"/>
          <w:sz w:val="24"/>
          <w:szCs w:val="24"/>
          <w:shd w:val="clear" w:color="auto" w:fill="FFFFFF"/>
        </w:rPr>
        <w:t xml:space="preserve">, O. O. (1992). </w:t>
      </w:r>
      <w:proofErr w:type="spellStart"/>
      <w:r w:rsidRPr="00FD108C">
        <w:rPr>
          <w:rFonts w:ascii="Times New Roman" w:hAnsi="Times New Roman" w:cs="Times New Roman"/>
          <w:color w:val="222222"/>
          <w:sz w:val="24"/>
          <w:szCs w:val="24"/>
          <w:shd w:val="clear" w:color="auto" w:fill="FFFFFF"/>
        </w:rPr>
        <w:t>Garuba</w:t>
      </w:r>
      <w:proofErr w:type="spellEnd"/>
      <w:r w:rsidRPr="00FD108C">
        <w:rPr>
          <w:rFonts w:ascii="Times New Roman" w:hAnsi="Times New Roman" w:cs="Times New Roman"/>
          <w:color w:val="222222"/>
          <w:sz w:val="24"/>
          <w:szCs w:val="24"/>
          <w:shd w:val="clear" w:color="auto" w:fill="FFFFFF"/>
        </w:rPr>
        <w:t xml:space="preserve"> </w:t>
      </w:r>
      <w:proofErr w:type="spellStart"/>
      <w:r w:rsidRPr="00FD108C">
        <w:rPr>
          <w:rFonts w:ascii="Times New Roman" w:hAnsi="Times New Roman" w:cs="Times New Roman"/>
          <w:color w:val="222222"/>
          <w:sz w:val="24"/>
          <w:szCs w:val="24"/>
          <w:shd w:val="clear" w:color="auto" w:fill="FFFFFF"/>
        </w:rPr>
        <w:t>Abioye</w:t>
      </w:r>
      <w:proofErr w:type="spellEnd"/>
      <w:r w:rsidRPr="00FD108C">
        <w:rPr>
          <w:rFonts w:ascii="Times New Roman" w:hAnsi="Times New Roman" w:cs="Times New Roman"/>
          <w:color w:val="222222"/>
          <w:sz w:val="24"/>
          <w:szCs w:val="24"/>
          <w:shd w:val="clear" w:color="auto" w:fill="FFFFFF"/>
        </w:rPr>
        <w:t xml:space="preserve"> v. </w:t>
      </w:r>
      <w:proofErr w:type="spellStart"/>
      <w:r w:rsidRPr="00FD108C">
        <w:rPr>
          <w:rFonts w:ascii="Times New Roman" w:hAnsi="Times New Roman" w:cs="Times New Roman"/>
          <w:color w:val="222222"/>
          <w:sz w:val="24"/>
          <w:szCs w:val="24"/>
          <w:shd w:val="clear" w:color="auto" w:fill="FFFFFF"/>
        </w:rPr>
        <w:t>Saadu</w:t>
      </w:r>
      <w:proofErr w:type="spellEnd"/>
      <w:r w:rsidRPr="00FD108C">
        <w:rPr>
          <w:rFonts w:ascii="Times New Roman" w:hAnsi="Times New Roman" w:cs="Times New Roman"/>
          <w:color w:val="222222"/>
          <w:sz w:val="24"/>
          <w:szCs w:val="24"/>
          <w:shd w:val="clear" w:color="auto" w:fill="FFFFFF"/>
        </w:rPr>
        <w:t xml:space="preserve"> Yakubu. </w:t>
      </w:r>
      <w:r w:rsidRPr="00FD108C">
        <w:rPr>
          <w:rFonts w:ascii="Times New Roman" w:hAnsi="Times New Roman" w:cs="Times New Roman"/>
          <w:i/>
          <w:iCs/>
          <w:color w:val="222222"/>
          <w:sz w:val="24"/>
          <w:szCs w:val="24"/>
          <w:shd w:val="clear" w:color="auto" w:fill="FFFFFF"/>
        </w:rPr>
        <w:t>Journal of African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36</w:t>
      </w:r>
      <w:r w:rsidRPr="00FD108C">
        <w:rPr>
          <w:rFonts w:ascii="Times New Roman" w:hAnsi="Times New Roman" w:cs="Times New Roman"/>
          <w:color w:val="222222"/>
          <w:sz w:val="24"/>
          <w:szCs w:val="24"/>
          <w:shd w:val="clear" w:color="auto" w:fill="FFFFFF"/>
        </w:rPr>
        <w:t>(1), 93-98.</w:t>
      </w:r>
    </w:p>
    <w:p w14:paraId="517E98E8" w14:textId="77777777"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Turan</w:t>
      </w:r>
      <w:proofErr w:type="spellEnd"/>
      <w:r w:rsidRPr="00FD108C">
        <w:rPr>
          <w:rFonts w:ascii="Times New Roman" w:hAnsi="Times New Roman" w:cs="Times New Roman"/>
          <w:color w:val="222222"/>
          <w:sz w:val="24"/>
          <w:szCs w:val="24"/>
          <w:shd w:val="clear" w:color="auto" w:fill="FFFFFF"/>
        </w:rPr>
        <w:t>, Ö. (2019). Return to the status quo ante: Reloading militarism before and after 15 July coup attempt. </w:t>
      </w:r>
      <w:r w:rsidRPr="00FD108C">
        <w:rPr>
          <w:rFonts w:ascii="Times New Roman" w:hAnsi="Times New Roman" w:cs="Times New Roman"/>
          <w:i/>
          <w:iCs/>
          <w:color w:val="222222"/>
          <w:sz w:val="24"/>
          <w:szCs w:val="24"/>
          <w:shd w:val="clear" w:color="auto" w:fill="FFFFFF"/>
        </w:rPr>
        <w:t>The Dubious Case of a Failed Coup: Militarism, Masculinities, and 15 July in Turkey</w:t>
      </w:r>
      <w:r w:rsidRPr="00FD108C">
        <w:rPr>
          <w:rFonts w:ascii="Times New Roman" w:hAnsi="Times New Roman" w:cs="Times New Roman"/>
          <w:color w:val="222222"/>
          <w:sz w:val="24"/>
          <w:szCs w:val="24"/>
          <w:shd w:val="clear" w:color="auto" w:fill="FFFFFF"/>
        </w:rPr>
        <w:t>, 189-241.</w:t>
      </w:r>
    </w:p>
    <w:p w14:paraId="00BCE230" w14:textId="77777777" w:rsidR="00FD108C" w:rsidRPr="00FD108C" w:rsidRDefault="00FD108C" w:rsidP="00FD108C">
      <w:pPr>
        <w:pStyle w:val="FootnoteText"/>
        <w:ind w:left="720" w:hanging="720"/>
        <w:contextualSpacing/>
        <w:jc w:val="both"/>
        <w:rPr>
          <w:rFonts w:ascii="Times New Roman" w:hAnsi="Times New Roman" w:cs="Times New Roman"/>
          <w:color w:val="222222"/>
          <w:sz w:val="24"/>
          <w:szCs w:val="24"/>
          <w:shd w:val="clear" w:color="auto" w:fill="FFFFFF"/>
        </w:rPr>
      </w:pPr>
      <w:proofErr w:type="spellStart"/>
      <w:r w:rsidRPr="00FD108C">
        <w:rPr>
          <w:rFonts w:ascii="Times New Roman" w:hAnsi="Times New Roman" w:cs="Times New Roman"/>
          <w:color w:val="222222"/>
          <w:sz w:val="24"/>
          <w:szCs w:val="24"/>
          <w:shd w:val="clear" w:color="auto" w:fill="FFFFFF"/>
        </w:rPr>
        <w:t>Umezulike</w:t>
      </w:r>
      <w:proofErr w:type="spellEnd"/>
      <w:r w:rsidRPr="00FD108C">
        <w:rPr>
          <w:rFonts w:ascii="Times New Roman" w:hAnsi="Times New Roman" w:cs="Times New Roman"/>
          <w:color w:val="222222"/>
          <w:sz w:val="24"/>
          <w:szCs w:val="24"/>
          <w:shd w:val="clear" w:color="auto" w:fill="FFFFFF"/>
        </w:rPr>
        <w:t>, I. A. (2013). </w:t>
      </w:r>
      <w:r w:rsidRPr="00FD108C">
        <w:rPr>
          <w:rFonts w:ascii="Times New Roman" w:hAnsi="Times New Roman" w:cs="Times New Roman"/>
          <w:i/>
          <w:iCs/>
          <w:color w:val="222222"/>
          <w:sz w:val="24"/>
          <w:szCs w:val="24"/>
          <w:shd w:val="clear" w:color="auto" w:fill="FFFFFF"/>
        </w:rPr>
        <w:t>ABC of Contemporary Land Law in Nigeria</w:t>
      </w:r>
      <w:r w:rsidRPr="00FD108C">
        <w:rPr>
          <w:rFonts w:ascii="Times New Roman" w:hAnsi="Times New Roman" w:cs="Times New Roman"/>
          <w:color w:val="222222"/>
          <w:sz w:val="24"/>
          <w:szCs w:val="24"/>
          <w:shd w:val="clear" w:color="auto" w:fill="FFFFFF"/>
        </w:rPr>
        <w:t xml:space="preserve">. </w:t>
      </w:r>
      <w:proofErr w:type="spellStart"/>
      <w:r w:rsidRPr="00FD108C">
        <w:rPr>
          <w:rFonts w:ascii="Times New Roman" w:hAnsi="Times New Roman" w:cs="Times New Roman"/>
          <w:color w:val="222222"/>
          <w:sz w:val="24"/>
          <w:szCs w:val="24"/>
          <w:shd w:val="clear" w:color="auto" w:fill="FFFFFF"/>
        </w:rPr>
        <w:t>Snaap</w:t>
      </w:r>
      <w:proofErr w:type="spellEnd"/>
      <w:r w:rsidRPr="00FD108C">
        <w:rPr>
          <w:rFonts w:ascii="Times New Roman" w:hAnsi="Times New Roman" w:cs="Times New Roman"/>
          <w:color w:val="222222"/>
          <w:sz w:val="24"/>
          <w:szCs w:val="24"/>
          <w:shd w:val="clear" w:color="auto" w:fill="FFFFFF"/>
        </w:rPr>
        <w:t xml:space="preserve"> Press Nigeria Limited.</w:t>
      </w:r>
    </w:p>
    <w:p w14:paraId="693E001C" w14:textId="77777777" w:rsidR="00FD108C" w:rsidRDefault="00FD108C" w:rsidP="00FD108C"/>
    <w:p w14:paraId="0A97269D" w14:textId="77777777" w:rsidR="00FD108C" w:rsidRPr="00BA4BC1" w:rsidRDefault="00FD108C" w:rsidP="00BA4BC1">
      <w:pPr>
        <w:pStyle w:val="FootnoteText"/>
        <w:ind w:left="720" w:hanging="720"/>
        <w:contextualSpacing/>
        <w:jc w:val="both"/>
        <w:rPr>
          <w:rFonts w:ascii="Times New Roman" w:hAnsi="Times New Roman" w:cs="Times New Roman"/>
          <w:color w:val="222222"/>
          <w:sz w:val="24"/>
          <w:szCs w:val="24"/>
          <w:shd w:val="clear" w:color="auto" w:fill="FFFFFF"/>
        </w:rPr>
      </w:pPr>
    </w:p>
    <w:p w14:paraId="63B11E50" w14:textId="77777777" w:rsidR="00BA4BC1" w:rsidRPr="00BA4BC1" w:rsidRDefault="00BA4BC1" w:rsidP="00BA4BC1">
      <w:pPr>
        <w:spacing w:after="0" w:line="240" w:lineRule="auto"/>
        <w:jc w:val="both"/>
        <w:rPr>
          <w:rFonts w:ascii="Times New Roman" w:hAnsi="Times New Roman" w:cs="Times New Roman"/>
          <w:b/>
          <w:sz w:val="24"/>
          <w:szCs w:val="24"/>
        </w:rPr>
      </w:pPr>
    </w:p>
    <w:sectPr w:rsidR="00BA4BC1" w:rsidRPr="00BA4BC1" w:rsidSect="002223AA">
      <w:pgSz w:w="11907" w:h="16839"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 w:date="2023-02-27T12:18:00Z" w:initials="m">
    <w:p w14:paraId="6C643ED8" w14:textId="33FBD7DB" w:rsidR="00A832B8" w:rsidRDefault="00A832B8">
      <w:pPr>
        <w:pStyle w:val="CommentText"/>
      </w:pPr>
      <w:r>
        <w:rPr>
          <w:rStyle w:val="CommentReference"/>
        </w:rPr>
        <w:annotationRef/>
      </w:r>
      <w:r w:rsidRPr="00A832B8">
        <w:t>What do you mean by Conveyancers here</w:t>
      </w:r>
    </w:p>
  </w:comment>
  <w:comment w:id="1" w:author="m" w:date="2023-02-27T12:18:00Z" w:initials="m">
    <w:p w14:paraId="4FF7383D" w14:textId="5F22B23D" w:rsidR="00A832B8" w:rsidRDefault="00A832B8">
      <w:pPr>
        <w:pStyle w:val="CommentText"/>
      </w:pPr>
      <w:r>
        <w:rPr>
          <w:rStyle w:val="CommentReference"/>
        </w:rPr>
        <w:annotationRef/>
      </w:r>
      <w:r w:rsidRPr="00A832B8">
        <w:t>You don't need this section, use it to explain the purpose and methods of the research</w:t>
      </w:r>
    </w:p>
  </w:comment>
  <w:comment w:id="2" w:author="m" w:date="2023-02-27T12:19:00Z" w:initials="m">
    <w:p w14:paraId="283D4A05" w14:textId="7948794F" w:rsidR="00CB6753" w:rsidRDefault="00CB6753">
      <w:pPr>
        <w:pStyle w:val="CommentText"/>
      </w:pPr>
      <w:r>
        <w:rPr>
          <w:rStyle w:val="CommentReference"/>
        </w:rPr>
        <w:annotationRef/>
      </w:r>
      <w:r w:rsidRPr="00CB6753">
        <w:t>Revision for the whole, the writing format must follow the IJLS journal guidelines, written in the standard IMRAD format, as well as with clear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643ED8" w15:done="0"/>
  <w15:commentEx w15:paraId="4FF7383D" w15:done="0"/>
  <w15:commentEx w15:paraId="283D4A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71E00" w16cex:dateUtc="2023-02-27T05:18:00Z"/>
  <w16cex:commentExtensible w16cex:durableId="27A71E23" w16cex:dateUtc="2023-02-27T05:18:00Z"/>
  <w16cex:commentExtensible w16cex:durableId="27A71E68" w16cex:dateUtc="2023-02-27T0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643ED8" w16cid:durableId="27A71E00"/>
  <w16cid:commentId w16cid:paraId="4FF7383D" w16cid:durableId="27A71E23"/>
  <w16cid:commentId w16cid:paraId="283D4A05" w16cid:durableId="27A71E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9EE58" w14:textId="77777777" w:rsidR="00DB2112" w:rsidRDefault="00DB2112" w:rsidP="00A81092">
      <w:pPr>
        <w:spacing w:after="0" w:line="240" w:lineRule="auto"/>
      </w:pPr>
      <w:r>
        <w:separator/>
      </w:r>
    </w:p>
  </w:endnote>
  <w:endnote w:type="continuationSeparator" w:id="0">
    <w:p w14:paraId="417A076F" w14:textId="77777777" w:rsidR="00DB2112" w:rsidRDefault="00DB2112" w:rsidP="00A81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499BC" w14:textId="77777777" w:rsidR="00DB2112" w:rsidRDefault="00DB2112" w:rsidP="00A81092">
      <w:pPr>
        <w:spacing w:after="0" w:line="240" w:lineRule="auto"/>
      </w:pPr>
      <w:r>
        <w:separator/>
      </w:r>
    </w:p>
  </w:footnote>
  <w:footnote w:type="continuationSeparator" w:id="0">
    <w:p w14:paraId="56724CF8" w14:textId="77777777" w:rsidR="00DB2112" w:rsidRDefault="00DB2112" w:rsidP="00A81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66C"/>
    <w:multiLevelType w:val="hybridMultilevel"/>
    <w:tmpl w:val="75EAF0A2"/>
    <w:lvl w:ilvl="0" w:tplc="93CA4C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3B2E38"/>
    <w:multiLevelType w:val="hybridMultilevel"/>
    <w:tmpl w:val="868638FE"/>
    <w:lvl w:ilvl="0" w:tplc="E75AFDA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853194"/>
    <w:multiLevelType w:val="multilevel"/>
    <w:tmpl w:val="7892DB3A"/>
    <w:lvl w:ilvl="0">
      <w:start w:val="5"/>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 w15:restartNumberingAfterBreak="0">
    <w:nsid w:val="2AF831B4"/>
    <w:multiLevelType w:val="hybridMultilevel"/>
    <w:tmpl w:val="391C5668"/>
    <w:lvl w:ilvl="0" w:tplc="4B1A9A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363768"/>
    <w:multiLevelType w:val="multilevel"/>
    <w:tmpl w:val="8F623D2E"/>
    <w:lvl w:ilvl="0">
      <w:start w:val="6"/>
      <w:numFmt w:val="decimal"/>
      <w:lvlText w:val="%1.0."/>
      <w:lvlJc w:val="left"/>
      <w:pPr>
        <w:ind w:left="2880" w:hanging="720"/>
      </w:pPr>
      <w:rPr>
        <w:rFonts w:hint="default"/>
      </w:rPr>
    </w:lvl>
    <w:lvl w:ilvl="1">
      <w:start w:val="1"/>
      <w:numFmt w:val="decimalZero"/>
      <w:lvlText w:val="%1.%2."/>
      <w:lvlJc w:val="left"/>
      <w:pPr>
        <w:ind w:left="3600" w:hanging="720"/>
      </w:pPr>
      <w:rPr>
        <w:rFonts w:hint="default"/>
      </w:rPr>
    </w:lvl>
    <w:lvl w:ilvl="2">
      <w:start w:val="1"/>
      <w:numFmt w:val="decimal"/>
      <w:lvlText w:val="%1.%2.%3."/>
      <w:lvlJc w:val="left"/>
      <w:pPr>
        <w:ind w:left="4680" w:hanging="108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480" w:hanging="1440"/>
      </w:pPr>
      <w:rPr>
        <w:rFonts w:hint="default"/>
      </w:rPr>
    </w:lvl>
    <w:lvl w:ilvl="5">
      <w:start w:val="1"/>
      <w:numFmt w:val="decimal"/>
      <w:lvlText w:val="%1.%2.%3.%4.%5.%6."/>
      <w:lvlJc w:val="left"/>
      <w:pPr>
        <w:ind w:left="756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9360" w:hanging="2160"/>
      </w:pPr>
      <w:rPr>
        <w:rFonts w:hint="default"/>
      </w:rPr>
    </w:lvl>
    <w:lvl w:ilvl="8">
      <w:start w:val="1"/>
      <w:numFmt w:val="decimal"/>
      <w:lvlText w:val="%1.%2.%3.%4.%5.%6.%7.%8.%9."/>
      <w:lvlJc w:val="left"/>
      <w:pPr>
        <w:ind w:left="10440" w:hanging="2520"/>
      </w:pPr>
      <w:rPr>
        <w:rFonts w:hint="default"/>
      </w:rPr>
    </w:lvl>
  </w:abstractNum>
  <w:abstractNum w:abstractNumId="5" w15:restartNumberingAfterBreak="0">
    <w:nsid w:val="39F65E3F"/>
    <w:multiLevelType w:val="hybridMultilevel"/>
    <w:tmpl w:val="03F05AEA"/>
    <w:lvl w:ilvl="0" w:tplc="03869B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532EA1"/>
    <w:multiLevelType w:val="multilevel"/>
    <w:tmpl w:val="0C406770"/>
    <w:lvl w:ilvl="0">
      <w:start w:val="4"/>
      <w:numFmt w:val="decimal"/>
      <w:lvlText w:val="%1.0."/>
      <w:lvlJc w:val="left"/>
      <w:pPr>
        <w:ind w:left="1440" w:hanging="720"/>
      </w:pPr>
      <w:rPr>
        <w:rFonts w:hint="default"/>
      </w:rPr>
    </w:lvl>
    <w:lvl w:ilvl="1">
      <w:start w:val="1"/>
      <w:numFmt w:val="decimalZero"/>
      <w:lvlText w:val="%1.%2."/>
      <w:lvlJc w:val="left"/>
      <w:pPr>
        <w:ind w:left="216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6120" w:hanging="1800"/>
      </w:pPr>
      <w:rPr>
        <w:rFonts w:hint="default"/>
      </w:rPr>
    </w:lvl>
    <w:lvl w:ilvl="6">
      <w:start w:val="1"/>
      <w:numFmt w:val="decimal"/>
      <w:lvlText w:val="%1.%2.%3.%4.%5.%6.%7."/>
      <w:lvlJc w:val="left"/>
      <w:pPr>
        <w:ind w:left="7200" w:hanging="2160"/>
      </w:pPr>
      <w:rPr>
        <w:rFonts w:hint="default"/>
      </w:rPr>
    </w:lvl>
    <w:lvl w:ilvl="7">
      <w:start w:val="1"/>
      <w:numFmt w:val="decimal"/>
      <w:lvlText w:val="%1.%2.%3.%4.%5.%6.%7.%8."/>
      <w:lvlJc w:val="left"/>
      <w:pPr>
        <w:ind w:left="7920" w:hanging="2160"/>
      </w:pPr>
      <w:rPr>
        <w:rFonts w:hint="default"/>
      </w:rPr>
    </w:lvl>
    <w:lvl w:ilvl="8">
      <w:start w:val="1"/>
      <w:numFmt w:val="decimal"/>
      <w:lvlText w:val="%1.%2.%3.%4.%5.%6.%7.%8.%9."/>
      <w:lvlJc w:val="left"/>
      <w:pPr>
        <w:ind w:left="9000" w:hanging="2520"/>
      </w:pPr>
      <w:rPr>
        <w:rFonts w:hint="default"/>
      </w:rPr>
    </w:lvl>
  </w:abstractNum>
  <w:abstractNum w:abstractNumId="7" w15:restartNumberingAfterBreak="0">
    <w:nsid w:val="7E54343C"/>
    <w:multiLevelType w:val="multilevel"/>
    <w:tmpl w:val="C2DA9EB2"/>
    <w:lvl w:ilvl="0">
      <w:start w:val="1"/>
      <w:numFmt w:val="decimal"/>
      <w:lvlText w:val="%1.0."/>
      <w:lvlJc w:val="left"/>
      <w:pPr>
        <w:ind w:left="720" w:hanging="720"/>
      </w:pPr>
      <w:rPr>
        <w:rFonts w:hint="default"/>
      </w:rPr>
    </w:lvl>
    <w:lvl w:ilvl="1">
      <w:start w:val="1"/>
      <w:numFmt w:val="decimalZero"/>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16cid:durableId="28846012">
    <w:abstractNumId w:val="7"/>
  </w:num>
  <w:num w:numId="2" w16cid:durableId="1541701075">
    <w:abstractNumId w:val="6"/>
  </w:num>
  <w:num w:numId="3" w16cid:durableId="1668485496">
    <w:abstractNumId w:val="2"/>
  </w:num>
  <w:num w:numId="4" w16cid:durableId="257836456">
    <w:abstractNumId w:val="4"/>
  </w:num>
  <w:num w:numId="5" w16cid:durableId="175119735">
    <w:abstractNumId w:val="3"/>
  </w:num>
  <w:num w:numId="6" w16cid:durableId="554657402">
    <w:abstractNumId w:val="5"/>
  </w:num>
  <w:num w:numId="7" w16cid:durableId="1852641434">
    <w:abstractNumId w:val="0"/>
  </w:num>
  <w:num w:numId="8" w16cid:durableId="74156223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3AA"/>
    <w:rsid w:val="000108B3"/>
    <w:rsid w:val="000118D3"/>
    <w:rsid w:val="00030B5F"/>
    <w:rsid w:val="00036864"/>
    <w:rsid w:val="000438AF"/>
    <w:rsid w:val="000438D0"/>
    <w:rsid w:val="00043E7B"/>
    <w:rsid w:val="00066D79"/>
    <w:rsid w:val="00085700"/>
    <w:rsid w:val="00121D14"/>
    <w:rsid w:val="00131609"/>
    <w:rsid w:val="001509AB"/>
    <w:rsid w:val="00154ECE"/>
    <w:rsid w:val="001567ED"/>
    <w:rsid w:val="001606BE"/>
    <w:rsid w:val="00164FFE"/>
    <w:rsid w:val="001672D8"/>
    <w:rsid w:val="0018723C"/>
    <w:rsid w:val="0019527F"/>
    <w:rsid w:val="00196D18"/>
    <w:rsid w:val="001A692F"/>
    <w:rsid w:val="001B0273"/>
    <w:rsid w:val="001B7964"/>
    <w:rsid w:val="001D08F6"/>
    <w:rsid w:val="001D2AF0"/>
    <w:rsid w:val="001D639E"/>
    <w:rsid w:val="001D7366"/>
    <w:rsid w:val="001E1A8B"/>
    <w:rsid w:val="001E46B7"/>
    <w:rsid w:val="001E662F"/>
    <w:rsid w:val="001F1988"/>
    <w:rsid w:val="0020226B"/>
    <w:rsid w:val="00206E8E"/>
    <w:rsid w:val="002223AA"/>
    <w:rsid w:val="00222B18"/>
    <w:rsid w:val="00240AC3"/>
    <w:rsid w:val="00245146"/>
    <w:rsid w:val="00246E55"/>
    <w:rsid w:val="00247BFB"/>
    <w:rsid w:val="002561A6"/>
    <w:rsid w:val="00274ACA"/>
    <w:rsid w:val="002765B2"/>
    <w:rsid w:val="00286120"/>
    <w:rsid w:val="00295179"/>
    <w:rsid w:val="00297F30"/>
    <w:rsid w:val="002B0E0E"/>
    <w:rsid w:val="002C2BC1"/>
    <w:rsid w:val="002D35DE"/>
    <w:rsid w:val="002E6015"/>
    <w:rsid w:val="002F4285"/>
    <w:rsid w:val="002F7ED7"/>
    <w:rsid w:val="0030199F"/>
    <w:rsid w:val="00301F45"/>
    <w:rsid w:val="0031516C"/>
    <w:rsid w:val="00324795"/>
    <w:rsid w:val="003434F0"/>
    <w:rsid w:val="00345743"/>
    <w:rsid w:val="00396417"/>
    <w:rsid w:val="00397543"/>
    <w:rsid w:val="003B283E"/>
    <w:rsid w:val="003C0936"/>
    <w:rsid w:val="003C7FDC"/>
    <w:rsid w:val="003F0FC6"/>
    <w:rsid w:val="00411EC0"/>
    <w:rsid w:val="004564E6"/>
    <w:rsid w:val="00483FB2"/>
    <w:rsid w:val="00490E58"/>
    <w:rsid w:val="00493E85"/>
    <w:rsid w:val="004B4A84"/>
    <w:rsid w:val="004C1AD6"/>
    <w:rsid w:val="004C7273"/>
    <w:rsid w:val="004E3C25"/>
    <w:rsid w:val="004F76CC"/>
    <w:rsid w:val="00500BF2"/>
    <w:rsid w:val="00504D5B"/>
    <w:rsid w:val="005149B9"/>
    <w:rsid w:val="00541B89"/>
    <w:rsid w:val="00552AA3"/>
    <w:rsid w:val="00577D56"/>
    <w:rsid w:val="005839BF"/>
    <w:rsid w:val="00586C97"/>
    <w:rsid w:val="00587E09"/>
    <w:rsid w:val="00587FBF"/>
    <w:rsid w:val="00594D6C"/>
    <w:rsid w:val="00595E8D"/>
    <w:rsid w:val="005A5537"/>
    <w:rsid w:val="005B5510"/>
    <w:rsid w:val="005B71B9"/>
    <w:rsid w:val="005C1D09"/>
    <w:rsid w:val="005C1DA0"/>
    <w:rsid w:val="005C25BE"/>
    <w:rsid w:val="005E0399"/>
    <w:rsid w:val="00610F9E"/>
    <w:rsid w:val="00621F7C"/>
    <w:rsid w:val="00627A3E"/>
    <w:rsid w:val="006429DF"/>
    <w:rsid w:val="00646E9E"/>
    <w:rsid w:val="006519D7"/>
    <w:rsid w:val="0066316B"/>
    <w:rsid w:val="006641F6"/>
    <w:rsid w:val="00671F65"/>
    <w:rsid w:val="006772A8"/>
    <w:rsid w:val="00683021"/>
    <w:rsid w:val="00697347"/>
    <w:rsid w:val="006B1DBD"/>
    <w:rsid w:val="006B46A6"/>
    <w:rsid w:val="006C5AF6"/>
    <w:rsid w:val="006C6BFB"/>
    <w:rsid w:val="006D2CF9"/>
    <w:rsid w:val="006F45B0"/>
    <w:rsid w:val="00705E00"/>
    <w:rsid w:val="0071257C"/>
    <w:rsid w:val="00712DE3"/>
    <w:rsid w:val="00740FBC"/>
    <w:rsid w:val="00746EA6"/>
    <w:rsid w:val="00764950"/>
    <w:rsid w:val="007649C4"/>
    <w:rsid w:val="00792AE3"/>
    <w:rsid w:val="00794A83"/>
    <w:rsid w:val="00795B08"/>
    <w:rsid w:val="007A3FFA"/>
    <w:rsid w:val="007A6DEA"/>
    <w:rsid w:val="007B3BC5"/>
    <w:rsid w:val="007B5B1F"/>
    <w:rsid w:val="007C0B65"/>
    <w:rsid w:val="007C2CA3"/>
    <w:rsid w:val="007D08EC"/>
    <w:rsid w:val="0081797C"/>
    <w:rsid w:val="00851182"/>
    <w:rsid w:val="00873DCB"/>
    <w:rsid w:val="008961B2"/>
    <w:rsid w:val="008A744E"/>
    <w:rsid w:val="008B3760"/>
    <w:rsid w:val="008D1C73"/>
    <w:rsid w:val="008D6B24"/>
    <w:rsid w:val="009006B1"/>
    <w:rsid w:val="0091490D"/>
    <w:rsid w:val="009464EB"/>
    <w:rsid w:val="00951C3D"/>
    <w:rsid w:val="0096610C"/>
    <w:rsid w:val="0097491C"/>
    <w:rsid w:val="00990B2C"/>
    <w:rsid w:val="00995F5E"/>
    <w:rsid w:val="00997FC6"/>
    <w:rsid w:val="009A2E18"/>
    <w:rsid w:val="009A5175"/>
    <w:rsid w:val="009B2404"/>
    <w:rsid w:val="009D1E1E"/>
    <w:rsid w:val="009F30B1"/>
    <w:rsid w:val="00A11562"/>
    <w:rsid w:val="00A1292C"/>
    <w:rsid w:val="00A2367B"/>
    <w:rsid w:val="00A269A9"/>
    <w:rsid w:val="00A37E28"/>
    <w:rsid w:val="00A43297"/>
    <w:rsid w:val="00A46B84"/>
    <w:rsid w:val="00A47D37"/>
    <w:rsid w:val="00A60F54"/>
    <w:rsid w:val="00A807B9"/>
    <w:rsid w:val="00A81092"/>
    <w:rsid w:val="00A832B8"/>
    <w:rsid w:val="00A9300F"/>
    <w:rsid w:val="00AB6340"/>
    <w:rsid w:val="00AC2483"/>
    <w:rsid w:val="00AD5F42"/>
    <w:rsid w:val="00AD75BA"/>
    <w:rsid w:val="00B020FA"/>
    <w:rsid w:val="00B03417"/>
    <w:rsid w:val="00B13913"/>
    <w:rsid w:val="00B1562D"/>
    <w:rsid w:val="00B243F6"/>
    <w:rsid w:val="00B272B3"/>
    <w:rsid w:val="00B33606"/>
    <w:rsid w:val="00B37CA1"/>
    <w:rsid w:val="00B8284F"/>
    <w:rsid w:val="00BA4BC1"/>
    <w:rsid w:val="00BD2CE6"/>
    <w:rsid w:val="00BD6F32"/>
    <w:rsid w:val="00BE0359"/>
    <w:rsid w:val="00BE083F"/>
    <w:rsid w:val="00BE234F"/>
    <w:rsid w:val="00C351BB"/>
    <w:rsid w:val="00C416DB"/>
    <w:rsid w:val="00C54114"/>
    <w:rsid w:val="00C746FD"/>
    <w:rsid w:val="00C75FF2"/>
    <w:rsid w:val="00C865C0"/>
    <w:rsid w:val="00CB6753"/>
    <w:rsid w:val="00CC6380"/>
    <w:rsid w:val="00CD7A9E"/>
    <w:rsid w:val="00CD7AE9"/>
    <w:rsid w:val="00CF0BA8"/>
    <w:rsid w:val="00CF0EFA"/>
    <w:rsid w:val="00CF3A45"/>
    <w:rsid w:val="00D14BEC"/>
    <w:rsid w:val="00D2767C"/>
    <w:rsid w:val="00D378C0"/>
    <w:rsid w:val="00D44A25"/>
    <w:rsid w:val="00D642B8"/>
    <w:rsid w:val="00D80CC9"/>
    <w:rsid w:val="00DA065C"/>
    <w:rsid w:val="00DA64F1"/>
    <w:rsid w:val="00DB2112"/>
    <w:rsid w:val="00DB4BCF"/>
    <w:rsid w:val="00DB616B"/>
    <w:rsid w:val="00DC0F7A"/>
    <w:rsid w:val="00DC32E6"/>
    <w:rsid w:val="00DC40CA"/>
    <w:rsid w:val="00DD4F58"/>
    <w:rsid w:val="00DD67DA"/>
    <w:rsid w:val="00DE0286"/>
    <w:rsid w:val="00DF021C"/>
    <w:rsid w:val="00E51389"/>
    <w:rsid w:val="00E56432"/>
    <w:rsid w:val="00E70719"/>
    <w:rsid w:val="00E829EA"/>
    <w:rsid w:val="00E95683"/>
    <w:rsid w:val="00EB3EFA"/>
    <w:rsid w:val="00EC0244"/>
    <w:rsid w:val="00EC43F3"/>
    <w:rsid w:val="00ED4B3A"/>
    <w:rsid w:val="00EE64D5"/>
    <w:rsid w:val="00EF2CE9"/>
    <w:rsid w:val="00F050F8"/>
    <w:rsid w:val="00F3522D"/>
    <w:rsid w:val="00F41804"/>
    <w:rsid w:val="00F4351E"/>
    <w:rsid w:val="00F6404C"/>
    <w:rsid w:val="00F8279D"/>
    <w:rsid w:val="00FA7588"/>
    <w:rsid w:val="00FD108C"/>
    <w:rsid w:val="00FD77A2"/>
    <w:rsid w:val="00FE2D8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A752C"/>
  <w15:docId w15:val="{7ADC7FB2-9906-BA46-B288-C9825681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0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3AA"/>
    <w:pPr>
      <w:ind w:left="720"/>
      <w:contextualSpacing/>
    </w:pPr>
  </w:style>
  <w:style w:type="paragraph" w:styleId="FootnoteText">
    <w:name w:val="footnote text"/>
    <w:basedOn w:val="Normal"/>
    <w:link w:val="FootnoteTextChar"/>
    <w:uiPriority w:val="99"/>
    <w:semiHidden/>
    <w:unhideWhenUsed/>
    <w:rsid w:val="00A810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1092"/>
    <w:rPr>
      <w:sz w:val="20"/>
      <w:szCs w:val="20"/>
    </w:rPr>
  </w:style>
  <w:style w:type="character" w:styleId="FootnoteReference">
    <w:name w:val="footnote reference"/>
    <w:basedOn w:val="DefaultParagraphFont"/>
    <w:uiPriority w:val="99"/>
    <w:semiHidden/>
    <w:unhideWhenUsed/>
    <w:rsid w:val="00A81092"/>
    <w:rPr>
      <w:vertAlign w:val="superscript"/>
    </w:rPr>
  </w:style>
  <w:style w:type="paragraph" w:styleId="Header">
    <w:name w:val="header"/>
    <w:basedOn w:val="Normal"/>
    <w:link w:val="HeaderChar"/>
    <w:uiPriority w:val="99"/>
    <w:unhideWhenUsed/>
    <w:rsid w:val="00646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E9E"/>
  </w:style>
  <w:style w:type="paragraph" w:styleId="Footer">
    <w:name w:val="footer"/>
    <w:basedOn w:val="Normal"/>
    <w:link w:val="FooterChar"/>
    <w:uiPriority w:val="99"/>
    <w:unhideWhenUsed/>
    <w:rsid w:val="00646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E9E"/>
  </w:style>
  <w:style w:type="character" w:customStyle="1" w:styleId="Heading1Char">
    <w:name w:val="Heading 1 Char"/>
    <w:basedOn w:val="DefaultParagraphFont"/>
    <w:link w:val="Heading1"/>
    <w:uiPriority w:val="9"/>
    <w:rsid w:val="00DC0F7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500BF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832B8"/>
    <w:rPr>
      <w:sz w:val="16"/>
      <w:szCs w:val="16"/>
    </w:rPr>
  </w:style>
  <w:style w:type="paragraph" w:styleId="CommentText">
    <w:name w:val="annotation text"/>
    <w:basedOn w:val="Normal"/>
    <w:link w:val="CommentTextChar"/>
    <w:uiPriority w:val="99"/>
    <w:semiHidden/>
    <w:unhideWhenUsed/>
    <w:rsid w:val="00A832B8"/>
    <w:pPr>
      <w:spacing w:line="240" w:lineRule="auto"/>
    </w:pPr>
    <w:rPr>
      <w:sz w:val="20"/>
      <w:szCs w:val="20"/>
    </w:rPr>
  </w:style>
  <w:style w:type="character" w:customStyle="1" w:styleId="CommentTextChar">
    <w:name w:val="Comment Text Char"/>
    <w:basedOn w:val="DefaultParagraphFont"/>
    <w:link w:val="CommentText"/>
    <w:uiPriority w:val="99"/>
    <w:semiHidden/>
    <w:rsid w:val="00A832B8"/>
    <w:rPr>
      <w:sz w:val="20"/>
      <w:szCs w:val="20"/>
    </w:rPr>
  </w:style>
  <w:style w:type="paragraph" w:styleId="CommentSubject">
    <w:name w:val="annotation subject"/>
    <w:basedOn w:val="CommentText"/>
    <w:next w:val="CommentText"/>
    <w:link w:val="CommentSubjectChar"/>
    <w:uiPriority w:val="99"/>
    <w:semiHidden/>
    <w:unhideWhenUsed/>
    <w:rsid w:val="00A832B8"/>
    <w:rPr>
      <w:b/>
      <w:bCs/>
    </w:rPr>
  </w:style>
  <w:style w:type="character" w:customStyle="1" w:styleId="CommentSubjectChar">
    <w:name w:val="Comment Subject Char"/>
    <w:basedOn w:val="CommentTextChar"/>
    <w:link w:val="CommentSubject"/>
    <w:uiPriority w:val="99"/>
    <w:semiHidden/>
    <w:rsid w:val="00A832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365498">
      <w:bodyDiv w:val="1"/>
      <w:marLeft w:val="0"/>
      <w:marRight w:val="0"/>
      <w:marTop w:val="0"/>
      <w:marBottom w:val="0"/>
      <w:divBdr>
        <w:top w:val="none" w:sz="0" w:space="0" w:color="auto"/>
        <w:left w:val="none" w:sz="0" w:space="0" w:color="auto"/>
        <w:bottom w:val="none" w:sz="0" w:space="0" w:color="auto"/>
        <w:right w:val="none" w:sz="0" w:space="0" w:color="auto"/>
      </w:divBdr>
      <w:divsChild>
        <w:div w:id="1267729723">
          <w:marLeft w:val="0"/>
          <w:marRight w:val="0"/>
          <w:marTop w:val="0"/>
          <w:marBottom w:val="0"/>
          <w:divBdr>
            <w:top w:val="none" w:sz="0" w:space="0" w:color="auto"/>
            <w:left w:val="none" w:sz="0" w:space="0" w:color="auto"/>
            <w:bottom w:val="none" w:sz="0" w:space="0" w:color="auto"/>
            <w:right w:val="none" w:sz="0" w:space="0" w:color="auto"/>
          </w:divBdr>
        </w:div>
      </w:divsChild>
    </w:div>
    <w:div w:id="1006787696">
      <w:bodyDiv w:val="1"/>
      <w:marLeft w:val="0"/>
      <w:marRight w:val="0"/>
      <w:marTop w:val="0"/>
      <w:marBottom w:val="0"/>
      <w:divBdr>
        <w:top w:val="none" w:sz="0" w:space="0" w:color="auto"/>
        <w:left w:val="none" w:sz="0" w:space="0" w:color="auto"/>
        <w:bottom w:val="none" w:sz="0" w:space="0" w:color="auto"/>
        <w:right w:val="none" w:sz="0" w:space="0" w:color="auto"/>
      </w:divBdr>
      <w:divsChild>
        <w:div w:id="376978076">
          <w:marLeft w:val="0"/>
          <w:marRight w:val="0"/>
          <w:marTop w:val="0"/>
          <w:marBottom w:val="0"/>
          <w:divBdr>
            <w:top w:val="none" w:sz="0" w:space="0" w:color="auto"/>
            <w:left w:val="none" w:sz="0" w:space="0" w:color="auto"/>
            <w:bottom w:val="none" w:sz="0" w:space="0" w:color="auto"/>
            <w:right w:val="none" w:sz="0" w:space="0" w:color="auto"/>
          </w:divBdr>
          <w:divsChild>
            <w:div w:id="1333992884">
              <w:marLeft w:val="0"/>
              <w:marRight w:val="0"/>
              <w:marTop w:val="0"/>
              <w:marBottom w:val="300"/>
              <w:divBdr>
                <w:top w:val="single" w:sz="6" w:space="0" w:color="F2F2F2"/>
                <w:left w:val="single" w:sz="6" w:space="0" w:color="F2F2F2"/>
                <w:bottom w:val="single" w:sz="6" w:space="0" w:color="F2F2F2"/>
                <w:right w:val="single" w:sz="6" w:space="0" w:color="F2F2F2"/>
              </w:divBdr>
              <w:divsChild>
                <w:div w:id="17915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25366">
      <w:bodyDiv w:val="1"/>
      <w:marLeft w:val="0"/>
      <w:marRight w:val="0"/>
      <w:marTop w:val="0"/>
      <w:marBottom w:val="0"/>
      <w:divBdr>
        <w:top w:val="none" w:sz="0" w:space="0" w:color="auto"/>
        <w:left w:val="none" w:sz="0" w:space="0" w:color="auto"/>
        <w:bottom w:val="none" w:sz="0" w:space="0" w:color="auto"/>
        <w:right w:val="none" w:sz="0" w:space="0" w:color="auto"/>
      </w:divBdr>
      <w:divsChild>
        <w:div w:id="2029871501">
          <w:marLeft w:val="0"/>
          <w:marRight w:val="0"/>
          <w:marTop w:val="0"/>
          <w:marBottom w:val="0"/>
          <w:divBdr>
            <w:top w:val="none" w:sz="0" w:space="0" w:color="auto"/>
            <w:left w:val="none" w:sz="0" w:space="0" w:color="auto"/>
            <w:bottom w:val="none" w:sz="0" w:space="0" w:color="auto"/>
            <w:right w:val="none" w:sz="0" w:space="0" w:color="auto"/>
          </w:divBdr>
          <w:divsChild>
            <w:div w:id="1688942906">
              <w:marLeft w:val="0"/>
              <w:marRight w:val="0"/>
              <w:marTop w:val="0"/>
              <w:marBottom w:val="300"/>
              <w:divBdr>
                <w:top w:val="single" w:sz="6" w:space="0" w:color="F2F2F2"/>
                <w:left w:val="single" w:sz="6" w:space="0" w:color="F2F2F2"/>
                <w:bottom w:val="single" w:sz="6" w:space="0" w:color="F2F2F2"/>
                <w:right w:val="single" w:sz="6" w:space="0" w:color="F2F2F2"/>
              </w:divBdr>
              <w:divsChild>
                <w:div w:id="12262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google.com/citations?view_op=view_citation&amp;hl=en&amp;user=bNZKO-gAAAAJ&amp;citation_for_view=bNZKO-gAAAAJ:UeHWp8X0CE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F1A81-9386-49C7-9074-A2F818189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7895</Words>
  <Characters>45008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Mike T. Otu</dc:creator>
  <cp:lastModifiedBy>m</cp:lastModifiedBy>
  <cp:revision>5</cp:revision>
  <dcterms:created xsi:type="dcterms:W3CDTF">2023-02-14T12:28:00Z</dcterms:created>
  <dcterms:modified xsi:type="dcterms:W3CDTF">2023-02-27T05:21:00Z</dcterms:modified>
</cp:coreProperties>
</file>