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122F5F" w:rsidRDefault="00DE1E48" w:rsidP="00122F5F">
      <w:pPr>
        <w:rPr>
          <w:rFonts w:ascii="Calibri Light" w:hAnsi="Calibri Light" w:cs="Calibri Light"/>
          <w:b/>
          <w:bCs/>
          <w:sz w:val="24"/>
          <w:szCs w:val="24"/>
        </w:rPr>
      </w:pPr>
    </w:p>
    <w:p w:rsidR="00DE1E48" w:rsidRPr="0003106D" w:rsidRDefault="004F3C57" w:rsidP="00122F5F">
      <w:pPr>
        <w:rPr>
          <w:rFonts w:ascii="Calibri Light" w:hAnsi="Calibri Light" w:cs="Calibri Light"/>
          <w:b/>
          <w:bCs/>
          <w:iCs/>
          <w:sz w:val="26"/>
          <w:szCs w:val="26"/>
          <w:lang w:val="id-ID"/>
        </w:rPr>
      </w:pPr>
      <w:bookmarkStart w:id="0" w:name="_Hlk127369343"/>
      <w:r w:rsidRPr="0003106D">
        <w:rPr>
          <w:rFonts w:ascii="Calibri Light" w:hAnsi="Calibri Light" w:cs="Calibri Light"/>
          <w:b/>
          <w:bCs/>
          <w:sz w:val="26"/>
          <w:szCs w:val="26"/>
        </w:rPr>
        <w:t>Implications of Regional Regulations Cancellation Based on Law Number 23 of 2014 about Local Government and Law Number 5 Of 2004 about The Supreme Court</w:t>
      </w:r>
      <w:bookmarkEnd w:id="0"/>
    </w:p>
    <w:p w:rsidR="00DE1E48" w:rsidRPr="00122F5F" w:rsidRDefault="00DE1E48" w:rsidP="001D7DEE">
      <w:pPr>
        <w:jc w:val="center"/>
        <w:rPr>
          <w:rFonts w:ascii="Calibri Light" w:hAnsi="Calibri Light" w:cs="Calibri Light"/>
          <w:sz w:val="24"/>
          <w:szCs w:val="24"/>
        </w:rPr>
      </w:pPr>
    </w:p>
    <w:p w:rsidR="008C45DE" w:rsidRPr="00540F02" w:rsidRDefault="004F3C57" w:rsidP="00122F5F">
      <w:pPr>
        <w:rPr>
          <w:rFonts w:ascii="Calibri Light" w:hAnsi="Calibri Light" w:cs="Calibri Light"/>
          <w:color w:val="A6A6A6"/>
          <w:sz w:val="24"/>
          <w:szCs w:val="24"/>
        </w:rPr>
      </w:pPr>
      <w:r w:rsidRPr="004F3C57">
        <w:rPr>
          <w:rFonts w:ascii="Calibri Light" w:hAnsi="Calibri Light" w:cs="Calibri Light"/>
          <w:b/>
          <w:bCs/>
          <w:sz w:val="24"/>
          <w:szCs w:val="24"/>
        </w:rPr>
        <w:t>Hohen Saragih</w:t>
      </w:r>
    </w:p>
    <w:p w:rsidR="008C45DE" w:rsidRPr="00122F5F" w:rsidRDefault="00AB683F" w:rsidP="00122F5F">
      <w:pPr>
        <w:rPr>
          <w:rFonts w:ascii="Calibri Light" w:hAnsi="Calibri Light" w:cs="Calibri Light"/>
          <w:color w:val="FF0000"/>
          <w:sz w:val="24"/>
          <w:szCs w:val="24"/>
        </w:rPr>
      </w:pPr>
      <w:r>
        <w:rPr>
          <w:rFonts w:ascii="Calibri Light" w:hAnsi="Calibri Light" w:cs="Calibri Light"/>
          <w:sz w:val="24"/>
          <w:szCs w:val="24"/>
        </w:rPr>
        <w:t>(</w:t>
      </w:r>
      <w:r w:rsidR="0003106D" w:rsidRPr="0003106D">
        <w:rPr>
          <w:rFonts w:ascii="Calibri Light" w:hAnsi="Calibri Light" w:cs="Calibri Light"/>
          <w:sz w:val="24"/>
          <w:szCs w:val="24"/>
        </w:rPr>
        <w:t>Universitas Islam Bandung, Jl. Tamansari No.1, West Java, Ind</w:t>
      </w:r>
      <w:r w:rsidR="0072376A">
        <w:rPr>
          <w:rFonts w:ascii="Calibri Light" w:hAnsi="Calibri Light" w:cs="Calibri Light"/>
          <w:sz w:val="24"/>
          <w:szCs w:val="24"/>
        </w:rPr>
        <w:t>o</w:t>
      </w:r>
      <w:r w:rsidR="0003106D" w:rsidRPr="0003106D">
        <w:rPr>
          <w:rFonts w:ascii="Calibri Light" w:hAnsi="Calibri Light" w:cs="Calibri Light"/>
          <w:sz w:val="24"/>
          <w:szCs w:val="24"/>
        </w:rPr>
        <w:t>nesia</w:t>
      </w:r>
      <w:r>
        <w:rPr>
          <w:rFonts w:ascii="Calibri Light" w:hAnsi="Calibri Light" w:cs="Calibri Light"/>
          <w:sz w:val="24"/>
          <w:szCs w:val="24"/>
        </w:rPr>
        <w:t>)</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AB683F">
        <w:rPr>
          <w:rFonts w:ascii="Calibri Light" w:hAnsi="Calibri Light" w:cs="Calibri Light"/>
        </w:rPr>
        <w:t>3</w:t>
      </w:r>
      <w:r w:rsidRPr="00863A78">
        <w:rPr>
          <w:rFonts w:ascii="Calibri Light" w:hAnsi="Calibri Light" w:cs="Calibri Light"/>
        </w:rPr>
        <w:t>-</w:t>
      </w:r>
      <w:r w:rsidR="00AB683F">
        <w:rPr>
          <w:rFonts w:ascii="Calibri Light" w:hAnsi="Calibri Light" w:cs="Calibri Light"/>
        </w:rPr>
        <w:t>February</w:t>
      </w:r>
      <w:r w:rsidRPr="00863A78">
        <w:rPr>
          <w:rFonts w:ascii="Calibri Light" w:hAnsi="Calibri Light" w:cs="Calibri Light"/>
        </w:rPr>
        <w:t>-</w:t>
      </w:r>
      <w:r w:rsidR="00AB683F">
        <w:rPr>
          <w:rFonts w:ascii="Calibri Light" w:hAnsi="Calibri Light" w:cs="Calibri Light"/>
        </w:rPr>
        <w:t>20</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782BFD">
        <w:rPr>
          <w:rFonts w:ascii="Calibri Light" w:hAnsi="Calibri Light" w:cs="Calibri Light"/>
        </w:rPr>
        <w:t>3</w:t>
      </w:r>
      <w:r w:rsidRPr="00863A78">
        <w:rPr>
          <w:rFonts w:ascii="Calibri Light" w:hAnsi="Calibri Light" w:cs="Calibri Light"/>
        </w:rPr>
        <w:t>-</w:t>
      </w:r>
      <w:r w:rsidR="00782BFD">
        <w:rPr>
          <w:rFonts w:ascii="Calibri Light" w:hAnsi="Calibri Light" w:cs="Calibri Light"/>
        </w:rPr>
        <w:t>March</w:t>
      </w:r>
      <w:r w:rsidRPr="00863A78">
        <w:rPr>
          <w:rFonts w:ascii="Calibri Light" w:hAnsi="Calibri Light" w:cs="Calibri Light"/>
        </w:rPr>
        <w:t>-</w:t>
      </w:r>
      <w:r w:rsidR="00782BFD">
        <w:rPr>
          <w:rFonts w:ascii="Calibri Light" w:hAnsi="Calibri Light" w:cs="Calibri Light"/>
        </w:rPr>
        <w:t>28</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B683F">
        <w:rPr>
          <w:rFonts w:ascii="Calibri Light" w:hAnsi="Calibri Light" w:cs="Calibri Light"/>
        </w:rPr>
        <w:t>3</w:t>
      </w:r>
      <w:r w:rsidRPr="00863A78">
        <w:rPr>
          <w:rFonts w:ascii="Calibri Light" w:hAnsi="Calibri Light" w:cs="Calibri Light"/>
        </w:rPr>
        <w:t>-</w:t>
      </w:r>
      <w:r w:rsidR="00AB683F">
        <w:rPr>
          <w:rFonts w:ascii="Calibri Light" w:hAnsi="Calibri Light" w:cs="Calibri Light"/>
        </w:rPr>
        <w:t>May</w:t>
      </w:r>
      <w:r w:rsidRPr="00863A78">
        <w:rPr>
          <w:rFonts w:ascii="Calibri Light" w:hAnsi="Calibri Light" w:cs="Calibri Light"/>
        </w:rPr>
        <w:t>-</w:t>
      </w:r>
      <w:r w:rsidR="00AB683F">
        <w:rPr>
          <w:rFonts w:ascii="Calibri Light" w:hAnsi="Calibri Light" w:cs="Calibri Light"/>
        </w:rPr>
        <w:t>19</w:t>
      </w:r>
    </w:p>
    <w:p w:rsidR="00863A78" w:rsidRPr="00863A78" w:rsidRDefault="00863A78" w:rsidP="00863A78">
      <w:pPr>
        <w:ind w:right="737"/>
        <w:rPr>
          <w:rFonts w:ascii="Calibri Light" w:hAnsi="Calibri Light" w:cs="Calibri Light"/>
          <w:b/>
          <w:bCs/>
        </w:rPr>
      </w:pPr>
    </w:p>
    <w:p w:rsidR="00863A78" w:rsidRPr="00863A78" w:rsidRDefault="00CE3E78" w:rsidP="00863A78">
      <w:pPr>
        <w:ind w:right="737"/>
        <w:rPr>
          <w:rFonts w:ascii="Calibri Light" w:hAnsi="Calibri Light" w:cs="Calibri Light"/>
          <w:b/>
          <w:bCs/>
        </w:rPr>
      </w:pPr>
      <w:r>
        <w:rPr>
          <w:rFonts w:ascii="Calibri Light" w:hAnsi="Calibri Light" w:cs="Calibri Light"/>
          <w:noProof/>
          <w:position w:val="-1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i1025" type="#_x0000_t75" alt="" style="width:20.2pt;height:20.2pt;visibility:visible;mso-width-percent:0;mso-height-percent:0;mso-width-percent:0;mso-height-percent:0">
            <v:imagedata r:id="rId8" o:title=""/>
          </v:shape>
        </w:pict>
      </w:r>
      <w:r w:rsidR="00863A78" w:rsidRPr="00863A78">
        <w:rPr>
          <w:rFonts w:ascii="Calibri Light" w:hAnsi="Calibri Light" w:cs="Calibri Light"/>
          <w:noProof/>
          <w:position w:val="-13"/>
        </w:rPr>
        <w:t xml:space="preserve"> </w:t>
      </w:r>
      <w:r w:rsidR="008B1537">
        <w:rPr>
          <w:rFonts w:ascii="Calibri Light" w:hAnsi="Calibri Light" w:cs="Calibri Light"/>
        </w:rPr>
        <w:t>xx</w:t>
      </w:r>
      <w:r w:rsidR="00863A78" w:rsidRPr="00863A78">
        <w:rPr>
          <w:rFonts w:ascii="Calibri Light" w:hAnsi="Calibri Light" w:cs="Calibri Light"/>
        </w:rPr>
        <w:t>.</w:t>
      </w:r>
      <w:r w:rsidR="008B1537">
        <w:rPr>
          <w:rFonts w:ascii="Calibri Light" w:hAnsi="Calibri Light" w:cs="Calibri Light"/>
        </w:rPr>
        <w:t>xxxx</w:t>
      </w:r>
      <w:r w:rsidR="00863A78" w:rsidRPr="00863A78">
        <w:rPr>
          <w:rFonts w:ascii="Calibri Light" w:hAnsi="Calibri Light" w:cs="Calibri Light"/>
        </w:rPr>
        <w:t>/ijls.</w:t>
      </w:r>
      <w:r w:rsidR="00AE5A98">
        <w:rPr>
          <w:rFonts w:ascii="Calibri Light" w:hAnsi="Calibri Light" w:cs="Calibri Light"/>
        </w:rPr>
        <w:t>v2i2.</w:t>
      </w:r>
      <w:r w:rsidR="00863A78" w:rsidRPr="00863A78">
        <w:rPr>
          <w:rFonts w:ascii="Calibri Light" w:hAnsi="Calibri Light" w:cs="Calibri Light"/>
        </w:rPr>
        <w:t>202</w:t>
      </w:r>
      <w:r w:rsidR="00AE5A98">
        <w:rPr>
          <w:rFonts w:ascii="Calibri Light" w:hAnsi="Calibri Light" w:cs="Calibri Light"/>
        </w:rPr>
        <w:t>3</w:t>
      </w:r>
      <w:r w:rsidR="00863A78" w:rsidRPr="00863A78">
        <w:rPr>
          <w:rFonts w:ascii="Calibri Light" w:hAnsi="Calibri Light" w:cs="Calibri Light"/>
        </w:rPr>
        <w:t>.</w:t>
      </w:r>
      <w:r w:rsidR="00AE5A98">
        <w:rPr>
          <w:rFonts w:ascii="Calibri Light" w:hAnsi="Calibri Light" w:cs="Calibri Light"/>
        </w:rPr>
        <w:t>30</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03106D" w:rsidRPr="0003106D">
              <w:rPr>
                <w:rFonts w:ascii="Calibri Light" w:hAnsi="Calibri Light" w:cs="Calibri Light"/>
              </w:rPr>
              <w:t>Saragih, H.</w:t>
            </w:r>
            <w:r w:rsidRPr="00540F02">
              <w:rPr>
                <w:rFonts w:ascii="Calibri Light" w:hAnsi="Calibri Light" w:cs="Calibri Light"/>
              </w:rPr>
              <w:t xml:space="preserve"> (202</w:t>
            </w:r>
            <w:r w:rsidR="0003106D">
              <w:rPr>
                <w:rFonts w:ascii="Calibri Light" w:hAnsi="Calibri Light" w:cs="Calibri Light"/>
              </w:rPr>
              <w:t>3</w:t>
            </w:r>
            <w:r w:rsidRPr="00540F02">
              <w:rPr>
                <w:rFonts w:ascii="Calibri Light" w:hAnsi="Calibri Light" w:cs="Calibri Light"/>
              </w:rPr>
              <w:t xml:space="preserve">). </w:t>
            </w:r>
            <w:r w:rsidR="0003106D" w:rsidRPr="0003106D">
              <w:rPr>
                <w:rFonts w:ascii="Calibri Light" w:hAnsi="Calibri Light" w:cs="Calibri Light"/>
              </w:rPr>
              <w:t>Implications of Regional Regulations Cancellation Based on Law Number 23 of 2014 about Local Government and Law Number 5 Of 2004 about The Supreme Court</w:t>
            </w:r>
            <w:r w:rsidRPr="00540F02">
              <w:rPr>
                <w:rFonts w:ascii="Calibri Light" w:hAnsi="Calibri Light" w:cs="Calibri Light"/>
              </w:rPr>
              <w:t>.</w:t>
            </w:r>
            <w:r w:rsidRPr="00540F02">
              <w:rPr>
                <w:rFonts w:ascii="Calibri Light" w:hAnsi="Calibri Light" w:cs="Calibri Light"/>
                <w:spacing w:val="1"/>
              </w:rPr>
              <w:t xml:space="preserve"> </w:t>
            </w:r>
            <w:r w:rsidR="0003106D" w:rsidRPr="0003106D">
              <w:rPr>
                <w:rFonts w:ascii="Calibri Light" w:hAnsi="Calibri Light" w:cs="Calibri Light"/>
                <w:i/>
              </w:rPr>
              <w:t>International Journal of Law and Society (IJLS)</w:t>
            </w:r>
            <w:r w:rsidRPr="00540F02">
              <w:rPr>
                <w:rFonts w:ascii="Calibri Light" w:hAnsi="Calibri Light" w:cs="Calibri Light"/>
              </w:rPr>
              <w:t xml:space="preserve">, </w:t>
            </w:r>
            <w:r w:rsidR="0003106D">
              <w:rPr>
                <w:rFonts w:ascii="Calibri Light" w:hAnsi="Calibri Light" w:cs="Calibri Light"/>
                <w:i/>
              </w:rPr>
              <w:t>2</w:t>
            </w:r>
            <w:r w:rsidRPr="00540F02">
              <w:rPr>
                <w:rFonts w:ascii="Calibri Light" w:hAnsi="Calibri Light" w:cs="Calibri Light"/>
              </w:rPr>
              <w:t>(2), 1</w:t>
            </w:r>
            <w:r w:rsidR="00362748">
              <w:rPr>
                <w:rFonts w:ascii="Calibri Light" w:hAnsi="Calibri Light" w:cs="Calibri Light"/>
              </w:rPr>
              <w:t>55</w:t>
            </w:r>
            <w:r w:rsidRPr="00540F02">
              <w:rPr>
                <w:rFonts w:ascii="Calibri Light" w:hAnsi="Calibri Light" w:cs="Calibri Light"/>
              </w:rPr>
              <w:t>-</w:t>
            </w:r>
            <w:r w:rsidR="00362748">
              <w:rPr>
                <w:rFonts w:ascii="Calibri Light" w:hAnsi="Calibri Light" w:cs="Calibri Light"/>
              </w:rPr>
              <w:t>162</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0092320E">
                <w:rPr>
                  <w:rStyle w:val="Hyperlink"/>
                  <w:rFonts w:ascii="Calibri" w:hAnsi="Calibri" w:cs="Calibri"/>
                </w:rPr>
                <w:t>https://doi.org/xx.xxxx/ijls.v2i2.2023.30</w:t>
              </w:r>
            </w:hyperlink>
            <w:r w:rsidR="00AE5A98">
              <w:t xml:space="preserve"> </w:t>
            </w: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DE1E48" w:rsidRPr="00122F5F" w:rsidRDefault="00A27B34" w:rsidP="004F3C57">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4F3C57" w:rsidRPr="004F3C57">
        <w:rPr>
          <w:rFonts w:ascii="Calibri Light" w:hAnsi="Calibri Light" w:cs="Calibri Light"/>
          <w:i/>
          <w:iCs/>
          <w:noProof/>
          <w:color w:val="000000"/>
          <w:sz w:val="24"/>
          <w:szCs w:val="24"/>
        </w:rPr>
        <w:t>Cancellation of Regional Regulations is the authority of the government represented by the Supreme Court in carrying out the supervisory function both preventively and repressively. The annulment function is carried out to provide legal certainty so that the law can have a strong meaning and identity. The purpose of this research is to produce a strong understanding of the mechanism for canceling regional regulations by the Supreme Court on the basis of filing a judicial review of the materials of regional regulations that have been running, and their implications for legal certainty. The method used in this study is a normative juridical method through a review of the literature which is considered relevant to this research. Based on the results of this study, it was concluded that the mechanism for implementing the Supreme Court's decision regarding the cancellation of the Regional Regulation as stated in Article 8 paragraph (2) of Supreme Court Regulation No. 1 of 2011, followed up by implementing the decision no later than ninety days after the decision was sent to the Regional Government. The implication is that the cancellation of a regulation by the Supreme Court directly or indirectly has binding legal force.</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4F3C57" w:rsidRPr="004F3C57">
        <w:rPr>
          <w:rStyle w:val="shorttext"/>
          <w:rFonts w:ascii="Calibri Light" w:hAnsi="Calibri Light" w:cs="Calibri Light"/>
          <w:i/>
          <w:iCs/>
          <w:sz w:val="24"/>
          <w:szCs w:val="24"/>
          <w:lang w:val="en"/>
        </w:rPr>
        <w:t>Judicial review, Supreme Court, Cancellation, Regional Regulation.</w:t>
      </w:r>
    </w:p>
    <w:p w:rsidR="00F1027C" w:rsidRPr="00122F5F" w:rsidRDefault="00F1027C" w:rsidP="00F1027C">
      <w:pPr>
        <w:jc w:val="center"/>
        <w:rPr>
          <w:rFonts w:ascii="Calibri Light" w:hAnsi="Calibri Light" w:cs="Calibri Light"/>
          <w:i/>
          <w:iCs/>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Indonesia is a unitary state that divides its legal authority according to the government hierarchy. Each of these government hierarchies has its own autonomy, and is given the authority and is charged with the obligation to make rules or legislation that can specifically be applied in their respective regions. The benefits of this division of autonomy are to optimize service quality, empowerment, and a competitive atmosphere between regions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{"citationItems":[{"id":"ITEM-1","itemData":{"DOI":"10.52005/rechten.v2i2.56","ISSN":"2686-3626","abstract":"Istilah otonomi secara etimologis berasal dari bahasa latin “autos” yang berarti menyendiri dan “nomos” yang berarti mengatur, sehingga otonomi dapat diartikan sebagai pengaturan diri, pengaturan atau pemerintahan sendiri. Otonomi daerah adalah hak, wewenang, dan kewajiban yang diberikan kepada daerah otonom untuk mengatur dan mengurus sendiri urusan pemerintahan dan kepentingan masyarakat setempat sesuai dengan aspirasi masyarakat untuk meningkatkan efisiensi dan efektivitas penyelenggaraan pemerintahan dalam upaya memberikan pelayanan kepada masyarakat dan melaksanakan pembangunan sesuai dengan peraturan perundang- undangan. undangan. Undangan, Dalam pelaksanaan otonomi daerah terdapat berbagai bagian dan unsur pelaksanaan otonomi, dan setiap daerah otonom berkewajiban menjalankan fungsi dan prinsip otonomi daerah agar pelaksanaannya dapat berorientasi pada tujuan yang sebenarnya, yaitu kesejahteraan. dari komunitas.","author":[{"dropping-particle":"","family":"Prabowo","given":"Lintang","non-dropping-particle":"","parse-names":false,"suffix":""},{"dropping-particle":"","family":"Rafli","given":"M Tenku","non-dropping-particle":"","parse-names":false,"suffix":""}],"container-title":"Jurnal Rechten : Riset Hukum dan Hak Asasi Manusia","id":"ITEM-1","issue":"2","issued":{"date-parts":[["2022"]]},"page":"20-28","title":"Pengaruh Otonomi Daerah Terhadap Kesejahteraan Rakyat Indonesia","type":"article-journal","volume":"2"},"uris":["http://www.mendeley.com/documents/?uuid=658fe3b4-6713-46cb-b813-7ff1e6766a3c"]},{"id":"ITEM-2","itemData":{"author":[{"dropping-particle":"","family":"Mukhsin","given":"","non-dropping-particle":"","parse-names":false,"suffix":""}],"container-title":"JUPE: Jurnal Pendidikan Mandala","id":"ITEM-2","issue":"5","issued":{"date-parts":[["2019"]]},"page":"127-132","title":"STRATEGI PENINGKATAN MUTU DI ERA OTONOMI PENDIDIKAN","type":"article-journal","volume":"4"},"uris":["http://www.mendeley.com/documents/?uuid=ce99ce1e-3eb3-4c54-8c99-c12256e11461"]},{"id":"ITEM-3","itemData":{"abstract":"… menyampaikan program penyuluhan pertanian berupa materi penyuluhan pertanian yang … Dalam hal ini peneliti ingin melihat apakah program penyuluhan pertanian sudah sesuai …","author":[{"dropping-particle":"","family":"Winanto","given":"Agus","non-dropping-particle":"","parse-names":false,"suffix":""},{"dropping-particle":"","family":"Abubakar","given":"Rafeah","non-dropping-particle":"","parse-names":false,"suffix":""}],"container-title":"Societa","id":"ITEM-3","issue":"2","issued":{"date-parts":[["2019"]]},"page":"94-98","title":"Aktivitas Penyuluhan Pertanian Pada Otonomi Kabupaten Musi Rawas","type":"article-journal","volume":"8"},"uris":["http://www.mendeley.com/documents/?uuid=ca1e3bbb-275b-4d34-b996-be547a51790f"]}],"mendeley":{"formattedCitation":"(1–3)","plainTextFormattedCitation":"(1–3)","previouslyFormattedCitation":"[1]–[3]"},"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(1–3)</w:t>
      </w:r>
      <w:r>
        <w:rPr>
          <w:rFonts w:ascii="Calibri Light" w:hAnsi="Calibri Light" w:cs="Calibri Light"/>
          <w:sz w:val="24"/>
          <w:szCs w:val="24"/>
        </w:rPr>
        <w:fldChar w:fldCharType="end"/>
      </w:r>
      <w:r w:rsidRPr="004F3C57">
        <w:rPr>
          <w:rFonts w:ascii="Calibri Light" w:hAnsi="Calibri Light" w:cs="Calibri Light"/>
          <w:sz w:val="24"/>
          <w:szCs w:val="24"/>
        </w:rPr>
        <w:t xml:space="preserve">. The authorities and obligations of the Regional Government in </w:t>
      </w:r>
      <w:r w:rsidRPr="004F3C57">
        <w:rPr>
          <w:rFonts w:ascii="Calibri Light" w:hAnsi="Calibri Light" w:cs="Calibri Light"/>
          <w:sz w:val="24"/>
          <w:szCs w:val="24"/>
        </w:rPr>
        <w:lastRenderedPageBreak/>
        <w:t>managing and regulating their area are stated in Law Number 23 of 2014 concerning Regional Government. The law states that each region is given the widest possible authority to manage its area, absorb people's aspirations, and utilize its natural and human resources for the benefit of society.</w:t>
      </w:r>
    </w:p>
    <w:p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 realizing the desired welfare achievement, the Regional Government is expected to be able to form Regional Regulations in accordance with the local wisdom, customs and habits of their respective communities, while aligning these regulations with national interests. Thus, strong synergy can be formed between Regional Regulations and national goals, without putting aside the characteristics of the people in the regions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{"citationItems":[{"id":"ITEM-1","itemData":{"abstract":"ABSTRAK Undang-Undang Dasar Negara Republik Indonesia Tahun 1945 mengamanatkan kepada Dewan Perwakilan Rakyat (DPR) dan pemerintah untuk mengatur pelaksanaan otonomi daerah dengan menerbitkan peraturan perundang- undangan. Dengan diterbitkannya peraturan perundang-undangan diharapkan dapat menyelesaikan permasalahan yang timbul dan bagaimana Implementasi kebijakan otonomi daerah dalam pasal 18 Undang-Undang Dasar 1945 serta dampak yang ditimbulkan atas kebijakan otonomi daerah ditinjau dari polotik hukum diindonesia. Jenis penelitian yang digunakan merupakan penelitian hukum normatif. Pengumpulan bahan dilakukan dengan mengumpulkan dan menganalisis bahan-bahan keperpustakaan serta dokumen-dokumen yang berkaitan dengan Otonomi daerah. Penelitian ini menyimpulkan Kebijakan Otonomi Daerah dalam pasal 18 Undang-Undang Dasar 1945 berdasarkan pada prinsip-prinsip Negara kesatuan. Dalam Negara kesatuan kedaulatan hanya ada pada pemerintahan negara atau pemerintahan nasional dan tidak ada kedaulatan pada Daerah. Oleh karena itu, seluas apapun otonomi yang diberikan kepada Daerah, tanggung jawab akhir penyelenggaraan Pemerintahan Daerah akan tetap ada ditangan Pemerintah Pusat. Untuk itu Pemerintahan Daerah pada Negara kesatuan merupakan satu kesatuan dengan Pemerintahan Nasional. Kebijakan yang dibuat dan dilaksanakan oleh Daerah merupakan bagian integral dari kebijakan nasional","author":[{"dropping-particle":"","family":"Putra","given":"P A","non-dropping-particle":"","parse-names":false,"suffix":""},{"dropping-particle":"","family":"Hermana","given":"M A","non-dropping-particle":"","parse-names":false,"suffix":""},{"dropping-particle":"","family":"Apriyanto","given":"Sandi","non-dropping-particle":"","parse-names":false,"suffix":""}],"container-title":"BATARADARMA Journal (Law Studies)","id":"ITEM-1","issue":"1","issued":{"date-parts":[["2020"]]},"page":"13-23","title":"Implementasi Kebijakan Otonomi Daerah Dalam Pasal 18 Undang-Undang Dasar 1945 Dalam Perspektif Politik Hukum Di Indonesia","type":"article-journal","volume":"1"},"uris":["http://www.mendeley.com/documents/?uuid=1c1ef1fa-d228-4bcd-888e-052a6b49e16f"]},{"id":"ITEM-2","itemData":{"DOI":"10.36418/jurnalsostech.v1i6.115","ISSN":"2774-5147","abstract":"Pandemik Covid-19 mengakibatkan terjadinya krisis pengelolaan dalam kebijakan penanganan pandemik. Pengalaman Indonesia pada awal mewabahnya Covid-19 menunjukkan beban terberat adalah politisasi pandemik diantara aktor-aktor kunci dalam pemerintahan, di tengah terbatasnya sistem pelayanan kesehatan dan pengabaian penanganan pandemik di awal kemunculan kasus pertama di Indonesia. Tujuan penelitian ini sebagai bahan analisis dan pengetahuan tentang aspek kepemimpinan dalam penanganan awal pandemik. Analisa ini untuk menambah dan memperkaya wacana publik pada penanganan pandemik Covid-19 yang dilaksanakan oleh berbagai faktor, baik pemerintah pusat dan daerah serta masyarakat. Analisa artikel ini bersifat sebagai kajian awal yang pandangan dalam menjajikannya bersifat reflektif. Oleh karena itu, analisis yang disajikan akan memberikan pemahaman dasar tentang dinamika penanganan pandemik di Indonesia. Menggunakan penelitian deskriptif-kualitatif dengan perspektif teori kepemimpinan politik dalam penerapan konsep fungsi eksekutif politik mengurangi penyebaran virus Covid-19, tulisan ini menyoroti bagaimana pandemik ini muncul ketika era kemajuan teknologi informasi dan berkembangnya kepemimpinan populisme. Perkembangan informasi saat ini mengharuskan keahlian komunikasi pemerintah lebih eksplisif terhadap masyarakat. Kurangnya suatu sistem yang lemah bentuk komunikasi pemerintah kepada publik yang nantinya berujung sampai meluasnya infodemik yang bahaya sama dari pandemik ini, keadaan yang seperti akan dapat mengurangi rasa percaya rakyat terhadap pemimpinnya. Kondisi krisis pandemik ini diperlukan keterlibatan masyarakat yang bersinergi dengan semua unsur pemerintah baik secara horizontal atau vertikal akan membuat syarat utama efektivitas dalam penanganannya, akan tetapi kebijakan ini tidak mudah di dalam sistem pemerintahan dan politik yang sifatnya desentralisasi dan plural. Serta secara politik keadaannya terfragmentasi, sinergi ini akan mengalami tantangan yang harus diatasi. Situasi ini menyebabkan perlunya kebijakan yang rasional dan jangka panjang dalam merespon pandemik agar tidak tergantikan dengan tindakan politik melalui kebijakan ini yang berkaitan kepopuleran dalam jangka sedang untuk kepentingan memperkuat kekuasaan. Sehingga pandemik ini sebagai sarana memenuhi komuditas pemimpin secara pribadi ataupun komunitas yang mengorbankan pencegahan kondisi krisis kemanusiaan.","author":[{"dropping-particle":"","family":"Setiadi","given":"Iwan","non-dropping-particle":"","parse-names":false,"suffix":""}],"container-title":"Jurnal Sosial Teknologi","id":"ITEM-2","issue":"6","issued":{"date-parts":[["2021"]]},"page":"451-464","title":"Sinergi Kepemimpinan dalam Masa Pandemik: Menghadapi Krisis Manajemen dalam Kebijakan Mengatasi Pandemik Covid-19","type":"article-journal","volume":"1"},"uris":["http://www.mendeley.com/documents/?uuid=6e66e0d5-8423-4923-aa0f-4ec321b81a84"]},{"id":"ITEM-3","itemData":{"abstract":"Era otonomi, DPRD memiliki kewenangan untuk menentukan Arah dan Kebijakan Umum khususnya untuk membangun dan meningkatkan kemandirian dalam perekonomian masyarakat desa kabupaten Deli Serdang. Penelitian Dewan Perwakilan Rakyat Daerah (DPRD) adalah lembaga legislatif yang mempunyai peran penting dalam suatu sistem demokrasi yaitu sebagai jembatan antara masyarakat dengan eksekutif. Terkhusus didalam perekonomian, DPRD ikut andil menjadi peran penting dalam membangun serta meningkatkan perekonomian masyarakat. Dengan adanya sinergi antara pemerintah daerah dengan masyarakat akan sangat memungkinkan dapat meningkatkan perekonomian masyarakat desa. Dengan berlakunya Undang-Undang Nomor 32 Tahun 2004 tentang Pemerintahan Daerah sebagaimana telah diubah dengan Undang-Undang Nomor 8 Tahun 2005 dan Undang-Undang Nomor 33 Tahun 2004 tentang Perimbangan Keuangan antara Pemerintah Pusat dan Pemerintahan Daerah, setiap daerah diberikan kewenangan untuk merencanakan pembangunan daerahnya sendiri sesuai dengan aspirasi, potensi, permasalahan, peluang atau kebutuhan ekonomi masyarakat. Hasil otonomi daerah itu merupakan pengoptimalan dalam pemberdayaan dan inovasi serta pendayagunaan potensi daerah guna membangkitkan partisipasi, prakarsa dan kreatifitas masyarakat untuk kesejahteraan rakyat khususnya untuk kabupaten Deli Serdang. Pengawasan yang dilakukan DPRD sudah harus dilakukan sejak tahap perencanaan, tidak hanya pada tahap pelaksanaan dan laporan saja. Hal ini sangat penting dikarenakan dalam ini menggunakan penelitian kualitatif dengan mengkaji secara mendalam dalam kinerja anggota khususnya untuk menganalisis sinergi DPRD dan pemerintah dalam membangun perekonomian masyarakat desa kabupaten Deli Serdang.","author":[{"dropping-particle":"","family":"Wibowo","given":"Agung","non-dropping-particle":"","parse-names":false,"suffix":""},{"dropping-particle":"","family":"Yafiz","given":"Muhammd","non-dropping-particle":"","parse-names":false,"suffix":""}],"container-title":"Jurnal Ilmu Komputer, Ekonomi dan Manajemen (JIKEM)","id":"ITEM-3","issue":"1","issued":{"date-parts":[["2022"]]},"page":"785-789","title":"Sinergi Dewan Perwakilan Rakyat Daerah (DPRD) dengan Pemerintah dalam membangun Perekonomian Masyarakat di Kabupaten Deli Serdang","type":"article-journal","volume":"2"},"uris":["http://www.mendeley.com/documents/?uuid=995707a9-86cb-4ea0-99d3-63315c70d268"]}],"mendeley":{"formattedCitation":"(4–6)","plainTextFormattedCitation":"(4–6)","previouslyFormattedCitation":"[4]–[6]"},"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(4–6)</w:t>
      </w:r>
      <w:r>
        <w:rPr>
          <w:rFonts w:ascii="Calibri Light" w:hAnsi="Calibri Light" w:cs="Calibri Light"/>
          <w:sz w:val="24"/>
          <w:szCs w:val="24"/>
        </w:rPr>
        <w:fldChar w:fldCharType="end"/>
      </w:r>
      <w:r w:rsidRPr="004F3C57">
        <w:rPr>
          <w:rFonts w:ascii="Calibri Light" w:hAnsi="Calibri Light" w:cs="Calibri Light"/>
          <w:sz w:val="24"/>
          <w:szCs w:val="24"/>
        </w:rPr>
        <w:t xml:space="preserve">. In carrying out its regional autonomy system, Indonesia divides governmental affairs into three groups namely absolute, concurrent and general groups. Absolute affairs are affairs that are not included in the autonomy agenda and are only taken care of by the Central Government, concurrent affairs are mandatory and optional government affairs divided between the Central and Regional Governments according to their respective capacities, while general affairs have a portion that is more handled by Regional Governments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{"citationItems":[{"id":"ITEM-1","itemData":{"author":[{"dropping-particle":"","family":"Mursyid","given":"Besse Tenriabeng","non-dropping-particle":"","parse-names":false,"suffix":""}],"container-title":"Bilancia","id":"ITEM-1","issue":"2","issued":{"date-parts":[["2014"]]},"page":"263-279","title":"PONDOK PESANTREN DITINJAU DARI PERATURAN DAERAH NOMOR 2 TAHUN 2014 TENTANG PENYELENGGARAAN PENDIDIKAN DAN KEBUDAYAAN DAERAH DI SULAWESI TENGAH","type":"article-journal","volume":"15"},"uris":["http://www.mendeley.com/documents/?uuid=f14a496a-7c60-42ae-81ec-f4c969fc478e"]},{"id":"ITEM-2","itemData":{"DOI":"10.46730/japs.v2i1.40","ISSN":"2722-161X","abstract":"In implementing the local lockdown, a good communication relationship must be established between the Central Government and Regional Governments in preventing the spread of Covid-19 at the local level. (Sedarmayanti, 2018) explained that at least there are several elements in government communication, including; Communicators, Messages, Media, Communicate and Feedback. Based on the background above, the problem formulation that the writer will raise is how the communication patterns of the central government and local governments: the case of the dynamics of implementing local lockdowns in preventing the spread of COVID-19, the purpose of writing this article is to find out the communication between the central government and local governments: the case of dynamics. implementation of a local lockdown to prevent the spread of covid'19. This research uses qualitative research methods with this type of research, namely literature study data collection through documentation, books, journals, and mass media. The results of this study are: the communication between the Central Government and the Regional Government does not run harmoniously, indicated by the presence of several regions implementing local lockdowns, including the City of Tegal, the City of Tasikmalaya, and the Province of Papua.","author":[{"dropping-particle":"","family":"Putra","given":"Ardi","non-dropping-particle":"","parse-names":false,"suffix":""},{"dropping-particle":"","family":"Handoko","given":"Tito","non-dropping-particle":"","parse-names":false,"suffix":""}],"container-title":"Jurnal Administrasi Politik dan Sosial","id":"ITEM-2","issue":"1","issued":{"date-parts":[["2021"]]},"page":"1-15","title":"Komunikasi Pemerintah Pusat Dan Pemerintah Daerah: Kasus Dinamika Pelaksanaan Local Lockdown Dalam Mencegah Penyebaran COVID-19","type":"article-journal","volume":"2"},"uris":["http://www.mendeley.com/documents/?uuid=3ff07e6d-44f6-4d56-a6bf-582df857c752"]},{"id":"ITEM-3","itemData":{"DOI":"10.23969/kebijakan.v11i1.2233","ISSN":"1829-5762","abstract":"Kebijakan Otonomi Daerah yang pada hakekatnya adalah upaya pemberdayaan dan pendemokrasian kehidupan masyarakat diharapkan dapat memenuhi aspirasi berbagai pihak dalam konteks penyelenggaraan pemerintahan negara serta hubungan Pusat dan Daerah. Berdasarkan UU Nomor 23 tahun 2014 klasifikasi urusan pemerintahan terdiri dari 3 urusan yakni urusan pemerintahan absolut, urusan pemerintahan konkuren, dan urusan pemerintahan umum. Dalam memperhatikan prinsip -prinsip pemberian dan penyelenggaraan Otonomi Daerah dapat diperkirakan prospek ke depan menggunakan berbagai pendekatan. Salah satu pendekatan yang kita gunakan disini adalah aspek ideologi, politik, sosial budaya, dan pertahanan keamanan. diterima dalam penyelenggaraan kehidupan berbangsa dan bernegara. Untuk dapat mewujudkan prospek Otonomi Daerah di masa mendatang tersebut diperlukan suatu kondisi yang kondusif diantaranya yaitu: Adanya komitmen politik dari seluruh komponen bangsa terutama pemerintah dan lembaga perwakilan untuk mendukung dan memperjuangkan implementasi kebijakan Otonomi Daerah; Adanya konsistensi kebijakan penyelenggara negara terhadap implementasi kebijakan Otonomi Daerah; dan Kepercayaan dan dukungan masyarakat serta pelaku ekonomi dalam pemerintah dalam mewujudkan cita-cita Otonomi Daerah.","author":[{"dropping-particle":"","family":"Kusnadi","given":"Iwan Henri","non-dropping-particle":"","parse-names":false,"suffix":""}],"container-title":"Kebijakan: Jurnal Ilmu Administrasi","id":"ITEM-3","issue":"1","issued":{"date-parts":[["2020"]]},"page":"36-46","title":"Implikasi, Urusan Dan Prospek Otonomi Daerah","type":"article-journal","volume":"11"},"uris":["http://www.mendeley.com/documents/?uuid=1686fab3-f96f-404a-b750-f2770d5a1039"]},{"id":"ITEM-4","itemData":{"DOI":"10.32529/yustisiabel.v5i2.1279","ISSN":"2549-7731","abstract":"Penelitian ini bertujuan untuk mengetahui kewenangan Pemerintah dan Pemerintah daerah dalam Penyelenggaraan Pengadaan Tanah Bagi Pembangunan Untuk Kepentingan Umum SERTA tahapan Penyelenggaraannya berdasarkan Peraturan Pemerintah Nomor 19 Tahun 2021. Pemerintah mempunyai kewenangan dalam penyelenggaraan pengadaan tanah bagi pembangunan untuk kepentingan umum melalui pelaksanaan pengadaan tanah oleh Menteri di bidang agrarial/pertanahan dan tata ruang. Selanjutnya Pemerintah daerah dalam hal ini gubernur/bupati/walikota menyelenggarakan pengadaan tanah pada tahapan perencanaan yaitu menerima dokumen perencanaan pengadaan tanah dari instansi yang memerlukan tanah dan tahap persiapan yaitu membentuk tim persiapan pengadaan tanah bagi pembangunan untuk kepentigan umum. Sedangkan tahapan penyelenggaran pengadaan tanah bagi pembangunan untuk kepentingan umum berdasarkan Peraturan Pemerintah Nomor 19 Tahun 2021 dilaksanakan melalui tahapan kegiatan perencanaan, persiapan, pelaksanaan, dan penyerahan hasil pengadaan tanah","author":[{"dropping-particle":"","family":"Tenong","given":"Sirjon","non-dropping-particle":"","parse-names":false,"suffix":""},{"dropping-particle":"","family":"Maroa","given":"Mustating Daeng","non-dropping-particle":"","parse-names":false,"suffix":""},{"dropping-particle":"","family":"Setiawan","given":"Rahmat","non-dropping-particle":"","parse-names":false,"suffix":""}],"container-title":"Jurnal Yustisiabel","id":"ITEM-4","issue":"2","issued":{"date-parts":[["2021"]]},"page":"194-210","title":"Tinjauan Yuridis Penyelenggaraan Pengadaan Tanah Bagi Pembangunan Untuk Kepentingan Umum Berdasarkan Peraturan Pemerintah Nomor 19 Tahun 2021","type":"article-journal","volume":"5"},"uris":["http://www.mendeley.com/documents/?uuid=b7b1c08c-d21d-4810-929a-3c7c81420bc9"]},{"id":"ITEM-5","itemData":{"author":[{"dropping-particle":"","family":"Achir","given":"Nuvazria","non-dropping-particle":"","parse-names":false,"suffix":""},{"dropping-particle":"","family":"Kamba","given":"Sri Nanang Meiske","non-dropping-particle":"","parse-names":false,"suffix":""}],"container-title":"Jurnal Ilmiah Penegakan Hukum","id":"ITEM-5","issue":"2","issued":{"date-parts":[["2020"]]},"page":"126-132","title":"Peraturan Daerah Bernuansa Syari’ah Dan Hubungannya Dengan Pelaksanaan Tugas Serta Kewajiban Pemerintah Daerah","type":"article-journal","volume":"7"},"uris":["http://www.mendeley.com/documents/?uuid=c7d72291-21cc-499c-a77b-29bcaaa37372"]}],"mendeley":{"formattedCitation":"(7–11)","plainTextFormattedCitation":"(7–11)","previouslyFormattedCitation":"[7]–[11]"},"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(7–11)</w:t>
      </w:r>
      <w:r>
        <w:rPr>
          <w:rFonts w:ascii="Calibri Light" w:hAnsi="Calibri Light" w:cs="Calibri Light"/>
          <w:sz w:val="24"/>
          <w:szCs w:val="24"/>
        </w:rPr>
        <w:fldChar w:fldCharType="end"/>
      </w:r>
      <w:r w:rsidRPr="004F3C57">
        <w:rPr>
          <w:rFonts w:ascii="Calibri Light" w:hAnsi="Calibri Light" w:cs="Calibri Light"/>
          <w:sz w:val="24"/>
          <w:szCs w:val="24"/>
        </w:rPr>
        <w:t>. Therefore, the position of the Regional Government in managing their respective regions has become more strategic.</w:t>
      </w:r>
    </w:p>
    <w:p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Regional Regulation is a legal product prepared and issued by the Regional Government consisting of Governors/Mayors/Regents and DPRDs. Regional Regulations are legal rules governing certain procedures, behaviors and regulations in general aspects that are binding. Even though it is unique to each region, the contents of the Regional Regulation are not allowed to have conflicts with higher laws, and the interests of the general public in the area. The rules contained in the Regional Regulations are designed in such a way as to provide strong support for the Regional Government in physical and social development activities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{"citationItems":[{"id":"ITEM-1","itemData":{"author":[{"dropping-particle":"","family":"Mursyid","given":"Besse Tenriabeng","non-dropping-particle":"","parse-names":false,"suffix":""}],"container-title":"Bilancia","id":"ITEM-1","issue":"2","issued":{"date-parts":[["2014"]]},"page":"263-279","title":"PONDOK PESANTREN DITINJAU DARI PERATURAN DAERAH NOMOR 2 TAHUN 2014 TENTANG PENYELENGGARAAN PENDIDIKAN DAN KEBUDAYAAN DAERAH DI SULAWESI TENGAH","type":"article-journal","volume":"15"},"uris":["http://www.mendeley.com/documents/?uuid=f14a496a-7c60-42ae-81ec-f4c969fc478e"]},{"id":"ITEM-2","itemData":{"DOI":"10.46730/japs.v2i1.40","ISSN":"2722-161X","abstract":"In implementing the local lockdown, a good communication relationship must be established between the Central Government and Regional Governments in preventing the spread of Covid-19 at the local level. (Sedarmayanti, 2018) explained that at least there are several elements in government communication, including; Communicators, Messages, Media, Communicate and Feedback. Based on the background above, the problem formulation that the writer will raise is how the communication patterns of the central government and local governments: the case of the dynamics of implementing local lockdowns in preventing the spread of COVID-19, the purpose of writing this article is to find out the communication between the central government and local governments: the case of dynamics. implementation of a local lockdown to prevent the spread of covid'19. This research uses qualitative research methods with this type of research, namely literature study data collection through documentation, books, journals, and mass media. The results of this study are: the communication between the Central Government and the Regional Government does not run harmoniously, indicated by the presence of several regions implementing local lockdowns, including the City of Tegal, the City of Tasikmalaya, and the Province of Papua.","author":[{"dropping-particle":"","family":"Putra","given":"Ardi","non-dropping-particle":"","parse-names":false,"suffix":""},{"dropping-particle":"","family":"Handoko","given":"Tito","non-dropping-particle":"","parse-names":false,"suffix":""}],"container-title":"Jurnal Administrasi Politik dan Sosial","id":"ITEM-2","issue":"1","issued":{"date-parts":[["2021"]]},"page":"1-15","title":"Komunikasi Pemerintah Pusat Dan Pemerintah Daerah: Kasus Dinamika Pelaksanaan Local Lockdown Dalam Mencegah Penyebaran COVID-19","type":"article-journal","volume":"2"},"uris":["http://www.mendeley.com/documents/?uuid=3ff07e6d-44f6-4d56-a6bf-582df857c752"]},{"id":"ITEM-3","itemData":{"DOI":"10.23969/kebijakan.v11i1.2233","ISSN":"1829-5762","abstract":"Kebijakan Otonomi Daerah yang pada hakekatnya adalah upaya pemberdayaan dan pendemokrasian kehidupan masyarakat diharapkan dapat memenuhi aspirasi berbagai pihak dalam konteks penyelenggaraan pemerintahan negara serta hubungan Pusat dan Daerah. Berdasarkan UU Nomor 23 tahun 2014 klasifikasi urusan pemerintahan terdiri dari 3 urusan yakni urusan pemerintahan absolut, urusan pemerintahan konkuren, dan urusan pemerintahan umum. Dalam memperhatikan prinsip -prinsip pemberian dan penyelenggaraan Otonomi Daerah dapat diperkirakan prospek ke depan menggunakan berbagai pendekatan. Salah satu pendekatan yang kita gunakan disini adalah aspek ideologi, politik, sosial budaya, dan pertahanan keamanan. diterima dalam penyelenggaraan kehidupan berbangsa dan bernegara. Untuk dapat mewujudkan prospek Otonomi Daerah di masa mendatang tersebut diperlukan suatu kondisi yang kondusif diantaranya yaitu: Adanya komitmen politik dari seluruh komponen bangsa terutama pemerintah dan lembaga perwakilan untuk mendukung dan memperjuangkan implementasi kebijakan Otonomi Daerah; Adanya konsistensi kebijakan penyelenggara negara terhadap implementasi kebijakan Otonomi Daerah; dan Kepercayaan dan dukungan masyarakat serta pelaku ekonomi dalam pemerintah dalam mewujudkan cita-cita Otonomi Daerah.","author":[{"dropping-particle":"","family":"Kusnadi","given":"Iwan Henri","non-dropping-particle":"","parse-names":false,"suffix":""}],"container-title":"Kebijakan: Jurnal Ilmu Administrasi","id":"ITEM-3","issue":"1","issued":{"date-parts":[["2020"]]},"page":"36-46","title":"Implikasi, Urusan Dan Prospek Otonomi Daerah","type":"article-journal","volume":"11"},"uris":["http://www.mendeley.com/documents/?uuid=1686fab3-f96f-404a-b750-f2770d5a1039"]},{"id":"ITEM-4","itemData":{"DOI":"10.32529/yustisiabel.v5i2.1279","ISSN":"2549-7731","abstract":"Penelitian ini bertujuan untuk mengetahui kewenangan Pemerintah dan Pemerintah daerah dalam Penyelenggaraan Pengadaan Tanah Bagi Pembangunan Untuk Kepentingan Umum SERTA tahapan Penyelenggaraannya berdasarkan Peraturan Pemerintah Nomor 19 Tahun 2021. Pemerintah mempunyai kewenangan dalam penyelenggaraan pengadaan tanah bagi pembangunan untuk kepentingan umum melalui pelaksanaan pengadaan tanah oleh Menteri di bidang agrarial/pertanahan dan tata ruang. Selanjutnya Pemerintah daerah dalam hal ini gubernur/bupati/walikota menyelenggarakan pengadaan tanah pada tahapan perencanaan yaitu menerima dokumen perencanaan pengadaan tanah dari instansi yang memerlukan tanah dan tahap persiapan yaitu membentuk tim persiapan pengadaan tanah bagi pembangunan untuk kepentigan umum. Sedangkan tahapan penyelenggaran pengadaan tanah bagi pembangunan untuk kepentingan umum berdasarkan Peraturan Pemerintah Nomor 19 Tahun 2021 dilaksanakan melalui tahapan kegiatan perencanaan, persiapan, pelaksanaan, dan penyerahan hasil pengadaan tanah","author":[{"dropping-particle":"","family":"Tenong","given":"Sirjon","non-dropping-particle":"","parse-names":false,"suffix":""},{"dropping-particle":"","family":"Maroa","given":"Mustating Daeng","non-dropping-particle":"","parse-names":false,"suffix":""},{"dropping-particle":"","family":"Setiawan","given":"Rahmat","non-dropping-particle":"","parse-names":false,"suffix":""}],"container-title":"Jurnal Yustisiabel","id":"ITEM-4","issue":"2","issued":{"date-parts":[["2021"]]},"page":"194-210","title":"Tinjauan Yuridis Penyelenggaraan Pengadaan Tanah Bagi Pembangunan Untuk Kepentingan Umum Berdasarkan Peraturan Pemerintah Nomor 19 Tahun 2021","type":"article-journal","volume":"5"},"uris":["http://www.mendeley.com/documents/?uuid=b7b1c08c-d21d-4810-929a-3c7c81420bc9"]},{"id":"ITEM-5","itemData":{"author":[{"dropping-particle":"","family":"Achir","given":"Nuvazria","non-dropping-particle":"","parse-names":false,"suffix":""},{"dropping-particle":"","family":"Kamba","given":"Sri Nanang Meiske","non-dropping-particle":"","parse-names":false,"suffix":""}],"container-title":"Jurnal Ilmiah Penegakan Hukum","id":"ITEM-5","issue":"2","issued":{"date-parts":[["2020"]]},"page":"126-132","title":"Peraturan Daerah Bernuansa Syari’ah Dan Hubungannya Dengan Pelaksanaan Tugas Serta Kewajiban Pemerintah Daerah","type":"article-journal","volume":"7"},"uris":["http://www.mendeley.com/documents/?uuid=c7d72291-21cc-499c-a77b-29bcaaa37372"]}],"mendeley":{"formattedCitation":"(7–11)","plainTextFormattedCitation":"(7–11)","previouslyFormattedCitation":"[7]–[11]"},"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(7–11)</w:t>
      </w:r>
      <w:r>
        <w:rPr>
          <w:rFonts w:ascii="Calibri Light" w:hAnsi="Calibri Light" w:cs="Calibri Light"/>
          <w:sz w:val="24"/>
          <w:szCs w:val="24"/>
        </w:rPr>
        <w:fldChar w:fldCharType="end"/>
      </w:r>
      <w:r w:rsidRPr="004F3C57">
        <w:rPr>
          <w:rFonts w:ascii="Calibri Light" w:hAnsi="Calibri Light" w:cs="Calibri Light"/>
          <w:sz w:val="24"/>
          <w:szCs w:val="24"/>
        </w:rPr>
        <w:t>. Because of its close relationship with social and community formation, regional regulations must be properly planned and drafted. The function of regional regulations is as an instrument and legal basis for the implementation of regional policies, a functional part of higher regulations, a reflection of regional characteristics and specificities, and a development tool in realizing regional welfare.</w:t>
      </w:r>
    </w:p>
    <w:p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 addition to its strategic position and being a reflection of regional uniqueness, Regional Regulations are also prepared with specific material. According to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{"citationItems":[{"id":"ITEM-1","itemData":{"abstract":"Penelitian ini bertujuan untuk menganalisis model pembentukan peraturan daerah dalam penyelenggaraan otonomi daerah. Metode penelitian ini yang digunakan termasuk dalam tipe peneltian hukum normatif yang menggunakan data sekunder yang diperoleh dari bahan pustaka berupa bahan hukum primer. Hasil penelitian menunjukkan bahwa peraturan daerah dalam penyelenggaraan otonomi daerah adalah sebagai instrumen kebijakan dalam penyelenggaraan pemerintahan daerah. Pembentukan peraturan daerah yang sesuai dengan kepentingan masyarakat harus melaksanakan prinsip-prinsip otonomi daerah serta materi muatan peraturan daerah tidak boleh bertentangan dengan peraturan perundang-undangan yang lebih tinggi. Model peraturan daerah yang ideal dalam penyelenggaraan otonomi daerah adalah prinsip keterbukaan dan partisipasi masyarakat serta adanya harmonisasi peraturan perundang-undangan yang mengaturnya agar tidak saling tumpang tindih peraturan tersebut. Kata Kunci: Model, Peraturan Daerah, Otonomi Daerah.","author":[{"dropping-particle":"","family":"Bunga","given":"Marten","non-dropping-particle":"","parse-names":false,"suffix":""}],"container-title":"Jurnal Hukum &amp; Pembangunan","id":"ITEM-1","issue":"4","issued":{"date-parts":[["2019"]]},"page":"818","title":"Model Pembentukan Peraturan Daerah Yang Ideal Dalam Penyelenggaraan Otonomi Daerah","type":"article-journal","volume":"49"},"uris":["http://www.mendeley.com/documents/?uuid=1560d44a-1ef1-4ee3-9bcb-f7d4aaa1b6b6"]}],"mendeley":{"formattedCitation":"(12)","manualFormatting":"Bunga (2019)","plainTextFormattedCitation":"(12)","previouslyFormattedCitation":"[12]"},"properties":{"noteIndex":0},"schema":"https://github.com/citation-style-language/schema/raw/master/csl-citation.json"}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Bunga (2019)</w:t>
      </w:r>
      <w:r>
        <w:rPr>
          <w:rFonts w:ascii="Calibri Light" w:hAnsi="Calibri Light" w:cs="Calibri Light"/>
          <w:sz w:val="24"/>
          <w:szCs w:val="24"/>
        </w:rPr>
        <w:fldChar w:fldCharType="end"/>
      </w:r>
      <w:r w:rsidRPr="004F3C57">
        <w:rPr>
          <w:rFonts w:ascii="Calibri Light" w:hAnsi="Calibri Light" w:cs="Calibri Light"/>
          <w:sz w:val="24"/>
          <w:szCs w:val="24"/>
        </w:rPr>
        <w:t xml:space="preserve">, Materials that are generally contained in regional regulations cover a number of aspects, namely burdens on the population such as levies or taxes, reduction of freedom, restrictions on rights, and materials that are derivatives of higher statutory regulations. Article 14 of Law Number 12 of 2011 regulates the normative aspects of the formation of Regional Regulations. In that article it is stated that the material for Regional Regulations is formed based on the aspirations, conditions and special circumstances of a region, as well as a reflection of higher statutory regulations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{"citationItems":[{"id":"ITEM-1","itemData":{"DOI":"10.32801/lamlaj.v5i2.150","ISSN":"2502-3136","abstract":"Politik hukum pembentukan Peraturan Daerah Provinsi Gorontalo sejak dibentuk tahun 2000,  politik hukumnya masih bercita rasa pemidanaan, hal itu tercermin dari adanya pengaturan sanksi pidana yang bukan hanya melebihi dari ketentuan pembebanan sanksi pidana, melainkan juga kesalahan dalam merujuk ketentuan yang menentukan kualifikasi sebuah tindakan dibebankan sanksi pidana atau tidak. Tujuan penulisan ini adalah untuk menguraikan pengaturan sanksi pidana dalam Peraturan Daerah Provinsi Gorontalo. Jenis penelitian yang digunakan dalam penelitian ini adalah penelitian normatif dengan pendekatan statuta dan konseptual. Hasilnya ditemukan bahwa adanya peraturan daerah yang merujuk bukan pada pasal yang memuat tentang perbuatan hukum, melainkan merujuk pada BAB yang di dalamnya terdapat pasal-pasal yang umum dan tidak memuat perbuatan hukum yang dapat dikualifikasi sebagai perbuatan pidana, itu tercermin dari peraturan daerah tentang Pengelolaan Lingkungan Hidup. Di samping itu, terdapat juga peraturan daerah yang pembebanan sanksi pidananya melebihi dari ketentuan pengaturan sanksi yang dapat diatur dalam peraturan daerah, dimana pembebanan sanksi pidana kurungan 3 (tiga) tahun dan denda Rp. 500.000.000, padahal ketentuan dalam undang-undang tentang pembentukan peraturan perundang-undangan dan Permendagri tentang pembentukan produk hukum daerah hanya membatasi pembebanan sanksi pidana maksimal 6 (enam) bulan kurungan, dan denda paling banyak Rp. 50.000.000.","author":[{"dropping-particle":"","family":"Nggilu","given":"Novendri Mohamad","non-dropping-particle":"","parse-names":false,"suffix":""}],"container-title":"Lambung Mangkurat Law Journal","id":"ITEM-1","issue":"2","issued":{"date-parts":[["2020"]]},"title":"Tinjauan Yuridis Pengaturan Sanksi Pidana dalam Peraturan Daerah Provinsi Gorontalo","type":"article-journal","volume":"5"},"uris":["http://www.mendeley.com/documents/?uuid=ee46aaa8-1c52-43bd-8d95-0bd9bb6f95b3"]},{"id":"ITEM-2","itemData":{"DOI":"10.33756/jalrev.v2i1.5239","ISSN":"2654-9255","abstract":"Penyusunan Peraturan Perundang-udangan termasuk produk hukum Daerah (Perda) hendaknya menyesuaikan dengan system pembentukan hukum Nasional berdasarkan ketentuan terbaru dalam UU No. 12 Tahun 2011, serta memperhatikan prosedur dan tata cara yang baik guna menciptakan hubungan (harmonisasi) antara regulasi satu dengan lainnya.\r Dari hasil penelitian dapat disimpulkan bahwa, Perda Transparansi No 3 Tahun 2002 di Kota Gorontalo masih memiliki kekurangan dan kelemahan, khususnya dari latar belakang pembentukan yang belum memenuhi landasan dan asas penyusunan peraturan perundang-undangan termasuk memuat landasan hukum (yuridis) aturan terbaru sebagai rujukan yakni ketentuan UU Keterbukaan Informasi Publik. Selain itu, Perda belum mengimplentasikan UU No. 12 Tahun 2011 tentang Pembentukan Peraturan Perundang-undangan yang menginginkan penyusunan setiap produk hukum berlandaskan filosofis, sosiologis dan yuridis yang semuanya tercantum dalam lembaran Naskah Akademik serta memperhatikan asas pemberlakuan aturan berdasarkan kronologis pengeluarannya yaitu Undang-undang baru menyampingkan undang-undang yang lama atau (lex posteriori derogat lex priori), dan asas tingkatan Hirarki yang di dalamnya memuat ketentuan peraturan rendah (Perda) tidak mempunyai kekuatan hukum serta tidak mengikat apabila isinya bertentangan dengan ketentuan peraturan perundang-undangan yang lebih tinggi kedudukannya. \r Oleh karena itu, dalam rangka memenuhi ketertiban hukum dan menguatkan keberadaan serta eksistensi Perda Transparansi, maka hal yang perlu dilakukan adalah menyesuaikannya dengan sistem penyusunan hukum nasional berdasarkan undang-undang No. 12 Tahun 2011 serta memperhatikan landasan dan asas pembentukan peraturan daerah yang baik. \r Kata Kunci ; Perda, Landasan dan Asas, Peraturan, Perundang-undangan","author":[{"dropping-particle":"","family":"Achir","given":"Nuvazria","non-dropping-particle":"","parse-names":false,"suffix":""}],"container-title":"Jambura Law Review","id":"ITEM-2","issue":"1","issued":{"date-parts":[["2020"]]},"page":"83-100","title":"Anotasi Normatif Terhadap Peraturan Daerah tentang Transparansi","type":"article-journal","volume":"2"},"uris":["http://www.mendeley.com/documents/?uuid=09ec1744-dd40-4107-a505-c63047657319"]},{"id":"ITEM-3","itemData":{"DOI":"10.54371/jiip.v5i6.617","abstract":"Lombok Timur merupakan wilayah yang sebagian besar masyarakatnya bermata pencaharian sebagai petani, yang bahkan segala aspek kebutuhan masyarakat sangat bergantung pada sektor pertanian. Jika dilihat dari struktur sosialnya, petani di Lombok Timur lebih banyak terdiri dari buruh tani yang tidak memiliki lahan pertanian dan petani penggarap yang rata-rata hanya memiliki lahan pertanian kurang dari 0,5 Ha. Cenderung akses modal dan teknologi tergolong masih rendah dalam upaya mengelola lahan pertanian atau sekedar melakukan akitivitas pertanian untuk memenuhi kebutuhan hidup sehari-hari. Pengesahan dan Pemberlakuan Peraturan Daerah Nomor 1 Tahun 2021 tentang Perlindungan dan Pemberdayaan Petani di Kabupaten Lombok Timur terlihat belum memberikan dampak apa-apa bagi kelangsungan hidup petani maupun pembangunan sektor pertanian secara umum.Berdasarkan pada pembahasan dapat ditarik beberapa kesimpulan, yiatu: 1) Indikator perlindungan petani di Lombok Timur yang terdapat dalam Peraturan Daerah Nomor 1 Tahun 2021 sudah cukup memenuhi semua aspek yang menjadi kebutuhan petani. Artinya, secara normatif tidak ditemukan kejanggalan yang bararti yang bisa menjadikan peraturan itu menjadi cacat hukum; 2) Secara normatif, Peraturan Daerah Nomor 1 Tahun 2021 tentang perlindungan dan pemberdayaan petani di Kabupaten Lombok Timur sudah cocok dengan karakteristik dan kondisi petani.","author":[{"dropping-particle":"","family":"Burhanuddin","given":"Burhanuddin","non-dropping-particle":"","parse-names":false,"suffix":""},{"dropping-particle":"","family":"Fadil","given":"Lalu Muhammad","non-dropping-particle":"","parse-names":false,"suffix":""},{"dropping-particle":"","family":"Jiwantara","given":"Firzhal Arzhi","non-dropping-particle":"","parse-names":false,"suffix":""}],"container-title":"JIIP - Jurnal Ilmiah Ilmu Pendidikan","id":"ITEM-3","issue":"6","issued":{"date-parts":[["2022"]]},"page":"1638-1648","title":"Kajian Normatif Relevansi Peraturan Daerah Nomor 1 Tahun 2021 terhadap Perlindungan Petani di Kabupaten Lombok Timur","type":"article-journal","volume":"5"},"uris":["http://www.mendeley.com/documents/?uuid=0d28287b-bc06-44a6-98b2-8521c0741d8d"]}],"mendeley":{"formattedCitation":"(13–15)","plainTextFormattedCitation":"(13–15)","previouslyFormattedCitation":"[13]–[15]"},"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(13–15)</w:t>
      </w:r>
      <w:r>
        <w:rPr>
          <w:rFonts w:ascii="Calibri Light" w:hAnsi="Calibri Light" w:cs="Calibri Light"/>
          <w:sz w:val="24"/>
          <w:szCs w:val="24"/>
        </w:rPr>
        <w:fldChar w:fldCharType="end"/>
      </w:r>
      <w:r w:rsidRPr="004F3C57">
        <w:rPr>
          <w:rFonts w:ascii="Calibri Light" w:hAnsi="Calibri Light" w:cs="Calibri Light"/>
          <w:sz w:val="24"/>
          <w:szCs w:val="24"/>
        </w:rPr>
        <w:t>. Contradictions of Regional Regulations with higher laws or public interest will open space for the Central Government represented by the Supreme Court to cancel these Regional Regulations.</w:t>
      </w:r>
    </w:p>
    <w:p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Cancellation of regional regulations is one of the functions of the central government in implementing the supervisory function of government affairs in the regions and </w:t>
      </w:r>
      <w:r w:rsidRPr="004F3C57">
        <w:rPr>
          <w:rFonts w:ascii="Calibri Light" w:hAnsi="Calibri Light" w:cs="Calibri Light"/>
          <w:sz w:val="24"/>
          <w:szCs w:val="24"/>
        </w:rPr>
        <w:lastRenderedPageBreak/>
        <w:t xml:space="preserve">regulations issued by regional heads as an effort to implement government activities in the regions. The form of supervision can be carried out in the form of evaluative or verification. In addition, this supervision is intended to create synergy between Regional Regulations and Government Regulations and Laws. In order to have a positive impact on community development in the region, regional regulations should be intended as instruments to protect and protect the community at large. Therefore, the legal content is not only aimed at fulfilling a juridical function, but also a sociological function (the hopes and desires of the community) and a physiological function (guaranteeing justice)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{"citationItems":[{"id":"ITEM-1","itemData":{"abstract":"Representative Council (DPRD) is an element of regional government administering that is equal to the local government in making regional regulations in implementing regional …","author":[{"dropping-particle":"","family":"Dewi","given":"Ayu Putu Putri Shinta","non-dropping-particle":"","parse-names":false,"suffix":""},{"dropping-particle":"","family":"Suryawan","given":"I Gusti Bagus","non-dropping-particle":"","parse-names":false,"suffix":""},{"dropping-particle":"","family":"Suryani","given":"Ni Luh Putu","non-dropping-particle":"","parse-names":false,"suffix":""}],"container-title":"Jurnal Analogi …","id":"ITEM-1","issue":"1","issued":{"date-parts":[["2019"]]},"page":"46-51","title":"Implementasi Fungsi Pengawasan DPRD Kabupaten Tabanan Terhadap Pelaksanaan Perda Nomor 14 Tahun 2018 Tentang Penataan Toko Swalayan","type":"article-journal","volume":"1"},"uris":["http://www.mendeley.com/documents/?uuid=07fe8c67-2dcb-4c99-a9d4-20b0feb79530"]},{"id":"ITEM-2","itemData":{"DOI":"10.23960/snip.v2i2.212","ISSN":"2828-5794","abstract":"Naskah akademik adalah naskah hasil penelitian atau pengkajian hukum dan hasil penelitian lainnya terhadap suatu masalah tertentu yang dapat dipertanggungjawabkan secara ilmiah mengenai pengaturan masalah tersebut dalam suatu Rancangan Undang-Undang. terbitnya Peraturan Pemerintah Nomor 16 tahun 2021 maka IMB (Izin Mendirikan Bangunan) telah dihapus dan diganti dengan Persetujuan Bangunan Gedung (PBG). Oleh Karena itu maka Pemerintah Kabupaten Way Kanan akan mengganti Perda Nomor 5 tahun 2016 tentang Bangunan Gedung, untuk itu maka diperlukan Naskah Akademik dalam penyusunan Raperda Terkait Bangunan Gedung (BG). Penyusunan Naskah Akademik ini ditujukan untuk menghasilkan suatu dokumen akademik dari suatu proses kajian akademik sebagai substansi yang mendasari muatan pengaturan dalam Rancangan Peraturan Daerah tentang Bangunan Gedung serta sebagai dokumen penunjang dalam proses legislasi di DPRD dan sebagai bahan masukan bagi pembuatan rancangan Perda Bangunan Gedung di Kabupaten Way Kanan. Dalam hal ini Pemerintah Daerah Kabupaten Way Kanan melalui Dinas Pekerjaan Umum sudah menyusun program yang dimaksud untuk membangun, meningkatkan dan memelihara gedung di daerah-daerah yang berpotensi sosial maupun ekonomi dengan meningkatkan sarana dan prasarana yang ada di Lingkungan Kabupaten Way Kanan tersebut, guna melancarkan serta meningkatkan intensitas perekonomian di Kabupaten Way Kanan.","author":[{"dropping-particle":"","family":"Andu","given":"Dhesta Ari","non-dropping-particle":"","parse-names":false,"suffix":""},{"dropping-particle":"","family":"Wardono","given":"Herry","non-dropping-particle":"","parse-names":false,"suffix":""},{"dropping-particle":"","family":"Sarkowi","given":"Muhammad","non-dropping-particle":"","parse-names":false,"suffix":""}],"container-title":"Seminar Nasional Insinyur Profesional (SNIP)","id":"ITEM-2","issue":"2","issued":{"date-parts":[["2022"]]},"title":"Naskah Akademik Rancangan Perda Bangunan Gedung Kabupaten Way Kanan","type":"paper-conference","volume":"2"},"uris":["http://www.mendeley.com/documents/?uuid=9ddc932f-c257-4f30-880b-fd2930276a0d"]},{"id":"ITEM-3","itemData":{"ISBN":"9788578110796","ISSN":"1098-6596","PMID":"25246403","abstract":"Predicting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approach.","author":[{"dropping-particle":"","family":"Wahyono","given":"Sapto","non-dropping-particle":"","parse-names":false,"suffix":""}],"container-title":"Jurnal Yustitia","id":"ITEM-3","issued":{"date-parts":[["2019"]]},"page":"1-12","title":"PERSPEKTIF HUKUM ATAS PERAN SATUAN POLISI PAMONG PRAJA DALAM PENEGAKAN PERATURAN DAERAH DAN PERATURAN KEPALA DAERAH","type":"article-journal","volume":"20"},"uris":["http://www.mendeley.com/documents/?uuid=9955eb10-0657-43be-b2c2-c70c2642a827"]},{"id":"ITEM-4","itemData":{"DOI":"10.47268/sasi.v26i4.","author":[{"dropping-particle":"","family":"Picauly","given":"Benjamin Carel","non-dropping-particle":"","parse-names":false,"suffix":""},{"dropping-particle":"","family":"Lainsamputty","given":"Natanel","non-dropping-particle":"","parse-names":false,"suffix":""}],"container-title":"Sasi","id":"ITEM-4","issue":"4","issued":{"date-parts":[["2020"]]},"page":"582-592","title":"Kearifan Lokal: Tinjauan Unsur Sosiologi Pembentukan Peraturan Daerah","type":"article-journal","volume":"26"},"uris":["http://www.mendeley.com/documents/?uuid=70a9912a-70df-43af-badf-b343e2d85d84"]}],"mendeley":{"formattedCitation":"(16–19)","plainTextFormattedCitation":"(16–19)","previouslyFormattedCitation":"[16]–[19]"},"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(16–19)</w:t>
      </w:r>
      <w:r>
        <w:rPr>
          <w:rFonts w:ascii="Calibri Light" w:hAnsi="Calibri Light" w:cs="Calibri Light"/>
          <w:sz w:val="24"/>
          <w:szCs w:val="24"/>
        </w:rPr>
        <w:fldChar w:fldCharType="end"/>
      </w:r>
      <w:r w:rsidRPr="004F3C57">
        <w:rPr>
          <w:rFonts w:ascii="Calibri Light" w:hAnsi="Calibri Light" w:cs="Calibri Light"/>
          <w:sz w:val="24"/>
          <w:szCs w:val="24"/>
        </w:rPr>
        <w:t xml:space="preserve">.  </w:t>
      </w:r>
    </w:p>
    <w:p w:rsidR="008C45DE" w:rsidRPr="00122F5F" w:rsidRDefault="004F3C57" w:rsidP="004F3C57">
      <w:pPr>
        <w:spacing w:before="120" w:after="120"/>
        <w:ind w:left="426"/>
        <w:jc w:val="both"/>
        <w:rPr>
          <w:rFonts w:ascii="Calibri Light" w:hAnsi="Calibri Light" w:cs="Calibri Light"/>
          <w:color w:val="FF0000"/>
          <w:sz w:val="24"/>
          <w:szCs w:val="24"/>
          <w:lang w:val="id-ID"/>
        </w:rPr>
      </w:pPr>
      <w:r w:rsidRPr="004F3C57">
        <w:rPr>
          <w:rFonts w:ascii="Calibri Light" w:hAnsi="Calibri Light" w:cs="Calibri Light"/>
          <w:sz w:val="24"/>
          <w:szCs w:val="24"/>
          <w:lang w:val="sv-SE"/>
        </w:rPr>
        <w:t xml:space="preserve">Regional Regulations that are considered to contain conflicts with public interests and laws and regulations that have a higher position can be canceled through testing on two instruments of authority, namely the Supreme Court with a judicial review, and the Ministry of Home Affairs with an executive review system </w:t>
      </w:r>
      <w:r>
        <w:rPr>
          <w:rFonts w:ascii="Calibri Light" w:hAnsi="Calibri Light" w:cs="Calibri Light"/>
          <w:sz w:val="24"/>
          <w:szCs w:val="24"/>
          <w:lang w:val="sv-SE"/>
        </w:rPr>
        <w:fldChar w:fldCharType="begin" w:fldLock="1"/>
      </w:r>
      <w:r>
        <w:rPr>
          <w:rFonts w:ascii="Calibri Light" w:hAnsi="Calibri Light" w:cs="Calibri Light"/>
          <w:sz w:val="24"/>
          <w:szCs w:val="24"/>
          <w:lang w:val="sv-SE"/>
        </w:rPr>
        <w:instrText>ADDIN CSL_CITATION {"citationItems":[{"id":"ITEM-1","itemData":{"DOI":"10.1017/asjcl.2018.19","ISSN":"19320205","abstract":"After Soeharto stepped down in 1998, Indonesia began a radical decentralization program, one aspect of which was granting wide-ranging lawmaking powers to subnational governments. The national legislation establishing the decentralization framework gave power to the central government to review provincial-level laws, and, from 2014, for provincial governors to review city and county laws, and to invalidate them if they are inconsistent with national laws, morality, or public order. In 2017, the Constitutional Court declared these review mechanisms unconstitutional, deciding that these reviews should be conducted by the Supreme Court rather than the national or provincial executive governments. This decision reversed the trend of successive reforms from 2004 that had begun restoring political and legal power to the centre. It was also one of the most problematic in the Court's history, as this article demonstrates. The legal reasoning was poor and incomplete, the Court appeared to be equally split (though the Court did not acknowledge this), and the consequences of the decision (which the Court did not appear to consider) are likely dire. The decision has caused great confusion, but despite its flaws may well lead to reforms requiring the Constitutional Court, rather than the Supreme Court, to review subnational laws.","author":[{"dropping-particle":"","family":"Butt","given":"Simon","non-dropping-particle":"","parse-names":false,"suffix":""}],"container-title":"Asian Journal of Comparative Law","id":"ITEM-1","issue":"1","issued":{"date-parts":[["2019"]]},"page":"147-174","title":"The Indonesian constitutional court: Reconfiguring decentralization for better or worse?","type":"article-journal","volume":"14"},"uris":["http://www.mendeley.com/documents/?uuid=b2cd67e7-8b55-4293-a0cc-cf6acde0bc64"]},{"id":"ITEM-2","itemData":{"DOI":"10.7176/jlpg/98-20","abstract":"The debate over the enactment of the judicial review of local governmnet regulation has became a separate question in this era of regional autonomy. Considering that local governmnet regulations are the product of regional heads and House of Representatives (DPRDs) in an autonomous region, while one of the positive effects of developing the idea of ​​regional autonomy is the strengthening of the existence of local regulations as regional legislative products that allows the development of all the potential characteristics of the region to get a clear juridical protection. The local governmnet Regulation (called as Perda in Indonesia) as Local Wet which has a prototype, that is congruent with Law (Wet) at the central level. Viewed from the scope of the material content, way of formulation, its formulation and constitution, its position in the order and its form as norm of law as determined in the Constitutional Law of the Formation of Constitutional Regulations, the Local governmnet Regulation is an independent product of law.","author":[{"dropping-particle":"","family":"Anggraini","given":"R A Rini","non-dropping-particle":"","parse-names":false,"suffix":""},{"dropping-particle":"","family":"Ekatjahjana","given":"Widodo","non-dropping-particle":"","parse-names":false,"suffix":""},{"dropping-particle":"","family":"Rato","given":"Dominikus","non-dropping-particle":"","parse-names":false,"suffix":""},{"dropping-particle":"","family":"Harianto","given":"Aries","non-dropping-particle":"","parse-names":false,"suffix":""}],"container-title":"Journal of Law, Policy and Globalization","id":"ITEM-2","issue":"12","issued":{"date-parts":[["2020"]]},"page":"140-151","title":"Politic of Law on Judicial Review of Local Government Regulation in Indonesia","type":"article-journal","volume":"98"},"uris":["http://www.mendeley.com/documents/?uuid=0fcab93a-124e-4301-a0e4-901afe47cd4c"]},{"id":"ITEM-3","itemData":{"ISSN":"22011323","abstract":"After Constitutional Court Decision No. 137/PUU-XIII/2015, the issue of cancelling regional regulations can only be reached through a judicial review mechanism by the supreme court. The minister of home affairs and the governor no longer have the authority to cancel regional regulations. Meanwhile, regional regulations are the authority of regional governments in carrying out regional autonomy. In the context of the unitary state, the central government has the right to supervise regions, including the formation of regional regulations. This research will focus on the weaknesses and strengths of existing mechanisms and the construction of weaknesses. Through a non-doctrinal approach, it was concluded that in the context of the unitary state, the central government still has the right to carry out regional regulations through evaluation and clarification mechanisms. It also has the authority to provide register numbers as its final control. The advantage is that at present, the supervision of regional regulations is quite strong and effective. The weakness is the potential accumulation of cases of cancellation of regional regulations (both provincial and district/city regulations throughout Indonesia). Philosophical supervision of regional construction emphasises legal certainty. The effectiveness of time is involved with the smooth running of local government, strengthening competence in mastering local regulations and the number of judges in the supreme court.","author":[{"dropping-particle":"","family":"Saraswati","given":"Retno","non-dropping-particle":"","parse-names":false,"suffix":""},{"dropping-particle":"","family":"Ristyawati","given":"Aprista","non-dropping-particle":"","parse-names":false,"suffix":""},{"dropping-particle":"","family":"Basworo","given":"Rigan Sasunu","non-dropping-particle":"","parse-names":false,"suffix":""}],"container-title":"International Journal of Innovation, Creativity and Change","id":"ITEM-3","issue":"7","issued":{"date-parts":[["2020"]]},"page":"1-9","title":"Recent developments and changes in the governance of regional legal products in Indonesia: Supervision, evaluation and clarification mechanisms","type":"article-journal","volume":"12"},"uris":["http://www.mendeley.com/documents/?uuid=8a95557f-fee6-409a-bb83-09f124852527"]},{"id":"ITEM-4","itemData":{"ISBN":"9783540773405","ISSN":"0120386X","PMID":"22417599","abstract":"The Constitutional Court, on April 4, 2017, through the Decision No.137/PUU- XIII/2015 has invalidated the enactment of the rules that enabled a Governor to annul Regency/City Laws. On June 14, 2017, with the Decision No.56/PUU- XIV/2016, the Court also invalidated the authority of Ministry of Internal Affair to void Provincial Laws. These decisions brought about a question on whether the government still has the authority to revise those regional laws or it can only be taken through the material review to the judiciary. Based on the background, the authors formulated two problems. Firstly, what is the mechanism of government control of the Regional Regulation after the Constitutional Court Decision Number 137 / PUU-XIII / 2015 and the Court's Decision Number 56/PUU- XIV/2016? Secondly, what are the obstacles to judicial review of regional regulations in the Supreme Court? The research method applied in this paper is a normative method in which qualitative data are gathered and the statute and conceptual approaches are employed. First result, the government, both the Minister of Internal Affairs and the Governor, can oversee the regional law- making process through the executive preview mechanism and the annulation of both Province and Regency/City Laws is in the domain of the Supreme Court's authority. Second, the judicial review process in the Supreme Court has not fully met the legal principles of judicial review process, as it is not open to public, there is no deadline to finish the trial, and the Supreme Court’s decision is not supported by sufficient details of judges’ legal opinion.","author":[{"dropping-particle":"","family":"Liany","given":"Lusy","non-dropping-particle":"","parse-names":false,"suffix":""}],"container-title":"ADIL: Jurnal Hukum","id":"ITEM-4","issue":"2","issued":{"date-parts":[["2019"]]},"page":"21-48","title":"Hapusnya Wewenang Executive Review Pemerintah terhadap Peraturan Daerah: Studi Pasca-adanya Putusan MK Nomor 137/PUU-XIII/2015 dan Nomor 56/PUU XIV/2016","type":"article-journal","volume":"10"},"uris":["http://www.mendeley.com/documents/?uuid=67470518-0cee-4d2e-b5cd-6a0ae2de281e"]}],"mendeley":{"formattedCitation":"(20–23)","plainTextFormattedCitation":"(20–23)","previouslyFormattedCitation":"[20]–[23]"},"properties":{"noteIndex":0},"schema":"https://github.com/citation-style-language/schema/raw/master/csl-citation.json"}</w:instrText>
      </w:r>
      <w:r>
        <w:rPr>
          <w:rFonts w:ascii="Calibri Light" w:hAnsi="Calibri Light" w:cs="Calibri Light"/>
          <w:sz w:val="24"/>
          <w:szCs w:val="24"/>
          <w:lang w:val="sv-SE"/>
        </w:rPr>
        <w:fldChar w:fldCharType="separate"/>
      </w:r>
      <w:r w:rsidRPr="004F3C57">
        <w:rPr>
          <w:rFonts w:ascii="Calibri Light" w:hAnsi="Calibri Light" w:cs="Calibri Light"/>
          <w:noProof/>
          <w:sz w:val="24"/>
          <w:szCs w:val="24"/>
          <w:lang w:val="sv-SE"/>
        </w:rPr>
        <w:t>(20–23)</w:t>
      </w:r>
      <w:r>
        <w:rPr>
          <w:rFonts w:ascii="Calibri Light" w:hAnsi="Calibri Light" w:cs="Calibri Light"/>
          <w:sz w:val="24"/>
          <w:szCs w:val="24"/>
          <w:lang w:val="sv-SE"/>
        </w:rPr>
        <w:fldChar w:fldCharType="end"/>
      </w:r>
      <w:r w:rsidRPr="004F3C57">
        <w:rPr>
          <w:rFonts w:ascii="Calibri Light" w:hAnsi="Calibri Light" w:cs="Calibri Light"/>
          <w:sz w:val="24"/>
          <w:szCs w:val="24"/>
          <w:lang w:val="sv-SE"/>
        </w:rPr>
        <w:t>. The authority given to these two government instruments, then gave rise to the dualism controversy of cancellation, and reduced public satisfaction due to reduced legal certainty. Meanwhile, the principle of legal certainty states guarantees regarding the implementation of legal elements in an appropriate and balanced manner, without conflict, and can be understood by anyone who uses them. In addition, legal certainty is also a guarantee for the community that all members of society can be treated fairly without any gaps and arbitrariness. The dualism of authority at both the Supreme Court and the Ministry of Home Affairs has indirectly minimized the power of legal certainty for the people, especially when there is a conflict over the legitimacy of regional regulations between the two government instruments.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rsidR="00D26ADD" w:rsidRPr="00122F5F" w:rsidRDefault="004F3C57" w:rsidP="008C3DC2">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The research method used in this research is normative juridical method. Normative juridical research is a scientific research method carried out by taking library materials as the main material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{"citationItems":[{"id":"ITEM-1","itemData":{"DOI":"10.26905/idjch.v11i1.4047","ISSN":"2356-4962","abstract":"Perkembangan kebutuhan akan hukum di era digital menjadi suatu tuntutan baru. Pada era revolusi industri 4.0 lebih banyak meninggalkan cara-cara konvensional dan beralih menggunakan metode digital. Asas dan nilai hukum memang masih bersifat tetap, akan tetapi apabila metode-metode baru tidak diatur lebih lanjut akan menimbulkan masalah dalam praktik dunia hukum. Salah satu yang menjadi permasalahan adalah telemarketing. Metode telemarketing sudah banyak digunakan dalam beberapa tahun di dunia perekonomian Internasional. Marketing memang menjadi ujung tombak keberhasilan dari suatu perusahaan. Masalah mulai timbul ketika telemarketing disalahgunakan dengan menggunakan celah-celah tertentu. Penelitian ini menggunakan metode yuridis-normatif dengan pendekatan norma dan analisis teori. Hasil dari penelitian ini mengungkap bahwa dalam pemidanaan akan lebih kompleks jika berhadapan dengan perusahaan karena sosok badan hukum pada dasarnya berbeda dengan orang individu dalam hal pertanggungjawaban. Pada ranah keperdataan masih banyak konsumen yang dilindungi oleh norma- norma yang ada di Indonesia melalui lembaga otoritas jasa keuangan dan penyelesaian sengketa oleh Pengadilan. Beberapa masalah keperdataan disebabkan karena adanya penyalahgunaan keadaan oleh perusahaan yang mengelola jasa keuangan.","author":[{"dropping-particle":"","family":"Rahmawati","given":"Indah","non-dropping-particle":"","parse-names":false,"suffix":""}],"container-title":"Jurnal Cakrawala Hukum","id":"ITEM-1","issue":"1","issued":{"date-parts":[["2020"]]},"page":"60-70","title":"Analisis yuridis-normatif terhadap peran dan tindakan telemarketing dalam transaksi digital","type":"article-journal","volume":"11"},"uris":["http://www.mendeley.com/documents/?uuid=c171fde2-f504-479b-8776-5ad0b3d4f04f"]}],"mendeley":{"formattedCitation":"(24)","plainTextFormattedCitation":"(24)","previouslyFormattedCitation":"[24]"},"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(24)</w:t>
      </w:r>
      <w:r>
        <w:rPr>
          <w:rFonts w:ascii="Calibri Light" w:hAnsi="Calibri Light" w:cs="Calibri Light"/>
          <w:sz w:val="24"/>
          <w:szCs w:val="24"/>
        </w:rPr>
        <w:fldChar w:fldCharType="end"/>
      </w:r>
      <w:r w:rsidRPr="004F3C57">
        <w:rPr>
          <w:rFonts w:ascii="Calibri Light" w:hAnsi="Calibri Light" w:cs="Calibri Light"/>
          <w:sz w:val="24"/>
          <w:szCs w:val="24"/>
        </w:rPr>
        <w:t xml:space="preserve">. Indirectly, this research will be carried out by examining the statutory approach that applies as a source of law. With this normative juridical approach, legal texts will become the main source of data in research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{"citationItems":[{"id":"ITEM-1","itemData":{"ISSN":"2527-3353","abstract":"Kemajuan teknologi informasi telah mengubah pola kehidupan ekonomi masyarakat yang mendorong terciptanya budaya ekonomi baru. Perubahan ini tentu saja mendorong adanya perubahan hukum. Salah satu fenomena baru dalam kehidupan ekonomi global adalah kemunculan mata uang kripto. Di Indonesia, mata uang kripto telah menjadi perhatian pemerintah dan menjadi objek yang diatur dalam regulasi. Bagi pemerintah, tantangan utama dalam kebijakan ini adalah menghadirkan regulasi yang memadai dan harmonis sehingga dapat menjadi pedoman bagi kegiatan ekonomi masyarakat. Tujuan dari penelitian ini adalah untuk menjelaskan aspek yuridis normatif terhadap regulasi atau kebijakan mata uang kripto di Indonesia. Tinjauan ini didasarkan pada undang-undang dan sejumlah peraturan untuk melihat legalitas dan bentuk pengaturan mata uang kripto. Penelitian ini menggunakan metode penelitian hukum normatif dengan pendekatan yuridis normatif. Hasil dari penelitian ini menunjukkan bahwa secara yuridis normatif terdapat perbedaan definisi yang berdampak pada pola pengaturan mata uang kripto. Bank Indonesia memandangnya sebagai uang digital sehingga tidak sah sebagai alat pembayaran, sementara Kementerian Perdagangan memandangnya sebagai aset digital sehingga dapat diperdagangkan pada bursa berjangka","author":[{"dropping-particle":"","family":"Rohman","given":"M. Najibur","non-dropping-particle":"","parse-names":false,"suffix":""}],"container-title":"Jurnal Supremasi: Jurnal Ilmiah Ilmu Hukum","id":"ITEM-1","issue":"2","issued":{"date-parts":[["2021"]]},"page":"1-10","title":"TINJAUAN YURIDIS NORMATIF TERHADAP REGULASI MATA UANG KRIPTO (CRYPTO CURRENCY) DI INDONESIA","type":"article-journal","volume":"11"},"uris":["http://www.mendeley.com/documents/?uuid=da77337d-3e79-4c59-9726-1063fc834cf7"]}],"mendeley":{"formattedCitation":"(25)","plainTextFormattedCitation":"(25)","previouslyFormattedCitation":"[25]"},"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(25)</w:t>
      </w:r>
      <w:r>
        <w:rPr>
          <w:rFonts w:ascii="Calibri Light" w:hAnsi="Calibri Light" w:cs="Calibri Light"/>
          <w:sz w:val="24"/>
          <w:szCs w:val="24"/>
        </w:rPr>
        <w:fldChar w:fldCharType="end"/>
      </w:r>
      <w:r w:rsidRPr="004F3C57">
        <w:rPr>
          <w:rFonts w:ascii="Calibri Light" w:hAnsi="Calibri Light" w:cs="Calibri Light"/>
          <w:sz w:val="24"/>
          <w:szCs w:val="24"/>
        </w:rPr>
        <w:t>. As additional data, in this study principles, discrepancies, systematics, inventories, and legal remedies are additional sources that will be used as material for research considerations.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w:t>
      </w:r>
      <w:r w:rsidR="004F3C57">
        <w:rPr>
          <w:rFonts w:ascii="Calibri Light" w:hAnsi="Calibri Light" w:cs="Calibri Light"/>
          <w:b/>
          <w:sz w:val="24"/>
          <w:szCs w:val="24"/>
        </w:rPr>
        <w:t>S</w:t>
      </w:r>
      <w:r w:rsidR="00334792" w:rsidRPr="00122F5F">
        <w:rPr>
          <w:rFonts w:ascii="Calibri Light" w:hAnsi="Calibri Light" w:cs="Calibri Light"/>
          <w:b/>
          <w:sz w:val="24"/>
          <w:szCs w:val="24"/>
          <w:lang w:val="id-ID"/>
        </w:rPr>
        <w:t xml:space="preserve"> </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cancellation of regional regulations raises the consequence of not applying these regulations as a basis for government action (</w:t>
      </w:r>
      <w:r w:rsidRPr="004F3C57">
        <w:rPr>
          <w:rFonts w:ascii="Calibri Light" w:hAnsi="Calibri Light" w:cs="Calibri Light"/>
          <w:i/>
          <w:iCs/>
          <w:sz w:val="24"/>
          <w:szCs w:val="24"/>
        </w:rPr>
        <w:t>bestuur handelingen</w:t>
      </w:r>
      <w:r w:rsidRPr="004F3C57">
        <w:rPr>
          <w:rFonts w:ascii="Calibri Light" w:hAnsi="Calibri Light" w:cs="Calibri Light"/>
          <w:sz w:val="24"/>
          <w:szCs w:val="24"/>
        </w:rPr>
        <w:t>), and loses binding legal force as a rule (</w:t>
      </w:r>
      <w:r w:rsidRPr="004F3C57">
        <w:rPr>
          <w:rFonts w:ascii="Calibri Light" w:hAnsi="Calibri Light" w:cs="Calibri Light"/>
          <w:i/>
          <w:iCs/>
          <w:sz w:val="24"/>
          <w:szCs w:val="24"/>
        </w:rPr>
        <w:t>rechtsnorm</w:t>
      </w:r>
      <w:r w:rsidRPr="004F3C57">
        <w:rPr>
          <w:rFonts w:ascii="Calibri Light" w:hAnsi="Calibri Light" w:cs="Calibri Light"/>
          <w:sz w:val="24"/>
          <w:szCs w:val="24"/>
        </w:rPr>
        <w:t>). As a consequence, the Regional Government has the obligation to follow up on the cancellation decision within a period of no later than ninety days after the cancellation decision was sent. The order for the revocation of the Regional Regulation is issued by the State Administrative Officer.</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The Supreme Court is required to have good accuracy in determining the feasibility of canceling regional regulations. In other words, the Supreme Court is required to have the </w:t>
      </w:r>
      <w:r w:rsidRPr="004F3C57">
        <w:rPr>
          <w:rFonts w:ascii="Calibri Light" w:hAnsi="Calibri Light" w:cs="Calibri Light"/>
          <w:sz w:val="24"/>
          <w:szCs w:val="24"/>
        </w:rPr>
        <w:lastRenderedPageBreak/>
        <w:t>ability to distinguish whether an act of power has an impact on the birth of law or not. If the law being reviewed is declared not to fulfill certain parts of the entire process of forming a law determined by law, then the consequence is that the norms contained therein are considered as prepositions that do not contain legal nature from birth (</w:t>
      </w:r>
      <w:r w:rsidRPr="004F3C57">
        <w:rPr>
          <w:rFonts w:ascii="Calibri Light" w:hAnsi="Calibri Light" w:cs="Calibri Light"/>
          <w:i/>
          <w:iCs/>
          <w:sz w:val="24"/>
          <w:szCs w:val="24"/>
        </w:rPr>
        <w:t>nullity</w:t>
      </w:r>
      <w:r w:rsidRPr="004F3C57">
        <w:rPr>
          <w:rFonts w:ascii="Calibri Light" w:hAnsi="Calibri Light" w:cs="Calibri Light"/>
          <w:sz w:val="24"/>
          <w:szCs w:val="24"/>
        </w:rPr>
        <w:t>), which is in the legal tradition in Indonesia. referred to as null and void.</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Judicial review case testing by the Supreme Court only covers material aspects, namely assessing whether a statutory regulation being tested is contradictory or not with higher statutory regulations. While the formal aspect does not exist in the test, namely assessing a statutory regulation its formation through the methods as determined/regulated in the applicable statutory regulations or not. This is guided by the procedural law contained in the Supreme Court Regulation Number 1 of 2011 concerning Right to Judicial Review. </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authority of the Supreme Court to examine Regional Regulations was born from an authority called judicial review. In such circumstances, the Supreme Court is an institution that exercises judicial power that is authorized to resolve conflicting norms arising from the birth of a legal product under a law, including regional regulations and regional head regulations. The Supreme Court, in carrying out its judicial review authority, is passive, meaning that it is waiting for an objection filed by the parties whose rights have been harmed by the enactment of regulations under the law.</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Thus, the Supreme Court Regulation Number 1 of 2011 narrows the judicial review authority of the Supreme Court, which is authorized by the Constitution and laws to examine the material and formal regulations of laws and regulations, to only carry out material reviews of the contents of laws and regulations. This means that the Supreme Court does not examine or examine the formal aspects of the preparation and formation of statutory regulations under the law. The Supreme Court Judge's decision only considers aspects of authority and substance which are based on higher laws and regulations.</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cancellation of governor regulations and regent/mayor regulations should be carried out through a judicial review mechanism at the Supreme Court. In a unitary state, it is fitting for the government at a higher level to be given the authority to supervise regulations (including regional regulations and regional head regulations) issued in the regions. The implementation of this supervision can be carried out by providing guidance to the regions through strengthening the executive preview or testing a legal norm before it becomes legally binding in general.</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Judges have the goal of upholding truth and justice and in their duties are obliged to always uphold the law. Law, however, requires morals, as the imperial adage </w:t>
      </w:r>
      <w:r w:rsidRPr="004F3C57">
        <w:rPr>
          <w:rFonts w:ascii="Calibri Light" w:hAnsi="Calibri Light" w:cs="Calibri Light"/>
          <w:i/>
          <w:iCs/>
          <w:sz w:val="24"/>
          <w:szCs w:val="24"/>
        </w:rPr>
        <w:t>quid leges leges sine moribus</w:t>
      </w:r>
      <w:r w:rsidRPr="004F3C57">
        <w:rPr>
          <w:rFonts w:ascii="Calibri Light" w:hAnsi="Calibri Light" w:cs="Calibri Light"/>
          <w:sz w:val="24"/>
          <w:szCs w:val="24"/>
        </w:rPr>
        <w:t xml:space="preserve"> meanings what is a law if it is not accompanied by morality. Judges have a big role, not only as mouthpieces of laws and regulations but also as agents of legal change as stated by the sociological jurisprudence school. Judges can be a law as a tool of social engineering for enforcing regional rights to realize regional empowerment. Decisions made by judges in court ideally do not create new problems in the community, meaning that the quality of judges' decisions has an important effect on the community environment and affects the authority and credibility of the court institution itself. The reality on the ground is that there are still many judges' decisions in the judicial process </w:t>
      </w:r>
      <w:r w:rsidRPr="004F3C57">
        <w:rPr>
          <w:rFonts w:ascii="Calibri Light" w:hAnsi="Calibri Light" w:cs="Calibri Light"/>
          <w:sz w:val="24"/>
          <w:szCs w:val="24"/>
        </w:rPr>
        <w:lastRenderedPageBreak/>
        <w:t>which actually create new polemics and do not solve problems. Even though ideally the judge's decision that was born should be able to resolve the case.</w:t>
      </w:r>
    </w:p>
    <w:p w:rsidR="00B25EDF"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Cancellation decision that reads absolutely null and void has juridical consequences, that an event that is in a legal product or caused by a legal product since its entry into force is deemed to have never existed, so it must be returned to its original state. Talking about the absolute annulment of a legal product, it can be analyzed that the absolute annulment of a legal product is a regulation or decision.</w:t>
      </w:r>
    </w:p>
    <w:p w:rsidR="004F3C57" w:rsidRDefault="004F3C57" w:rsidP="004F3C57">
      <w:pPr>
        <w:spacing w:before="120" w:after="120"/>
        <w:ind w:left="440" w:right="-1" w:hanging="14"/>
        <w:jc w:val="both"/>
        <w:rPr>
          <w:rFonts w:ascii="Calibri Light" w:hAnsi="Calibri Light" w:cs="Calibri Light"/>
          <w:sz w:val="24"/>
          <w:szCs w:val="24"/>
        </w:rPr>
      </w:pPr>
    </w:p>
    <w:p w:rsidR="004F3C57" w:rsidRPr="00122F5F" w:rsidRDefault="004F3C57" w:rsidP="004F3C57">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Pr>
          <w:rFonts w:ascii="Calibri Light" w:hAnsi="Calibri Light" w:cs="Calibri Light"/>
          <w:b/>
          <w:sz w:val="24"/>
          <w:szCs w:val="24"/>
        </w:rPr>
        <w:t>DISCUSSION</w:t>
      </w:r>
      <w:r w:rsidRPr="00122F5F">
        <w:rPr>
          <w:rFonts w:ascii="Calibri Light" w:hAnsi="Calibri Light" w:cs="Calibri Light"/>
          <w:b/>
          <w:sz w:val="24"/>
          <w:szCs w:val="24"/>
          <w:lang w:val="id-ID"/>
        </w:rPr>
        <w:t xml:space="preserve"> </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In the absence of annulment of Provincial Regulations and Regency/City Regional Regulations by the central Government which are contrary to the provisions of higher laws and regulations, public interest, and/or decency, the Central Government only has preventive supervision or executive preview which is carried out before the draft regional regulation is stipulated. The form of preventive supervision itself based on Law no. 23 of 2014 and Minister of Home Affairs regulations No. 80 of 2015, which is carried out by evaluating and facilitating. Evaluation itself is carried out on a number of other instruments such as regional taxes, regional levies, regional spatial planning, industrial development plans, and the establishment, deletion, merger, and/or change of village status to sub-district or sub-district to village. While facilitation is carried out on draft Regional Regulations other than those being evaluated.</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evaluation and facilitation will only be in the form of recommendations given by the Minister of Home Affairs or the Governor as the representative of the central government. These recommendations can later be used as material for consideration by the local government whether to continue the draft Regional Regulation to be enacted as a Regional Regulation or not to continue as a Regional Regulation. If the Regional Regulation is recommended not to be continued because it is contrary to the provisions of higher laws and regulations, public interest, and/or decency, but the regional government continues until the said Regional Regulation is enacted, then said Regional Regulation with all the consequences that are contrary to the provisions higher laws and regulations, public interest, and/or decency.</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attribution authority of the Supreme Court can theoretically be delegated to the judicial institutions under it. Regarding delegated authority, this is still a problem in Indonesia, namely the Supreme Court is bound by the principle that "a person or institution who receives delegated authority must exercise that authority himself, may not be further sub-delegated. If the Supreme Court is not allowed to delegate some of its authority further to other institutions, then this will be very burdensome for the people in areas that are disadvantaged by the enactment of Regional Regulations, where they must submit a judicial review right to the Supreme Court in Jakarta. On the other hand, the Supreme Court so far still has outstanding cases at the cassation level that must be implemented immediately.</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Right to Examine (</w:t>
      </w:r>
      <w:r w:rsidRPr="004F3C57">
        <w:rPr>
          <w:rFonts w:ascii="Calibri Light" w:hAnsi="Calibri Light" w:cs="Calibri Light"/>
          <w:i/>
          <w:iCs/>
          <w:sz w:val="24"/>
          <w:szCs w:val="24"/>
        </w:rPr>
        <w:t>Toestingrecht</w:t>
      </w:r>
      <w:r w:rsidRPr="004F3C57">
        <w:rPr>
          <w:rFonts w:ascii="Calibri Light" w:hAnsi="Calibri Light" w:cs="Calibri Light"/>
          <w:sz w:val="24"/>
          <w:szCs w:val="24"/>
        </w:rPr>
        <w:t>) both in the literature and in practice there are two kinds of rights to examine (</w:t>
      </w:r>
      <w:r w:rsidRPr="004F3C57">
        <w:rPr>
          <w:rFonts w:ascii="Calibri Light" w:hAnsi="Calibri Light" w:cs="Calibri Light"/>
          <w:i/>
          <w:iCs/>
          <w:sz w:val="24"/>
          <w:szCs w:val="24"/>
        </w:rPr>
        <w:t>Toestingrecht</w:t>
      </w:r>
      <w:r w:rsidRPr="004F3C57">
        <w:rPr>
          <w:rFonts w:ascii="Calibri Light" w:hAnsi="Calibri Light" w:cs="Calibri Light"/>
          <w:sz w:val="24"/>
          <w:szCs w:val="24"/>
        </w:rPr>
        <w:t xml:space="preserve">), namely: determined/regulated in the applicable </w:t>
      </w:r>
      <w:r w:rsidRPr="004F3C57">
        <w:rPr>
          <w:rFonts w:ascii="Calibri Light" w:hAnsi="Calibri Light" w:cs="Calibri Light"/>
          <w:sz w:val="24"/>
          <w:szCs w:val="24"/>
        </w:rPr>
        <w:lastRenderedPageBreak/>
        <w:t xml:space="preserve">laws and regulations or not. Formal testing is related to procedural issues and with regard to the legality of the competence of the institution that makes it. The right to formally examine is the authority to assess whether a legislative product such as a law, for example, is incarnated through procedures as determined or regulated in the applicable laws and regulations or not. For example, Regional Regulations are formed (stipulated) by the Regional People's Legislative Council/DPRD together with Governors, Regents or Mayors. </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A legal product cannot be called a Regional Regulation (Regional Regulation) if it is only stipulated by the Governor, without being approved by the DPRD. The right to examine the material (</w:t>
      </w:r>
      <w:r w:rsidRPr="004F3C57">
        <w:rPr>
          <w:rFonts w:ascii="Calibri Light" w:hAnsi="Calibri Light" w:cs="Calibri Light"/>
          <w:i/>
          <w:iCs/>
          <w:sz w:val="24"/>
          <w:szCs w:val="24"/>
        </w:rPr>
        <w:t>materiele toestingrecht</w:t>
      </w:r>
      <w:r w:rsidRPr="004F3C57">
        <w:rPr>
          <w:rFonts w:ascii="Calibri Light" w:hAnsi="Calibri Light" w:cs="Calibri Light"/>
          <w:sz w:val="24"/>
          <w:szCs w:val="24"/>
        </w:rPr>
        <w:t>): an authority to investigate and assess the contents of whether a statutory regulation is in accordance with or contradicts a higher degree of regulation, (</w:t>
      </w:r>
      <w:r w:rsidRPr="004F3C57">
        <w:rPr>
          <w:rFonts w:ascii="Calibri Light" w:hAnsi="Calibri Light" w:cs="Calibri Light"/>
          <w:i/>
          <w:iCs/>
          <w:sz w:val="24"/>
          <w:szCs w:val="24"/>
        </w:rPr>
        <w:t>lex superior derogate lex infriore</w:t>
      </w:r>
      <w:r w:rsidRPr="004F3C57">
        <w:rPr>
          <w:rFonts w:ascii="Calibri Light" w:hAnsi="Calibri Light" w:cs="Calibri Light"/>
          <w:sz w:val="24"/>
          <w:szCs w:val="24"/>
        </w:rPr>
        <w:t>), and whether a certain power (</w:t>
      </w:r>
      <w:r w:rsidRPr="004F3C57">
        <w:rPr>
          <w:rFonts w:ascii="Calibri Light" w:hAnsi="Calibri Light" w:cs="Calibri Light"/>
          <w:i/>
          <w:iCs/>
          <w:sz w:val="24"/>
          <w:szCs w:val="24"/>
        </w:rPr>
        <w:t>verordenende macht</w:t>
      </w:r>
      <w:r w:rsidRPr="004F3C57">
        <w:rPr>
          <w:rFonts w:ascii="Calibri Light" w:hAnsi="Calibri Light" w:cs="Calibri Light"/>
          <w:sz w:val="24"/>
          <w:szCs w:val="24"/>
        </w:rPr>
        <w:t>) has the right issued a certain regulation. Material testing relates to the possibility of contention in the material of a regulation with other regulations that are higher or concerning the specificities of a rule compared to generally accepted norms.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6B0510" w:rsidRPr="00122F5F" w:rsidRDefault="004F3C57"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4F3C57">
        <w:rPr>
          <w:rFonts w:ascii="Calibri Light" w:hAnsi="Calibri Light" w:cs="Calibri Light"/>
          <w:sz w:val="24"/>
          <w:szCs w:val="24"/>
          <w:lang w:val="en-US"/>
        </w:rPr>
        <w:t xml:space="preserve">The implication of canceling a regional regulation by the Supreme Court based on a judicial review application is that the regional regulation is not valid. In addition, decisions have binding force (erga omnes) because the authority of a decision issued by a judicial institution lies in its binding power. The decision of a Judicial review case must be a decision that is binding on the parties and must be obeyed by everyone. With this principle, it is reflected that decisions have binding legal force and because of the nature of public law, they apply to anyone – not only the parties to the litigation. Based on the provisions of Article 8 paragraph (2) Supreme Court Rules No. 1 of 2011 the time limit for following up on a decision is 90 (ninety) days from the date the decision was sent. With this provision, it can be seen that the procedural law for judicial review in the Supreme Court applies the principle of </w:t>
      </w:r>
      <w:r w:rsidRPr="004F3C57">
        <w:rPr>
          <w:rFonts w:ascii="Calibri Light" w:hAnsi="Calibri Light" w:cs="Calibri Light"/>
          <w:i/>
          <w:iCs/>
          <w:sz w:val="24"/>
          <w:szCs w:val="24"/>
          <w:lang w:val="en-US"/>
        </w:rPr>
        <w:t>contrarius actus</w:t>
      </w:r>
      <w:r w:rsidRPr="004F3C57">
        <w:rPr>
          <w:rFonts w:ascii="Calibri Light" w:hAnsi="Calibri Light" w:cs="Calibri Light"/>
          <w:sz w:val="24"/>
          <w:szCs w:val="24"/>
          <w:lang w:val="en-US"/>
        </w:rPr>
        <w:t>, meaning that a decision on the judicial review right on a rule or norm that is granted by the Supreme Court is not immediately declared null and void/has no binding legal force, but is handed over to a legal entity. or the state administration official who issued the said statutory regulation to revoke it (including changing, replacing or canceling). In addition to the decision to cancel regional regulations issued by the Supreme Court, a judicial review cannot be submitted. Notification of the contents of the decision along with a copy of the Supreme Court Decision is sent by registered letter to the parties, or in the case of an application submitted through the District Court/State Administrative Court, a copy of the decision is sent through the relevant District Court/State Administrative Court.</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sz w:val="24"/>
          <w:szCs w:val="24"/>
        </w:rPr>
        <w:t>[</w:t>
      </w: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4F3C57">
        <w:rPr>
          <w:rFonts w:ascii="Calibri Light" w:hAnsi="Calibri Light" w:cs="Calibri Light"/>
          <w:noProof/>
          <w:sz w:val="24"/>
          <w:szCs w:val="24"/>
        </w:rPr>
        <w:t>1</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Pr>
          <w:rFonts w:ascii="Calibri Light" w:hAnsi="Calibri Light" w:cs="Calibri Light"/>
          <w:noProof/>
          <w:sz w:val="24"/>
          <w:szCs w:val="24"/>
        </w:rPr>
        <w:tab/>
      </w:r>
      <w:r w:rsidRPr="004F3C57">
        <w:rPr>
          <w:rFonts w:ascii="Calibri Light" w:hAnsi="Calibri Light" w:cs="Calibri Light"/>
          <w:noProof/>
          <w:sz w:val="24"/>
          <w:szCs w:val="24"/>
        </w:rPr>
        <w:t xml:space="preserve">Prabowo L, Rafli MT. Pengaruh Otonomi Daerah Terhadap Kesejahteraan Rakyat Indonesia. Jurnal Rechten : Riset Hukum dan Hak Asasi Manusia. 2022;2(2):20–8.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Mukhsin. STRATEGI PENINGKATAN MUTU DI ERA OTONOMI PENDIDIKAN. JUPE: </w:t>
      </w:r>
      <w:r w:rsidRPr="004F3C57">
        <w:rPr>
          <w:rFonts w:ascii="Calibri Light" w:hAnsi="Calibri Light" w:cs="Calibri Light"/>
          <w:noProof/>
          <w:sz w:val="24"/>
          <w:szCs w:val="24"/>
        </w:rPr>
        <w:lastRenderedPageBreak/>
        <w:t xml:space="preserve">Jurnal Pendidikan Mandala. 2019;4(5):127–32.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3</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Winanto A, Abubakar R. Aktivitas Penyuluhan Pertanian Pada Otonomi Kabupaten Musi Rawas. Societa [Internet]. 2019;8(2):94–8.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4</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Putra PA, Hermana MA, Apriyanto S. Implementasi Kebijakan Otonomi Daerah Dalam Pasal 18 Undang-Undang Dasar 1945 Dalam Perspektif Politik Hukum Di Indonesia. BATARADARMA Journal (Law Studies) [Internet]. 2020;1(1):13–23.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5</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Setiadi I. Sinergi Kepemimpinan dalam Masa Pandemik: Menghadapi Krisis Manajemen dalam Kebijakan Mengatasi Pandemik Covid-19. Jurnal Sosial Teknologi. 2021;1(6):451–64.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6</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Wibowo A, Yafiz M. Sinergi Dewan Perwakilan Rakyat Daerah (DPRD) dengan Pemerintah dalam membangun Perekonomian Masyarakat di Kabupaten Deli Serdang. Jurnal Ilmu Komputer, Ekonomi dan Manajemen (JIKEM). 2022;2(1):785–9.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7</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Mursyid BT. PONDOK PESANTREN DITINJAU DARI PERATURAN DAERAH NOMOR 2 TAHUN 2014 TENTANG PENYELENGGARAAN PENDIDIKAN DAN KEBUDAYAAN DAERAH DI SULAWESI TENGAH. Bilancia. 2014;15(2):263–79.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8</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Putra A, Handoko T. Komunikasi Pemerintah Pusat Dan Pemerintah Daerah: Kasus Dinamika Pelaksanaan Local Lockdown Dalam Mencegah Penyebaran COVID-19. Jurnal Administrasi Politik dan Sosial. 2021;2(1):1–15.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9</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Kusnadi IH. Implikasi, Urusan Dan Prospek Otonomi Daerah. Kebijakan: Jurnal Ilmu Administrasi. 2020;11(1):36–46.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10</w:t>
      </w:r>
      <w:r>
        <w:rPr>
          <w:rFonts w:ascii="Calibri Light" w:hAnsi="Calibri Light" w:cs="Calibri Light"/>
          <w:noProof/>
          <w:sz w:val="24"/>
          <w:szCs w:val="24"/>
        </w:rPr>
        <w:t>]</w:t>
      </w:r>
      <w:r w:rsidRPr="004F3C57">
        <w:rPr>
          <w:rFonts w:ascii="Calibri Light" w:hAnsi="Calibri Light" w:cs="Calibri Light"/>
          <w:noProof/>
          <w:sz w:val="24"/>
          <w:szCs w:val="24"/>
        </w:rPr>
        <w:t xml:space="preserve">Tenong S, Maroa MD, Setiawan R. Tinjauan Yuridis Penyelenggaraan Pengadaan Tanah Bagi Pembangunan Untuk Kepentingan Umum Berdasarkan Peraturan Pemerintah Nomor 19 Tahun 2021. Jurnal Yustisiabel. 2021;5(2):194–210.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11</w:t>
      </w:r>
      <w:r>
        <w:rPr>
          <w:rFonts w:ascii="Calibri Light" w:hAnsi="Calibri Light" w:cs="Calibri Light"/>
          <w:noProof/>
          <w:sz w:val="24"/>
          <w:szCs w:val="24"/>
        </w:rPr>
        <w:t>]</w:t>
      </w:r>
      <w:r w:rsidRPr="004F3C57">
        <w:rPr>
          <w:rFonts w:ascii="Calibri Light" w:hAnsi="Calibri Light" w:cs="Calibri Light"/>
          <w:noProof/>
          <w:sz w:val="24"/>
          <w:szCs w:val="24"/>
        </w:rPr>
        <w:t xml:space="preserve">Achir N, Kamba SNM. Peraturan Daerah Bernuansa Syari’ah Dan Hubungannya Dengan Pelaksanaan Tugas Serta Kewajiban Pemerintah Daerah. Jurnal Ilmiah Penegakan Hukum. 2020;7(2):126–32.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12</w:t>
      </w:r>
      <w:r>
        <w:rPr>
          <w:rFonts w:ascii="Calibri Light" w:hAnsi="Calibri Light" w:cs="Calibri Light"/>
          <w:noProof/>
          <w:sz w:val="24"/>
          <w:szCs w:val="24"/>
        </w:rPr>
        <w:t>]</w:t>
      </w:r>
      <w:r w:rsidRPr="004F3C57">
        <w:rPr>
          <w:rFonts w:ascii="Calibri Light" w:hAnsi="Calibri Light" w:cs="Calibri Light"/>
          <w:noProof/>
          <w:sz w:val="24"/>
          <w:szCs w:val="24"/>
        </w:rPr>
        <w:t xml:space="preserve">Bunga M. Model Pembentukan Peraturan Daerah Yang Ideal Dalam Penyelenggaraan Otonomi Daerah. Jurnal Hukum &amp; Pembangunan [Internet]. 2019;49(4):818.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13</w:t>
      </w:r>
      <w:r>
        <w:rPr>
          <w:rFonts w:ascii="Calibri Light" w:hAnsi="Calibri Light" w:cs="Calibri Light"/>
          <w:noProof/>
          <w:sz w:val="24"/>
          <w:szCs w:val="24"/>
        </w:rPr>
        <w:t>]</w:t>
      </w:r>
      <w:r w:rsidRPr="004F3C57">
        <w:rPr>
          <w:rFonts w:ascii="Calibri Light" w:hAnsi="Calibri Light" w:cs="Calibri Light"/>
          <w:noProof/>
          <w:sz w:val="24"/>
          <w:szCs w:val="24"/>
        </w:rPr>
        <w:t xml:space="preserve">Nggilu NM. Tinjauan Yuridis Pengaturan Sanksi Pidana dalam Peraturan Daerah Provinsi Gorontalo. Lambung Mangkurat Law Journal. 2020;5(2).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14</w:t>
      </w:r>
      <w:r>
        <w:rPr>
          <w:rFonts w:ascii="Calibri Light" w:hAnsi="Calibri Light" w:cs="Calibri Light"/>
          <w:noProof/>
          <w:sz w:val="24"/>
          <w:szCs w:val="24"/>
        </w:rPr>
        <w:t>]</w:t>
      </w:r>
      <w:r w:rsidRPr="004F3C57">
        <w:rPr>
          <w:rFonts w:ascii="Calibri Light" w:hAnsi="Calibri Light" w:cs="Calibri Light"/>
          <w:noProof/>
          <w:sz w:val="24"/>
          <w:szCs w:val="24"/>
        </w:rPr>
        <w:t xml:space="preserve">Achir N. Anotasi Normatif Terhadap Peraturan Daerah tentang Transparansi. Jambura Law Review. 2020;2(1):83–100.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15</w:t>
      </w:r>
      <w:r>
        <w:rPr>
          <w:rFonts w:ascii="Calibri Light" w:hAnsi="Calibri Light" w:cs="Calibri Light"/>
          <w:noProof/>
          <w:sz w:val="24"/>
          <w:szCs w:val="24"/>
        </w:rPr>
        <w:t>]</w:t>
      </w:r>
      <w:r w:rsidRPr="004F3C57">
        <w:rPr>
          <w:rFonts w:ascii="Calibri Light" w:hAnsi="Calibri Light" w:cs="Calibri Light"/>
          <w:noProof/>
          <w:sz w:val="24"/>
          <w:szCs w:val="24"/>
        </w:rPr>
        <w:t xml:space="preserve">Burhanuddin B, Fadil LM, Jiwantara FA. Kajian Normatif Relevansi Peraturan Daerah Nomor 1 Tahun 2021 terhadap Perlindungan Petani di Kabupaten Lombok Timur. JIIP - Jurnal Ilmiah Ilmu Pendidikan. 2022;5(6):1638–48.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16</w:t>
      </w:r>
      <w:r>
        <w:rPr>
          <w:rFonts w:ascii="Calibri Light" w:hAnsi="Calibri Light" w:cs="Calibri Light"/>
          <w:noProof/>
          <w:sz w:val="24"/>
          <w:szCs w:val="24"/>
        </w:rPr>
        <w:t>]</w:t>
      </w:r>
      <w:r w:rsidRPr="004F3C57">
        <w:rPr>
          <w:rFonts w:ascii="Calibri Light" w:hAnsi="Calibri Light" w:cs="Calibri Light"/>
          <w:noProof/>
          <w:sz w:val="24"/>
          <w:szCs w:val="24"/>
        </w:rPr>
        <w:t xml:space="preserve">Dewi APPS, Suryawan IGB, Suryani NLP. Implementasi Fungsi Pengawasan DPRD Kabupaten Tabanan Terhadap Pelaksanaan Perda Nomor 14 Tahun 2018 Tentang Penataan Toko Swalayan. Jurnal Analogi …. 2019;1(1):46–51.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17</w:t>
      </w:r>
      <w:r>
        <w:rPr>
          <w:rFonts w:ascii="Calibri Light" w:hAnsi="Calibri Light" w:cs="Calibri Light"/>
          <w:noProof/>
          <w:sz w:val="24"/>
          <w:szCs w:val="24"/>
        </w:rPr>
        <w:t>]</w:t>
      </w:r>
      <w:r w:rsidRPr="004F3C57">
        <w:rPr>
          <w:rFonts w:ascii="Calibri Light" w:hAnsi="Calibri Light" w:cs="Calibri Light"/>
          <w:noProof/>
          <w:sz w:val="24"/>
          <w:szCs w:val="24"/>
        </w:rPr>
        <w:t xml:space="preserve">Andu DA, Wardono H, Sarkowi M. Naskah Akademik Rancangan Perda Bangunan </w:t>
      </w:r>
      <w:r w:rsidRPr="004F3C57">
        <w:rPr>
          <w:rFonts w:ascii="Calibri Light" w:hAnsi="Calibri Light" w:cs="Calibri Light"/>
          <w:noProof/>
          <w:sz w:val="24"/>
          <w:szCs w:val="24"/>
        </w:rPr>
        <w:lastRenderedPageBreak/>
        <w:t xml:space="preserve">Gedung Kabupaten Way Kanan. In: Seminar Nasional Insinyur Profesional (SNIP). 2022.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18</w:t>
      </w:r>
      <w:r>
        <w:rPr>
          <w:rFonts w:ascii="Calibri Light" w:hAnsi="Calibri Light" w:cs="Calibri Light"/>
          <w:noProof/>
          <w:sz w:val="24"/>
          <w:szCs w:val="24"/>
        </w:rPr>
        <w:t>]</w:t>
      </w:r>
      <w:r w:rsidRPr="004F3C57">
        <w:rPr>
          <w:rFonts w:ascii="Calibri Light" w:hAnsi="Calibri Light" w:cs="Calibri Light"/>
          <w:noProof/>
          <w:sz w:val="24"/>
          <w:szCs w:val="24"/>
        </w:rPr>
        <w:t xml:space="preserve">Wahyono S. PERSPEKTIF HUKUM ATAS PERAN SATUAN POLISI PAMONG PRAJA DALAM PENEGAKAN PERATURAN DAERAH DAN PERATURAN KEPALA DAERAH. Jurnal Yustitia. 2019;20:1–12.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19</w:t>
      </w:r>
      <w:r>
        <w:rPr>
          <w:rFonts w:ascii="Calibri Light" w:hAnsi="Calibri Light" w:cs="Calibri Light"/>
          <w:noProof/>
          <w:sz w:val="24"/>
          <w:szCs w:val="24"/>
        </w:rPr>
        <w:t>]</w:t>
      </w:r>
      <w:r w:rsidRPr="004F3C57">
        <w:rPr>
          <w:rFonts w:ascii="Calibri Light" w:hAnsi="Calibri Light" w:cs="Calibri Light"/>
          <w:noProof/>
          <w:sz w:val="24"/>
          <w:szCs w:val="24"/>
        </w:rPr>
        <w:t xml:space="preserve">Picauly BC, Lainsamputty N. Kearifan Lokal: Tinjauan Unsur Sosiologi Pembentukan Peraturan Daerah. Sasi. 2020;26(4):582–92.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20</w:t>
      </w:r>
      <w:r>
        <w:rPr>
          <w:rFonts w:ascii="Calibri Light" w:hAnsi="Calibri Light" w:cs="Calibri Light"/>
          <w:noProof/>
          <w:sz w:val="24"/>
          <w:szCs w:val="24"/>
        </w:rPr>
        <w:t>]</w:t>
      </w:r>
      <w:r w:rsidRPr="004F3C57">
        <w:rPr>
          <w:rFonts w:ascii="Calibri Light" w:hAnsi="Calibri Light" w:cs="Calibri Light"/>
          <w:noProof/>
          <w:sz w:val="24"/>
          <w:szCs w:val="24"/>
        </w:rPr>
        <w:t xml:space="preserve">Butt S. The Indonesian constitutional court: Reconfiguring decentralization for better or worse? Asian Journal of Comparative Law. 2019;14(1):147–74.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21</w:t>
      </w:r>
      <w:r>
        <w:rPr>
          <w:rFonts w:ascii="Calibri Light" w:hAnsi="Calibri Light" w:cs="Calibri Light"/>
          <w:noProof/>
          <w:sz w:val="24"/>
          <w:szCs w:val="24"/>
        </w:rPr>
        <w:t>]</w:t>
      </w:r>
      <w:r w:rsidRPr="004F3C57">
        <w:rPr>
          <w:rFonts w:ascii="Calibri Light" w:hAnsi="Calibri Light" w:cs="Calibri Light"/>
          <w:noProof/>
          <w:sz w:val="24"/>
          <w:szCs w:val="24"/>
        </w:rPr>
        <w:t xml:space="preserve">Anggraini RAR, Ekatjahjana W, Rato D, Harianto A. Politic of Law on Judicial Review of Local Government Regulation in Indonesia. Journal of Law, Policy and Globalization. 2020;98(12):140–51.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22</w:t>
      </w:r>
      <w:r>
        <w:rPr>
          <w:rFonts w:ascii="Calibri Light" w:hAnsi="Calibri Light" w:cs="Calibri Light"/>
          <w:noProof/>
          <w:sz w:val="24"/>
          <w:szCs w:val="24"/>
        </w:rPr>
        <w:t>]</w:t>
      </w:r>
      <w:r w:rsidRPr="004F3C57">
        <w:rPr>
          <w:rFonts w:ascii="Calibri Light" w:hAnsi="Calibri Light" w:cs="Calibri Light"/>
          <w:noProof/>
          <w:sz w:val="24"/>
          <w:szCs w:val="24"/>
        </w:rPr>
        <w:t xml:space="preserve">Saraswati R, Ristyawati A, Basworo RS. Recent developments and changes in the governance of regional legal products in Indonesia: Supervision, evaluation and clarification mechanisms. International Journal of Innovation, Creativity and Change. 2020;12(7):1–9.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23</w:t>
      </w:r>
      <w:r>
        <w:rPr>
          <w:rFonts w:ascii="Calibri Light" w:hAnsi="Calibri Light" w:cs="Calibri Light"/>
          <w:noProof/>
          <w:sz w:val="24"/>
          <w:szCs w:val="24"/>
        </w:rPr>
        <w:t>]</w:t>
      </w:r>
      <w:r w:rsidRPr="004F3C57">
        <w:rPr>
          <w:rFonts w:ascii="Calibri Light" w:hAnsi="Calibri Light" w:cs="Calibri Light"/>
          <w:noProof/>
          <w:sz w:val="24"/>
          <w:szCs w:val="24"/>
        </w:rPr>
        <w:t xml:space="preserve">Liany L. Hapusnya Wewenang Executive Review Pemerintah terhadap Peraturan Daerah: Studi Pasca-adanya Putusan MK Nomor 137/PUU-XIII/2015 dan Nomor 56/PUU XIV/2016. ADIL: Jurnal Hukum [Internet]. 2019;10(2):21–48.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24</w:t>
      </w:r>
      <w:r>
        <w:rPr>
          <w:rFonts w:ascii="Calibri Light" w:hAnsi="Calibri Light" w:cs="Calibri Light"/>
          <w:noProof/>
          <w:sz w:val="24"/>
          <w:szCs w:val="24"/>
        </w:rPr>
        <w:t>]</w:t>
      </w:r>
      <w:r w:rsidRPr="004F3C57">
        <w:rPr>
          <w:rFonts w:ascii="Calibri Light" w:hAnsi="Calibri Light" w:cs="Calibri Light"/>
          <w:noProof/>
          <w:sz w:val="24"/>
          <w:szCs w:val="24"/>
        </w:rPr>
        <w:t xml:space="preserve">Rahmawati I. Analisis yuridis-normatif terhadap peran dan tindakan telemarketing dalam transaksi digital. Jurnal Cakrawala Hukum. 2020;11(1):60–70.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rPr>
      </w:pPr>
      <w:r>
        <w:rPr>
          <w:rFonts w:ascii="Calibri Light" w:hAnsi="Calibri Light" w:cs="Calibri Light"/>
          <w:noProof/>
          <w:sz w:val="24"/>
          <w:szCs w:val="24"/>
        </w:rPr>
        <w:t>[</w:t>
      </w:r>
      <w:r w:rsidRPr="004F3C57">
        <w:rPr>
          <w:rFonts w:ascii="Calibri Light" w:hAnsi="Calibri Light" w:cs="Calibri Light"/>
          <w:noProof/>
          <w:sz w:val="24"/>
          <w:szCs w:val="24"/>
        </w:rPr>
        <w:t>25</w:t>
      </w:r>
      <w:r>
        <w:rPr>
          <w:rFonts w:ascii="Calibri Light" w:hAnsi="Calibri Light" w:cs="Calibri Light"/>
          <w:noProof/>
          <w:sz w:val="24"/>
          <w:szCs w:val="24"/>
        </w:rPr>
        <w:t>]</w:t>
      </w:r>
      <w:r w:rsidRPr="004F3C57">
        <w:rPr>
          <w:rFonts w:ascii="Calibri Light" w:hAnsi="Calibri Light" w:cs="Calibri Light"/>
          <w:noProof/>
          <w:sz w:val="24"/>
          <w:szCs w:val="24"/>
        </w:rPr>
        <w:t xml:space="preserve">Rohman MN. TINJAUAN YURIDIS NORMATIF TERHADAP REGULASI MATA UANG KRIPTO (CRYPTO CURRENCY) DI INDONESIA. Jurnal Supremasi: Jurnal Ilmiah Ilmu Hukum [Internet]. 2021;11(2):1–10. </w:t>
      </w:r>
    </w:p>
    <w:p w:rsidR="006538D6" w:rsidRPr="004F3C57" w:rsidRDefault="004F3C57" w:rsidP="004F3C57">
      <w:pPr>
        <w:pStyle w:val="ListParagraph"/>
        <w:spacing w:before="120" w:after="120" w:line="240" w:lineRule="auto"/>
        <w:ind w:left="0" w:right="-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4F3C57" w:rsidSect="00362748">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5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3E78" w:rsidRDefault="00CE3E78">
      <w:r>
        <w:separator/>
      </w:r>
    </w:p>
  </w:endnote>
  <w:endnote w:type="continuationSeparator" w:id="0">
    <w:p w:rsidR="00CE3E78" w:rsidRDefault="00CE3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CE3E78" w:rsidP="00122F5F">
    <w:pPr>
      <w:pStyle w:val="Footer"/>
      <w:ind w:right="357"/>
      <w:rPr>
        <w:rFonts w:ascii="Calibri Light" w:hAnsi="Calibri Light" w:cs="Calibri Light"/>
        <w:sz w:val="16"/>
        <w:szCs w:val="16"/>
      </w:rPr>
    </w:pPr>
    <w:r>
      <w:rPr>
        <w:noProof/>
      </w:rPr>
      <w:pict>
        <v:rect id="_x0000_s1030" alt="" style="position:absolute;margin-left:357.55pt;margin-top:-5.05pt;width:96.6pt;height:21.9pt;z-index:4;mso-wrap-style:square;mso-wrap-edited:f;mso-width-percent:0;mso-height-percent:0;mso-width-percent:0;mso-height-percent:0;v-text-anchor:top" strokecolor="white">
          <v:textbox>
            <w:txbxContent>
              <w:p w:rsidR="00122F5F" w:rsidRPr="00122F5F" w:rsidRDefault="00EA0F9A" w:rsidP="00122F5F">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CE3E78" w:rsidP="0008220C">
    <w:pPr>
      <w:pStyle w:val="Footer"/>
      <w:ind w:right="357"/>
      <w:rPr>
        <w:rFonts w:ascii="Calibri Light" w:hAnsi="Calibri Light" w:cs="Calibri Light"/>
        <w:sz w:val="16"/>
        <w:szCs w:val="16"/>
      </w:rPr>
    </w:pPr>
    <w:r>
      <w:rPr>
        <w:noProof/>
      </w:rPr>
      <w:pict>
        <v:rect id="_x0000_s1029" alt="" style="position:absolute;margin-left:359.3pt;margin-top:-5.05pt;width:94.8pt;height:21.9pt;z-index:12;mso-wrap-style:square;mso-wrap-edited:f;mso-width-percent:0;mso-height-percent:0;mso-width-percent:0;mso-height-percent:0;v-text-anchor:top" strokecolor="white">
          <v:textbox>
            <w:txbxContent>
              <w:p w:rsidR="0008220C" w:rsidRPr="00122F5F" w:rsidRDefault="00EA0F9A" w:rsidP="0008220C">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CE3E78" w:rsidP="00FF1D30">
    <w:pPr>
      <w:pStyle w:val="Footer"/>
      <w:ind w:right="357"/>
      <w:rPr>
        <w:rFonts w:ascii="Calibri Light" w:hAnsi="Calibri Light" w:cs="Calibri Light"/>
        <w:sz w:val="16"/>
        <w:szCs w:val="16"/>
      </w:rPr>
    </w:pPr>
    <w:r>
      <w:rPr>
        <w:noProof/>
      </w:rPr>
      <w:pict>
        <v:rect id="_x0000_s1025" alt="" style="position:absolute;margin-left:358.9pt;margin-top:-5.25pt;width:95.35pt;height:21.9pt;z-index:3;mso-wrap-style:square;mso-wrap-edited:f;mso-width-percent:0;mso-height-percent:0;mso-width-percent:0;mso-height-percent:0;v-text-anchor:top" strokecolor="white">
          <v:textbox>
            <w:txbxContent>
              <w:p w:rsidR="00122F5F" w:rsidRPr="00540F02" w:rsidRDefault="00EA0F9A" w:rsidP="00122F5F">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3E78" w:rsidRDefault="00CE3E78">
      <w:r>
        <w:separator/>
      </w:r>
    </w:p>
  </w:footnote>
  <w:footnote w:type="continuationSeparator" w:id="0">
    <w:p w:rsidR="00CE3E78" w:rsidRDefault="00CE3E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CE3E78" w:rsidP="00122F5F">
    <w:pPr>
      <w:pStyle w:val="Header"/>
    </w:pPr>
    <w:r>
      <w:rPr>
        <w:noProof/>
      </w:rPr>
      <w:pict>
        <v:shapetype id="_x0000_t202" coordsize="21600,21600" o:spt="202" path="m,l,21600r21600,l21600,xe">
          <v:stroke joinstyle="miter"/>
          <v:path gradientshapeok="t" o:connecttype="rect"/>
        </v:shapetype>
        <v:shape id="_x0000_s1036" type="#_x0000_t202" alt="" style="position:absolute;margin-left:75.75pt;margin-top:74.6pt;width:157.4pt;height:18.1pt;z-index:-8;mso-wrap-style:square;mso-wrap-edited:f;mso-width-percent:0;mso-height-percent:0;mso-position-horizontal-relative:page;mso-position-vertical-relative:page;mso-width-percent:0;mso-height-percent:0;v-text-anchor:top" filled="f" stroked="f">
          <v:textbox style="mso-next-textbox:#_x0000_s1036"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v:shape id="_x0000_s1035" type="#_x0000_t202" alt="" style="position:absolute;margin-left:511.65pt;margin-top:35.05pt;width:18.25pt;height:14pt;z-index:-3;mso-wrap-style:square;mso-wrap-edited:f;mso-width-percent:0;mso-height-percent:0;mso-position-horizontal-relative:page;mso-position-vertical-relative:page;mso-width-percent:0;mso-height-percent:0;v-text-anchor:top"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v:shape id="_x0000_s1034" type="#_x0000_t202" alt="" style="position:absolute;margin-left:247.5pt;margin-top:61.8pt;width:277.45pt;height:32.8pt;z-index:-7;mso-wrap-style:square;mso-wrap-edited:f;mso-width-percent:0;mso-height-percent:0;mso-position-horizontal-relative:page;mso-position-vertical-relative:page;mso-width-percent:0;mso-height-percent:0;v-text-anchor:top" filled="f" stroked="f">
          <v:textbox style="mso-next-textbox:#_x0000_s1034" inset="0,0,0,0">
            <w:txbxContent>
              <w:p w:rsidR="004F3C57" w:rsidRPr="00FF1D30" w:rsidRDefault="0003106D" w:rsidP="004F3C57">
                <w:pPr>
                  <w:ind w:left="23"/>
                  <w:jc w:val="both"/>
                  <w:rPr>
                    <w:rFonts w:ascii="Calibri Light" w:hAnsi="Calibri Light" w:cs="Calibri Light"/>
                    <w:i/>
                    <w:sz w:val="18"/>
                  </w:rPr>
                </w:pPr>
                <w:r w:rsidRPr="0003106D">
                  <w:rPr>
                    <w:rFonts w:ascii="Calibri Light" w:hAnsi="Calibri Light" w:cs="Calibri Light"/>
                    <w:sz w:val="18"/>
                  </w:rPr>
                  <w:t>Saragih, H.,</w:t>
                </w:r>
                <w:r w:rsidRPr="00FF1D30">
                  <w:rPr>
                    <w:rFonts w:ascii="Calibri Light" w:hAnsi="Calibri Light" w:cs="Calibri Light"/>
                    <w:spacing w:val="-1"/>
                    <w:sz w:val="18"/>
                  </w:rPr>
                  <w:t xml:space="preserve"> </w:t>
                </w:r>
                <w:r w:rsidRPr="0003106D">
                  <w:rPr>
                    <w:rFonts w:ascii="Calibri Light" w:hAnsi="Calibri Light" w:cs="Calibri Light"/>
                    <w:i/>
                    <w:iCs/>
                    <w:sz w:val="18"/>
                  </w:rPr>
                  <w:t>Implications of Regional Regulations Cancellation Based on Law Number 23 of 2014 about Local Government and Law Number 5 Of 2004 about The Supreme Court</w:t>
                </w:r>
              </w:p>
              <w:p w:rsidR="00122F5F" w:rsidRPr="00FF1D30" w:rsidRDefault="00122F5F" w:rsidP="00122F5F">
                <w:pPr>
                  <w:ind w:left="23"/>
                  <w:jc w:val="both"/>
                  <w:rPr>
                    <w:rFonts w:ascii="Calibri Light" w:hAnsi="Calibri Light" w:cs="Calibri Light"/>
                    <w:i/>
                    <w:sz w:val="18"/>
                  </w:rPr>
                </w:pP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86.8pt;height:40.35pt;mso-width-percent:0;mso-height-percent:0;mso-width-percent:0;mso-height-percent:0">
          <v:imagedata r:id="rId1" o:title=""/>
        </v:shape>
      </w:pict>
    </w:r>
  </w:p>
  <w:p w:rsidR="00122F5F" w:rsidRDefault="00122F5F" w:rsidP="00122F5F">
    <w:pPr>
      <w:pStyle w:val="Header"/>
      <w:rPr>
        <w:sz w:val="16"/>
        <w:szCs w:val="16"/>
      </w:rPr>
    </w:pPr>
  </w:p>
  <w:p w:rsidR="00AA4AE4" w:rsidRDefault="004F3C57" w:rsidP="004F3C57">
    <w:pPr>
      <w:pStyle w:val="Header"/>
      <w:tabs>
        <w:tab w:val="clear" w:pos="4680"/>
        <w:tab w:val="clear" w:pos="9360"/>
        <w:tab w:val="left" w:pos="5592"/>
      </w:tabs>
      <w:rPr>
        <w:sz w:val="16"/>
        <w:szCs w:val="16"/>
      </w:rPr>
    </w:pPr>
    <w:r>
      <w:rPr>
        <w:sz w:val="16"/>
        <w:szCs w:val="16"/>
      </w:rPr>
      <w:tab/>
    </w: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CE3E78" w:rsidP="00540F02">
    <w:pPr>
      <w:pStyle w:val="Header"/>
    </w:pPr>
    <w:r>
      <w:rPr>
        <w:noProof/>
      </w:rPr>
      <w:pict>
        <v:shapetype id="_x0000_t202" coordsize="21600,21600" o:spt="202" path="m,l,21600r21600,l21600,xe">
          <v:stroke joinstyle="miter"/>
          <v:path gradientshapeok="t" o:connecttype="rect"/>
        </v:shapetype>
        <v:shape id="_x0000_s1033" type="#_x0000_t202" alt="" style="position:absolute;margin-left:75.75pt;margin-top:74.6pt;width:157.4pt;height:18.1pt;z-index:-6;mso-wrap-style:square;mso-wrap-edited:f;mso-width-percent:0;mso-height-percent:0;mso-position-horizontal-relative:page;mso-position-vertical-relative:page;mso-width-percent:0;mso-height-percent:0;v-text-anchor:top" filled="f" stroked="f">
          <v:textbox style="mso-next-textbox:#_x0000_s1033"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v:shape id="_x0000_s1032" type="#_x0000_t202" alt="" style="position:absolute;margin-left:509pt;margin-top:36.8pt;width:18.25pt;height:14pt;z-index:-2;mso-wrap-style:square;mso-wrap-edited:f;mso-width-percent:0;mso-height-percent:0;mso-position-horizontal-relative:page;mso-position-vertical-relative:page;mso-width-percent:0;mso-height-percent:0;v-text-anchor:top"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v:shape id="_x0000_s1031" type="#_x0000_t202" alt="" style="position:absolute;margin-left:247.5pt;margin-top:61.8pt;width:277.45pt;height:32.8pt;z-index:-5;mso-wrap-style:square;mso-wrap-edited:f;mso-width-percent:0;mso-height-percent:0;mso-position-horizontal-relative:page;mso-position-vertical-relative:page;mso-width-percent:0;mso-height-percent:0;v-text-anchor:top" filled="f" stroked="f">
          <v:textbox style="mso-next-textbox:#_x0000_s1031" inset="0,0,0,0">
            <w:txbxContent>
              <w:p w:rsidR="004F3C57" w:rsidRPr="00FF1D30" w:rsidRDefault="0003106D" w:rsidP="004F3C57">
                <w:pPr>
                  <w:ind w:left="23"/>
                  <w:jc w:val="both"/>
                  <w:rPr>
                    <w:rFonts w:ascii="Calibri Light" w:hAnsi="Calibri Light" w:cs="Calibri Light"/>
                    <w:i/>
                    <w:sz w:val="18"/>
                  </w:rPr>
                </w:pPr>
                <w:r w:rsidRPr="0003106D">
                  <w:rPr>
                    <w:rFonts w:ascii="Calibri Light" w:hAnsi="Calibri Light" w:cs="Calibri Light"/>
                    <w:sz w:val="18"/>
                  </w:rPr>
                  <w:t>Saragih, H.,</w:t>
                </w:r>
                <w:r w:rsidRPr="00FF1D30">
                  <w:rPr>
                    <w:rFonts w:ascii="Calibri Light" w:hAnsi="Calibri Light" w:cs="Calibri Light"/>
                    <w:spacing w:val="-1"/>
                    <w:sz w:val="18"/>
                  </w:rPr>
                  <w:t xml:space="preserve"> </w:t>
                </w:r>
                <w:r w:rsidRPr="0003106D">
                  <w:rPr>
                    <w:rFonts w:ascii="Calibri Light" w:hAnsi="Calibri Light" w:cs="Calibri Light"/>
                    <w:i/>
                    <w:iCs/>
                    <w:sz w:val="18"/>
                  </w:rPr>
                  <w:t>Implications of Regional Regulations Cancellation Based on Law Number 23 of 2014 about Local Government and Law Number 5 Of 2004 about The Supreme Court</w:t>
                </w:r>
              </w:p>
              <w:p w:rsidR="00540F02" w:rsidRPr="00FF1D30" w:rsidRDefault="00540F02" w:rsidP="00540F02">
                <w:pPr>
                  <w:ind w:left="23"/>
                  <w:jc w:val="both"/>
                  <w:rPr>
                    <w:rFonts w:ascii="Calibri Light" w:hAnsi="Calibri Light" w:cs="Calibri Light"/>
                    <w:i/>
                    <w:sz w:val="18"/>
                  </w:rPr>
                </w:pP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86.8pt;height:40.35pt;mso-width-percent:0;mso-height-percent:0;mso-width-percent:0;mso-height-percent:0">
          <v:imagedata r:id="rId1" o:title=""/>
        </v:shape>
      </w:pict>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CE3E78">
    <w:pPr>
      <w:pStyle w:val="Header"/>
    </w:pPr>
    <w:r>
      <w:rPr>
        <w:noProof/>
      </w:rPr>
      <w:pict>
        <v:shapetype id="_x0000_t202" coordsize="21600,21600" o:spt="202" path="m,l,21600r21600,l21600,xe">
          <v:stroke joinstyle="miter"/>
          <v:path gradientshapeok="t" o:connecttype="rect"/>
        </v:shapetype>
        <v:shape id="_x0000_s1028" type="#_x0000_t202" alt="" style="position:absolute;margin-left:74.25pt;margin-top:74.6pt;width:157.4pt;height:18.1pt;z-index:-12;mso-wrap-style:square;mso-wrap-edited:f;mso-width-percent:0;mso-height-percent:0;mso-position-horizontal-relative:page;mso-position-vertical-relative:page;mso-width-percent:0;mso-height-percent:0;v-text-anchor:top" filled="f" stroked="f">
          <v:textbox style="mso-next-textbox:#_x0000_s1028"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v:shape id="_x0000_s1027" type="#_x0000_t202" alt="" style="position:absolute;margin-left:509pt;margin-top:34.6pt;width:18.25pt;height:14pt;z-index:-4;mso-wrap-style:square;mso-wrap-edited:f;mso-width-percent:0;mso-height-percent:0;mso-position-horizontal-relative:page;mso-position-vertical-relative:page;mso-width-percent:0;mso-height-percent:0;v-text-anchor:top"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v:shape id="_x0000_s1026" type="#_x0000_t202" alt="" style="position:absolute;margin-left:247.5pt;margin-top:61.8pt;width:276.9pt;height:32.8pt;z-index:-11;mso-wrap-style:square;mso-wrap-edited:f;mso-width-percent:0;mso-height-percent:0;mso-position-horizontal-relative:page;mso-position-vertical-relative:page;mso-width-percent:0;mso-height-percent:0;v-text-anchor:top" filled="f" stroked="f">
          <v:textbox style="mso-next-textbox:#_x0000_s1026" inset="0,0,0,0">
            <w:txbxContent>
              <w:p w:rsidR="00FF1D30" w:rsidRPr="0003106D" w:rsidRDefault="0003106D" w:rsidP="00FF1D30">
                <w:pPr>
                  <w:ind w:left="23"/>
                  <w:jc w:val="both"/>
                  <w:rPr>
                    <w:rFonts w:ascii="Calibri Light" w:hAnsi="Calibri Light" w:cs="Calibri Light"/>
                    <w:i/>
                    <w:iCs/>
                    <w:sz w:val="18"/>
                  </w:rPr>
                </w:pPr>
                <w:r w:rsidRPr="0003106D">
                  <w:rPr>
                    <w:rFonts w:ascii="Calibri Light" w:hAnsi="Calibri Light" w:cs="Calibri Light"/>
                    <w:sz w:val="18"/>
                  </w:rPr>
                  <w:t>Saragih, H.,</w:t>
                </w:r>
                <w:r w:rsidR="00FF1D30" w:rsidRPr="00FF1D30">
                  <w:rPr>
                    <w:rFonts w:ascii="Calibri Light" w:hAnsi="Calibri Light" w:cs="Calibri Light"/>
                    <w:spacing w:val="-1"/>
                    <w:sz w:val="18"/>
                  </w:rPr>
                  <w:t xml:space="preserve"> </w:t>
                </w:r>
                <w:r w:rsidR="004F3C57" w:rsidRPr="0003106D">
                  <w:rPr>
                    <w:rFonts w:ascii="Calibri Light" w:hAnsi="Calibri Light" w:cs="Calibri Light"/>
                    <w:i/>
                    <w:iCs/>
                    <w:sz w:val="18"/>
                  </w:rPr>
                  <w:t>Implications of Regional Regulations Cancellation Based on Law Number 23 of 2014 about Local Government and Law Number 5 Of 2004 about The Supreme Court</w:t>
                </w: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86.8pt;height:40.35pt;mso-width-percent:0;mso-height-percent:0;mso-width-percent:0;mso-height-percent:0">
          <v:imagedata r:id="rId1" o:title=""/>
        </v:shape>
      </w:pict>
    </w:r>
  </w:p>
  <w:p w:rsidR="00FF1D30" w:rsidRDefault="004F3C57" w:rsidP="004F3C57">
    <w:pPr>
      <w:pStyle w:val="Header"/>
      <w:tabs>
        <w:tab w:val="clear" w:pos="4680"/>
        <w:tab w:val="clear" w:pos="9360"/>
        <w:tab w:val="left" w:pos="6938"/>
      </w:tabs>
      <w:rPr>
        <w:sz w:val="16"/>
        <w:szCs w:val="16"/>
      </w:rPr>
    </w:pPr>
    <w:r>
      <w:rPr>
        <w:sz w:val="16"/>
        <w:szCs w:val="16"/>
      </w:rPr>
      <w:tab/>
    </w: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90552136">
    <w:abstractNumId w:val="14"/>
  </w:num>
  <w:num w:numId="2" w16cid:durableId="1626892254">
    <w:abstractNumId w:val="8"/>
  </w:num>
  <w:num w:numId="3" w16cid:durableId="1058481514">
    <w:abstractNumId w:val="9"/>
  </w:num>
  <w:num w:numId="4" w16cid:durableId="1793478696">
    <w:abstractNumId w:val="22"/>
  </w:num>
  <w:num w:numId="5" w16cid:durableId="1128161965">
    <w:abstractNumId w:val="21"/>
  </w:num>
  <w:num w:numId="6" w16cid:durableId="889728853">
    <w:abstractNumId w:val="20"/>
  </w:num>
  <w:num w:numId="7" w16cid:durableId="2040232141">
    <w:abstractNumId w:val="27"/>
  </w:num>
  <w:num w:numId="8" w16cid:durableId="183524002">
    <w:abstractNumId w:val="15"/>
  </w:num>
  <w:num w:numId="9" w16cid:durableId="1170216661">
    <w:abstractNumId w:val="23"/>
  </w:num>
  <w:num w:numId="10" w16cid:durableId="1556891290">
    <w:abstractNumId w:val="24"/>
  </w:num>
  <w:num w:numId="11" w16cid:durableId="75712086">
    <w:abstractNumId w:val="11"/>
  </w:num>
  <w:num w:numId="12" w16cid:durableId="10574731">
    <w:abstractNumId w:val="18"/>
  </w:num>
  <w:num w:numId="13" w16cid:durableId="248194460">
    <w:abstractNumId w:val="7"/>
  </w:num>
  <w:num w:numId="14" w16cid:durableId="551624586">
    <w:abstractNumId w:val="0"/>
  </w:num>
  <w:num w:numId="15" w16cid:durableId="1046416986">
    <w:abstractNumId w:val="28"/>
  </w:num>
  <w:num w:numId="16" w16cid:durableId="1914047363">
    <w:abstractNumId w:val="19"/>
  </w:num>
  <w:num w:numId="17" w16cid:durableId="1019549962">
    <w:abstractNumId w:val="26"/>
  </w:num>
  <w:num w:numId="18" w16cid:durableId="546769685">
    <w:abstractNumId w:val="25"/>
  </w:num>
  <w:num w:numId="19" w16cid:durableId="1106921453">
    <w:abstractNumId w:val="17"/>
  </w:num>
  <w:num w:numId="20" w16cid:durableId="351421175">
    <w:abstractNumId w:val="5"/>
  </w:num>
  <w:num w:numId="21" w16cid:durableId="637302278">
    <w:abstractNumId w:val="1"/>
  </w:num>
  <w:num w:numId="22" w16cid:durableId="1834641642">
    <w:abstractNumId w:val="12"/>
  </w:num>
  <w:num w:numId="23" w16cid:durableId="542985893">
    <w:abstractNumId w:val="2"/>
  </w:num>
  <w:num w:numId="24" w16cid:durableId="301155121">
    <w:abstractNumId w:val="3"/>
  </w:num>
  <w:num w:numId="25" w16cid:durableId="234975063">
    <w:abstractNumId w:val="4"/>
  </w:num>
  <w:num w:numId="26" w16cid:durableId="2137092052">
    <w:abstractNumId w:val="10"/>
  </w:num>
  <w:num w:numId="27" w16cid:durableId="819687511">
    <w:abstractNumId w:val="13"/>
  </w:num>
  <w:num w:numId="28" w16cid:durableId="1702319124">
    <w:abstractNumId w:val="6"/>
  </w:num>
  <w:num w:numId="29" w16cid:durableId="38175718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embedSystemFonts/>
  <w:doNotTrackMove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3106D"/>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3F17"/>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748"/>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3C57"/>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376A"/>
    <w:rsid w:val="00727B9E"/>
    <w:rsid w:val="00741058"/>
    <w:rsid w:val="00755AB4"/>
    <w:rsid w:val="00761E7C"/>
    <w:rsid w:val="007636FC"/>
    <w:rsid w:val="007816FC"/>
    <w:rsid w:val="00781D8B"/>
    <w:rsid w:val="00782BFD"/>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0D60"/>
    <w:rsid w:val="00882CAF"/>
    <w:rsid w:val="0088746C"/>
    <w:rsid w:val="008940D8"/>
    <w:rsid w:val="008B1537"/>
    <w:rsid w:val="008B23F8"/>
    <w:rsid w:val="008B4BA9"/>
    <w:rsid w:val="008B7A0F"/>
    <w:rsid w:val="008C302B"/>
    <w:rsid w:val="008C3DC2"/>
    <w:rsid w:val="008C45DE"/>
    <w:rsid w:val="008D0F02"/>
    <w:rsid w:val="008E554D"/>
    <w:rsid w:val="008F3342"/>
    <w:rsid w:val="00902F9C"/>
    <w:rsid w:val="00906AC7"/>
    <w:rsid w:val="00911A24"/>
    <w:rsid w:val="009206DD"/>
    <w:rsid w:val="0092320E"/>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B683F"/>
    <w:rsid w:val="00AC6628"/>
    <w:rsid w:val="00AD2E20"/>
    <w:rsid w:val="00AD3EFD"/>
    <w:rsid w:val="00AD559D"/>
    <w:rsid w:val="00AE5A98"/>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3E78"/>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0F9A"/>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ED6CBB"/>
  <w14:defaultImageDpi w14:val="0"/>
  <w15:docId w15:val="{3CDDE3CF-0F36-49C8-BF06-3E8D2D897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xx.xxxx/ijls.v2i2.2023.3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50B1B-8E56-4337-BF36-C04CD2524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11557</Words>
  <Characters>65875</Characters>
  <Application>Microsoft Office Word</Application>
  <DocSecurity>0</DocSecurity>
  <Lines>548</Lines>
  <Paragraphs>154</Paragraphs>
  <ScaleCrop>false</ScaleCrop>
  <Company>UIN Malang</Company>
  <LinksUpToDate>false</LinksUpToDate>
  <CharactersWithSpaces>77278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13</cp:revision>
  <cp:lastPrinted>2008-11-01T10:52:00Z</cp:lastPrinted>
  <dcterms:created xsi:type="dcterms:W3CDTF">2023-05-19T00:46:00Z</dcterms:created>
  <dcterms:modified xsi:type="dcterms:W3CDTF">2023-05-19T01:11:00Z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3893664b-1929-3d42-9b31-4414b8f86ff5</vt:lpwstr>
  </property>
  <property fmtid="{D5CDD505-2E9C-101B-9397-08002B2CF9AE}" pid="24" name="Mendeley Citation Style_1">
    <vt:lpwstr>http://www.zotero.org/styles/vancouver</vt:lpwstr>
  </property>
</Properties>
</file>