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9.0 -->
  <w:body>
    <w:p w:rsidR="00DE1E48" w:rsidRPr="00122F5F" w:rsidP="00122F5F">
      <w:pPr>
        <w:rPr>
          <w:rFonts w:ascii="Calibri Light" w:hAnsi="Calibri Light" w:cs="Calibri Light"/>
          <w:b/>
          <w:bCs/>
          <w:sz w:val="24"/>
          <w:szCs w:val="24"/>
        </w:rPr>
      </w:pPr>
    </w:p>
    <w:p w:rsidR="00DE1E48" w:rsidRPr="00122F5F" w:rsidP="00122F5F">
      <w:pPr>
        <w:rPr>
          <w:rFonts w:ascii="Calibri Light" w:hAnsi="Calibri Light" w:cs="Calibri Light"/>
          <w:b/>
          <w:bCs/>
          <w:iCs/>
          <w:sz w:val="28"/>
          <w:szCs w:val="28"/>
          <w:lang w:val="id-ID"/>
        </w:rPr>
      </w:pPr>
      <w:r w:rsidRPr="00582BE4">
        <w:rPr>
          <w:rFonts w:ascii="Calibri Light" w:hAnsi="Calibri Light" w:cs="Calibri Light"/>
          <w:b/>
          <w:bCs/>
          <w:sz w:val="28"/>
          <w:szCs w:val="28"/>
        </w:rPr>
        <w:t>Settlement of Medical Crimes by the Medical Committee and Medical Audit</w:t>
      </w:r>
    </w:p>
    <w:p w:rsidR="00DE1E48" w:rsidRPr="00122F5F" w:rsidP="001D7DEE">
      <w:pPr>
        <w:jc w:val="center"/>
        <w:rPr>
          <w:rFonts w:ascii="Calibri Light" w:hAnsi="Calibri Light" w:cs="Calibri Light"/>
          <w:sz w:val="24"/>
          <w:szCs w:val="24"/>
        </w:rPr>
      </w:pPr>
    </w:p>
    <w:p w:rsidR="008C45DE" w:rsidRPr="00540F02" w:rsidP="00122F5F">
      <w:pPr>
        <w:rPr>
          <w:rFonts w:ascii="Calibri Light" w:hAnsi="Calibri Light" w:cs="Calibri Light"/>
          <w:color w:val="A6A6A6"/>
          <w:sz w:val="24"/>
          <w:szCs w:val="24"/>
        </w:rPr>
      </w:pPr>
      <w:r w:rsidRPr="00FF5CFC">
        <w:rPr>
          <w:rFonts w:ascii="Calibri Light" w:hAnsi="Calibri Light" w:cs="Calibri Light"/>
          <w:b/>
          <w:bCs/>
          <w:sz w:val="24"/>
          <w:szCs w:val="24"/>
        </w:rPr>
        <w:t>Desy Kartika Ningsih</w:t>
      </w:r>
      <w:r w:rsidRPr="00122F5F" w:rsidR="00863A78">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sidRPr="00FF5CFC">
        <w:rPr>
          <w:rFonts w:ascii="Calibri Light" w:hAnsi="Calibri Light" w:cs="Calibri Light"/>
          <w:b/>
          <w:bCs/>
          <w:sz w:val="24"/>
          <w:szCs w:val="24"/>
        </w:rPr>
        <w:t>Dey Ravena</w:t>
      </w:r>
      <w:r w:rsidRPr="00122F5F">
        <w:rPr>
          <w:rFonts w:ascii="Calibri Light" w:hAnsi="Calibri Light" w:cs="Calibri Light"/>
          <w:b/>
          <w:bCs/>
          <w:sz w:val="24"/>
          <w:szCs w:val="24"/>
          <w:vertAlign w:val="superscript"/>
        </w:rPr>
        <w:t>2</w:t>
      </w:r>
      <w:r w:rsidRPr="00122F5F">
        <w:rPr>
          <w:rFonts w:ascii="Calibri Light" w:hAnsi="Calibri Light" w:cs="Calibri Light"/>
          <w:b/>
          <w:bCs/>
          <w:sz w:val="24"/>
          <w:szCs w:val="24"/>
        </w:rPr>
        <w:t xml:space="preserve">, </w:t>
      </w:r>
      <w:r w:rsidRPr="00FF5CFC">
        <w:rPr>
          <w:rFonts w:ascii="Calibri Light" w:hAnsi="Calibri Light" w:cs="Calibri Light"/>
          <w:b/>
          <w:bCs/>
          <w:sz w:val="24"/>
          <w:szCs w:val="24"/>
        </w:rPr>
        <w:t>Agus Hadian Rahim</w:t>
      </w:r>
      <w:r>
        <w:rPr>
          <w:rFonts w:ascii="Calibri Light" w:hAnsi="Calibri Light" w:cs="Calibri Light"/>
          <w:b/>
          <w:bCs/>
          <w:sz w:val="24"/>
          <w:szCs w:val="24"/>
          <w:vertAlign w:val="superscript"/>
        </w:rPr>
        <w:t>3</w:t>
      </w:r>
      <w:r w:rsidRPr="00122F5F">
        <w:rPr>
          <w:rFonts w:ascii="Calibri Light" w:hAnsi="Calibri Light" w:cs="Calibri Light"/>
          <w:b/>
          <w:bCs/>
          <w:sz w:val="24"/>
          <w:szCs w:val="24"/>
        </w:rPr>
        <w:t xml:space="preserve"> </w:t>
      </w:r>
    </w:p>
    <w:p w:rsidR="008C45DE" w:rsidRPr="00122F5F"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FF5CFC" w:rsidR="00FF5CFC">
        <w:rPr>
          <w:rFonts w:ascii="Calibri Light" w:hAnsi="Calibri Light" w:cs="Calibri Light"/>
          <w:sz w:val="24"/>
          <w:szCs w:val="24"/>
        </w:rPr>
        <w:t xml:space="preserve">Faculty of Law, Universitas Islam Bandung, </w:t>
      </w:r>
      <w:r w:rsidR="00FF5CFC">
        <w:rPr>
          <w:rFonts w:ascii="Calibri Light" w:hAnsi="Calibri Light" w:cs="Calibri Light"/>
          <w:sz w:val="24"/>
          <w:szCs w:val="24"/>
        </w:rPr>
        <w:t>Indonesia, e</w:t>
      </w:r>
      <w:r w:rsidRPr="00FF5CFC" w:rsidR="00FF5CFC">
        <w:rPr>
          <w:rFonts w:ascii="Calibri Light" w:hAnsi="Calibri Light" w:cs="Calibri Light"/>
          <w:sz w:val="24"/>
          <w:szCs w:val="24"/>
        </w:rPr>
        <w:t>-mail: dr.desy80@gmail.com</w:t>
      </w:r>
    </w:p>
    <w:p w:rsidR="00CF57D6" w:rsidRPr="00540F02"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FF5CFC" w:rsidR="00FF5CFC">
        <w:rPr>
          <w:rFonts w:ascii="Calibri Light" w:hAnsi="Calibri Light" w:cs="Calibri Light"/>
          <w:sz w:val="24"/>
          <w:szCs w:val="24"/>
        </w:rPr>
        <w:t xml:space="preserve">Faculty of Law, Universitas Islam Bandung, </w:t>
      </w:r>
      <w:r w:rsidR="00FF5CFC">
        <w:rPr>
          <w:rFonts w:ascii="Calibri Light" w:hAnsi="Calibri Light" w:cs="Calibri Light"/>
          <w:sz w:val="24"/>
          <w:szCs w:val="24"/>
        </w:rPr>
        <w:t>Indonesia,</w:t>
      </w:r>
      <w:r w:rsidRPr="00FF5CFC" w:rsidR="00FF5CFC">
        <w:rPr>
          <w:rFonts w:ascii="Calibri Light" w:hAnsi="Calibri Light" w:cs="Calibri Light"/>
          <w:sz w:val="24"/>
          <w:szCs w:val="24"/>
        </w:rPr>
        <w:t xml:space="preserve"> </w:t>
      </w:r>
      <w:r w:rsidR="00FF5CFC">
        <w:rPr>
          <w:rFonts w:ascii="Calibri Light" w:hAnsi="Calibri Light" w:cs="Calibri Light"/>
          <w:sz w:val="24"/>
          <w:szCs w:val="24"/>
        </w:rPr>
        <w:t>e</w:t>
      </w:r>
      <w:r w:rsidRPr="00FF5CFC" w:rsidR="00FF5CFC">
        <w:rPr>
          <w:rFonts w:ascii="Calibri Light" w:hAnsi="Calibri Light" w:cs="Calibri Light"/>
          <w:sz w:val="24"/>
          <w:szCs w:val="24"/>
        </w:rPr>
        <w:t>-mail: dey.ravena@yahoo.co.id</w:t>
      </w:r>
    </w:p>
    <w:p w:rsidR="00FF5CFC" w:rsidRPr="00540F02" w:rsidP="00FF5CFC">
      <w:pPr>
        <w:rPr>
          <w:rFonts w:ascii="Calibri Light" w:hAnsi="Calibri Light" w:cs="Calibri Light"/>
          <w:color w:val="A6A6A6"/>
          <w:sz w:val="24"/>
          <w:szCs w:val="24"/>
          <w:lang w:val="id-ID"/>
        </w:rPr>
      </w:pPr>
      <w:r>
        <w:rPr>
          <w:rFonts w:ascii="Calibri Light" w:hAnsi="Calibri Light" w:cs="Calibri Light"/>
          <w:sz w:val="24"/>
          <w:szCs w:val="24"/>
          <w:vertAlign w:val="superscript"/>
        </w:rPr>
        <w:t>3</w:t>
      </w:r>
      <w:r w:rsidRPr="00FF5CFC">
        <w:rPr>
          <w:rFonts w:ascii="Calibri Light" w:hAnsi="Calibri Light" w:cs="Calibri Light"/>
          <w:sz w:val="24"/>
          <w:szCs w:val="24"/>
        </w:rPr>
        <w:t xml:space="preserve">Faculty of Law, Universitas Islam Bandung, </w:t>
      </w:r>
      <w:r>
        <w:rPr>
          <w:rFonts w:ascii="Calibri Light" w:hAnsi="Calibri Light" w:cs="Calibri Light"/>
          <w:sz w:val="24"/>
          <w:szCs w:val="24"/>
        </w:rPr>
        <w:t>Indonesia,</w:t>
      </w:r>
      <w:r w:rsidRPr="00FF5CFC">
        <w:rPr>
          <w:rFonts w:ascii="Calibri Light" w:hAnsi="Calibri Light" w:cs="Calibri Light"/>
          <w:sz w:val="24"/>
          <w:szCs w:val="24"/>
        </w:rPr>
        <w:t xml:space="preserve"> </w:t>
      </w:r>
      <w:r>
        <w:rPr>
          <w:rFonts w:ascii="Calibri Light" w:hAnsi="Calibri Light" w:cs="Calibri Light"/>
          <w:sz w:val="24"/>
          <w:szCs w:val="24"/>
        </w:rPr>
        <w:t>e</w:t>
      </w:r>
      <w:r w:rsidRPr="00FF5CFC">
        <w:rPr>
          <w:rFonts w:ascii="Calibri Light" w:hAnsi="Calibri Light" w:cs="Calibri Light"/>
          <w:sz w:val="24"/>
          <w:szCs w:val="24"/>
        </w:rPr>
        <w:t>-mail: agushadianrahim@gmail.com</w:t>
      </w:r>
    </w:p>
    <w:p w:rsidR="00DE1E48" w:rsidRPr="00122F5F" w:rsidP="001D7DEE">
      <w:pPr>
        <w:jc w:val="center"/>
        <w:rPr>
          <w:rFonts w:ascii="Calibri Light" w:hAnsi="Calibri Light" w:cs="Calibri Light"/>
          <w:sz w:val="24"/>
          <w:szCs w:val="24"/>
        </w:rPr>
      </w:pPr>
    </w:p>
    <w:p w:rsidR="00863A78" w:rsidRPr="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rsidR="00863A78" w:rsidRPr="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P="00863A78">
      <w:pPr>
        <w:ind w:right="737"/>
        <w:rPr>
          <w:rFonts w:ascii="Calibri Light" w:hAnsi="Calibri Light" w:cs="Calibri Light"/>
          <w:b/>
          <w:bCs/>
        </w:rPr>
      </w:pPr>
    </w:p>
    <w:p w:rsidR="00863A78" w:rsidRPr="00863A78"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66700" cy="247650"/>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descr="E:\DERGILER\ortak-kaynaklar-gorseller\Doi-1024x629 - Kopya.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266700" cy="24765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rsidTr="00540F0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004" w:type="dxa"/>
            <w:tcBorders>
              <w:left w:val="nil"/>
              <w:right w:val="nil"/>
            </w:tcBorders>
          </w:tcPr>
          <w:p w:rsidR="00863A78" w:rsidRPr="00540F02" w:rsidP="00540F02">
            <w:pPr>
              <w:ind w:right="2"/>
              <w:jc w:val="both"/>
              <w:rPr>
                <w:rFonts w:ascii="Calibri Light" w:hAnsi="Calibri Light" w:cs="Calibri Light"/>
                <w:sz w:val="12"/>
                <w:szCs w:val="12"/>
              </w:rPr>
            </w:pPr>
          </w:p>
          <w:p w:rsidR="00863A78" w:rsidRPr="00540F02"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r w:rsidRPr="00540F02">
              <w:rPr>
                <w:rFonts w:ascii="Calibri Light" w:hAnsi="Calibri Light" w:cs="Calibri Light"/>
              </w:rPr>
              <w:t>Almubarak</w:t>
            </w:r>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6" w:history="1">
              <w:r w:rsidRPr="00540F02">
                <w:rPr>
                  <w:rStyle w:val="Hyperlink"/>
                  <w:rFonts w:ascii="Calibri Light" w:hAnsi="Calibri Light" w:cs="Calibri Light"/>
                </w:rPr>
                <w:t>https://doi.org/10.5758/ijls.2022.1</w:t>
              </w:r>
            </w:hyperlink>
          </w:p>
          <w:p w:rsidR="00863A78" w:rsidRPr="00540F02" w:rsidP="00540F02">
            <w:pPr>
              <w:ind w:right="2"/>
              <w:jc w:val="both"/>
              <w:rPr>
                <w:rFonts w:ascii="Calibri Light" w:hAnsi="Calibri Light" w:cs="Calibri Light"/>
                <w:color w:val="0462C1"/>
                <w:u w:val="single" w:color="0462C1"/>
              </w:rPr>
            </w:pPr>
          </w:p>
          <w:p w:rsidR="00863A78" w:rsidRPr="00540F02"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pPr>
              <w:ind w:right="2"/>
              <w:jc w:val="both"/>
              <w:rPr>
                <w:rFonts w:ascii="Calibri Light" w:hAnsi="Calibri Light" w:cs="Calibri Light"/>
                <w:b/>
                <w:bCs/>
                <w:sz w:val="12"/>
                <w:szCs w:val="12"/>
              </w:rPr>
            </w:pPr>
          </w:p>
        </w:tc>
      </w:tr>
    </w:tbl>
    <w:p w:rsidR="00863A78" w:rsidP="00863A78">
      <w:pPr>
        <w:ind w:right="737"/>
        <w:rPr>
          <w:rFonts w:ascii="Calibri Light" w:hAnsi="Calibri Light" w:cs="Calibri Light"/>
          <w:b/>
          <w:bCs/>
          <w:sz w:val="24"/>
          <w:szCs w:val="24"/>
        </w:rPr>
      </w:pPr>
    </w:p>
    <w:p w:rsidR="00DE1E48" w:rsidP="00FF5CFC">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F138FB" w:rsidR="00F138FB">
        <w:rPr>
          <w:rFonts w:ascii="Calibri Light" w:hAnsi="Calibri Light" w:cs="Calibri Light"/>
          <w:i/>
          <w:iCs/>
          <w:noProof/>
          <w:color w:val="000000"/>
          <w:sz w:val="24"/>
          <w:szCs w:val="24"/>
        </w:rPr>
        <w:t>In the context of a medical audit, the medical committee functions to prevent possible negligence in specific medical procedures. This function is generally performed when a case is considered difficult, an unnatural death or other exciting cases are found. This study aims to explain the role of medical committees and medical audits and the part of medical audits in resolving medical crimes. The method used in this study is a normative juridical method with a statutory and conceptual approach. This study shows that the medical committee is tasked with monitoring and evaluating the quality of medical services by implementing medical audits.</w:t>
      </w:r>
    </w:p>
    <w:p w:rsidR="00DE1E48" w:rsidP="00FF5CFC">
      <w:pPr>
        <w:ind w:right="-1"/>
        <w:jc w:val="both"/>
        <w:rPr>
          <w:rFonts w:ascii="Calibri Light" w:hAnsi="Calibri Light" w:cs="Calibri Light"/>
          <w:i/>
          <w:iCs/>
          <w:noProof/>
          <w:color w:val="000000"/>
          <w:sz w:val="24"/>
          <w:szCs w:val="24"/>
        </w:rPr>
      </w:pPr>
      <w:r w:rsidRPr="00F138FB" w:rsidR="00F138FB">
        <w:rPr>
          <w:rFonts w:ascii="Calibri Light" w:hAnsi="Calibri Light" w:cs="Calibri Light"/>
          <w:i/>
          <w:iCs/>
          <w:noProof/>
          <w:color w:val="000000"/>
          <w:sz w:val="24"/>
          <w:szCs w:val="24"/>
        </w:rPr>
        <w:t>Meanwhile, the role of medical audit in resolving medical crimes is as a guide to ensure that every action, procedure, mechanism and decision taken in medical treatment is by established standards and quality. In conclusion, the findings highlight the critical role of medical audits in ensuring the quality of medical services, preventing medical crimes, promoting accountability, and supporting due process. Emphasising the importance of medical audits can lead to better patient care, increased trust in the healthcare system, and continuous improvement in the medical field.</w:t>
      </w:r>
    </w:p>
    <w:p w:rsidR="001B5C38" w:rsidP="00FF5CFC">
      <w:pPr>
        <w:ind w:right="-1"/>
        <w:jc w:val="both"/>
        <w:rPr>
          <w:rFonts w:ascii="Calibri Light" w:hAnsi="Calibri Light" w:cs="Calibri Light"/>
          <w:i/>
          <w:iCs/>
          <w:noProof/>
          <w:color w:val="000000"/>
          <w:sz w:val="24"/>
          <w:szCs w:val="24"/>
        </w:rPr>
      </w:pPr>
    </w:p>
    <w:p w:rsidR="001B5C38" w:rsidRPr="001B5C38" w:rsidP="00FF5CFC">
      <w:pPr>
        <w:ind w:right="-1"/>
        <w:jc w:val="both"/>
        <w:rPr>
          <w:rFonts w:ascii="Calibri Light" w:hAnsi="Calibri Light" w:cs="Calibri Light"/>
          <w:sz w:val="24"/>
          <w:szCs w:val="24"/>
          <w:lang w:val="id-ID"/>
        </w:rPr>
      </w:pPr>
      <w:r w:rsidRPr="001B5C38">
        <w:rPr>
          <w:rFonts w:ascii="Calibri Light" w:hAnsi="Calibri Light" w:cs="Calibri Light"/>
          <w:sz w:val="24"/>
          <w:szCs w:val="24"/>
          <w:lang w:val="id-ID"/>
        </w:rPr>
        <w:t xml:space="preserve">Dalam rangka audit medik, komite medik berfungsi untuk mencegah kemungkinan terjadinya kelalaian dalam prosedur medik tertentu. Fungsi ini umumnya dilakukan ketika ditemukan kasus yang dianggap sulit, kematian yang tidak wajar, atau kasus menarik lainnya. Tujuan dari penelitian ini adalah untuk menjelaskan tentang peran komite medis dan audit medis dan peran audit medis dalam menyelesaikan kejahatan medis. Metode yang digunakan dalam penelitian ini adalah metode yuridis normatif dengan pendekatan perundang-undangan dan konseptual. Dari penelitian ini diketahui bahwa komite medik bertugas memantau dan mengevaluasi mutu pelayanan medik melalui pelaksanaan audit medik. Sedangkan peran audit medis dalam penyelesaian tindak pidana medis adalah sebagai pedoman untuk </w:t>
      </w:r>
      <w:r w:rsidRPr="001B5C38">
        <w:rPr>
          <w:rFonts w:ascii="Calibri Light" w:hAnsi="Calibri Light" w:cs="Calibri Light"/>
          <w:sz w:val="24"/>
          <w:szCs w:val="24"/>
          <w:lang w:val="id-ID"/>
        </w:rPr>
        <w:t>memastikan bahwa setiap tindakan, prosedur, mekanisme dan keputusan yang diambil dalam penanganan medis berjalan sesuai dengan standar dan mutu yang ditetapkan. Sebagai kesimpulan, temuan menyoroti peran penting audit medis dalam memastikan kualitas layanan medis, mencegah kejahatan medis, mendorong akuntabilitas, dan mendukung proses hukum. Menekankan pentingnya audit medis dapat mengarah pada perawatan pasien yang lebih baik, peningkatan kepercayaan pada sistem perawatan kesehatan, dan perbaikan berkelanjutan di bidang medis.</w:t>
      </w:r>
    </w:p>
    <w:p w:rsidR="00486707" w:rsidRPr="00122F5F" w:rsidP="001D7DEE">
      <w:pPr>
        <w:ind w:left="709" w:right="737"/>
        <w:jc w:val="both"/>
        <w:rPr>
          <w:rFonts w:ascii="Calibri Light" w:hAnsi="Calibri Light" w:cs="Calibri Light"/>
          <w:i/>
          <w:iCs/>
          <w:sz w:val="24"/>
          <w:szCs w:val="24"/>
          <w:lang w:val="id-ID"/>
        </w:rPr>
      </w:pPr>
    </w:p>
    <w:p w:rsidR="00DE1E48" w:rsidRPr="00122F5F"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FF5CFC" w:rsidR="00FF5CFC">
        <w:rPr>
          <w:rStyle w:val="shorttext"/>
          <w:rFonts w:ascii="Calibri Light" w:hAnsi="Calibri Light" w:cs="Calibri Light"/>
          <w:i/>
          <w:iCs/>
          <w:sz w:val="24"/>
          <w:szCs w:val="24"/>
        </w:rPr>
        <w:t>Medical Audit, Medical Committee, Medical Crime Completion</w:t>
      </w:r>
    </w:p>
    <w:p w:rsidR="00F1027C" w:rsidRPr="00122F5F" w:rsidP="00F1027C">
      <w:pPr>
        <w:jc w:val="center"/>
        <w:rPr>
          <w:rFonts w:ascii="Calibri Light" w:hAnsi="Calibri Light" w:cs="Calibri Light"/>
          <w:i/>
          <w:iCs/>
          <w:lang w:val="id-ID"/>
        </w:rPr>
      </w:pPr>
    </w:p>
    <w:p w:rsidR="00F1027C" w:rsidRPr="00122F5F" w:rsidP="0095288D">
      <w:pPr>
        <w:rPr>
          <w:rFonts w:ascii="Calibri Light" w:hAnsi="Calibri Light" w:cs="Calibri Light"/>
          <w:b/>
          <w:bCs/>
          <w:sz w:val="24"/>
          <w:szCs w:val="24"/>
          <w:lang w:val="id-ID"/>
        </w:rPr>
      </w:pPr>
    </w:p>
    <w:p w:rsidR="0095288D" w:rsidRPr="00122F5F"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FF5CFC" w:rsidRPr="00FF5CFC" w:rsidP="00FF5CFC">
      <w:pPr>
        <w:spacing w:before="120" w:after="120"/>
        <w:ind w:left="426"/>
        <w:jc w:val="both"/>
        <w:rPr>
          <w:rFonts w:ascii="Calibri Light" w:hAnsi="Calibri Light" w:cs="Calibri Light"/>
          <w:i/>
          <w:iCs/>
          <w:sz w:val="24"/>
          <w:szCs w:val="24"/>
        </w:rPr>
      </w:pPr>
      <w:r w:rsidRPr="00FF5CFC">
        <w:rPr>
          <w:rFonts w:ascii="Calibri Light" w:hAnsi="Calibri Light" w:cs="Calibri Light"/>
          <w:sz w:val="24"/>
          <w:szCs w:val="24"/>
        </w:rPr>
        <w:t xml:space="preserve">The government in each country, of course, uses certain standards as general guidelines in the medical service system in health facilities. This standard is intended as a minimum limit that must be met in health facilities for consumers, as well as a basis for decision-making and the independence of the medical profession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{"citationItems":[{"id":"ITEM-1","itemData":{"ISBN":"9781425803780","author":[{"dropping-particle":"","family":"Jovita Irawati","given":"","non-dropping-particle":"","parse-names":false,"suffix":""}],"container-title":"Law Review","id":"ITEM-1","issue":"1","issued":{"date-parts":[["2019"]]},"page":"54-76","title":"INKONSISTENSI REGULASI DI BIDANG KESEHATAN DAN IMPLIKASI HUKUMNYA TERHADAP PENYELESAIAN PERKARA MEDIK DI INDONESIA","type":"article-journal","volume":"19"},"uris":["http://www.mendeley.com/documents/?uuid=6d1f35a9-a9c0-4175-809b-e4888dbd4b36"]},{"id":"ITEM-2","itemData":{"abstract":"Informed consent is a form of agreement or agreement between a doctor and a patient before medical action is given by a doctor to each patient, so that in its implementation, informed consent must be made appropriately so that it can be useful according to its function and role. One of the functions of informed consent is as evidence of authentic documentation if later there are problems that arise after the administration of medical action by a doctor. The purpose of this study was to find out the function and role of informed consent for the medical action of the mental polyclinic at the Pejagoan Kebumen Health Center and how efforts were made to minimize the problems that would occur. In this study the authors used a qualitative descriptive method with a data collection system using observation, interviews, and literature review of 30 informed consent forms from medical record files and 2 respondents studied. After going through a series of studies, the authors get the result that in filling out the informed consent form there are still a number of indicators that have not been filled in so that this affects the suitability of filling in the informed consent because it is not in accordance with standard operating procedures.","author":[{"dropping-particle":"","family":"Masruroh","given":"Erni","non-dropping-particle":"","parse-names":false,"suffix":""},{"dropping-particle":"","family":"Maryani","given":"Febri","non-dropping-particle":"","parse-names":false,"suffix":""}],"container-title":"Jurnal JMeRS","id":"ITEM-2","issue":"2","issued":{"date-parts":[["2022"]]},"page":"72-81","title":"Analisis Fungsi dan Peran Informed Consent Terhadap Tindakan Medis Poli Jiwa di Puskesmas Pejagoan Kebumen","type":"article-journal","volume":"1"},"uris":["http://www.mendeley.com/documents/?uuid=cab9bda3-34b1-4ad0-9253-fd4564a1529b"]}],"mendeley":{"formattedCitation":"(1,2)","plainTextFormattedCitation":"(1,2)","previouslyFormattedCitation":"[1], [2]"},"properties":{"noteIndex":0},"schema":"https://github.com/citation-style-language/schema/raw/master/csl-citation.json"}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(1,2)</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Therefore, the standard operating procedure (SOP) in medical services is a vital element that is not only a protector for patients but also for medical personnel in order to provide a limit of autonomy and professionalism.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{"citationItems":[{"id":"ITEM-1","itemData":{"abstract":"Akhir-akhir ini profesi yang bergerak di bidang medis terutama profesi sebagai dokter dan perawat banyak disoroti oleh masyarakat, khususnya setelah terjadi beberapa kasus kelalaian, kesengajaan maupun kurangnya keahlian dalam tindakan Medis dokter dan perawat yang merugikan pasiennya, seiring dengan keadaan tersebut maka berkembang istilah malpraktik medik. Permasalahan Bagaimanakah bentuk pertanggungjawaban tenaga medis atas tindakan malprektek yang dilakukan? Bagaimanakah implikasi pertanggungjawaban hukum atas terjadinya malprektek terhadap tenaga medis dan pasien?. Metode yang di gunakan dalam penelitian adala yuridis normatif, yaitu dengan mengkaji ketentuan perauran perundang-undangan. Hasil penelitian ini bentuk tanggungjawab yang dilakukan yaitu, tanggungjawab kode etik profesi dokter, tanggungjawab kode etik perawat, tanggungjawab secara hukum administrasi, tanggungjawab secara hukum pidana, dan tanggungjawab secara hukum perdata. Dari keseluruhan tanggungjawab tersebut harus di laksanakan oleh tenaga Medis yang melakukan malpraktek yang diterjadi di rumah sakit umum maupaun rumah swasta. Implikasi yang timbul akibat adanya tanggungjawab tersebut adalah secara psikologis dapat mempengaruhi tenaga Medis di dalam memberikan pelayanan medis bagi masyarakat dapat bertindak kurang hati-hati bahkan dapat melakukan sesuatu hal di luar standar operasional rumah medis","author":[{"dropping-particle":"","family":"Putra","given":"Gigih Sanjaya","non-dropping-particle":"","parse-names":false,"suffix":""}],"container-title":"Muhammadiyah Law Review","id":"ITEM-1","issue":"2","issued":{"date-parts":[["2020"]]},"page":"120-131","title":"Implikasi Tanggungjawab Hukum Atas Tindakan Malpraktik yang Dilakukan Oleh Tenaga Medis Di Indonesia","type":"article-journal","volume":"4"},"uris":["http://www.mendeley.com/documents/?uuid=336af31c-c86f-43ca-86a2-0adaf45a4058"]}],"mendeley":{"formattedCitation":"(3)","plainTextFormattedCitation":"(3)","previouslyFormattedCitation":"[3]"},"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(3)</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These standards are also regulated in Article 24 of Law Number 36 of 2009 concerning Health. Therefore, every medical personnel must ensure that all services provided are services that comply with standards and do not cause potential harm to patients and hospitals. Every doctor who practices Medicine is responsible for patients and obligated to maintain the quality of medical services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{"citationItems":[{"id":"ITEM-1","itemData":{"DOI":"10.29313/sh.v16i2.4893","ISSN":"2086-5449","author":[{"dropping-particle":"","family":"Hanafi","given":"Komar","non-dropping-particle":"","parse-names":false,"suffix":""}],"container-title":"Syiar Hukum : Jurnal Ilmu Hukum","id":"ITEM-1","issue":"2","issued":{"date-parts":[["2019"]]},"page":"149","title":"Kebijakan Perlindungan Hukum Terhadap Dokter Di Rumah Sakit Dalam Pelaksanaan Pelayanan Jaminan Kesehatan Nasional","type":"article-journal","volume":"16"},"uris":["http://www.mendeley.com/documents/?uuid=dfc836f7-948b-4d79-a571-db630c6a6f10"]}],"mendeley":{"formattedCitation":"(4)","plainTextFormattedCitation":"(4)","previouslyFormattedCitation":"[4]"},"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(4)</w:t>
      </w:r>
      <w:r w:rsidR="005B764C">
        <w:rPr>
          <w:rFonts w:ascii="Calibri Light" w:hAnsi="Calibri Light" w:cs="Calibri Light"/>
          <w:sz w:val="24"/>
          <w:szCs w:val="24"/>
        </w:rPr>
        <w:fldChar w:fldCharType="end"/>
      </w:r>
      <w:r w:rsidRPr="00FF5CFC">
        <w:rPr>
          <w:rFonts w:ascii="Calibri Light" w:hAnsi="Calibri Light" w:cs="Calibri Light"/>
          <w:sz w:val="24"/>
          <w:szCs w:val="24"/>
        </w:rPr>
        <w:t>.</w:t>
      </w:r>
      <w:bookmarkStart w:id="0" w:name="_Hlk93580642"/>
    </w:p>
    <w:p w:rsidR="00FF5CFC" w:rsidRPr="00FF5CFC" w:rsidP="00FF5CFC">
      <w:pPr>
        <w:spacing w:before="120" w:after="120"/>
        <w:ind w:left="426"/>
        <w:jc w:val="both"/>
        <w:rPr>
          <w:rFonts w:ascii="Calibri Light" w:hAnsi="Calibri Light" w:cs="Calibri Light"/>
          <w:sz w:val="24"/>
          <w:szCs w:val="24"/>
        </w:rPr>
      </w:pPr>
      <w:bookmarkStart w:id="1" w:name="_Hlk93580691"/>
      <w:bookmarkEnd w:id="0"/>
      <w:r w:rsidRPr="00FF5CFC">
        <w:rPr>
          <w:rFonts w:ascii="Calibri Light" w:hAnsi="Calibri Light" w:cs="Calibri Light"/>
          <w:sz w:val="24"/>
          <w:szCs w:val="24"/>
        </w:rPr>
        <w:t xml:space="preserve">Another important foundation in the medical service system is clinical governance, where medical committees are an essential part of determining the internal rules for medical personnel (medical staff bylaws) that can optimise service quality in health facilities, especially hospitals. To achieve these standards, clinical governance needs to be built with a proper, effective and well-integrated system </w:t>
      </w:r>
      <w:bookmarkEnd w:id="1"/>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{"citationItems":[{"id":"ITEM-1","itemData":{"author":[{"dropping-particle":"","family":"Sofyan Dahlan","given":"","non-dropping-particle":"","parse-names":false,"suffix":""}],"id":"ITEM-1","issued":{"date-parts":[["1999"]]},"number-of-pages":"32-33","publisher":"Badan Penerbit Universitas Dipenogoro","publisher-place":"Semarang","title":"Hukum Kesehatan. Rambu- Rambu Bagi Profesi Dokter","type":"book"},"uris":["http://www.mendeley.com/documents/?uuid=c70b2d40-8f84-4fb1-9f80-6d38afe4a30c"]}],"mendeley":{"formattedCitation":"(5)","plainTextFormattedCitation":"(5)","previouslyFormattedCitation":"[5]"},"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(5)</w:t>
      </w:r>
      <w:r w:rsidR="005B764C">
        <w:rPr>
          <w:rFonts w:ascii="Calibri Light" w:hAnsi="Calibri Light" w:cs="Calibri Light"/>
          <w:sz w:val="24"/>
          <w:szCs w:val="24"/>
        </w:rPr>
        <w:fldChar w:fldCharType="end"/>
      </w:r>
      <w:r w:rsidRPr="00FF5CFC">
        <w:rPr>
          <w:rFonts w:ascii="Calibri Light" w:hAnsi="Calibri Light" w:cs="Calibri Light"/>
          <w:sz w:val="24"/>
          <w:szCs w:val="24"/>
        </w:rPr>
        <w:t>.</w:t>
      </w:r>
      <w:bookmarkStart w:id="2" w:name="_Hlk93580678"/>
      <w:r w:rsidRPr="00FF5CFC">
        <w:rPr>
          <w:rFonts w:ascii="Calibri Light" w:hAnsi="Calibri Light" w:cs="Calibri Light"/>
          <w:sz w:val="24"/>
          <w:szCs w:val="24"/>
        </w:rPr>
        <w:t xml:space="preserve"> </w:t>
      </w:r>
      <w:bookmarkEnd w:id="2"/>
      <w:r w:rsidRPr="00FF5CFC">
        <w:rPr>
          <w:rFonts w:ascii="Calibri Light" w:hAnsi="Calibri Light" w:cs="Calibri Light"/>
          <w:sz w:val="24"/>
          <w:szCs w:val="24"/>
        </w:rPr>
        <w:t xml:space="preserve">The medical committee is a non-structural organisation in a health facility, generally a hospital, whose role is to maintain the hospital's professionalism, quality and integrity in serving patients in accordance with the medical code of ethics and the hospital as its main norms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{"citationItems":[{"id":"ITEM-1","itemData":{"DOI":"10.55572/jms.v2i2.43","abstract":"Tujuan utama pelayanan rumah sakit adalah memberikan pelayanan yang bermutu, professional, dan diterima masyarakat. Salah satu upaya mencapai pelayanan kesehatan bermutu dan professional rumah sakit adalah dengan memenuhi kaidah – kaidah yang tercantum dalam Kode Etik Rumah Sakit. Komite etik dan hukum Rumah Sakit (KEHRS) dapat menjadi sarana efektif dalam mengusahakan saling pengertian antara berbagai pihak yang terlibat seperti dokter, perawat, tenaga kesehatan lainnya, pasien, keluarga pasien dan masyarakat tentang berbagai masalah etika, hukum, dan kedokteran di rumah sakit. Keberhasilan sistem pelayanan kesehatan bergantung pada tenaga kesehatan yang dibekali dengan pengetahuan yang baik, sikap positif, dan kesadaran yang penuh terhadap eksistensi KEHRS. Sehingga diperlukan penelitian yang dapat menjadi masukan terhadap perbaikan kinerja KEHRS di masa depan. Masalah prioritas yang akan diselesaikan adalah perbaikan sistem pelayanan KEHRS dengan menjaring informasi dari pegawai yang terpilih dan bersedia menjadi responden. Jenis penelitian ini adalah analitik observasional dengan pendekatan cross sectional. Penelitian ini bertujuan untuk mendapatkan informasi tentang tingkat pengetahuan, sikap, kesadaran serta harapan pegawai RSUD dr. Zainoel Abidin (RSUDZA) Banda Aceh terhadap eksistensi KEHRS. Penelitian ini dilakukan selama 4 bulan, mulai dari bulan Mei sampai Oktober 2021 di RSUDZA dimulai dari persiapan proposal sampai seminar hasil penelitian. Penelitian ini melibatkan seluruh pegawai RSUDZA yang dipilih secara proporsional untuk masing-masing profesi dan jenis pekerjaan dengan 280 orang partisipan. Sebanyak 273 orang (97.5%) memiliki pengetahuan sangat baik/baik terkait KEHRS. Sikap yang sangat positif/positif terhadap kinerja KEHRS ditunjukkan oleh sebanyak 245 orang responden (87.5%). Sebanyak 118 responden memiliki kesadaran tinggi terhadap keberadaan KEHRS (42.1%), sedangkan pendapat responden tentang pentingnya eksistensi KEHRS didapatkan 263 responden menyatakan sangat penting/penting (93.9%). Dari hasil uji statistik Chi square didapatkan ada hubungan bermakna antara pengetahuan dengan eksistensi KEHRS dengan nilai p=0.000, sikap dengan eksistensi KEH dengan nilai p=0.000, namun tidak terdapat hubungan antara kesadaran dengan eksistensi KEH dengan nilai p=0.352. Kesimpulan pada penelitian ini didapatkan bahwa pegawai RSUDZA memiliki pengetahuan yang sangat baik, sikap yang sangat positif, namun kurang menyadari eksistensi KEHRS pada RS…","author":[{"dropping-particle":"","family":"Suryadi","given":"Taufik","non-dropping-particle":"","parse-names":false,"suffix":""},{"dropping-particle":"","family":"Nurul A’la","given":"","non-dropping-particle":"","parse-names":false,"suffix":""},{"dropping-particle":"","family":"Kulsum","given":"","non-dropping-particle":"","parse-names":false,"suffix":""}],"container-title":"Journal of Medical Science","id":"ITEM-1","issue":"2","issued":{"date-parts":[["2022"]]},"page":"88-101","title":"Pengetahuan, Sikap, Kesadaran dan Harapan Pegawai Terhadap Eksistensi Komite Etik dan Hukum di RSUD Dr.Zainoel Abidin Banda Aceh","type":"article-journal","volume":"2"},"uris":["http://www.mendeley.com/documents/?uuid=8efe2d7d-40a4-4b76-91c9-32770d71a8dd"]},{"id":"ITEM-2","itemData":{"DOI":"10.35965/eco.v22i1.1392","ISSN":"1411-3597","abstract":"Tujuan penelitian ini antara lain: 1) Untuk mengetahui kedudukan hukum Komite Etik dan Hukum Rumah Sakit, 2) menguraikan ruang lingkup sengketa medis yang dapat diselesaikan melalui Komite Etik dan Hukum Rumah Sakit. Penelitian ini menggunakan metode penelitian hukum normatif dengan pendekatan undang-undang (statue approach), dan pendekatan konseptual (conceptual approach). Hasil penelitian ini menunjukkan bahwa: (1) Komite Etik dan Hukum Rumah Sakit (KEHRS) memiliki kedudukan hukum yang cukup jelas terhadap Komite Medik dan Dewan Pengawas di rumah sakit, tetapi memiliki persinggungan tugas dengan Badan Pengawas Rumah Sakit (BPRS) Provinsi, Majelis Kehormatan Disiplin Kedokteran Indonesia (MKDKI) serta MKEK (Majelis Kehormatan Etik Kedokteran). (2) Komite Etik dan Hukum Rumah Sakit (KEHRS) memiliki kewenangan yang cukup luas untuk menangani setiap persoalan hukum maupun etik yang terjadi di internal rumah sakit, baik yang melibatkan pasien maupun unsur-unsur sumber daya manusia (SDM) lainnya yang bekerja di rumah sakit sebelum kasus dilanjutkan ke lembaga eksternal rumah sakit. This study aims to: 1) determine legal position of the Hospital Ethics and Legal Committee, 2) describe medical disputes scope that can be resolved through Hospital Ethics and Legal Committee. This study uses a normative legal research method with a legal approach (statue approach), and a conceptual approach. This study results indicate that: (1) Hospital Ethics and Legal Committee (KEHRS) has a fairly clear legal position against the Medical Committee and the Supervisory Board at the hospital, but has a cross-section of duties with the Provincial Hospital Supervisory Board (BPRS), Honorary Council Indonesian Medical Discipline (MKDKI) and MKEK (Honorary Council of Medical Ethics). (2) Hospital Ethics and Legal Committee (KEHRS) has broad authority to handle any legal or ethical issues that occur within the hospital, both involving patients and other elements of human resources who work at home before the case is transferred to an external hospital institution.","author":[{"dropping-particle":"","family":"Tadda","given":"Asri","non-dropping-particle":"","parse-names":false,"suffix":""},{"dropping-particle":"","family":"Indar","given":"Indar","non-dropping-particle":"","parse-names":false,"suffix":""},{"dropping-particle":"","family":"Ilyas","given":"Amir","non-dropping-particle":"","parse-names":false,"suffix":""}],"container-title":"Jurnal Ilmiah Ecosystem","id":"ITEM-2","issue":"1","issued":{"date-parts":[["2022"]]},"page":"120-135","title":"Tinjauan Hukum Eksistensi Komite Etik Dan Hukum Rumah Sakit (KEHRS) Dalam Penyelesaian Sengketa Medik","type":"article-journal","volume":"22"},"uris":["http://www.mendeley.com/documents/?uuid=415c1aba-3973-491b-8784-387745cded06"]}],"mendeley":{"formattedCitation":"(6,7)","plainTextFormattedCitation":"(6,7)","previouslyFormattedCitation":"[6], [7]"},"properties":{"noteIndex":0},"schema":"https://github.com/citation-style-language/schema/raw/master/csl-citation.json"}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(6,7)</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 main basis for forming the medical committee itself is to ensure that every medical relationship between patients and health workers in the hospital can be strengthened by the optimal level of trust from patients to encourage quality therapeutic transactions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{"citationItems":[{"id":"ITEM-1","itemData":{"DOI":"10.33087/wjh.v5i1.414","abstract":"Generally an agreement is an agreement made by both parties or more about something they agree to, and in the agreement contains the rights and obligations of each party. In this study formulates how the implementation of the agreement in a mental hospital because the patient has a psychiatric disorder so incapable to do the agreement so represented by the family / guardian of the patient and the problem of what happens about rights or obligations that are not obtained or not implemented. when the patient is incapable and competent to approve medical measures. Whether or not a patient with a psychiatric disorder consents, it also affects the obligations of the guardian or the person in charge of the patient, because the guardian is the person in charge of the patient, after agreeing that both parties are bound by the therapeutic agreement. But in the implementation of the therapeutic agreement can not always be implemented properly, the purpose of this study is to find out how the contents of the agreement between the hospital and the mental hospital patient, what problems occur in the implementation of the agreement between the mental hospital and the patient and how to solve the problems that occur between the hospital and the patient of jambi mental hospital. The results showed that the hospital and patients are bound in a standard agreement in which there are each right and obligation of both parties, the problem that occurs is the negative treatment of medical personnel to mental hospital patients, negligence done by the patient's family to the hospital, the resolution of problems that occur solved by musywarah and the hospital directly visit the family who abandoned his family in jambi mental hospital.","author":[{"dropping-particle":"","family":"Supeno","given":"Supeno","non-dropping-particle":"","parse-names":false,"suffix":""},{"dropping-particle":"","family":"Faradila","given":"Fauty Intan","non-dropping-particle":"","parse-names":false,"suffix":""}],"container-title":"Wajah Hukum","id":"ITEM-1","issue":"1","issued":{"date-parts":[["2021"]]},"page":"368","title":"Pelaksaan Perjanjian Terapeutik Antara Pasien dengan Rumah Sakit Jiwa Jambi","type":"article-journal","volume":"5"},"uris":["http://www.mendeley.com/documents/?uuid=87b0fa23-a7fe-4542-ba9b-986fb7f3a3bd"]}],"mendeley":{"formattedCitation":"(8)","plainTextFormattedCitation":"(8)","previouslyFormattedCitation":"[8]"},"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(8)</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Along with the times, the legal relationship between doctors and patients has shifted to become equal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{"citationItems":[{"id":"ITEM-1","itemData":{"abstract":"Karya ilmiah ini berjudul “Analisis Yuridis Hubungan Hukum antara Dokter dan Pasien dalam Pelayanan Kesehatan”.Hubungan dokter dan pasien merupakan pola yang lahir antara dokter dan pasien sebelum berlanjut pada tindakan pelayanan kesehatan. Dan pelayanan kesehatan,merupakan sebuah konsep yang digunakan dalam memberikan layanan kesehatan kepada masyarakat. Pelayanan kesehatan adalah sebuah sub sistem pelayanan kesehatan yang ditujuan utamanya adalah pelayanan kesehatan dalam hal Preventif (pencegahan), Promotif (peningkatan kesehatan,) Kuratif (penyembuhan kesehatan) dan Rehabilitatif (pemulihan) merupakan segala upaya yang dikerahkan oleh pemerintah dalam peningkatan mutu pelayanan kesehatan yang prima dan sesuai dengan standar prosedur dan standar operasional prosedur pelayanan kesehatan. Ditinjau dari aspek sosiologis, hubungan hukum dokter dan pasien seiring perkembangan keilmuan dibidang hukum kesehatan mengalami perubahan, semula kedudukan pasien dianggap tidak sederajat dengan dokter, karena dokter dianggap paling tahu terhadap pasiennya, dalam hal ini kedudukan pasien sangat pasif, sangat tergantung kepada dokter. Namun dalam perkembangannya hubungan antara dokter dan pasien telah mengalami perubahan pola, di mana pasien dianggap sederajat kedudukannya dengan dokter. Segala tindakan medis yang akan dilakukan dokter terhadap pasiennya harus mendapat persetujuan dari pasien, setelah sang pasien mendapatkan penjelasan yang cukup memadai tentang segala seluk beluk penyakit dan upaya tindakan mediknya. Hubungan hukum dokter dan pasien dalam pelayanan kesehatan merupakan hal yang tidak terpisahkan dan mempunyai relefansi kongkrit sehingga dokter dan pasien merupakan satu integral dalam upaya kerja sama dalam transaksi terapeutik. Hubungan antara dokter dan pasien dalam ilmu kedokteran umumnya berlangsung sebagai hubungan biomedis aktif-pasif, dalam hubungan yuridis antara dokter dan pasien, terjadi dalam tiga pola hubungan yakni, aktif pasif (Aktifitity-Passivity), membimbing kerja sama (Guidance-Cooperation), dan saling partisipasi (Mutual Participation).","author":[{"dropping-particle":"","family":"Mustajab","given":"","non-dropping-particle":"","parse-names":false,"suffix":""}],"container-title":"Jurnal Ilmu Hukum Legal Opinion","id":"ITEM-1","issue":"1","issued":{"date-parts":[["2013"]]},"page":"1-11","title":"Analisis Yuridis Hubungan Hukum Antara Dokter Dan Pasien Dalam Peyanan Kesehatan","type":"article-journal","volume":"4"},"uris":["http://www.mendeley.com/documents/?uuid=31ccaa12-b6b8-46e0-b44d-ca4df64b7332"]}],"mendeley":{"formattedCitation":"(9)","plainTextFormattedCitation":"(9)","previouslyFormattedCitation":"[9]"},"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(9)</w:t>
      </w:r>
      <w:r w:rsidR="005B764C">
        <w:rPr>
          <w:rFonts w:ascii="Calibri Light" w:hAnsi="Calibri Light" w:cs="Calibri Light"/>
          <w:sz w:val="24"/>
          <w:szCs w:val="24"/>
        </w:rPr>
        <w:fldChar w:fldCharType="end"/>
      </w:r>
      <w:r w:rsidRPr="00FF5CFC">
        <w:rPr>
          <w:rFonts w:ascii="Calibri Light" w:hAnsi="Calibri Light" w:cs="Calibri Light"/>
          <w:sz w:val="24"/>
          <w:szCs w:val="24"/>
        </w:rPr>
        <w:t>. Doctors who obtain patient consent are oriented towards making maximum efforts (</w:t>
      </w:r>
      <w:r w:rsidRPr="00FF5CFC">
        <w:rPr>
          <w:rFonts w:ascii="Calibri Light" w:hAnsi="Calibri Light" w:cs="Calibri Light"/>
          <w:i/>
          <w:iCs/>
          <w:sz w:val="24"/>
          <w:szCs w:val="24"/>
        </w:rPr>
        <w:t>inspanning</w:t>
      </w:r>
      <w:r w:rsidRPr="00FF5CFC">
        <w:rPr>
          <w:rFonts w:ascii="Calibri Light" w:hAnsi="Calibri Light" w:cs="Calibri Light"/>
          <w:i/>
          <w:iCs/>
          <w:sz w:val="24"/>
          <w:szCs w:val="24"/>
        </w:rPr>
        <w:t xml:space="preserve"> </w:t>
      </w:r>
      <w:r w:rsidRPr="00FF5CFC">
        <w:rPr>
          <w:rFonts w:ascii="Calibri Light" w:hAnsi="Calibri Light" w:cs="Calibri Light"/>
          <w:i/>
          <w:iCs/>
          <w:sz w:val="24"/>
          <w:szCs w:val="24"/>
        </w:rPr>
        <w:t>verbintenis</w:t>
      </w:r>
      <w:r w:rsidRPr="00FF5CFC">
        <w:rPr>
          <w:rFonts w:ascii="Calibri Light" w:hAnsi="Calibri Light" w:cs="Calibri Light"/>
          <w:sz w:val="24"/>
          <w:szCs w:val="24"/>
        </w:rPr>
        <w:t>) in the medical services provided and not otherwise promising results (</w:t>
      </w:r>
      <w:r w:rsidRPr="00FF5CFC">
        <w:rPr>
          <w:rFonts w:ascii="Calibri Light" w:hAnsi="Calibri Light" w:cs="Calibri Light"/>
          <w:i/>
          <w:iCs/>
          <w:sz w:val="24"/>
          <w:szCs w:val="24"/>
        </w:rPr>
        <w:t>resultaatverbintenis</w:t>
      </w:r>
      <w:r w:rsidRPr="00FF5CFC">
        <w:rPr>
          <w:rFonts w:ascii="Calibri Light" w:hAnsi="Calibri Light" w:cs="Calibri Light"/>
          <w:sz w:val="24"/>
          <w:szCs w:val="24"/>
        </w:rPr>
        <w:t xml:space="preserve">)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{"citationItems":[{"id":"ITEM-1","itemData":{"DOI":"10.20885/iustum.vol8.iss18.art14","ISSN":"08548498","abstract":"The patient comes to the doctor asking to be cure and the doctor agrees with it. it is the of terapeutic transaction, in inspanningsverbintenis, the doctor maximally tries to cure the patient, but he can not promise a certain recovery. In the resultaatsverbintenis, the agreement is based on the working result, for example a dentist who makes an artificial teeth, must fixed to the transaction made with his patient. In the resultaatsverbintenis can be implemented in the rule of the customer protection (UU Perlindungan Konsumen}, yet in the inspanningsverbintenis has become controversy. It is caused for the inspanningsverbintenis and the resultaatsverbintenis, its authority and the responsibility of the doctors are deferent. Therefore, it needs to be understood in competence, the authority and the responsibility from the medicolegal aspect.","author":[{"dropping-particle":"","family":"Putra","given":"Sarsintorini","non-dropping-particle":"","parse-names":false,"suffix":""}],"container-title":"Jurnal Hukum IUS QUIA IUSTUM","id":"ITEM-1","issue":"18","issued":{"date-parts":[["2001"]]},"page":"199-211","title":"Inspanningsverbintenis dan Resultaatsverbintenis dalam Transaksi Terapeutik Kaitannya dengan UU No. 8 Tahun 1999 tentang Perlindungan Konsumen","type":"article-journal","volume":"8"},"uris":["http://www.mendeley.com/documents/?uuid=7bbeb921-627a-490d-99ce-895e52133a7c"]}],"mendeley":{"formattedCitation":"(10)","plainTextFormattedCitation":"(10)","previouslyFormattedCitation":"[10]"},"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(10)</w:t>
      </w:r>
      <w:r w:rsidR="005B764C">
        <w:rPr>
          <w:rFonts w:ascii="Calibri Light" w:hAnsi="Calibri Light" w:cs="Calibri Light"/>
          <w:sz w:val="24"/>
          <w:szCs w:val="24"/>
        </w:rPr>
        <w:fldChar w:fldCharType="end"/>
      </w:r>
      <w:r w:rsidRPr="00FF5CFC">
        <w:rPr>
          <w:rFonts w:ascii="Calibri Light" w:hAnsi="Calibri Light" w:cs="Calibri Light"/>
          <w:sz w:val="24"/>
          <w:szCs w:val="24"/>
        </w:rPr>
        <w:t>. Therefore, medical services with maximum results are a good hope for the patient and his family. However, it is possible that the implementation will not be in accordance with these expectations.</w:t>
      </w:r>
    </w:p>
    <w:p w:rsidR="00FF5CFC" w:rsidRPr="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 xml:space="preserve">Despite having a vital function, several studies state that the number of hospitals that carry out medical audits in Indonesia is still very low. Medical audit is an activity to </w:t>
      </w:r>
      <w:r w:rsidRPr="00FF5CFC">
        <w:rPr>
          <w:rFonts w:ascii="Calibri Light" w:hAnsi="Calibri Light" w:cs="Calibri Light"/>
          <w:sz w:val="24"/>
          <w:szCs w:val="24"/>
        </w:rPr>
        <w:t xml:space="preserve">analyse every act of medical service which has been carried out by medical personnel in a hospital and other health facilities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{"citationItems":[{"id":"ITEM-1","itemData":{"author":[{"dropping-particle":"","family":"Yovita A Mangesti","given":"","non-dropping-particle":"","parse-names":false,"suffix":""}],"container-title":"Yogyakarta: Genta Publishing","id":"ITEM-1","issued":{"date-parts":[["2016"]]},"publisher":"Genta Publishing","publisher-place":"Yogyakarta","title":"Hukum Berparadigma Kemanusian","type":"book"},"uris":["http://www.mendeley.com/documents/?uuid=e643fc08-c89c-48af-9cbc-b9934ce25e34"]}],"mendeley":{"formattedCitation":"(11)","plainTextFormattedCitation":"(11)","previouslyFormattedCitation":"[11]"},"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(11)</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In a research conducted by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Hartati","given":"Kasyi","non-dropping-particle":"","parse-names":false,"suffix":""},{"dropping-particle":"","family":"Djasri","given":"Hanevi","non-dropping-particle":"","parse-names":false,"suffix":""},{"dropping-particle":"","family":"Utarini","given":"Adi","non-dropping-particle":"","parse-names":false,"suffix":""}],"container-title":"Jurnal Manajemen Pelayanan Kesehatan","id":"ITEM-1","issue":"1","issued":{"date-parts":[["2014"]]},"page":"53-54","title":"Implementasi Tata Kelola Klinis oleh Komite Medik di Rumah Sakit Umum Daerah di Provinsi Jawa Tengah","type":"article-journal","volume":"17"},"uris":["http://www.mendeley.com/documents/?uuid=e522b09a-cf4a-40af-b68e-b499a742c522"]}],"mendeley":{"formattedCitation":"(12)","manualFormatting":"Hartati et al. (2014)","plainTextFormattedCitation":"(12)","previouslyFormattedCitation":"[12]"},"properties":{"noteIndex":0},"schema":"https://github.com/citation-style-language/schema/raw/master/csl-citation.json"}</w:instrText>
      </w:r>
      <w:r w:rsidR="005B764C">
        <w:rPr>
          <w:rFonts w:ascii="Calibri Light" w:hAnsi="Calibri Light" w:cs="Calibri Light"/>
          <w:sz w:val="24"/>
          <w:szCs w:val="24"/>
        </w:rPr>
        <w:fldChar w:fldCharType="separate"/>
      </w:r>
      <w:r w:rsidRPr="00FF5CFC">
        <w:rPr>
          <w:rFonts w:ascii="Calibri Light" w:hAnsi="Calibri Light" w:cs="Calibri Light"/>
          <w:noProof/>
          <w:sz w:val="24"/>
          <w:szCs w:val="24"/>
        </w:rPr>
        <w:t>Hartati et al. (2014)</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it was stated that of the 27 hospitals that were used as research objects, only one hospital carried out regular medical audits, while other hospitals only conducted medical audits when certain medical violations or cases occurred. While in a number of other studies, medical audits are still not a priority in maintaining service quality and meeting work standards in a number of hospitals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{"citationItems":[{"id":"ITEM-1","itemData":{"DOI":"10.15167/2421-4248/jpmh2019.60.3.1203","ISSN":"24214248","PMID":"31650062","abstract":"Introduction. The systematic evaluation of the quality of medical records is crucial. Nevertheless, even if the improvement of medical records quality represents a priority for every health organization, it might be difficult to realize. This is the first study to assess the efficacy of internal audit as a tool to improve the quality of medical records in hospital setting. Methods. The program was carried out in a third level teaching hospital. Trained ad hoc evaluation teams carried out two retrospective assessments of quality of medical records using a random sampling strategy. The quality assessment was performed using a 48-items evaluation grid divided into 9 domains: General; Patient Medical History and Physical Examination; Daily Clinical Progress Notes; Daily Nursing Progress Notes; Drug Therapy Chart; Pain Chart; Discharge Summary; Surgery Register; Informed Consent. After the first evaluation of 1.460 medical records, an audit departmental program was set up. The second evaluation was carried out after the internal auditing for 1.402 medical records. Results. Compared to the first analysis, a significant quality amelioration in all the sections of the medical chart was shown with the second analysis, with an increase of all the scores above 50%. The differences found for each section of medical records between the first and second analysis are all significant (p&lt;0.01). Conclusions. Internal audits are not just measurement activities but a necessary activity to support the organization in achieving its objectives and assessing the quality of clinical care and maintaining high quality professional performance.","author":[{"dropping-particle":"","family":"Azzolini","given":"E.","non-dropping-particle":"","parse-names":false,"suffix":""},{"dropping-particle":"","family":"Furia","given":"G.","non-dropping-particle":"","parse-names":false,"suffix":""},{"dropping-particle":"","family":"Cambieri","given":"A.","non-dropping-particle":"","parse-names":false,"suffix":""},{"dropping-particle":"","family":"Ricciardi","given":"W.","non-dropping-particle":"","parse-names":false,"suffix":""},{"dropping-particle":"","family":"Volpe","given":"M.","non-dropping-particle":"","parse-names":false,"suffix":""},{"dropping-particle":"","family":"Poscia","given":"A.","non-dropping-particle":"","parse-names":false,"suffix":""}],"container-title":"Journal of Preventive Medicine and Hygiene","id":"ITEM-1","issue":"3","issued":{"date-parts":[["2019"]]},"page":"E250-E255","title":"Quality improvement of medical records through internal auditing: A comparative analysis","type":"article-journal","volume":"60"},"uris":["http://www.mendeley.com/documents/?uuid=e377f15a-3de1-48ae-8d8e-2f3e0cc437e9"]},{"id":"ITEM-2","itemData":{"DOI":"10.1177/0269216320935361","ISSN":"1477030X","PMID":"32588748","abstract":"Background: Hospital clinicians have had to rapidly develop expertise in managing the clinical manifestations of COVID-19 including symptoms common at the end of life, such as breathlessness and agitation. There is limited evidence exploring whether end-of-life symptom control in this group requires new or adapted guidance. Aim: To review whether prescribing for symptom control in patients dying with COVID-19 adhered to existing local guidance or whether there was deviation which may represent a need for revised guidance or specialist support in particular patient groups. Design/setting: A retrospective review of the electronic patient record of 61 hospital inpatients referred to the specialist palliative care team with swab-confirmed COVID-19 who subsequently died over a 1-month period. Intubated patients were excluded. Results: In all, 83% (40/48) of patients were prescribed opioids at a starting dose consistent with existing local guidelines. In seven of eight patients where higher doses were prescribed, this was on specialist palliative care team advice. Mean total opioid dose required in the last 24 h of life was 14 mg morphine subcutaneous equivalent, and mean total midazolam dose was 9.5 mg. For three patients in whom non-invasive ventilation was in place higher doses were used. Conclusion: Prescription of end-of-life symptom control drugs for COVID-19 fell within the existing guidance when supported by specialist palliative care advice. While some patients may require increased doses, routine prescription of higher starting opioid and benzodiazepine doses beyond existing local guidance was not observed.","author":[{"dropping-particle":"","family":"Jackson","given":"Timothy","non-dropping-particle":"","parse-names":false,"suffix":""},{"dropping-particle":"","family":"Hobson","given":"Katie","non-dropping-particle":"","parse-names":false,"suffix":""},{"dropping-particle":"","family":"Clare","given":"Hannah","non-dropping-particle":"","parse-names":false,"suffix":""},{"dropping-particle":"","family":"Weegmann","given":"Daniel","non-dropping-particle":"","parse-names":false,"suffix":""},{"dropping-particle":"","family":"Moloughney","given":"Catherine","non-dropping-particle":"","parse-names":false,"suffix":""},{"dropping-particle":"","family":"McManus","given":"Sally","non-dropping-particle":"","parse-names":false,"suffix":""}],"container-title":"Palliative Medicine","id":"ITEM-2","issue":"9","issued":{"date-parts":[["2020"]]},"page":"1235-1240","title":"End-of-life care in COVID-19: An audit of pharmacological management in hospital inpatients","type":"article-journal","volume":"34"},"uris":["http://www.mendeley.com/documents/?uuid=56f016c8-bce2-40f6-9fdb-59d412f1498a"]}],"mendeley":{"formattedCitation":"(13,14)","plainTextFormattedCitation":"(13,14)","previouslyFormattedCitation":"[13], [14]"},"properties":{"noteIndex":0},"schema":"https://github.com/citation-style-language/schema/raw/master/csl-citation.json"}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(13,14)</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In fact, medical audits aim to maintain professional quality standards, effectiveness, and service quality, identify and measure risks, and optimise job satisfaction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{"citationItems":[{"id":"ITEM-1","itemData":{"DOI":"10.14710/jmki.10.1.2022.65-72","ISSN":"2303-3622","abstract":"Public hospitals as mandated by regulation, managed as a public service agency, which given the flexibility on financial and resources management to perform good business practices in order to improve community services. As a public enterprise, regional hospitals must conduct good corporate governance by optimizing resources and providing quality services. The internal audit function have important role in this area. The purpose of this study was to determine the effectiveness of the implementation of internal audit in regional public hospitals as public service agencies. The research method was descriptive with qualitative approach. Research data was collected by observation of documents and in-depth interviews in 2 hospital, regional public hospital in district and regional public hospital at Central Java Province. The research subjects consisted of directors, Internal Auditor Unit ( SPI), service department, , finance and general affair. Data was processed and then content analyzed.  Based on the research, internal audit unit structure were just formed to fully regulations. The internal audit team were incompetent, no training, job descriptions of staff had not been detailed and auditor team was double job as additional task. Audit function was more focused on the compliance of financial aspects and accountability. The function of performance evaluation and compliance on regulations had not been carried out. The constraints are the limited number of personnel and double jobs. Hospital directors were usually immediately aware of problems that arise even without reports from the internal audit unit. Monitoring and evaluation of internal audit unit has not been carried out intensively. Internal audit function had not been effectively performed. It is need to appoint staff with appropriate competencies, the role and function of the internal audit unit have to be improved through the establishment of specific job descriptions and the granting of broader authority to audit in all units.","author":[{"dropping-particle":"","family":"Arso","given":"Septo Pawelas","non-dropping-particle":"","parse-names":false,"suffix":""},{"dropping-particle":"","family":"Putro","given":"Antono Suryo","non-dropping-particle":"","parse-names":false,"suffix":""}],"container-title":"Jurnal Manajemen Kesehatan Indonesia","id":"ITEM-1","issue":"1","issued":{"date-parts":[["2022"]]},"page":"65-72","title":"The Effectiveness of Internal Audit in Regional Public Hospitals as Regional Public Service Agencies","type":"article-journal","volume":"10"},"uris":["http://www.mendeley.com/documents/?uuid=b92f3bab-2c86-44f7-af7b-459dc9aad72b"]},{"id":"ITEM-2","itemData":{"DOI":"10.1080/23311975.2020.1750331","ISSN":"23311975","abstract":"The internal audit function is important to minimize the occurrence of fraudulent financial statements and provide assurance and independent consultation for decision-making. The purpose of this study is to analyze the relationship of the quality of internal audit team (internal audit function) on audit fees, audit quality, audit choice, and audit opinion. This study uses 722 observations on companies listed on the Indonesia Stock Exchange for two periods from 2016 to 2017 and uses Ordinary Least Square Regression analysis techniques to examine the hypotheses. This study found that one of the internal auditors' functions, which is size of the internal audit team, as a corporate oversight mechanism has a positive and significant relationship to the magnitude of external auditor fees, audit quality, and the tendency of companies to choose auditors with big names (Big4). In addition, this study found that internal audit also has a negative and significant influence on the tendency of companies to accept going concern audit opinions. This research provides support on the benefit of having a good quality of internal auditors for the company. The results of this study indicate that companies that have an adequate internal audit function tend to cost higher external auditor fees, and hiring auditors with big names (Big4) to produce high audit quality. In addition, the existence of adequate internal auditors also reducing the probability of the firms on receiving the going concern audit opinions.","author":[{"dropping-particle":"","family":"Dzikrullah","given":"Achmad Dzulfikar","non-dropping-particle":"","parse-names":false,"suffix":""},{"dropping-particle":"","family":"Harymawan","given":"Iman","non-dropping-particle":"","parse-names":false,"suffix":""},{"dropping-particle":"","family":"Ratri","given":"Melinda Cahyaning","non-dropping-particle":"","parse-names":false,"suffix":""}],"container-title":"Cogent Business and Management","id":"ITEM-2","issue":"1","issued":{"date-parts":[["2020"]]},"publisher":"Cogent","title":"Internal audit functions and audit outcomes: Evidence from Indonesia","type":"article-journal","volume":"7"},"uris":["http://www.mendeley.com/documents/?uuid=184eb241-1910-44fb-ab60-8bd9f2c5dccb"]},{"id":"ITEM-3","itemData":{"abstract":"Sustainable buildings are becoming a focus nowadays as they give impact towards society, environment and cost-effectiveness. Hospital has been categorized under commercial building category as the building built for commercial use is also aimed to be a sustainable hospital. Notably, sustainable hospital aims to serve health facilities for mankind and reduce greenhouse gasses emissions to the environment from the building at the same time. In term of energy consumption, generally, hospital consumes high electricity usage since it is operating non-stop for 24 hours a day which leads to high electricity cost and give impact towards the environment. In this paper, a study of electricity usage of electrical equipment in a public hospital nearby Kuala Lumpur, Malaysia has been conducted through preliminary energy audit in the hospital. Therefore, energy conservation measures (ECMs) are suggested to be applied in the hospital to reduce its electricity consumption. From the suggested ECMs which are unplugging campaign or awareness campaign, replacement of existing personal computer with laptop, regular maintenance and refrigerator replacement, it is expected that the total electricity saving, cost saving and CO2 emission reduction are 429,743.39kWh/year, RM 152,127.57/year and 296,522.94 kg/year respectively.","author":[{"dropping-particle":"","family":"Ludin","given":"Norasikin Ahmad","non-dropping-particle":"","parse-names":false,"suffix":""},{"dropping-particle":"","family":"Junedi","given":"Mirratul Mukminah","non-dropping-particle":"","parse-names":false,"suffix":""},{"dropping-particle":"","family":"Ibrahim","given":"Mohd Adib","non-dropping-particle":"","parse-names":false,"suffix":""},{"dropping-particle":"","family":"Sopian","given":"Kamaruzzaman","non-dropping-particle":"","parse-names":false,"suffix":""},{"dropping-particle":"","family":"Mat","given":"Mohd Asri","non-dropping-particle":"","parse-names":false,"suffix":""}],"container-title":"MU-IGBC 2018 – Energising Green Buildings Conference","id":"ITEM-3","issued":{"date-parts":[["2005"]]},"page":"300-304","title":"The need for a sustainable hospital : Why and how?","type":"article-journal"},"uris":["http://www.mendeley.com/documents/?uuid=64ced653-b657-4b24-beae-8d4791f9dd67"]}],"mendeley":{"formattedCitation":"(15–17)","plainTextFormattedCitation":"(15–17)","previouslyFormattedCitation":"[15]–[17]"},"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(15–17)</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w:t>
      </w:r>
    </w:p>
    <w:p w:rsidR="00FF5CFC" w:rsidRPr="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The development of malpractice cases in Indonesia, based on data from the Indonesian Doctors Association, shows that the number of cases of lawsuits against doctors continues to increase. In 2015 there were 10 cases, but this jumped to 30 cases in 2016, 38 cases in 2017, and 33 cases in 2018. Meanwhile, from 2006 to February 2015, 310 cases of alleged malpractice were reported to the Indonesian Medical Council (IMC), 114 of which were general practitioners, followed by surgeons 76 cases, obstetricians 56 cases and paediatricians 27 cases. Most cases reached 297, followed by health workers with 11 cases and institutions with 9 cases. Jakarta is the city with the highest complaints. Indonesian Medical Discipline Honorary Council (IMDHC) performance from 2016 until now has reported 313 cases, while 305 completed cases obtained an achievement of 97.44%, while the remaining 8 (eight) cases of complaints are still being processed.</w:t>
      </w:r>
    </w:p>
    <w:p w:rsidR="00FF5CFC" w:rsidRPr="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Implementing medical practice is the core of 1 Section Considering the Law of the Republic of Indonesia Number 29 of 2004 concerning Medical Practice (Medical Practice Law). 2 Section General Explanation of the Law on Medical Practice. various activities in the implementation of health efforts must be carried out by doctors and dentists who have high ethics and morals, expertise and authority whose quality must be continuously improved through continuous education and training, certification, registration, licensing, as well as guidance, supervision and monitoring so that implementation of medical practice following the development of science and technology. Doctors and dentists, with their scientific devices, have unique characteristics. This uniqueness can be seen from the justification given by law, namely the permissibility of carrying out medical actions on the human body in an effort to maintain and improve health status.</w:t>
      </w:r>
    </w:p>
    <w:p w:rsidR="00FF5CFC" w:rsidRPr="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Doctors can be said to have violated the rules of their profession (</w:t>
      </w:r>
      <w:r w:rsidRPr="00FF5CFC">
        <w:rPr>
          <w:rFonts w:ascii="Calibri Light" w:hAnsi="Calibri Light" w:cs="Calibri Light"/>
          <w:i/>
          <w:iCs/>
          <w:sz w:val="24"/>
          <w:szCs w:val="24"/>
        </w:rPr>
        <w:t>beroepsfout</w:t>
      </w:r>
      <w:r w:rsidRPr="00FF5CFC">
        <w:rPr>
          <w:rFonts w:ascii="Calibri Light" w:hAnsi="Calibri Light" w:cs="Calibri Light"/>
          <w:sz w:val="24"/>
          <w:szCs w:val="24"/>
        </w:rPr>
        <w:t>) when the necessary medical equipment and diagnoses do not accompany the tasks they carry out, are unable to reach the minimum standards of the profession they are carrying out, or when the doctor commits negligence (</w:t>
      </w:r>
      <w:r w:rsidRPr="00FF5CFC">
        <w:rPr>
          <w:rFonts w:ascii="Calibri Light" w:hAnsi="Calibri Light" w:cs="Calibri Light"/>
          <w:i/>
          <w:iCs/>
          <w:sz w:val="24"/>
          <w:szCs w:val="24"/>
        </w:rPr>
        <w:t>culpa</w:t>
      </w:r>
      <w:r w:rsidRPr="00FF5CFC">
        <w:rPr>
          <w:rFonts w:ascii="Calibri Light" w:hAnsi="Calibri Light" w:cs="Calibri Light"/>
          <w:sz w:val="24"/>
          <w:szCs w:val="24"/>
        </w:rPr>
        <w:t xml:space="preserve">). Conversely, when the minimum requirements have been met, and the entire diagnostic process is carried out properly and correctly without any errors being made, the doctor cannot be said to have committed a medical violation as stated in Article 359 and Article 360 ​​of the Criminal Code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{"citationItems":[{"id":"ITEM-1","itemData":{"author":[{"dropping-particle":"","family":"Hatta","given":"Moh","non-dropping-particle":"","parse-names":false,"suffix":""}],"container-title":"Yogyakarta: Liberty","id":"ITEM-1","issued":{"date-parts":[["2013"]]},"publisher":"Liberty","publisher-place":"Yogyakarta","title":"Hukum Kesehatan dan Sengketa Medik","type":"book"},"uris":["http://www.mendeley.com/documents/?uuid=5bc78261-ab72-4e8c-ae98-90a4c834b023"]}],"mendeley":{"formattedCitation":"(18)","plainTextFormattedCitation":"(18)","previouslyFormattedCitation":"[18]"},"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(18)</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Therefore, any party who intends to sue a doctor for a medical error or negligence allegedly committed by the doctor must be able to prove that there was a violation of the minimum standard of medical practice that occurred and must be able to prove that the alleged mistake or negligence could result in significant medical consequences for the victim's safety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{"citationItems":[{"id":"ITEM-1","itemData":{"DOI":"10.1017/9781316092675.012","ISBN":"9781316092675","ISSN":"0933-4548","PMID":"27483685","abstract":"Various legal options, grounded in contract, intentional torts, property and equity, are open to aggrieved patients who have suffered harm. Nevertheless, there are restrictions implicit in those causes of action. So, for example, a patient could sue for breach of contract, although such an action is limited to the express terms of the doctor-patient contract (of which there are few), or breach of an implied term. Though a patient might claim there was an implied term that the doctor pledged to cure the patient, courts have been reluctant to imply such a term. Similarly, save in the situation where a doctor carries out a physical intervention to which no consent was given by a patient (eg. the doctor operates on an arm instead of a leg), the action in battery is of limited use. Courts will not grant relief in battery where what is complained of by the patient is that no real consent was given because the patient was not informed of the risks of a treatment. However, there is another legal cause of action that may be considered in these circumstances – an action in negligence. The purpose of this chapter is to explain the use of such a cause of action in a healthcare setting. In the first part of the chapter, we consider the basis and first principles of claims made in negligence. In the second part, we consider the key elements of a claim in negligence – duty of care, breach, causation and remoteness – and how they apply in context of claims made against medical practitioners and in healthcase settings more generally.","author":[{"dropping-particle":"","family":"Devereux","given":"John","non-dropping-particle":"","parse-names":false,"suffix":""}],"container-title":"Health Law Frameworks: And Context","id":"ITEM-1","issued":{"date-parts":[["2017"]]},"number-of-pages":"138-148","publisher-place":"Singapore","title":"Medical Negligence","type":"book"},"uris":["http://www.mendeley.com/documents/?uuid=bb697ce3-989a-4359-86da-2c3e0fe3575f"]}],"mendeley":{"formattedCitation":"(19)","plainTextFormattedCitation":"(19)","previouslyFormattedCitation":"[19]"},"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(19)</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An act or attitude of a doctor or dentist is </w:t>
      </w:r>
      <w:r w:rsidRPr="00FF5CFC">
        <w:rPr>
          <w:rFonts w:ascii="Calibri Light" w:hAnsi="Calibri Light" w:cs="Calibri Light"/>
          <w:sz w:val="24"/>
          <w:szCs w:val="24"/>
        </w:rPr>
        <w:t xml:space="preserve">considered negligent if there is an element of deviation from obligations and all things that the patient feels are a loss from medical services. Medical disputes that occur allegedly due to negligence are regulated in Article 29 of Law Number 36 of 2009 concerning Health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{"citationItems":[{"id":"ITEM-1","itemData":{"abstract":"Pasal  44 Undang-Undang  No.29  Tahun  2004  Tentang  Praktek  Kedokteran menyatakan  “Dokter  dan  dokter  gigi  dalam  menyelenggarakan  praktek  kedokteran  wajib mengikuti standard pelayanan kedokteran dan kedokteran gigi”. Dokter dalam menjalankan tugasnya  mempunyai  alasan  yang  mulia yaitu  berusaha  mempertahankan  supaya  tubuh pasien   tetap   sehat   atauberusaha   untuk  menyehatkan   tubuh   pasien   atau   setidaknya mengurangi  penderitaan  pasien, tetapi  pelayanan  kesehatan  seorang  dokter  kepada  pasien tidak  selamanya  berhasil  dengan  baik,  tetapi  ada  kalanya  usaha  tersebut  mengalami kegagalan,  kecacatan,  dan  kematian  pasien.  Tujuan  penelitian  adalah  untuk  mengetahui perlindungan hukum apa saja terhadap pasien atas korban malpraktek dan bagaimana solusi penyelesaian  atas  pasien  korban  malpraktek.  Hasil  penelitian  menunjukkan  bahwa  pasien atas   korban   malpraktek   belum   dapat   berjalan   sepenuhnya   sebagaimana   diharapkan. Solusinya  adalah  dapat  berupa:a.  penyelesaian  secara  pidana,  b.  penyelesaian  secara perdata,  c.  penyelesaian  melalui Kode  Etik  KedokteranIDI,  d.  penyelesaian  melalui  majelis kehormatan disiplin kedokteran Indonesia.","author":[{"dropping-particle":"","family":"Nurdin","given":"M","non-dropping-particle":"","parse-names":false,"suffix":""}],"container-title":"Jurnal Hukum Samudra Keadilan","id":"ITEM-1","issue":"1","issued":{"date-parts":[["2015"]]},"page":"92-109","title":"Perlindungan Hukum Terhadap Pasien atas Korban Malpraktik Kedokteran","type":"article-journal","volume":"10"},"uris":["http://www.mendeley.com/documents/?uuid=82148fb3-9d6b-4cca-9bfb-1640f11e057c"]}],"mendeley":{"formattedCitation":"(20)","plainTextFormattedCitation":"(20)","previouslyFormattedCitation":"[20]"},"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(20)</w:t>
      </w:r>
      <w:r w:rsidR="005B764C">
        <w:rPr>
          <w:rFonts w:ascii="Calibri Light" w:hAnsi="Calibri Light" w:cs="Calibri Light"/>
          <w:sz w:val="24"/>
          <w:szCs w:val="24"/>
        </w:rPr>
        <w:fldChar w:fldCharType="end"/>
      </w:r>
      <w:r w:rsidRPr="00FF5CFC">
        <w:rPr>
          <w:rFonts w:ascii="Calibri Light" w:hAnsi="Calibri Light" w:cs="Calibri Light"/>
          <w:sz w:val="24"/>
          <w:szCs w:val="24"/>
        </w:rPr>
        <w:t>.</w:t>
      </w:r>
    </w:p>
    <w:p w:rsidR="00FF5CFC" w:rsidRPr="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 xml:space="preserve">3 (three) Values must exist as legal content, namely justice, benefit, and legal certainty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{"citationItems":[{"id":"ITEM-1","itemData":{"author":[{"dropping-particle":"","family":"Yovita A Mangesti","given":"","non-dropping-particle":"","parse-names":false,"suffix":""}],"container-title":"Yogyakarta: Genta Publishing","id":"ITEM-1","issued":{"date-parts":[["2016"]]},"publisher":"Genta Publishing","publisher-place":"Yogyakarta","title":"Hukum Berparadigma Kemanusian","type":"book"},"uris":["http://www.mendeley.com/documents/?uuid=e643fc08-c89c-48af-9cbc-b9934ce25e34"]}],"mendeley":{"formattedCitation":"(11)","plainTextFormattedCitation":"(11)","previouslyFormattedCitation":"[11]"},"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(11)</w:t>
      </w:r>
      <w:r w:rsidR="005B764C">
        <w:rPr>
          <w:rFonts w:ascii="Calibri Light" w:hAnsi="Calibri Light" w:cs="Calibri Light"/>
          <w:sz w:val="24"/>
          <w:szCs w:val="24"/>
        </w:rPr>
        <w:fldChar w:fldCharType="end"/>
      </w:r>
      <w:r w:rsidRPr="00FF5CFC">
        <w:rPr>
          <w:rFonts w:ascii="Calibri Light" w:hAnsi="Calibri Light" w:cs="Calibri Light"/>
          <w:sz w:val="24"/>
          <w:szCs w:val="24"/>
        </w:rPr>
        <w:t>. So far, there has been a temporary assumption that mediation can create justice without focusing on any party. Mediation from a linguistic point of view (etymology) places more emphasis on the existence of a third party who bridges the disputing parties to resolve the dispute. In addition, non-litigation mediation can also be carried out by the Indonesian Medical Discipline Honorary Council as an institution that maintains the dignity of Doctors/Dentists in carrying out the scientific discipline of Medicine. Therefore, the IMDHC is a body appointed by the IMC to handle cases of suspected medical or dental discipline violations and determine sanctions where settlements are carried out through mediation. Circular of Secret Instructions from the Attorney General's Office No. B006/R-3/I/1982 Attorney General, dated October 19, 1982, concerning "Medicinal Profession Cases", stated that proceeding with the case was unnecessary before consulting with local Health Service officials or the Republic of Indonesia Health Department. Likewise, the decision of the Indonesian Constitutional Court states that medical disputes are resolved first through professional courts. Mediators who so far mediate medical disputes, in fact, what they do is generally a frightening spectre for doctors, while patients often feel unrepresented if dispute resolution is carried out through a body belonging to the medical profession, the IMDHC.</w:t>
      </w:r>
    </w:p>
    <w:p w:rsidR="00FF5CFC" w:rsidRPr="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 xml:space="preserve">Medical crimes often arise due to unsatisfactory results from medical services, related to the lack of information from doctors, or negligence from medical personnel themselves.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{"citationItems":[{"id":"ITEM-1","itemData":{"author":[{"dropping-particle":"","family":"Handayani","given":"T","non-dropping-particle":"","parse-names":false,"suffix":""}],"container-title":"Jurnal Hukum Mimbar Justitia","id":"ITEM-1","issue":"2","issued":{"date-parts":[["2014"]]},"page":"369-388","title":"Penyelesaian sengketa medis melalui mediasi dihubungkan dengan peraturan Mahkamah Agung Nomor I Tahun 2008 tentang Prosedur Mediasi di Pengadilan","type":"article-journal","volume":"6"},"uris":["http://www.mendeley.com/documents/?uuid=b91a9586-db31-46df-b7be-9d4c5d390b59"]}],"mendeley":{"formattedCitation":"(21)","plainTextFormattedCitation":"(21)","previouslyFormattedCitation":"[21]"},"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noProof/>
          <w:sz w:val="24"/>
          <w:szCs w:val="24"/>
        </w:rPr>
        <w:t>(21)</w:t>
      </w:r>
      <w:r w:rsidR="005B764C">
        <w:rPr>
          <w:rFonts w:ascii="Calibri Light" w:hAnsi="Calibri Light" w:cs="Calibri Light"/>
          <w:sz w:val="24"/>
          <w:szCs w:val="24"/>
        </w:rPr>
        <w:fldChar w:fldCharType="end"/>
      </w:r>
      <w:r w:rsidRPr="00FF5CFC">
        <w:rPr>
          <w:rFonts w:ascii="Calibri Light" w:hAnsi="Calibri Light" w:cs="Calibri Light"/>
          <w:sz w:val="24"/>
          <w:szCs w:val="24"/>
        </w:rPr>
        <w:t>. The cause of a dispute between a doctor and a patient is if this dissatisfaction arises due to an alleged error or negligence by the doctor in carrying out his duties, causing harm to the patient. Often the cause of medical disputes is incomplete medical information, being delivered late, or even incorrectly provided information, which impacts the medical actions taken. The disputing parties must, of course, be able to prove whether the loss suffered by the patient was caused by the doctor's malpractice or, indeed, a medical risk. This proof can be said to be quite complicated and, of course, requires expert testimony from the medical or medical field.</w:t>
      </w:r>
    </w:p>
    <w:p w:rsidR="008C45DE" w:rsidRPr="00122F5F" w:rsidP="00FF5CFC">
      <w:pPr>
        <w:spacing w:before="120" w:after="120"/>
        <w:ind w:left="426"/>
        <w:jc w:val="both"/>
        <w:rPr>
          <w:rFonts w:ascii="Calibri Light" w:hAnsi="Calibri Light" w:cs="Calibri Light"/>
          <w:color w:val="FF0000"/>
          <w:sz w:val="24"/>
          <w:szCs w:val="24"/>
          <w:lang w:val="id-ID"/>
        </w:rPr>
      </w:pPr>
      <w:r w:rsidRPr="00FF5CFC">
        <w:rPr>
          <w:rFonts w:ascii="Calibri Light" w:hAnsi="Calibri Light" w:cs="Calibri Light"/>
          <w:sz w:val="24"/>
          <w:szCs w:val="24"/>
        </w:rPr>
        <w:t>Medical action against the human body that a doctor or dentist does not carry out can be classified as criminal. However, its implementation sometimes creates problems that lead to medical disputes. Usually, what is disputed is in the form of Violation of medical ethics; Violation of medical discipline; Violation of the rights of other people/patients, or Violation of the public interest so that doctors and dentists are held accountable in medical ethics, medical discipline and legal responsibility both in civil, criminal and state administration. The public's trust in doctors and dentists is decreasing, and even lawsuits filed by the public are rife nowadays. This often happens because it is identified with the failure of healing efforts by doctors and dentists.</w:t>
      </w:r>
    </w:p>
    <w:p w:rsidR="008C45DE" w:rsidRPr="00122F5F" w:rsidP="00FF5CFC">
      <w:pPr>
        <w:spacing w:before="120" w:after="120"/>
        <w:ind w:left="426"/>
        <w:jc w:val="both"/>
        <w:rPr>
          <w:rFonts w:ascii="Calibri Light" w:hAnsi="Calibri Light" w:cs="Calibri Light"/>
          <w:color w:val="FF0000"/>
          <w:sz w:val="24"/>
          <w:szCs w:val="24"/>
          <w:lang w:val="id-ID"/>
        </w:rPr>
      </w:pPr>
      <w:r w:rsidRPr="00FF5CFC">
        <w:rPr>
          <w:rFonts w:ascii="Calibri Light" w:hAnsi="Calibri Light" w:cs="Calibri Light"/>
          <w:sz w:val="24"/>
          <w:szCs w:val="24"/>
        </w:rPr>
        <w:t xml:space="preserve">On the other hand, if a medical procedure is successful, it is considered excessive, even though doctors and dentists, with their scientific and technological tools, are only trying to heal, and failure to apply medical and dental science is not always synonymous with failure in action. To </w:t>
      </w:r>
      <w:r w:rsidRPr="00FF5CFC">
        <w:rPr>
          <w:rFonts w:ascii="Calibri Light" w:hAnsi="Calibri Light" w:cs="Calibri Light"/>
          <w:sz w:val="24"/>
          <w:szCs w:val="24"/>
        </w:rPr>
        <w:t>overcome this problem, various legal efforts have been made to provide comprehensive protection to the community as service recipients, doctors and dentists as service providers. Because advances in medical science and technology are developing very fast and are not balanced with legal developments, the legal instruments governing the practice of Medicine and dentistry, including settlement in the event of a medical dispute, must be regulated. This is done in order to provide legal certainty to recipients of health services, doctors and dentists.</w:t>
      </w:r>
    </w:p>
    <w:p w:rsidR="008C45DE" w:rsidRPr="00122F5F" w:rsidP="008C45DE">
      <w:pPr>
        <w:spacing w:before="120" w:after="120"/>
        <w:ind w:left="426" w:firstLine="709"/>
        <w:jc w:val="both"/>
        <w:rPr>
          <w:rFonts w:ascii="Calibri Light" w:hAnsi="Calibri Light" w:cs="Calibri Light"/>
          <w:color w:val="FF0000"/>
          <w:sz w:val="24"/>
          <w:szCs w:val="24"/>
          <w:lang w:val="id-ID"/>
        </w:rPr>
      </w:pPr>
    </w:p>
    <w:p w:rsidR="00D26ADD" w:rsidRPr="00122F5F"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Pr="00122F5F">
        <w:rPr>
          <w:rFonts w:ascii="Calibri Light" w:hAnsi="Calibri Light" w:cs="Calibri Light"/>
          <w:b/>
          <w:sz w:val="24"/>
          <w:szCs w:val="24"/>
        </w:rPr>
        <w:t xml:space="preserve"> </w:t>
      </w:r>
    </w:p>
    <w:p w:rsidR="00D26ADD" w:rsidRPr="00122F5F" w:rsidP="008C3DC2">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lang w:val="en-AU"/>
        </w:rPr>
        <w:t>This research is normative legal research (normative juridical) using statutory and conceptual approaches. The statutory approach is carried out by reviewing statutory regulations and the implementation of settlement of medical crimes, other implementing regulations include Law number 44 of 2009 concerning hospitals, Law number 29 of 2004 concerning medical practice, Law number 36 of 2014 concerning Health Personnel, Law number 36 of 2014 concerning Health Personnel, Minister of Health Regulation number 755 of 2011 concerning organising medical committees in hospitals, Minister of Health Number 290/Menkes/Per/III/2008 concerning approval of medical action, Minister of Health Number 36 of 2014 2012 concerning medical secrets, Regulation of the Minister of Health of the Republic of Indonesia number 24 of 2022 concerning medical records, Government Regulation number 47 of 2021 concerning Implementation of the Hospital Sector, Republic of Indonesia Supreme Court Regulation Number 1 of 2016 concerning Mediation Procedures in Courts, Indonesian Medical Council Regulation number 32 of 2015 concerning Procedures How to Handle Cases of Alleged Discipline Violations Doctors and Dentists, Medical Council Number 4 of 2011 concerning Professional Discipline of Doctors and Dentists, Decree of the Minister of Health of the Republic of Indonesia number 496/MENKES/SK/IV/2005 concerning Guidelines for Medical Audit in Hospitals, Criminal Code, Regulations Minister of Health of the Republic of Indonesia Number 42 of 2018 concerning the Hospital Ethics and Law Committee, Regulation of the Minister of Health of the Republic of Indonesia Number 43 of 2016 concerning Minimum Service Standards in the Health Sector.</w:t>
      </w:r>
    </w:p>
    <w:p w:rsidR="00F369EC" w:rsidRPr="00122F5F" w:rsidP="00F369EC">
      <w:pPr>
        <w:spacing w:before="120" w:after="120"/>
        <w:ind w:left="426"/>
        <w:jc w:val="both"/>
        <w:rPr>
          <w:rFonts w:ascii="Calibri Light" w:hAnsi="Calibri Light" w:cs="Calibri Light"/>
          <w:color w:val="FF0000"/>
          <w:sz w:val="24"/>
          <w:szCs w:val="24"/>
          <w:lang w:val="id-ID"/>
        </w:rPr>
      </w:pPr>
    </w:p>
    <w:p w:rsidR="00D26ADD" w:rsidRPr="00122F5F"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r w:rsidRPr="00122F5F">
        <w:rPr>
          <w:rFonts w:ascii="Calibri Light" w:hAnsi="Calibri Light" w:cs="Calibri Light"/>
          <w:b/>
          <w:sz w:val="24"/>
          <w:szCs w:val="24"/>
        </w:rPr>
        <w:t xml:space="preserve"> </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 medical committee is a hospital apparatus for implementing clinical governance so that hospital medical staff can maintain professionalism through a credentialing mechanism, improve the quality of the medical profession and uphold the ethics and discipline of the medical profession and recommend follow-up to the hospital director. The medical committee was formed with the aim of implementing good clinical governance so that the quality of medical services and patient safety can be guaranteed and protected. The medical committee is a medical professional organisation whose members come from the head of the medical staff group or a representative. Establishing a government hospital medical committee is stipulated by a decree of </w:t>
      </w:r>
      <w:r w:rsidRPr="00FF5CFC">
        <w:rPr>
          <w:rFonts w:ascii="Calibri Light" w:hAnsi="Calibri Light" w:cs="Calibri Light"/>
          <w:sz w:val="24"/>
          <w:szCs w:val="24"/>
        </w:rPr>
        <w:t>the hospital director with a working period of 3 years. The medical committee has the highest authority in organising medical personnel and is responsible for the quality of medical services, fostering medical ethics and developing the medical profession. (b) create standardised formats for standard medical services, standard operational procedures in the managerial/administrative and scientific/professional fields, professional standards and competency standards; (c) to standardise the format for collecting, monitoring and reporting clinical quality indicators; (d) monitoring clinical quality, medical ethics and implementing medical professional development.</w:t>
      </w:r>
    </w:p>
    <w:p w:rsidR="00FF5CFC" w:rsidRPr="00FF5CFC" w:rsidP="00FF5CFC">
      <w:pPr>
        <w:pStyle w:val="ListParagraph"/>
        <w:spacing w:before="120" w:after="120"/>
        <w:ind w:left="440" w:right="-1" w:hanging="14"/>
        <w:jc w:val="both"/>
        <w:rPr>
          <w:rFonts w:ascii="Calibri Light" w:hAnsi="Calibri Light" w:cs="Calibri Light"/>
          <w:sz w:val="24"/>
          <w:szCs w:val="24"/>
        </w:rPr>
      </w:pPr>
      <w:bookmarkStart w:id="3" w:name="_Hlk127127269"/>
      <w:r w:rsidRPr="00FF5CFC">
        <w:rPr>
          <w:rFonts w:ascii="Calibri Light" w:hAnsi="Calibri Light" w:cs="Calibri Light"/>
          <w:sz w:val="24"/>
          <w:szCs w:val="24"/>
        </w:rPr>
        <w:t>The medical committee has the task of monitoring and evaluating the quality of medical services which have been carried out, among other things, through organising activities such as medical audits. Implementing a series of management function activities such as planning, organising, implementing, controlling and supervising requires the support of organisational resources to achieve organisational goals. Hospital organisational resources include human resources, finance, methods, facilities, equipment and information. The medical committee plays an important role in maintaining the professionalism of the medical staff working in the hospital, which includes counselling in providing medical services at the hospital (clinical appointment), including details (delineation of clinical privileges), maintaining the competence and ethics of the medical profession, and maintaining professional discipline. Therefore, the hospital director has an obligation so that the medical committee has access to detailed information on the professionalism of every medical staff working in the hospital. To carry out a medical audit, the medical committee is the main engine in the hospital based on its formation function, namely to prevent the possibility of management or professional negligence in the institution it oversees, as well as seek corrective steps that can be taken when management irregularities are identified in the results of a medical audit.</w:t>
      </w:r>
    </w:p>
    <w:bookmarkEnd w:id="3"/>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Medical audit is a process of evaluating the quality of medical services through medical record review by the medical profession. A medical audit aims to provide excellent medical services based on evaluating service quality, applying standards, and improving services based on patient needs and existing standards. Discussing death cases, difficult cases, rare cases, etc., is the simplest form of medical audit. A plenary medical audit includes review, assessment and surveillance. The medical audit is a process because it is an ongoing endeavour. The core process of a medical audit is to determine the cases to be audited, collect the case files, and compare the medical services provided with the standards to take corrective action. Medical audits can be conducted from medical staff groups (organisations of doctors with ability or competence) to the level of medical committees at the hospital level.</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One of the medical service standards (quality and patient safety) in this context is Medical Audit. This is divided into two parts, namely Internal Medical Audit and </w:t>
      </w:r>
      <w:r w:rsidRPr="00FF5CFC">
        <w:rPr>
          <w:rFonts w:ascii="Calibri Light" w:hAnsi="Calibri Light" w:cs="Calibri Light"/>
          <w:sz w:val="24"/>
          <w:szCs w:val="24"/>
        </w:rPr>
        <w:t>External Medical Audit; Medical Audit itself is a series of audits as a professional evaluation effort on the quality of medical services provided to patients using medical records; the medical profession carries out the implementation of a Medical Audit. Although Medical Audit is not explicitly regulated in the Medical Practice Law, doctors must also understand Medical Audit because in carrying out medical practice, doctors are also required to carry out quality control and cost control, which can be carried out on the implementation of quality control and cost control. Medical audit as stated in Article 49 paragraph (1) and paragraph (2) of the Medical Practice Law</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One of the medical service standards (quality and patient safety) in this context is Medical Audit. This is divided into two parts, namely Internal Medical Audit and External Medical Audit; Medical Audit itself is a series of audits to evaluate professionally the quality of medical services provided to patients using medical records; the medical profession carries out the implementation of Medical Audit. Although Medical Audit is not explicitly regulated in the Medical Practice Law, doctors must also understand Medical Audit because in carrying out medical practice, doctors are also required to carry out quality control and cost control, which can be carried out on the implementation of quality control and cost control. Medical audit as stated in Article 49, paragraph (1) and paragraph (2) of the Medical Practice Law.</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lang w:val="en-AU"/>
        </w:rPr>
        <w:t xml:space="preserve">Quality in medical actions can minimise conflicts between health workers, especially doctors and patients. Medical audit, according to the British Government, is a systematic and critical analysis of the quality of medical services, in which, among other things, there is the quality of life and outcomes for patients, procedures used to diagnose and treat, use of resources with the aim of services provided by patients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{"citationItems":[{"id":"ITEM-1","itemData":{"DOI":"10.24167/shk.v5i2.2461","abstract":"Abstract: the maternal audit Program that took place since 2012 as the development of quality improvement efforts and safety of maternal health services is still not by Hope. The maternal audit process itself is lengthy so that there can be certain time gaps in problem-solving, the possibility of changing the contents of the clinic's audit and a verbal autopsy is inaccurate. This research is expected to answer questions and provide solutions for the lack of functioning of the maternal audit in reducing maternal mortality, and generate a comprehensive policy in the effort to reduce maternal mortality by auditing Maternal quality.  ","author":[{"dropping-particle":"","family":"Muliarini","given":"Prita","non-dropping-particle":"","parse-names":false,"suffix":""}],"container-title":"Soepra","id":"ITEM-1","issue":"2","issued":{"date-parts":[["2020"]]},"page":"224","title":"The reconstruction of Maternal Audit with the electronic health information System","type":"article-journal","volume":"5"},"uris":["http://www.mendeley.com/documents/?uuid=7fcff291-78a1-4260-96e0-f047c0ab06de"]}],"mendeley":{"formattedCitation":"(22)","plainTextFormattedCitation":"(22)","previouslyFormattedCitation":"[22]"},"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sz w:val="24"/>
          <w:szCs w:val="24"/>
        </w:rPr>
        <w:t>(22)</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 basis for carrying out a medical audit is listed in Article 49, paragraph (1) and paragraph (2) of the Medical Law. In the Hospital Act, medical audits are also encouraged to be carried out to maintain and improve the quality and quality of health services, improve patient safety and comfort, and optimise the achievement of quality hospital services. Therefore, medical audit is vital and must be involved in implementing health services. </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Therefore, in the implementation of the medical audit, the hospital has an important and strategic role in terms of medical services to patients at the hospital, the implementation of good action and is guided by hospital operational standards, all of which can be seen in the medical audit mechanism by the medical committee in the hospital. The implementation of Medical Audit is carried out by 2 (two) different formations, namely by the medical committee at the hospital and the health organisation, namely the Indonesian Doctors Association. The medical committee at the hospital can carry out medical audits in hospitals; this is evaluation material for all medical actions carried out by doctors. While the medical audit conducted by the Indonesian Doctors Association must be based on complaints when the doctors themselves allegedly </w:t>
      </w:r>
      <w:r w:rsidRPr="00FF5CFC">
        <w:rPr>
          <w:rFonts w:ascii="Calibri Light" w:hAnsi="Calibri Light" w:cs="Calibri Light"/>
          <w:sz w:val="24"/>
          <w:szCs w:val="24"/>
        </w:rPr>
        <w:t>committed cases or deviations. The medical audit can be a way and test material to answer a problem when there are legal cases or irregularities that occur when medical personnel or doctors provide health services or medical services to patients.</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All of the measurements or benchmarks above can only be proven by the Medical Audit mechanism because to determine a doctor's actions according to the medical profession, such as actions that are thorough and in accordance with medical standards, assessment of a doctor's actions according to average ability compared to doctors from the expertise category the same medical treatment, the same situations and conditions, and with means of effort that meet a reasonable comparison compared to the concrete objectives of the medical action, it is very difficult and can lead to errors if not seen properly. Therefore, those who can find, assess, and explain or describe the actions of doctors or medical personnel to comply with standard procedures and standard operating procedures in the medical record are Medical Audits, in which there is a team of experts in the medical field.</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Mechanism of Medical Audit in hospitals, which can be carried out for the sake of quality or medical quality and patient protection, which is carried out 3 (three) times a year in hospitals. This depends on the legal provisions in each hospital, and the audit action is based on every action taken by medical personnel if there is a possibility of failure in action, and then in that failure, it is found that there was an error in a medical action, then the medical committee will provide recommendations so that it does not happen again, meaning that the recommendation is an improvement in terms of medical services to a better direction. Medical Service Standards must be valid when stipulated, refer to the latest literature supported by clinical evidence, and can be based on the results of medical science and technology screening carried out by the Ministry of Health or medical education institutions. Medical service standards include National guidelines for medical services and standard operating procedures. The medical audit mechanism is carried out by the medical profession, namely the medical committee, when there is a problem or deviation in the process of medical action or healing from the hospital, namely the doctor to the patient; the results of the medical audit are brought to the Mitra Bestari section (peer group) to be assessed based on the competence of the profession involved. Well, these results are then judged to be wrong or not, the actions of doctors in hospitals by medical, ethical and legal committees in the form of recommendations.</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 implementation of a medical audit relies on medical records, which are one part of the medical audit action because it depends on what is being audited, for example, medical records, lab results, radiology etc., that the medical record is a written or recorded, statement regarding identity, anamnesis, physical laboratory determinations, diagnosis of all services and medical procedures provided to patients, as well as inpatient and outpatient treatment as well as emergency services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ISBN":"978-602-8570-77-0","author":[{"dropping-particle":"","family":"Bastian","given":"Indra","non-dropping-particle":"","parse-names":false,"suffix":""},{"dropping-particle":"","family":"Suryono","given":"","non-dropping-particle":"","parse-names":false,"suffix":""}],"id":"ITEM-1","issued":{"date-parts":[["2011"]]},"number-of-pages":"310","publisher":"Salemba Medika","publisher-place":"Jakarta","title":"Penyelesaian Sengketa Kesehatan","type":"book"},"uris":["http://www.mendeley.com/documents/?uuid=270802b8-40b4-4a5b-8a83-5d5542f4429b"]}],"mendeley":{"formattedCitation":"(23)","plainTextFormattedCitation":"(23)","previouslyFormattedCitation":"[23]"},"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sz w:val="24"/>
          <w:szCs w:val="24"/>
        </w:rPr>
        <w:t>(23)</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 implementation of a </w:t>
      </w:r>
      <w:r w:rsidRPr="00FF5CFC">
        <w:rPr>
          <w:rFonts w:ascii="Calibri Light" w:hAnsi="Calibri Light" w:cs="Calibri Light"/>
          <w:sz w:val="24"/>
          <w:szCs w:val="24"/>
        </w:rPr>
        <w:t>medical audit requires the presence of a very useful visiting consultant, where the medical auditor (consultant) will be free to evaluate objectively all factors related to the quality of the service being carried out. Apart from that, the hospital also needs a medical committee assisted by hospital staff as needed. Every implementation of a medical audit will encounter obstacles in its implementation, namely: (1) it takes time and costs; (2) audits are generally carried out retrospectively; (3) conflicts sometimes arise between those being audited and those being audited, what needs to be emphasised is that the focus of this audit is to improve the quality of service and patient care not to determine scoring assessments; (4) in carrying out the doctor's duties professionally, the doctor has autonomy where the doctor is the decision maker, and the patient submits to the doctor's decision; (5) in medical audits there is an impression that efforts are incidental and selective in selecting problems/aspects to be addressed, not yet systematic and thorough and the most concern is the scientific aspect and clinical problems.</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Every action carried out by medical personnel must be based on Professional Standards and Standard Operating Procedures, so the medical record is the formation of all written or recorded actions of medical staff and medical services to patients; a medical audit should be said to be a manifestation of the Professional Standards and Standard Operating Procedures because medical audits are based on medical records and medical records are carried out based on professional standard actions and standard operating procedures for medical personnel, to patients. Every doctor's action that can be said to be an action that fails in medical action can rightly be said to be an action that is not under professional standards or standard operating procedures because every doctor's action must be based on professional standards and standard operating procedures, in medical science there is always a failure in action, but the doctor cannot be blamed for that, because it contains the implementation of therapeutic transactions, meaning that it does not promise results but attempts or healing efforts (</w:t>
      </w:r>
      <w:r w:rsidRPr="00FF5CFC">
        <w:rPr>
          <w:rFonts w:ascii="Calibri Light" w:hAnsi="Calibri Light" w:cs="Calibri Light"/>
          <w:i/>
          <w:iCs/>
          <w:sz w:val="24"/>
          <w:szCs w:val="24"/>
        </w:rPr>
        <w:t>inspanning verbintennis</w:t>
      </w:r>
      <w:r w:rsidRPr="00FF5CFC">
        <w:rPr>
          <w:rFonts w:ascii="Calibri Light" w:hAnsi="Calibri Light" w:cs="Calibri Light"/>
          <w:sz w:val="24"/>
          <w:szCs w:val="24"/>
        </w:rPr>
        <w:t>) which in it are always accompanied by risks, or even unexpected medical failures, even can cause disability or death, therefore professional standards and standard operating procedures are a measure of action by medical personnel, even though they are following professional standards and standard operating procedures but failures occur by doctors or medical personnel, t still can't be faulted.</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 use of medical audit facilities for medical records is a logical consequence of doctors' actions in carrying out medical actions because determining an error or negligence committed by a doctor is very difficult to find and apply. As we know, to assess that a doctor acts in terms of medical professional standards, it is determined by the provisions of the action carefully, according to medical standards, average ability compared to other doctors, and a similar condition, as well as efforts reasonable comparison. All of this cannot be seen and assessed individually or </w:t>
      </w:r>
      <w:r w:rsidRPr="00FF5CFC">
        <w:rPr>
          <w:rFonts w:ascii="Calibri Light" w:hAnsi="Calibri Light" w:cs="Calibri Light"/>
          <w:sz w:val="24"/>
          <w:szCs w:val="24"/>
        </w:rPr>
        <w:t>subjectively to say that the doctor's actions were guilty. Philosophically, dispute resolution is an attempt to restore the relationship of the disputing parties to their original condition; by returning the relationship, they can establish good social and legal relations with one another. Dispute resolution at this stage can be with or without the help of a third party. Usually, at the initial stage, negotiations are carried out, that is, without involving a third party as a mediator or referee, in which each party or a representative conduct talks to make peace.</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 stage of settlement of criminal cases includes preparing reports of complaints of criminal acts; classification; classification process; investigative process; summons related parties; preparation of clarification minutes; calling some witnesses; if there is an indication of a criminal act, then proceed to the investigation stage in the police; prosecution by the prosecutor; and ends with a trial in court. The stages of the trial include; reading the indictment; exception (if any); public prosecutor's response; the interlocutory decision of the head judge of the panel; evidence (examination of witnesses/statements of expert witnesses); reading of demands (requisitors); defence reading (pledoi); reading of the replica (public prosecutor's response to the pledoi of legal advisers); duplic reading (response of legal advisors to a replica from the public prosecutor); and the judge's decision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{"citationItems":[{"id":"ITEM-1","itemData":{"abstract":"Pembangunan kesehatan sangat penting sesuai Pembukaan Undang-Undang Dasar Negara Republik Indonesia Tahun 1945 yang didasarkan pada: Nilai ilmiah, manfaat, keadilan, kemanusiaan, keseimbangan, perlindungan dan keselamatan pasien. Bertujuan memberikan perlindungan kepada pasien; mempertahankan dan meningkatkan mutu pelayanan medis; dan memberikan kepastian hukum. Kesehatan sebagai hak asasi manusia diwujudkan dalam berbagai upaya, al: Penyelenggaraan praktik kedokteran. Dalam penyelenggaraannya peranan dokter sangat penting, dilandasi: Ilmu pengetahuan, teknologi, dan kompetensi yang diperoleh melalui pendidikan dan pelatihan, terus dipertahankan dan ditingkatkan sesuai dengan kemajuan ilmu pengetahuan dan teknologi. Dalam menjalankan praktik kedokteran diperlukan pembentukan Konsil Kedokteran Indonesia (KKI), peran dari berbagai organisasi profesi, asosiasi institusi pendidikan. tunduk pada ketentuan hukum yang berlaku dan ketentuan Kode Etik Dokter Indonesia (KODEKI). Hal-hal penting dalam penyelenggaraan praktik kedokteran antara lain: Informed consent, Perikatan/hubungan hukum dengan adanya kontrak terapeutik, Hak dan kewajiban dokter beserta pasien, Rekam medis serta Rahasia medis. Dalam penyelenggaraannya kadang timbul permasalahan yang berujung sengketa. Biasanya yang dipersengketakan berupa: Pelanggaran etika kedokteran; pelanggaran disiplin kedokteran; pelanggaran hak orang lain/pasien atau pelanggaran kepentingan masyarakat sehingga dokter dan dokter gigi dimintai pertanggungjawaban secara etika kedokteran, disiplin kedokteran dan pertanggungjawaban hukum baik secara perdata, pidana maupun administrasi negara. Penelitian ini membahas: Bagaimana pengaturan dan proses penyelesaian sengketa medis di Indonesia? Jenis penelitian ini adalah penelitian hukum normatif (yuridis normatif), dengan menggunakan data sekunder yang diperoleh dari sumber bahan hukum primer, sekunder, dan tertier","author":[{"dropping-particle":"","family":"Sinaga","given":"Niru Anita","non-dropping-particle":"","parse-names":false,"suffix":""}],"container-title":"Jurnal Ilmiah Hukum Dirgantara","id":"ITEM-1","issue":"2","issued":{"date-parts":[["2021"]]},"page":"1-22","title":"Penyelesaian Sengketa Medis Di Indonesia","type":"article-journal","volume":"11"},"uris":["http://www.mendeley.com/documents/?uuid=0e760e62-6026-48f1-8895-71f242cc92cd"]}],"mendeley":{"formattedCitation":"(24)","plainTextFormattedCitation":"(24)","previouslyFormattedCitation":"[24]"},"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sz w:val="24"/>
          <w:szCs w:val="24"/>
        </w:rPr>
        <w:t>(24)</w:t>
      </w:r>
      <w:r w:rsidR="005B764C">
        <w:rPr>
          <w:rFonts w:ascii="Calibri Light" w:hAnsi="Calibri Light" w:cs="Calibri Light"/>
          <w:sz w:val="24"/>
          <w:szCs w:val="24"/>
        </w:rPr>
        <w:fldChar w:fldCharType="end"/>
      </w:r>
      <w:r w:rsidRPr="00FF5CFC">
        <w:rPr>
          <w:rFonts w:ascii="Calibri Light" w:hAnsi="Calibri Light" w:cs="Calibri Light"/>
          <w:sz w:val="24"/>
          <w:szCs w:val="24"/>
        </w:rPr>
        <w:t>.</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lang w:val="en-AU"/>
        </w:rPr>
        <w:t>The conflict between the patient and the doctor turns into a dispute, and goes through several stages or conditions, namely:</w:t>
      </w:r>
    </w:p>
    <w:p w:rsidR="00FF5CFC" w:rsidRPr="00FF5CFC" w:rsidP="00FF5CFC">
      <w:pPr>
        <w:pStyle w:val="ListParagraph"/>
        <w:numPr>
          <w:ilvl w:val="0"/>
          <w:numId w:val="30"/>
        </w:numPr>
        <w:spacing w:before="120" w:after="120" w:line="240" w:lineRule="auto"/>
        <w:ind w:right="-1"/>
        <w:jc w:val="both"/>
        <w:rPr>
          <w:rFonts w:ascii="Calibri Light" w:hAnsi="Calibri Light" w:cs="Calibri Light"/>
          <w:b/>
          <w:sz w:val="24"/>
          <w:szCs w:val="24"/>
          <w:lang w:val="en-AU"/>
        </w:rPr>
      </w:pPr>
      <w:r w:rsidRPr="00FF5CFC">
        <w:rPr>
          <w:rFonts w:ascii="Calibri Light" w:hAnsi="Calibri Light" w:cs="Calibri Light"/>
          <w:sz w:val="24"/>
          <w:szCs w:val="24"/>
          <w:lang w:val="en-AU"/>
        </w:rPr>
        <w:t>Pre-conflict stage</w:t>
      </w:r>
    </w:p>
    <w:p w:rsidR="00FF5CFC" w:rsidRPr="00FF5CFC" w:rsidP="00FF5CFC">
      <w:pPr>
        <w:pStyle w:val="ListParagraph"/>
        <w:spacing w:before="120" w:after="120"/>
        <w:ind w:left="440" w:right="-1" w:hanging="14"/>
        <w:jc w:val="both"/>
        <w:rPr>
          <w:rFonts w:ascii="Calibri Light" w:hAnsi="Calibri Light" w:cs="Calibri Light"/>
          <w:b/>
          <w:sz w:val="24"/>
          <w:szCs w:val="24"/>
          <w:lang w:val="en-AU"/>
        </w:rPr>
      </w:pPr>
      <w:r w:rsidRPr="00FF5CFC">
        <w:rPr>
          <w:rFonts w:ascii="Calibri Light" w:hAnsi="Calibri Light" w:cs="Calibri Light"/>
          <w:sz w:val="24"/>
          <w:szCs w:val="24"/>
        </w:rPr>
        <w:t>The initial condition for this stage is the feeling of dissatisfaction that arises and arises in patients towards doctors. A new sense of discontent. If it is felt at the level of feelings alone, it can trigger a dispute. Several things can be a factor causing patient dissatisfaction related to the doctor's time that is too minimal, communication that lacks the impact arising from the treatment and medical actions carried out by doctors, unsatisfactory service and even the patient's comfort in receiving the health services they get.</w:t>
      </w:r>
    </w:p>
    <w:p w:rsidR="00FF5CFC" w:rsidRPr="00FF5CFC" w:rsidP="00FF5CFC">
      <w:pPr>
        <w:pStyle w:val="ListParagraph"/>
        <w:numPr>
          <w:ilvl w:val="0"/>
          <w:numId w:val="30"/>
        </w:numPr>
        <w:spacing w:before="120" w:after="120" w:line="240" w:lineRule="auto"/>
        <w:ind w:right="-1"/>
        <w:jc w:val="both"/>
        <w:rPr>
          <w:rFonts w:ascii="Calibri Light" w:hAnsi="Calibri Light" w:cs="Calibri Light"/>
          <w:b/>
          <w:sz w:val="24"/>
          <w:szCs w:val="24"/>
          <w:lang w:val="en-AU"/>
        </w:rPr>
      </w:pPr>
      <w:r w:rsidRPr="00FF5CFC">
        <w:rPr>
          <w:rFonts w:ascii="Calibri Light" w:hAnsi="Calibri Light" w:cs="Calibri Light"/>
          <w:sz w:val="24"/>
          <w:szCs w:val="24"/>
          <w:lang w:val="en-AU"/>
        </w:rPr>
        <w:t>Conflict stage</w:t>
      </w:r>
    </w:p>
    <w:p w:rsid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At this stage, the aggrieved patient begins to complain about his dissatisfaction with the medical services he has received. However, at this stage, it is still subjective, with the assumption that a complaint has not been made. Of course, it really happened or is the fault of another party (doctors and/or hospital). Complaints that occur can be submitted directly to parties who are considered detrimental or to various other parties who want to listen to their complaints. And at this stage also, those considered detrimental already know there are complaints about these actions or the health services provided. At this stage, those considered detrimental or complained of by the patient (doctors, hospital/hospital management) should know and try to take an approach to find out the source of the problem and clarify the alleged discomfort the patient</w:t>
      </w:r>
      <w:r w:rsidRPr="00FF5CFC">
        <w:rPr>
          <w:rFonts w:ascii="Calibri Light" w:hAnsi="Calibri Light" w:cs="Calibri Light"/>
          <w:sz w:val="24"/>
          <w:szCs w:val="24"/>
        </w:rPr>
        <w:t xml:space="preserve"> feels. At this stage, intelligent and wise action is needed from the party concerned (doctor or hospital) to explain to the party concerned who feels aggrieved by the position of the existing problem. From here also, the occurrence or non-occurrence of disputes begins; if the patient can accept what is explained with good communication, be clear about the problem, and don't blame the patient, it will minimise disputes. But when communication at this stage fails or does not provide satisfaction with the clarity of the position of the problem, then the complainant will seek justification for what he feels, namely to third parties (family, public, journalists, authorised officials or writing in the mass media). He will start to enter the dispute stage.</w:t>
      </w:r>
    </w:p>
    <w:p w:rsidR="00FF5CFC" w:rsidRPr="00FF5CFC" w:rsidP="00FF5CFC">
      <w:pPr>
        <w:pStyle w:val="ListParagraph"/>
        <w:spacing w:before="120" w:after="120"/>
        <w:ind w:left="440" w:right="-1" w:hanging="14"/>
        <w:jc w:val="both"/>
        <w:rPr>
          <w:rFonts w:ascii="Calibri Light" w:hAnsi="Calibri Light" w:cs="Calibri Light"/>
          <w:sz w:val="24"/>
          <w:szCs w:val="24"/>
        </w:rPr>
      </w:pPr>
    </w:p>
    <w:p w:rsidR="00FF5CFC" w:rsidRPr="00FF5CFC" w:rsidP="00FF5CFC">
      <w:pPr>
        <w:pStyle w:val="ListParagraph"/>
        <w:numPr>
          <w:ilvl w:val="0"/>
          <w:numId w:val="30"/>
        </w:numPr>
        <w:spacing w:before="120" w:after="120" w:line="240" w:lineRule="auto"/>
        <w:ind w:right="-1"/>
        <w:jc w:val="both"/>
        <w:rPr>
          <w:rFonts w:ascii="Calibri Light" w:hAnsi="Calibri Light" w:cs="Calibri Light"/>
          <w:b/>
          <w:sz w:val="24"/>
          <w:szCs w:val="24"/>
          <w:lang w:val="en-AU"/>
        </w:rPr>
      </w:pPr>
      <w:r w:rsidRPr="00FF5CFC">
        <w:rPr>
          <w:rFonts w:ascii="Calibri Light" w:hAnsi="Calibri Light" w:cs="Calibri Light"/>
          <w:sz w:val="24"/>
          <w:szCs w:val="24"/>
          <w:lang w:val="en-AU"/>
        </w:rPr>
        <w:t>Dispute stage</w:t>
      </w:r>
    </w:p>
    <w:p w:rsidR="00FF5CFC" w:rsidRPr="00FF5CFC" w:rsidP="00FF5CFC">
      <w:pPr>
        <w:pStyle w:val="ListParagraph"/>
        <w:spacing w:before="120" w:after="120"/>
        <w:ind w:left="440" w:right="-1" w:hanging="14"/>
        <w:jc w:val="both"/>
        <w:rPr>
          <w:rFonts w:ascii="Calibri Light" w:hAnsi="Calibri Light" w:cs="Calibri Light"/>
          <w:b/>
          <w:sz w:val="24"/>
          <w:szCs w:val="24"/>
          <w:lang w:val="en-AU"/>
        </w:rPr>
      </w:pPr>
      <w:r w:rsidRPr="00FF5CFC">
        <w:rPr>
          <w:rFonts w:ascii="Calibri Light" w:hAnsi="Calibri Light" w:cs="Calibri Light"/>
          <w:sz w:val="24"/>
          <w:szCs w:val="24"/>
        </w:rPr>
        <w:t xml:space="preserve">At this stage, the conflict has arisen and may already be in the public area; this can happen because both parties persist with their respective arguments because they feel right about what they are doing or feeling. Because both parties remain adamant with their respective opinions, at this stage, if there is no dispute that wants to develop or be protracted, it must be resolved immediately on the awareness of both parties, unless one of the "selfish" parties wants his opponent to lose, even though in principle he's getting better at losing (time, money and thought consumed)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{"citationItems":[{"id":"ITEM-1","itemData":{"author":[{"dropping-particle":"","family":"Nasution","given":"M. Andriady Saidi","non-dropping-particle":"","parse-names":false,"suffix":""},{"dropping-particle":"","family":"Satria","given":"Beni","non-dropping-particle":"","parse-names":false,"suffix":""},{"dropping-particle":"","family":"Tarigan","given":"Irwan Jasa","non-dropping-particle":"","parse-names":false,"suffix":""}],"container-title":"Jurnal Hukum Kesehatan Indonesia","id":"ITEM-1","issue":"2","issued":{"date-parts":[["2021"]]},"title":"MEDIASI SEBAGAI KOMUNIKASI HUKUM DALAM PENYELESAIAN SENGKETA MEDIK ANTARA DOKTER DAN PASIEN","type":"article-journal","volume":"1"},"uris":["http://www.mendeley.com/documents/?uuid=bfadba43-4e60-4f97-965c-794f477e7a5b"]}],"mendeley":{"formattedCitation":"(25)","plainTextFormattedCitation":"(25)","previouslyFormattedCitation":"[25]"},"properties":{"noteIndex":0},"schema":"https://github.com/citation-style-language/schema/raw/master/csl-citation.json"}</w:instrText>
      </w:r>
      <w:r w:rsidR="005B764C">
        <w:rPr>
          <w:rFonts w:ascii="Calibri Light" w:hAnsi="Calibri Light" w:cs="Calibri Light"/>
          <w:sz w:val="24"/>
          <w:szCs w:val="24"/>
        </w:rPr>
        <w:fldChar w:fldCharType="separate"/>
      </w:r>
      <w:r w:rsidRPr="005B764C" w:rsidR="005B764C">
        <w:rPr>
          <w:rFonts w:ascii="Calibri Light" w:hAnsi="Calibri Light" w:cs="Calibri Light"/>
          <w:sz w:val="24"/>
          <w:szCs w:val="24"/>
        </w:rPr>
        <w:t>(25)</w:t>
      </w:r>
      <w:r w:rsidR="005B764C">
        <w:rPr>
          <w:rFonts w:ascii="Calibri Light" w:hAnsi="Calibri Light" w:cs="Calibri Light"/>
          <w:sz w:val="24"/>
          <w:szCs w:val="24"/>
        </w:rPr>
        <w:fldChar w:fldCharType="end"/>
      </w:r>
      <w:r w:rsidRPr="00FF5CFC">
        <w:rPr>
          <w:rFonts w:ascii="Calibri Light" w:hAnsi="Calibri Light" w:cs="Calibri Light"/>
          <w:sz w:val="24"/>
          <w:szCs w:val="24"/>
        </w:rPr>
        <w:t>.</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A medical crime (criminal malpractice) is a medical action that fulfils the elements of a crime committed by medical personnel, including 1) the existence of medical acts/actions that are against the law; 2) carried out by medical personnel who are capable of being responsible; 3) done intentionally or negligently; 4) no excuses forgiving. Unlawful medical action is an action that is contrary to the provisions of medical practice. Medical crimes are seen as different from crimes in general, medical crimes have specific characteristics, and in some cases, the conditions are inversely proportional to ordinary crimes; for example, if ordinary crimes are the focus of attention, are the consequences (</w:t>
      </w:r>
      <w:r w:rsidRPr="00FF5CFC">
        <w:rPr>
          <w:rFonts w:ascii="Calibri Light" w:hAnsi="Calibri Light" w:cs="Calibri Light"/>
          <w:i/>
          <w:iCs/>
          <w:sz w:val="24"/>
          <w:szCs w:val="24"/>
        </w:rPr>
        <w:t>gevolg</w:t>
      </w:r>
      <w:r w:rsidRPr="00FF5CFC">
        <w:rPr>
          <w:rFonts w:ascii="Calibri Light" w:hAnsi="Calibri Light" w:cs="Calibri Light"/>
          <w:sz w:val="24"/>
          <w:szCs w:val="24"/>
        </w:rPr>
        <w:t>), but medical crimes, the main object of attention is the cause (causa). Thus, whatever is done by a doctor, is measured by whether or not the medical action is appropriate with the provisions of medical practice, namely: medical competency standards, medical authority, medical service standards, standard operating procedures, medical indications, informed consent, medical ethical standards, disciplines of medical practice, and applicable laws and regulations. Therefore, regardless of the consequences, as long as the doctor's medical actions are in accordance with the medical provisions mentioned above, the doctor cannot be legally prosecuted. In the therapeutic agreement, that is used as a guideline and the object of the agreement or agreed upon is a genuine effort by the doctor to cure the patient (</w:t>
      </w:r>
      <w:r w:rsidRPr="00FF5CFC">
        <w:rPr>
          <w:rFonts w:ascii="Calibri Light" w:hAnsi="Calibri Light" w:cs="Calibri Light"/>
          <w:i/>
          <w:iCs/>
          <w:sz w:val="24"/>
          <w:szCs w:val="24"/>
        </w:rPr>
        <w:t>inspanning verbintenis</w:t>
      </w:r>
      <w:r w:rsidRPr="00FF5CFC">
        <w:rPr>
          <w:rFonts w:ascii="Calibri Light" w:hAnsi="Calibri Light" w:cs="Calibri Light"/>
          <w:sz w:val="24"/>
          <w:szCs w:val="24"/>
        </w:rPr>
        <w:t>), not the final result (</w:t>
      </w:r>
      <w:r w:rsidRPr="00FF5CFC">
        <w:rPr>
          <w:rFonts w:ascii="Calibri Light" w:hAnsi="Calibri Light" w:cs="Calibri Light"/>
          <w:i/>
          <w:iCs/>
          <w:sz w:val="24"/>
          <w:szCs w:val="24"/>
        </w:rPr>
        <w:t>resultant verbintenis</w:t>
      </w:r>
      <w:r w:rsidRPr="00FF5CFC">
        <w:rPr>
          <w:rFonts w:ascii="Calibri Light" w:hAnsi="Calibri Light" w:cs="Calibri Light"/>
          <w:sz w:val="24"/>
          <w:szCs w:val="24"/>
        </w:rPr>
        <w:t xml:space="preserve">) in the form of healing. That is why, in the context of a medical crime, the main focus of a criminal examination lies on the cause (medical </w:t>
      </w:r>
      <w:r w:rsidRPr="00FF5CFC">
        <w:rPr>
          <w:rFonts w:ascii="Calibri Light" w:hAnsi="Calibri Light" w:cs="Calibri Light"/>
          <w:sz w:val="24"/>
          <w:szCs w:val="24"/>
        </w:rPr>
        <w:t>action performed by a doctor), not the consequences that occur to the patient after the medical action.</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The discipline of Medicine, in this case, the author sees as a standard for the medical profession, which has limited ability in terms of knowledge, skills and professional attitude, as a basis that every doctor must have because it concerns the interests of society at large. In addition, regulations related to medical disciplines are one of the main benchmarks in medical audits to determine doctors and doctors have committed medical errors, especially in aspects of a medical discipline that have been proven medical errors by the Medical Committee and the Honorary Council of Indonesian Medical Disciplines, so that from the results of medical audits This can assist law enforcement in determining a doctor's criminal error. Mistakes are deemed to have occurred if, intentionally or through negligence, an act has been committed or circumstances prohibited by criminal law have arisen and have been carried out responsibly. Articles 359, 360 and 361 of the Criminal Code contain elements of negligence that result in death or injury. Suppose the doctor is suspected of being the perpetrator who resulted in the patient's death and is threatened with Article 359 of the Criminal Code. In that case, the doctor must be able to prove that he did not commit negligence in treating the patient. Doctors must prove that what they are doing is by the standards and operational procedures agreed upon in the professional bond. If the doctor is sued under Article 360 ​​Criminal Code, then the doctor's mistake can be described by the following elements:</w:t>
      </w:r>
    </w:p>
    <w:p w:rsidR="00FF5CFC" w:rsidRPr="00FF5CFC" w:rsidP="00FF5CFC">
      <w:pPr>
        <w:pStyle w:val="ListParagraph"/>
        <w:numPr>
          <w:ilvl w:val="0"/>
          <w:numId w:val="31"/>
        </w:numPr>
        <w:spacing w:before="120" w:after="120" w:line="240" w:lineRule="auto"/>
        <w:ind w:left="993" w:right="-1"/>
        <w:jc w:val="both"/>
        <w:rPr>
          <w:rFonts w:ascii="Calibri Light" w:hAnsi="Calibri Light" w:cs="Calibri Light"/>
          <w:sz w:val="24"/>
          <w:szCs w:val="24"/>
        </w:rPr>
      </w:pPr>
      <w:r w:rsidRPr="00FF5CFC">
        <w:rPr>
          <w:rFonts w:ascii="Calibri Light" w:hAnsi="Calibri Light" w:cs="Calibri Light"/>
          <w:sz w:val="24"/>
          <w:szCs w:val="24"/>
        </w:rPr>
        <w:t>There is an act, meaning the doctor performs an act in the form of a medical action or gives Medicine;</w:t>
      </w:r>
    </w:p>
    <w:p w:rsidR="00FF5CFC" w:rsidRPr="00FF5CFC" w:rsidP="00FF5CFC">
      <w:pPr>
        <w:pStyle w:val="ListParagraph"/>
        <w:numPr>
          <w:ilvl w:val="0"/>
          <w:numId w:val="31"/>
        </w:numPr>
        <w:spacing w:before="120" w:after="120" w:line="240" w:lineRule="auto"/>
        <w:ind w:left="993" w:right="-1"/>
        <w:jc w:val="both"/>
        <w:rPr>
          <w:rFonts w:ascii="Calibri Light" w:hAnsi="Calibri Light" w:cs="Calibri Light"/>
          <w:sz w:val="24"/>
          <w:szCs w:val="24"/>
        </w:rPr>
      </w:pPr>
      <w:r w:rsidRPr="00FF5CFC">
        <w:rPr>
          <w:rFonts w:ascii="Calibri Light" w:hAnsi="Calibri Light" w:cs="Calibri Light"/>
          <w:sz w:val="24"/>
          <w:szCs w:val="24"/>
        </w:rPr>
        <w:t xml:space="preserve">Because of the mistake, it means that the doctor was negligent or negligent with the degree of </w:t>
      </w:r>
      <w:r w:rsidRPr="00FF5CFC">
        <w:rPr>
          <w:rFonts w:ascii="Calibri Light" w:hAnsi="Calibri Light" w:cs="Calibri Light"/>
          <w:i/>
          <w:iCs/>
          <w:sz w:val="24"/>
          <w:szCs w:val="24"/>
        </w:rPr>
        <w:t>culpa lata</w:t>
      </w:r>
      <w:r w:rsidRPr="00FF5CFC">
        <w:rPr>
          <w:rFonts w:ascii="Calibri Light" w:hAnsi="Calibri Light" w:cs="Calibri Light"/>
          <w:sz w:val="24"/>
          <w:szCs w:val="24"/>
        </w:rPr>
        <w:t>;</w:t>
      </w:r>
    </w:p>
    <w:p w:rsidR="00FF5CFC" w:rsidRPr="00FF5CFC" w:rsidP="00FF5CFC">
      <w:pPr>
        <w:pStyle w:val="ListParagraph"/>
        <w:numPr>
          <w:ilvl w:val="0"/>
          <w:numId w:val="31"/>
        </w:numPr>
        <w:spacing w:before="120" w:after="120" w:line="240" w:lineRule="auto"/>
        <w:ind w:left="993" w:right="-1"/>
        <w:jc w:val="both"/>
        <w:rPr>
          <w:rFonts w:ascii="Calibri Light" w:hAnsi="Calibri Light" w:cs="Calibri Light"/>
          <w:sz w:val="24"/>
          <w:szCs w:val="24"/>
        </w:rPr>
      </w:pPr>
      <w:r w:rsidRPr="00FF5CFC">
        <w:rPr>
          <w:rFonts w:ascii="Calibri Light" w:hAnsi="Calibri Light" w:cs="Calibri Light"/>
          <w:sz w:val="24"/>
          <w:szCs w:val="24"/>
        </w:rPr>
        <w:t>Causing serious injuries as result of people, as described in Article 90 of the Criminal Code, injuries that cause illness, resulting in obstacles to carrying out official work.</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This form of negligence can occur in other professional fields besides the medical profession. Negligence is one of the most common forms of malpractice. Negligence occurs when a person accidentally does something (commission) that should not be done or does not do something (omission) that another person should do with the same qualifications in a similar situation and situation. To measure whether a doctor has committed a medical error (criminal malpractice) as well as a violation of medical discipline, the first thing to look at is what mistake the doctor made in the medical procedure, both intentional (</w:t>
      </w:r>
      <w:r w:rsidRPr="00FF5CFC">
        <w:rPr>
          <w:rFonts w:ascii="Calibri Light" w:hAnsi="Calibri Light" w:cs="Calibri Light"/>
          <w:i/>
          <w:iCs/>
          <w:sz w:val="24"/>
          <w:szCs w:val="24"/>
        </w:rPr>
        <w:t>dolus</w:t>
      </w:r>
      <w:r w:rsidRPr="00FF5CFC">
        <w:rPr>
          <w:rFonts w:ascii="Calibri Light" w:hAnsi="Calibri Light" w:cs="Calibri Light"/>
          <w:sz w:val="24"/>
          <w:szCs w:val="24"/>
        </w:rPr>
        <w:t xml:space="preserve">) and negligence (culpa), related with the mental attitude of the doctor and the doctor regarding whether there is </w:t>
      </w:r>
      <w:r w:rsidRPr="00FF5CFC">
        <w:rPr>
          <w:rFonts w:ascii="Calibri Light" w:hAnsi="Calibri Light" w:cs="Calibri Light"/>
          <w:i/>
          <w:iCs/>
          <w:sz w:val="24"/>
          <w:szCs w:val="24"/>
        </w:rPr>
        <w:t>mens rea</w:t>
      </w:r>
      <w:r w:rsidRPr="00FF5CFC">
        <w:rPr>
          <w:rFonts w:ascii="Calibri Light" w:hAnsi="Calibri Light" w:cs="Calibri Light"/>
          <w:sz w:val="24"/>
          <w:szCs w:val="24"/>
        </w:rPr>
        <w:t xml:space="preserve"> in the doctor's actions or not. Error alone is not enough to determine whether the doctor can be held criminally responsible. However, it can also be seen whether the doctor's actions violated the law or not (</w:t>
      </w:r>
      <w:r w:rsidRPr="00FF5CFC">
        <w:rPr>
          <w:rFonts w:ascii="Calibri Light" w:hAnsi="Calibri Light" w:cs="Calibri Light"/>
          <w:i/>
          <w:iCs/>
          <w:sz w:val="24"/>
          <w:szCs w:val="24"/>
        </w:rPr>
        <w:t>wederrechtelijke</w:t>
      </w:r>
      <w:r w:rsidRPr="00FF5CFC">
        <w:rPr>
          <w:rFonts w:ascii="Calibri Light" w:hAnsi="Calibri Light" w:cs="Calibri Light"/>
          <w:sz w:val="24"/>
          <w:szCs w:val="24"/>
        </w:rPr>
        <w:t xml:space="preserve">). The unlawful nature does not have to be normative, which </w:t>
      </w:r>
      <w:r w:rsidRPr="00FF5CFC">
        <w:rPr>
          <w:rFonts w:ascii="Calibri Light" w:hAnsi="Calibri Light" w:cs="Calibri Light"/>
          <w:sz w:val="24"/>
          <w:szCs w:val="24"/>
        </w:rPr>
        <w:t>means it does not have to be formulated in a law; there are two kinds of unlawful teachings: formal and material. After the conditions for mistakes and unlawful acts, the next is the condition for the perpetrator to be responsible.</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If medical personnel or doctors carry out medical procedures according to standard operating procedures, then unwanted consequences arise, then this situation is referred to as medical risk. In every medical crime case, before it reaches investigation, the Public Prosecutor should ask for the results of a medical audit conducted by the Medical Committee to determine whether the doctor has made a medical error. Medical audit has an important role in proving medical errors from medical disciplines. It is the main criterion in assisting law enforcement in proving the mistakes of these doctors from the aspect of criminal law because, specifically, medical disciplines are rules governing a medical worker in carrying out medical actions according to their knowledge and expertise. To prove the doctor's medical error, he has violated the provisions contained in the Medical Council Regulation Number 4 of 2011 concerning the Professional Discipline of Doctors and standard operating procedures (hospital bylaws/corporate bylaws) contained in hospitals, where medical errors must be proven through a medical audit. as regulated in Article 39 and Law Number 44 of 2009 concerning Hospitals. It should be noted that the person entitled to conduct the medical audit is the Medical Committee formed by the Head/Director of the Hospital, whose position is non-structural in the hospital as stipulated in the Regulation of the Minister of Health Number 755 of 2011 concerning Organizing Medical Committees.</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If the medical audit proves that the doctor has been wrong in applying medical disciplines to a patient which causes the patient to be injured, disabled, and even the patient die, then criminal law, as public law that protects the legal interests of society, can demand criminal responsibility, due to medical actions. it has fulfilled the element of error and against the law an act/action taken especially medical action against patients. In criminal law, mistakes are categorised as negligence or intentional. Deliberation departs from knowledge of actions and is grouped into three types: intentionality as a goal, intentionality with the possibility of awareness, and intentionality with the certainty of awareness. Meanwhile, negligence can be stated as gross negligence and categorised as negligence with awareness (</w:t>
      </w:r>
      <w:r w:rsidRPr="00FF5CFC">
        <w:rPr>
          <w:rFonts w:ascii="Calibri Light" w:hAnsi="Calibri Light" w:cs="Calibri Light"/>
          <w:i/>
          <w:iCs/>
          <w:sz w:val="24"/>
          <w:szCs w:val="24"/>
        </w:rPr>
        <w:t>culpa lata</w:t>
      </w:r>
      <w:r w:rsidRPr="00FF5CFC">
        <w:rPr>
          <w:rFonts w:ascii="Calibri Light" w:hAnsi="Calibri Light" w:cs="Calibri Light"/>
          <w:sz w:val="24"/>
          <w:szCs w:val="24"/>
        </w:rPr>
        <w:t>) and without awareness (</w:t>
      </w:r>
      <w:r w:rsidRPr="00FF5CFC">
        <w:rPr>
          <w:rFonts w:ascii="Calibri Light" w:hAnsi="Calibri Light" w:cs="Calibri Light"/>
          <w:i/>
          <w:iCs/>
          <w:sz w:val="24"/>
          <w:szCs w:val="24"/>
        </w:rPr>
        <w:t>culpa levi</w:t>
      </w:r>
      <w:r w:rsidRPr="00FF5CFC">
        <w:rPr>
          <w:rFonts w:ascii="Calibri Light" w:hAnsi="Calibri Light" w:cs="Calibri Light"/>
          <w:sz w:val="24"/>
          <w:szCs w:val="24"/>
        </w:rPr>
        <w:t>).</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According to the author, the results of this medical audit are very accurate and can be accepted as a form of evidence when deviations or problems occur in the medical field. Because the Medical Audit is based on medical records and their assessment of the provisions of professional standards and standard operating procedures. However, in what form is this medical audit included as part of the evidence at trial? According to the provisions of the Criminal Procedure Code, Expert Statement is information given by someone with special expertise on matters needed to clarify a criminal case for </w:t>
      </w:r>
      <w:r w:rsidRPr="00FF5CFC">
        <w:rPr>
          <w:rFonts w:ascii="Calibri Light" w:hAnsi="Calibri Light" w:cs="Calibri Light"/>
          <w:sz w:val="24"/>
          <w:szCs w:val="24"/>
        </w:rPr>
        <w:t>examination purposes. According to the Criminal Procedure Code, there is a distinction between the testimony of an expert at trial and the written statement of an expert presented before a court session. If an expert testifies directly before a court hearing and under oath. This statement is valid expert testimony. Meanwhile, suppose an expert under oath has provided written testimony outside of court and the statement is read out before a court hearing. In that case, the expert's statement constitutes documentary evidence and expert testimony. Suppose the provisions of the Criminal Procedure Code above are related to the issue of a medical audit. In that case, it becomes expert testimony in court when it is presented before a court session. At the same time, when it is made under oath and given outside of court, the expert's statement constitutes documentary evidence and expert testimony.</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If there is a violation, the case should be resolved first by the medical committee, which has the authority to examine performance audits and medical audits regarding alleged medical errors committed by medical personnel, including doctors, as stipulated in Article 39 of Law Number 44 of 2009 concerning hospitals and Article 49 paragraph (2) of Law Number 29 of 2004 concerning Medical Practice which has been previously described. Besides that, why not settle it first at the Medical Disciplinary Honorary Council, although everyone may choose or not choose to resolve the alleged medical error at the Medical Sciences Honorary Council? However, it should be noted that the Medical Disciplinary Honorary Council is an institution other than the medical committee that can be used as a reference to determine what aspects of professional standards or medical disciplines have been violated by the defendants (doctors). Because the case has been brought to the Honorary Council of Medical Disciplinary Sciences to be resolved from a disciplinary aspect of Medicine, it does not close in the future to ask for accountability in criminal law. It is important because a medical audit can make it easier for investigators and public prosecutors to prove negligence as a material offence for the defendants (doctors) in carrying out medical procedures, as stated in Article 359 of the Criminal Code, before an honourable court, as well as which parties must be held criminally responsible. thus, supporting the Panel of Judges in deciding the criminal acts charged.</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Medical audit actions can be considered very valid and accurate in view of existing cases or problems because the outreach carried out by the medical committee for medical audits is complex and thorough in gathering information and finding and determining that the actions of doctors or medical personnel are in accordance with conditions apply or not. Therefore, the formation of a medical audit becomes an integral part of the medical record, in accordance with the provisions of Law No. 36 of 2014 concerning Health, which states that all actions of doctors are based on professional standards and standard operating procedures. So that if an error or negligence committed by a doctor is suspected, it can be identified and measured through a medical audit mechanism.</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In proving that from a medical, scientific point of view, it is done through IMDHC, as is known IMDHC is an institution authorised to determine whether </w:t>
      </w:r>
      <w:r w:rsidRPr="00FF5CFC">
        <w:rPr>
          <w:rFonts w:ascii="Calibri Light" w:hAnsi="Calibri Light" w:cs="Calibri Light"/>
          <w:sz w:val="24"/>
          <w:szCs w:val="24"/>
        </w:rPr>
        <w:t>doctors and dentists make errors in the application of medical and dental disciplines. So that it is understood that Article 66, paragraph 3 of the Medical Practice Law, which regulates complaints of alleged criminal acts to the authorities and/or suing civil losses to court, is not separate or independent from the IMDHC medical disciplinary examination. Complaints of criminal acts and/or criminal lawsuits to court related to doctors as one of the parties must also be synergised with medical disciplines to identify the doctor's actions entering the realm of law. Settlement of cases or medical crimes is the last door for the disputing parties to obtain justice and legal certainty, with several efforts to resolve medical crimes between doctors and patients. Medical actions that can be brought into the realm of criminal law should be limited to medical actions only in two conditions, namely medical actions that are intentional (</w:t>
      </w:r>
      <w:r w:rsidRPr="00FF5CFC">
        <w:rPr>
          <w:rFonts w:ascii="Calibri Light" w:hAnsi="Calibri Light" w:cs="Calibri Light"/>
          <w:i/>
          <w:iCs/>
          <w:sz w:val="24"/>
          <w:szCs w:val="24"/>
        </w:rPr>
        <w:t>dolus</w:t>
      </w:r>
      <w:r w:rsidRPr="00FF5CFC">
        <w:rPr>
          <w:rFonts w:ascii="Calibri Light" w:hAnsi="Calibri Light" w:cs="Calibri Light"/>
          <w:sz w:val="24"/>
          <w:szCs w:val="24"/>
        </w:rPr>
        <w:t>/</w:t>
      </w:r>
      <w:r w:rsidRPr="00FF5CFC">
        <w:rPr>
          <w:rFonts w:ascii="Calibri Light" w:hAnsi="Calibri Light" w:cs="Calibri Light"/>
          <w:i/>
          <w:iCs/>
          <w:sz w:val="24"/>
          <w:szCs w:val="24"/>
        </w:rPr>
        <w:t>opzet</w:t>
      </w:r>
      <w:r w:rsidRPr="00FF5CFC">
        <w:rPr>
          <w:rFonts w:ascii="Calibri Light" w:hAnsi="Calibri Light" w:cs="Calibri Light"/>
          <w:sz w:val="24"/>
          <w:szCs w:val="24"/>
        </w:rPr>
        <w:t>) for consequences that are punishable by crime or medical actions that contain real/gross negligence (</w:t>
      </w:r>
      <w:r w:rsidRPr="00FF5CFC">
        <w:rPr>
          <w:rFonts w:ascii="Calibri Light" w:hAnsi="Calibri Light" w:cs="Calibri Light"/>
          <w:i/>
          <w:iCs/>
          <w:sz w:val="24"/>
          <w:szCs w:val="24"/>
        </w:rPr>
        <w:t>culpa lata</w:t>
      </w:r>
      <w:r w:rsidRPr="00FF5CFC">
        <w:rPr>
          <w:rFonts w:ascii="Calibri Light" w:hAnsi="Calibri Light" w:cs="Calibri Light"/>
          <w:sz w:val="24"/>
          <w:szCs w:val="24"/>
        </w:rPr>
        <w:t>). Actions other than those two things should not be appropriate and cannot be used as an object of criminal action, but instead become IMDHC competencies for violations of professional discipline of doctors and dentists or Medical Ethics Council of Honor competencies for violations of medical ethics.</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In cases of suspected medical crimes, especially those committed by doctors and dentists, doctors may be subject to civil or criminal threats based on laws and regulations that are general in nature (</w:t>
      </w:r>
      <w:r w:rsidRPr="00FF5CFC">
        <w:rPr>
          <w:rFonts w:ascii="Calibri Light" w:hAnsi="Calibri Light" w:cs="Calibri Light"/>
          <w:i/>
          <w:iCs/>
          <w:sz w:val="24"/>
          <w:szCs w:val="24"/>
        </w:rPr>
        <w:t>lex generalis</w:t>
      </w:r>
      <w:r w:rsidRPr="00FF5CFC">
        <w:rPr>
          <w:rFonts w:ascii="Calibri Light" w:hAnsi="Calibri Light" w:cs="Calibri Light"/>
          <w:sz w:val="24"/>
          <w:szCs w:val="24"/>
        </w:rPr>
        <w:t>), namely the Criminal Code, as well as those that are specific in nature (</w:t>
      </w:r>
      <w:r w:rsidRPr="00FF5CFC">
        <w:rPr>
          <w:rFonts w:ascii="Calibri Light" w:hAnsi="Calibri Light" w:cs="Calibri Light"/>
          <w:i/>
          <w:iCs/>
          <w:sz w:val="24"/>
          <w:szCs w:val="24"/>
        </w:rPr>
        <w:t>lex specialist</w:t>
      </w:r>
      <w:r w:rsidRPr="00FF5CFC">
        <w:rPr>
          <w:rFonts w:ascii="Calibri Light" w:hAnsi="Calibri Light" w:cs="Calibri Light"/>
          <w:sz w:val="24"/>
          <w:szCs w:val="24"/>
        </w:rPr>
        <w:t>), such as the Law -Law No. 29 of 2004 concerning Medical Practice and Law No. 36 of 2009 concerning Health. There are two ways to settle medical crime law: litigation and non-litigation. The general view of society is that medical crimes are better resolved through litigation, but achieving proof is not something easy; when a patient cannot prove a medical error, the case stops at the time of proof. In addition, settlement of medical crimes through litigation is not the only way to resolve them. Settlement through litigation often results in one party being the winner and the other party being the loser.</w:t>
      </w:r>
    </w:p>
    <w:p w:rsidR="005062E6" w:rsidRPr="00122F5F" w:rsidP="00FF5CFC">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FF5CFC">
        <w:rPr>
          <w:rFonts w:ascii="Calibri Light" w:hAnsi="Calibri Light" w:cs="Calibri Light"/>
          <w:noProof w:val="0"/>
          <w:sz w:val="24"/>
          <w:szCs w:val="24"/>
          <w:lang w:val="en-US" w:eastAsia="en-GB"/>
        </w:rPr>
        <w:t>Medical disputes or criminal acts in medical practice in law are often called malpractice. In accordance with the current justice system in Indonesia, if there is a legal dispute over a medical action at a hospital due to alleged medical negligence, then this matter is resolved through legal means (court). Completing medical crimes due to medical negligence at the hospital through the courts raises its own problems. The method of settlement through the courts often gets reactions and challenges, especially from the medical profession (doctors). Law of the Republic of Indonesia Number 36 of 2009 concerning Health there is mediation as a form of settlement of medical cases in Article 29; the reason for enforcing mediation, namely that mediation is carried out when a dispute arises between medical personnel and patients, the mediation is carried out to resolve disputes out of court carried out by the mediator and agreed upon by the disputing parties.</w:t>
      </w:r>
    </w:p>
    <w:p w:rsidR="006B0510" w:rsidRPr="00122F5F"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FF5CFC" w:rsidRPr="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The medical committee has the task of monitoring and evaluating the quality of medical services which have been carried out, among other things, through organising activities such as medical audits. The medical committee plays an important role in maintaining the professionalism of the medical staff working in hospitals which includes counselling in providing medical services at hospitals (clinical appointments), including details (delineation of clinical privileges), maintains the competence and ethics of the medical profession, and maintains professional discipline. Therefore, the hospital director has an obligation so that the medical committee has access to detailed information on the professionalism of every medical staff working in the hospital. To carry out a medical audit, the medical committee is the main engine in the hospital based on its formation function, namely to prevent the possibility of management or professional negligence in the institution it oversees, as well as seeking corrective steps that can be taken when management irregularities are identified in the results of a medical audit. Therefore, in the implementation of the medical audit, the hospital has an important and strategic role in terms of medical services to patients at the hospital, the implementation of good action and is guided by hospital operational standards, all of which can be seen in the medical audit mechanism by the medical committee in the hospital.</w:t>
      </w:r>
    </w:p>
    <w:p w:rsidR="006B0510" w:rsidRPr="00122F5F" w:rsidP="00FF5CFC">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FF5CFC">
        <w:rPr>
          <w:rFonts w:ascii="Calibri Light" w:hAnsi="Calibri Light" w:cs="Calibri Light"/>
          <w:sz w:val="24"/>
          <w:szCs w:val="24"/>
          <w:lang w:val="en-GB"/>
        </w:rPr>
        <w:t>If there is a violation, the case should be resolved first by the medical committee, which has the authority to examine performance audits and medical audits regarding alleged medical errors committed by medical personnel, including doctors, as stipulated in Article 39 of Law Number 44 of 2009 concerning hospitals and Article 49 paragraph (2) of Law Number 29 of 2004 concerning Medical Practice which has been previously described. Besides that, why not settle it first at the Medical Disciplinary Honorary Council, although everyone may choose or not choose to resolve the alleged medical error at the Medical Sciences Honorary Council? However, it should be noted that the Medical Disciplinary Honorary Council is an institution other than the medical committee that can be used as a reference to find out what aspects of professional standards or medical disciplines have been violated by the defendants (doctors). The method of settlement through the courts often gets reactions and challenges, especially from the medical profession (doctors). Law of the Republic of Indonesia Number 36 of 2009 concerning Health there is mediation as a form of settlement of medical cases in Article 29; the reason for enacting mediation, namely that mediation is carried out when a dispute arises between medical personnel and patients, the mediation is carried out with the aim of resolving disputes out of court carried out by the mediator and agreed upon by the disputing parties.</w:t>
      </w:r>
    </w:p>
    <w:p w:rsidR="00741058" w:rsidRPr="00122F5F" w:rsidP="00FF5CFC">
      <w:pPr>
        <w:spacing w:line="240" w:lineRule="atLeast"/>
        <w:rPr>
          <w:rFonts w:ascii="Calibri Light" w:hAnsi="Calibri Light" w:cs="Calibri Light"/>
          <w:color w:val="FF0000"/>
          <w:sz w:val="23"/>
        </w:rPr>
      </w:pPr>
    </w:p>
    <w:p w:rsidR="00741058" w:rsidRPr="00540F02"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sidRPr="00FF5CFC">
        <w:rPr>
          <w:rFonts w:ascii="Calibri Light" w:hAnsi="Calibri Light" w:cs="Calibri Light"/>
          <w:color w:val="A6A6A6"/>
          <w:sz w:val="24"/>
          <w:szCs w:val="24"/>
        </w:rPr>
        <w:fldChar w:fldCharType="begin" w:fldLock="1"/>
      </w:r>
      <w:r w:rsidRPr="00FF5CFC">
        <w:rPr>
          <w:rFonts w:ascii="Calibri Light" w:hAnsi="Calibri Light" w:cs="Calibri Light"/>
          <w:color w:val="A6A6A6"/>
          <w:sz w:val="24"/>
          <w:szCs w:val="24"/>
        </w:rPr>
        <w:instrText xml:space="preserve">ADDIN Mendeley Bibliography CSL_BIBLIOGRAPHY </w:instrText>
      </w:r>
      <w:r w:rsidRPr="00FF5CFC">
        <w:rPr>
          <w:rFonts w:ascii="Calibri Light" w:hAnsi="Calibri Light" w:cs="Calibri Light"/>
          <w:color w:val="A6A6A6"/>
          <w:sz w:val="24"/>
          <w:szCs w:val="24"/>
        </w:rPr>
        <w:fldChar w:fldCharType="separate"/>
      </w:r>
      <w:r>
        <w:rPr>
          <w:rFonts w:ascii="Calibri Light" w:hAnsi="Calibri Light" w:cs="Calibri Light"/>
          <w:noProof/>
          <w:sz w:val="24"/>
          <w:szCs w:val="24"/>
        </w:rPr>
        <w:t>[1]</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Jovita Irawati. INKONSISTENSI REGULASI DI BIDANG KESEHATAN DAN IMPLIKASI HUKUMNYA TERHADAP PENYELESAIAN PERKARA MEDIK DI INDONESIA. Law Review. 2019;19(1):54–76.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Masruroh E, Maryani F. Analisis Fungsi dan Peran Informed Consent Terhadap </w:t>
      </w:r>
      <w:r w:rsidRPr="005B764C">
        <w:rPr>
          <w:rFonts w:ascii="Calibri Light" w:hAnsi="Calibri Light" w:cs="Calibri Light"/>
          <w:noProof/>
          <w:sz w:val="24"/>
          <w:szCs w:val="24"/>
        </w:rPr>
        <w:t xml:space="preserve">Tindakan Medis Poli Jiwa di Puskesmas Pejagoan Kebumen. Jurnal JMeRS. 2022;1(2):72–81.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3</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Putra GS. Implikasi Tanggungjawab Hukum Atas Tindakan Malpraktik yang Dilakukan Oleh Tenaga Medis Di Indonesia. Muhammadiyah Law Review [Internet]. 2020;4(2):120–31. Available from: http://ojs.ummetro.ac.id/index.php/law</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4</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Hanafi K. Kebijakan Perlindungan Hukum Terhadap Dokter Di Rumah Sakit Dalam Pelaksanaan Pelayanan Jaminan Kesehatan Nasional. Syiar Hukum : Jurnal Ilmu Hukum. 2019;16(2):149.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5</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Sofyan Dahlan. Hukum Kesehatan. Rambu- Rambu Bagi Profesi Dokter. Semarang: Badan Penerbit Universitas Dipenogoro; 1999. 32–33 p.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6</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Suryadi T, Nurul A’la, Kulsum. Pengetahuan, Sikap, Kesadaran dan Harapan Pegawai Terhadap Eksistensi Komite Etik dan Hukum di RSUD Dr.Zainoel Abidin Banda Aceh. Journal of Medical Science. 2022;2(2):88–101.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7</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Tadda A, Indar I, Ilyas A. Tinjauan Hukum Eksistensi Komite Etik Dan Hukum Rumah Sakit (KEHRS) Dalam Penyelesaian Sengketa Medik. Jurnal Ilmiah Ecosystem. 2022;22(1):120–35.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8</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Supeno S, Faradila FI. Pelaksaan Perjanjian Terapeutik Antara Pasien dengan Rumah Sakit Jiwa Jambi. Wajah Hukum. 2021;5(1):368.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9</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Mustajab. Analisis Yuridis Hubungan Hukum Antara Dokter Dan Pasien Dalam Peyanan Kesehatan. Jurnal Ilmu Hukum Legal Opinion. 2013;4(1):1–11.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10</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Putra S. Inspanningsverbintenis dan Resultaatsverbintenis dalam Transaksi Terapeutik Kaitannya dengan UU No. 8 Tahun 1999 tentang Perlindungan Konsumen. Jurnal Hukum IUS QUIA IUSTUM. 2001;8(18):199–211.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w:t>
      </w:r>
      <w:r>
        <w:rPr>
          <w:rFonts w:ascii="Calibri Light" w:hAnsi="Calibri Light" w:cs="Calibri Light"/>
          <w:noProof/>
          <w:sz w:val="24"/>
          <w:szCs w:val="24"/>
        </w:rPr>
        <w:t>1]</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Yovita A Mangesti. Hukum Berparadigma Kemanusian. Yogyakarta: Genta Publishing. Yogyakarta: Genta Publishing; 2016.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12</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Hartati K, Djasri H, Utarini A. Implementasi Tata Kelola Klinis oleh Komite Medik di Rumah Sakit Umum Daerah di Provinsi Jawa Tengah. Jurnal Manajemen Pelayanan Kesehatan. 2014;17(1):53–4.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13</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Azzolini E, Furia G, Cambieri A, Ricciardi W, Volpe M, Poscia A. Quality improvement of medical records through internal auditing: A comparative analysis. Journal of Preventive Medicine and Hygiene. 2019;60(3):E250–5.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14</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Jackson T, Hobson K, Clare H, Weegmann D, Moloughney C, McManus S. End-of-life care in COVID-19: An audit of pharmacological management in hospital inpatients. Palliative Medicine. 2020;34(9):1235–40.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15</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Arso SP, Putro AS. The Effectiveness of Internal Audit in Regional Public Hospitals as Regional Public Service Agencies. Jurnal Manajemen Kesehatan Indonesia. 2022;10(1):65–72.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16</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Dzikrullah AD, Harymawan I, Ratri MC. Internal audit functions and audit outcomes: Evidence from Indonesia. Cogent Business and Management [Internet]. 2020;7(1). </w:t>
      </w:r>
      <w:r w:rsidRPr="005B764C">
        <w:rPr>
          <w:rFonts w:ascii="Calibri Light" w:hAnsi="Calibri Light" w:cs="Calibri Light"/>
          <w:noProof/>
          <w:sz w:val="24"/>
          <w:szCs w:val="24"/>
        </w:rPr>
        <w:t>Available from: https://doi.org/10.1080/23311975.2020.1750331</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17</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Ludin NA, Junedi MM, Ibrahim MA, Sopian K, Mat MA. The need for a sustainable hospital : Why and how? MU-IGBC 2018 – Energising Green Buildings Conference. 2005;300–4.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18</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Hatta M. Hukum Kesehatan dan Sengketa Medik. Yogyakarta: Liberty. Yogyakarta: Liberty; 2013.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19</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Devereux J. Medical Negligence. Health Law Frameworks: And Context. Singapore; 2017. 138–148 p.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20</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Nurdin M. Perlindungan Hukum Terhadap Pasien atas Korban Malpraktik Kedokteran. Jurnal Hukum Samudra Keadilan. 2015;10(1):92–109.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21</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Handayani T. Penyelesaian sengketa medis melalui mediasi dihubungkan dengan peraturan Mahkamah Agung Nomor I Tahun 2008 tentang Prosedur Mediasi di Pengadilan. Jurnal Hukum Mimbar Justitia. 2014;6(2):369–88.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22</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Muliarini P. The reconstruction of Maternal Audit with the electronic health information System. Soepra. 2020;5(2):224.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23</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Bastian I, Suryono. Penyelesaian Sengketa Kesehatan. Jakarta: Salemba Medika; 2011. 310 p. </w:t>
      </w:r>
    </w:p>
    <w:p w:rsidR="005B764C" w:rsidRPr="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24</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Sinaga NA. Penyelesaian Sengketa Medis Di Indonesia. Jurnal Ilmiah Hukum Dirgantara [Internet]. 2021;11(2):1–22. Available from: https://journal.universitassuryadarma.ac.id/index.php/jihd/article/view/765</w:t>
      </w:r>
    </w:p>
    <w:p w:rsidR="005B764C" w:rsidRPr="005B764C" w:rsidP="005B764C">
      <w:pPr>
        <w:widowControl w:val="0"/>
        <w:adjustRightInd w:val="0"/>
        <w:spacing w:before="120" w:after="120"/>
        <w:ind w:left="993" w:hanging="502"/>
        <w:jc w:val="both"/>
        <w:rPr>
          <w:rFonts w:ascii="Calibri Light" w:hAnsi="Calibri Light" w:cs="Calibri Light"/>
          <w:noProof/>
          <w:sz w:val="24"/>
        </w:rPr>
      </w:pPr>
      <w:r>
        <w:rPr>
          <w:rFonts w:ascii="Calibri Light" w:hAnsi="Calibri Light" w:cs="Calibri Light"/>
          <w:noProof/>
          <w:sz w:val="24"/>
          <w:szCs w:val="24"/>
        </w:rPr>
        <w:t>[</w:t>
      </w:r>
      <w:r w:rsidRPr="005B764C">
        <w:rPr>
          <w:rFonts w:ascii="Calibri Light" w:hAnsi="Calibri Light" w:cs="Calibri Light"/>
          <w:noProof/>
          <w:sz w:val="24"/>
          <w:szCs w:val="24"/>
        </w:rPr>
        <w:t>25</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Nasution MAS, Satria B, Tarigan IJ. MEDIASI SEBAGAI KOMUNIKASI HUKUM DALAM PENYELESAIAN SENGKETA MEDIK ANTARA DOKTER DAN PASIEN. Jurnal Hukum Kesehatan Indonesia. 2021;1(2). </w:t>
      </w:r>
    </w:p>
    <w:p w:rsidR="00FF5CFC" w:rsidRPr="00540F02" w:rsidP="005B764C">
      <w:pPr>
        <w:pStyle w:val="ListParagraph"/>
        <w:spacing w:before="120" w:after="120" w:line="240" w:lineRule="auto"/>
        <w:ind w:left="0" w:right="-1"/>
        <w:contextualSpacing w:val="0"/>
        <w:jc w:val="both"/>
        <w:rPr>
          <w:rFonts w:ascii="Calibri Light" w:hAnsi="Calibri Light" w:cs="Calibri Light"/>
          <w:color w:val="A6A6A6"/>
          <w:sz w:val="24"/>
          <w:szCs w:val="24"/>
        </w:rPr>
      </w:pPr>
      <w:r w:rsidRPr="00FF5CFC">
        <w:rPr>
          <w:rFonts w:ascii="Calibri Light" w:hAnsi="Calibri Light" w:cs="Calibri Light"/>
          <w:color w:val="A6A6A6"/>
          <w:sz w:val="24"/>
          <w:szCs w:val="24"/>
        </w:rPr>
        <w:fldChar w:fldCharType="end"/>
      </w:r>
    </w:p>
    <w:sectPr w:rsidSect="007816FC">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6</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6</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5CFC" w:rsidRPr="00FF1D30" w:rsidP="00FF5CFC">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p w:rsidR="00122F5F" w:rsidRPr="00FF1D30" w:rsidP="00122F5F">
                          <w:pPr>
                            <w:ind w:left="23"/>
                            <w:jc w:val="both"/>
                            <w:rPr>
                              <w:rFonts w:ascii="Calibri Light" w:hAnsi="Calibri Light" w:cs="Calibri Light"/>
                              <w:i/>
                              <w:sz w:val="18"/>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FF5CFC" w:rsidRPr="00FF1D30" w:rsidP="00FF5CFC">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p w:rsidR="00122F5F" w:rsidRPr="00FF1D30" w:rsidP="00122F5F">
                    <w:pPr>
                      <w:ind w:left="23"/>
                      <w:jc w:val="both"/>
                      <w:rPr>
                        <w:rFonts w:ascii="Calibri Light" w:hAnsi="Calibri Light" w:cs="Calibri Light"/>
                        <w:i/>
                        <w:sz w:val="18"/>
                      </w:rPr>
                    </w:pPr>
                  </w:p>
                </w:txbxContent>
              </v:textbox>
            </v:shape>
          </w:pict>
        </mc:Fallback>
      </mc:AlternateContent>
    </w:r>
    <w:r>
      <w:rPr>
        <w:noProof/>
        <w:lang w:val="id-ID" w:eastAsia="id-ID"/>
      </w:rPr>
      <w:drawing>
        <wp:inline distT="0" distB="0" distL="0" distR="0">
          <wp:extent cx="1104900" cy="495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104900" cy="495300"/>
                  </a:xfrm>
                  <a:prstGeom prst="rect">
                    <a:avLst/>
                  </a:prstGeom>
                  <a:noFill/>
                  <a:ln>
                    <a:noFill/>
                  </a:ln>
                </pic:spPr>
              </pic:pic>
            </a:graphicData>
          </a:graphic>
        </wp:inline>
      </w:drawing>
    </w:r>
  </w:p>
  <w:p w:rsidR="00122F5F" w:rsidP="00122F5F">
    <w:pPr>
      <w:pStyle w:val="Header"/>
      <w:rPr>
        <w:sz w:val="16"/>
        <w:szCs w:val="16"/>
      </w:rPr>
    </w:pPr>
  </w:p>
  <w:p w:rsidR="00AA4AE4" w:rsidP="00122F5F">
    <w:pPr>
      <w:pStyle w:val="Header"/>
      <w:rPr>
        <w:sz w:val="16"/>
        <w:szCs w:val="16"/>
      </w:rPr>
    </w:pPr>
  </w:p>
  <w:p w:rsidR="00122F5F" w:rsidRPr="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5</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5</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5CFC" w:rsidRPr="00FF1D30" w:rsidP="00FF5CFC">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p w:rsidR="00540F02" w:rsidRPr="00FF1D30" w:rsidP="00540F02">
                          <w:pPr>
                            <w:ind w:left="23"/>
                            <w:jc w:val="both"/>
                            <w:rPr>
                              <w:rFonts w:ascii="Calibri Light" w:hAnsi="Calibri Light" w:cs="Calibri Light"/>
                              <w:i/>
                              <w:sz w:val="18"/>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FF5CFC" w:rsidRPr="00FF1D30" w:rsidP="00FF5CFC">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p w:rsidR="00540F02" w:rsidRPr="00FF1D30" w:rsidP="00540F02">
                    <w:pPr>
                      <w:ind w:left="23"/>
                      <w:jc w:val="both"/>
                      <w:rPr>
                        <w:rFonts w:ascii="Calibri Light" w:hAnsi="Calibri Light" w:cs="Calibri Light"/>
                        <w:i/>
                        <w:sz w:val="18"/>
                      </w:rPr>
                    </w:pPr>
                  </w:p>
                </w:txbxContent>
              </v:textbox>
            </v:shape>
          </w:pict>
        </mc:Fallback>
      </mc:AlternateContent>
    </w:r>
    <w:r>
      <w:rPr>
        <w:noProof/>
        <w:lang w:val="id-ID" w:eastAsia="id-ID"/>
      </w:rPr>
      <w:drawing>
        <wp:inline distT="0" distB="0" distL="0" distR="0">
          <wp:extent cx="1104900" cy="495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104900" cy="495300"/>
                  </a:xfrm>
                  <a:prstGeom prst="rect">
                    <a:avLst/>
                  </a:prstGeom>
                  <a:noFill/>
                  <a:ln>
                    <a:noFill/>
                  </a:ln>
                </pic:spPr>
              </pic:pic>
            </a:graphicData>
          </a:graphic>
        </wp:inline>
      </w:drawing>
    </w:r>
  </w:p>
  <w:p w:rsidR="00540F02" w:rsidP="00540F02">
    <w:pPr>
      <w:pStyle w:val="Header"/>
      <w:rPr>
        <w:sz w:val="16"/>
        <w:szCs w:val="16"/>
      </w:rPr>
    </w:pPr>
  </w:p>
  <w:p w:rsidR="00540F02" w:rsidP="00540F02">
    <w:pPr>
      <w:pStyle w:val="Header"/>
      <w:rPr>
        <w:sz w:val="16"/>
        <w:szCs w:val="16"/>
      </w:rPr>
    </w:pPr>
  </w:p>
  <w:p w:rsidR="00AA4AE4" w:rsidRPr="00540F02"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txbxContent>
              </v:textbox>
            </v:shape>
          </w:pict>
        </mc:Fallback>
      </mc:AlternateContent>
    </w:r>
    <w:r>
      <w:rPr>
        <w:noProof/>
        <w:lang w:val="id-ID" w:eastAsia="id-ID"/>
      </w:rPr>
      <w:drawing>
        <wp:inline distT="0" distB="0" distL="0" distR="0">
          <wp:extent cx="11049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104900" cy="495300"/>
                  </a:xfrm>
                  <a:prstGeom prst="rect">
                    <a:avLst/>
                  </a:prstGeom>
                  <a:noFill/>
                  <a:ln>
                    <a:noFill/>
                  </a:ln>
                </pic:spPr>
              </pic:pic>
            </a:graphicData>
          </a:graphic>
        </wp:inline>
      </w:drawing>
    </w:r>
  </w:p>
  <w:p w:rsidR="00FF1D30">
    <w:pPr>
      <w:pStyle w:val="Header"/>
      <w:rPr>
        <w:sz w:val="16"/>
        <w:szCs w:val="16"/>
      </w:rPr>
    </w:pPr>
  </w:p>
  <w:p w:rsidR="00FF1D30">
    <w:pPr>
      <w:pStyle w:val="Header"/>
      <w:rPr>
        <w:sz w:val="16"/>
        <w:szCs w:val="16"/>
      </w:rPr>
    </w:pPr>
  </w:p>
  <w:p w:rsidR="00FF1D30" w:rsidRPr="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FFFFFFFF"/>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FFFFFFFF"/>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FFFFFFFF"/>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FFFFFFFF"/>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FFFFFFFF"/>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FFFFFFFF"/>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FFFFFFFF"/>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4D590F"/>
    <w:multiLevelType w:val="hybridMultilevel"/>
    <w:tmpl w:val="AE268ADA"/>
    <w:lvl w:ilvl="0">
      <w:start w:val="1"/>
      <w:numFmt w:val="decimal"/>
      <w:lvlText w:val="%1)"/>
      <w:lvlJc w:val="left"/>
      <w:pPr>
        <w:ind w:left="1004" w:hanging="360"/>
      </w:pPr>
      <w:rPr>
        <w:rFonts w:cs="Times New Roman" w:hint="default"/>
        <w:b w:val="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8">
    <w:nsid w:val="06D70B74"/>
    <w:multiLevelType w:val="hybridMultilevel"/>
    <w:tmpl w:val="FFFFFFFF"/>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45E0DFB"/>
    <w:multiLevelType w:val="hybridMultilevel"/>
    <w:tmpl w:val="FFFFFFFF"/>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158306E6"/>
    <w:multiLevelType w:val="hybridMultilevel"/>
    <w:tmpl w:val="76B2EA9E"/>
    <w:lvl w:ilvl="0">
      <w:start w:val="1"/>
      <w:numFmt w:val="decimal"/>
      <w:lvlText w:val="%1)"/>
      <w:lvlJc w:val="left"/>
      <w:pPr>
        <w:ind w:left="1494" w:hanging="360"/>
      </w:pPr>
      <w:rPr>
        <w:rFonts w:cs="Times New Roman" w:hint="default"/>
      </w:rPr>
    </w:lvl>
    <w:lvl w:ilvl="1" w:tentative="1">
      <w:start w:val="1"/>
      <w:numFmt w:val="lowerLetter"/>
      <w:lvlText w:val="%2."/>
      <w:lvlJc w:val="left"/>
      <w:pPr>
        <w:ind w:left="2214" w:hanging="360"/>
      </w:pPr>
      <w:rPr>
        <w:rFonts w:cs="Times New Roman"/>
      </w:rPr>
    </w:lvl>
    <w:lvl w:ilvl="2" w:tentative="1">
      <w:start w:val="1"/>
      <w:numFmt w:val="lowerRoman"/>
      <w:lvlText w:val="%3."/>
      <w:lvlJc w:val="right"/>
      <w:pPr>
        <w:ind w:left="2934" w:hanging="180"/>
      </w:pPr>
      <w:rPr>
        <w:rFonts w:cs="Times New Roman"/>
      </w:rPr>
    </w:lvl>
    <w:lvl w:ilvl="3" w:tentative="1">
      <w:start w:val="1"/>
      <w:numFmt w:val="decimal"/>
      <w:lvlText w:val="%4."/>
      <w:lvlJc w:val="left"/>
      <w:pPr>
        <w:ind w:left="3654" w:hanging="360"/>
      </w:pPr>
      <w:rPr>
        <w:rFonts w:cs="Times New Roman"/>
      </w:rPr>
    </w:lvl>
    <w:lvl w:ilvl="4" w:tentative="1">
      <w:start w:val="1"/>
      <w:numFmt w:val="lowerLetter"/>
      <w:lvlText w:val="%5."/>
      <w:lvlJc w:val="left"/>
      <w:pPr>
        <w:ind w:left="4374" w:hanging="360"/>
      </w:pPr>
      <w:rPr>
        <w:rFonts w:cs="Times New Roman"/>
      </w:rPr>
    </w:lvl>
    <w:lvl w:ilvl="5" w:tentative="1">
      <w:start w:val="1"/>
      <w:numFmt w:val="lowerRoman"/>
      <w:lvlText w:val="%6."/>
      <w:lvlJc w:val="right"/>
      <w:pPr>
        <w:ind w:left="5094" w:hanging="180"/>
      </w:pPr>
      <w:rPr>
        <w:rFonts w:cs="Times New Roman"/>
      </w:rPr>
    </w:lvl>
    <w:lvl w:ilvl="6" w:tentative="1">
      <w:start w:val="1"/>
      <w:numFmt w:val="decimal"/>
      <w:lvlText w:val="%7."/>
      <w:lvlJc w:val="left"/>
      <w:pPr>
        <w:ind w:left="5814" w:hanging="360"/>
      </w:pPr>
      <w:rPr>
        <w:rFonts w:cs="Times New Roman"/>
      </w:rPr>
    </w:lvl>
    <w:lvl w:ilvl="7" w:tentative="1">
      <w:start w:val="1"/>
      <w:numFmt w:val="lowerLetter"/>
      <w:lvlText w:val="%8."/>
      <w:lvlJc w:val="left"/>
      <w:pPr>
        <w:ind w:left="6534" w:hanging="360"/>
      </w:pPr>
      <w:rPr>
        <w:rFonts w:cs="Times New Roman"/>
      </w:rPr>
    </w:lvl>
    <w:lvl w:ilvl="8" w:tentative="1">
      <w:start w:val="1"/>
      <w:numFmt w:val="lowerRoman"/>
      <w:lvlText w:val="%9."/>
      <w:lvlJc w:val="right"/>
      <w:pPr>
        <w:ind w:left="7254" w:hanging="180"/>
      </w:pPr>
      <w:rPr>
        <w:rFonts w:cs="Times New Roman"/>
      </w:rPr>
    </w:lvl>
  </w:abstractNum>
  <w:abstractNum w:abstractNumId="12">
    <w:nsid w:val="1D1E3992"/>
    <w:multiLevelType w:val="hybridMultilevel"/>
    <w:tmpl w:val="FFFFFFFF"/>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3">
    <w:nsid w:val="1FE30FAA"/>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4">
    <w:nsid w:val="20C15439"/>
    <w:multiLevelType w:val="hybridMultilevel"/>
    <w:tmpl w:val="FFFFFFFF"/>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5">
    <w:nsid w:val="24C25F98"/>
    <w:multiLevelType w:val="hybridMultilevel"/>
    <w:tmpl w:val="FFFFFFFF"/>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6">
    <w:nsid w:val="2DC068FF"/>
    <w:multiLevelType w:val="hybridMultilevel"/>
    <w:tmpl w:val="FFFFFFFF"/>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2DED1B21"/>
    <w:multiLevelType w:val="hybridMultilevel"/>
    <w:tmpl w:val="FFFFFFFF"/>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8">
    <w:nsid w:val="41C278DF"/>
    <w:multiLevelType w:val="hybridMultilevel"/>
    <w:tmpl w:val="FFFFFFFF"/>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9">
    <w:nsid w:val="4C843614"/>
    <w:multiLevelType w:val="hybridMultilevel"/>
    <w:tmpl w:val="FFFFFFFF"/>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20">
    <w:nsid w:val="51451C3A"/>
    <w:multiLevelType w:val="hybridMultilevel"/>
    <w:tmpl w:val="FFFFFFFF"/>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1">
    <w:nsid w:val="53506898"/>
    <w:multiLevelType w:val="hybridMultilevel"/>
    <w:tmpl w:val="FFFFFFFF"/>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2">
    <w:nsid w:val="5541547D"/>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nsid w:val="57B44D9E"/>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5F7554F0"/>
    <w:multiLevelType w:val="hybridMultilevel"/>
    <w:tmpl w:val="FFFFFFFF"/>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5">
    <w:nsid w:val="613F0B7A"/>
    <w:multiLevelType w:val="hybridMultilevel"/>
    <w:tmpl w:val="FFFFFFFF"/>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6">
    <w:nsid w:val="74633A4F"/>
    <w:multiLevelType w:val="hybridMultilevel"/>
    <w:tmpl w:val="FFFFFFFF"/>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7">
    <w:nsid w:val="76AB5283"/>
    <w:multiLevelType w:val="hybridMultilevel"/>
    <w:tmpl w:val="FFFFFFFF"/>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8">
    <w:nsid w:val="7B857A15"/>
    <w:multiLevelType w:val="hybridMultilevel"/>
    <w:tmpl w:val="FFFFFFFF"/>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nsid w:val="7C1E659A"/>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0">
    <w:nsid w:val="7CC85296"/>
    <w:multiLevelType w:val="hybridMultilevel"/>
    <w:tmpl w:val="FFFFFFFF"/>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2132748405">
    <w:abstractNumId w:val="16"/>
  </w:num>
  <w:num w:numId="2" w16cid:durableId="265431810">
    <w:abstractNumId w:val="9"/>
  </w:num>
  <w:num w:numId="3" w16cid:durableId="996494626">
    <w:abstractNumId w:val="10"/>
  </w:num>
  <w:num w:numId="4" w16cid:durableId="2010525194">
    <w:abstractNumId w:val="24"/>
  </w:num>
  <w:num w:numId="5" w16cid:durableId="656303781">
    <w:abstractNumId w:val="23"/>
  </w:num>
  <w:num w:numId="6" w16cid:durableId="501773637">
    <w:abstractNumId w:val="22"/>
  </w:num>
  <w:num w:numId="7" w16cid:durableId="1777555869">
    <w:abstractNumId w:val="29"/>
  </w:num>
  <w:num w:numId="8" w16cid:durableId="1818105368">
    <w:abstractNumId w:val="17"/>
  </w:num>
  <w:num w:numId="9" w16cid:durableId="1078864903">
    <w:abstractNumId w:val="25"/>
  </w:num>
  <w:num w:numId="10" w16cid:durableId="292251393">
    <w:abstractNumId w:val="26"/>
  </w:num>
  <w:num w:numId="11" w16cid:durableId="2060739758">
    <w:abstractNumId w:val="13"/>
  </w:num>
  <w:num w:numId="12" w16cid:durableId="627705859">
    <w:abstractNumId w:val="20"/>
  </w:num>
  <w:num w:numId="13" w16cid:durableId="2085224922">
    <w:abstractNumId w:val="8"/>
  </w:num>
  <w:num w:numId="14" w16cid:durableId="643654773">
    <w:abstractNumId w:val="0"/>
  </w:num>
  <w:num w:numId="15" w16cid:durableId="1026564376">
    <w:abstractNumId w:val="30"/>
  </w:num>
  <w:num w:numId="16" w16cid:durableId="805705071">
    <w:abstractNumId w:val="21"/>
  </w:num>
  <w:num w:numId="17" w16cid:durableId="1018967681">
    <w:abstractNumId w:val="28"/>
  </w:num>
  <w:num w:numId="18" w16cid:durableId="1097097597">
    <w:abstractNumId w:val="27"/>
  </w:num>
  <w:num w:numId="19" w16cid:durableId="1293559919">
    <w:abstractNumId w:val="19"/>
  </w:num>
  <w:num w:numId="20" w16cid:durableId="1133716320">
    <w:abstractNumId w:val="5"/>
  </w:num>
  <w:num w:numId="21" w16cid:durableId="844170728">
    <w:abstractNumId w:val="1"/>
  </w:num>
  <w:num w:numId="22" w16cid:durableId="821696676">
    <w:abstractNumId w:val="14"/>
  </w:num>
  <w:num w:numId="23" w16cid:durableId="1952131074">
    <w:abstractNumId w:val="2"/>
  </w:num>
  <w:num w:numId="24" w16cid:durableId="14156761">
    <w:abstractNumId w:val="3"/>
  </w:num>
  <w:num w:numId="25" w16cid:durableId="398485615">
    <w:abstractNumId w:val="4"/>
  </w:num>
  <w:num w:numId="26" w16cid:durableId="785350612">
    <w:abstractNumId w:val="12"/>
  </w:num>
  <w:num w:numId="27" w16cid:durableId="696586111">
    <w:abstractNumId w:val="15"/>
  </w:num>
  <w:num w:numId="28" w16cid:durableId="1038509915">
    <w:abstractNumId w:val="6"/>
  </w:num>
  <w:num w:numId="29" w16cid:durableId="2111510929">
    <w:abstractNumId w:val="18"/>
  </w:num>
  <w:num w:numId="30" w16cid:durableId="427192937">
    <w:abstractNumId w:val="7"/>
  </w:num>
  <w:num w:numId="31" w16cid:durableId="61055492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B5C38"/>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402E"/>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82BE4"/>
    <w:rsid w:val="00591DE5"/>
    <w:rsid w:val="0059236C"/>
    <w:rsid w:val="005A4F69"/>
    <w:rsid w:val="005B764C"/>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1E5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72130"/>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277EC"/>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38FB"/>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CFC"/>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22C3BE2A"/>
  <w15:docId w15:val="{EF8106BE-FE37-46D6-B455-007DD35C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doi.org/10.5758/ijls.2022.1" TargetMode="External" /><Relationship Id="rId7" Type="http://schemas.openxmlformats.org/officeDocument/2006/relationships/hyperlink" Target="https://creativecommons.org/licenses/by/4.0/" TargetMode="External" /><Relationship Id="rId8" Type="http://schemas.openxmlformats.org/officeDocument/2006/relationships/header" Target="header1.xml" /><Relationship Id="rId9" Type="http://schemas.openxmlformats.org/officeDocument/2006/relationships/header" Target="header2.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A7DC9-BDD5-44D4-97C1-00BC2C2C9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15672</Words>
  <Characters>89332</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S</cp:lastModifiedBy>
  <cp:revision>4</cp:revision>
  <cp:lastPrinted>2008-11-01T04:52:00Z</cp:lastPrinted>
  <dcterms:created xsi:type="dcterms:W3CDTF">2023-03-29T22:16:00Z</dcterms:created>
  <dcterms:modified xsi:type="dcterms:W3CDTF">2023-07-27T03:11:00Z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http://www.zotero.org/styles/vancouver</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vt:lpwstr>
  </property>
  <property fmtid="{D5CDD505-2E9C-101B-9397-08002B2CF9AE}" pid="6" name="Mendeley Recent Style Id 2_1">
    <vt:lpwstr>http://www.zotero.org/styles/american-sociological-association</vt:lpwstr>
  </property>
  <property fmtid="{D5CDD505-2E9C-101B-9397-08002B2CF9AE}" pid="7" name="Mendeley Recent Style Id 3_1">
    <vt:lpwstr>http://www.zotero.org/styles/chicago-author-date</vt:lpwstr>
  </property>
  <property fmtid="{D5CDD505-2E9C-101B-9397-08002B2CF9AE}" pid="8" name="Mendeley Recent Style Id 4_1">
    <vt:lpwstr>http://www.zotero.org/styles/ieee</vt:lpwstr>
  </property>
  <property fmtid="{D5CDD505-2E9C-101B-9397-08002B2CF9AE}" pid="9" name="Mendeley Recent Style Id 5_1">
    <vt:lpwstr>http://www.zotero.org/styles/modern-humanities-research-association</vt:lpwstr>
  </property>
  <property fmtid="{D5CDD505-2E9C-101B-9397-08002B2CF9AE}" pid="10" name="Mendeley Recent Style Id 6_1">
    <vt:lpwstr>http://www.zotero.org/styles/modern-language-association</vt:lpwstr>
  </property>
  <property fmtid="{D5CDD505-2E9C-101B-9397-08002B2CF9AE}" pid="11" name="Mendeley Recent Style Id 7_1">
    <vt:lpwstr>http://www.zotero.org/styles/nature</vt:lpwstr>
  </property>
  <property fmtid="{D5CDD505-2E9C-101B-9397-08002B2CF9AE}" pid="12" name="Mendeley Recent Style Id 8_1">
    <vt:lpwstr>http://www.zotero.org/styles/turabian-fullnote-bibliography</vt:lpwstr>
  </property>
  <property fmtid="{D5CDD505-2E9C-101B-9397-08002B2CF9AE}" pid="13" name="Mendeley Recent Style Id 9_1">
    <vt:lpwstr>http://www.zotero.org/styles/vancouver</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7th edition</vt:lpwstr>
  </property>
  <property fmtid="{D5CDD505-2E9C-101B-9397-08002B2CF9AE}" pid="16" name="Mendeley Recent Style Name 2_1">
    <vt:lpwstr>American Sociological Association 6th edition</vt:lpwstr>
  </property>
  <property fmtid="{D5CDD505-2E9C-101B-9397-08002B2CF9AE}" pid="17" name="Mendeley Recent Style Name 3_1">
    <vt:lpwstr>Chicago Manual of Style 17th edition (author-date)</vt:lpwstr>
  </property>
  <property fmtid="{D5CDD505-2E9C-101B-9397-08002B2CF9AE}" pid="18" name="Mendeley Recent Style Name 4_1">
    <vt:lpwstr>IEEE</vt:lpwstr>
  </property>
  <property fmtid="{D5CDD505-2E9C-101B-9397-08002B2CF9AE}" pid="19" name="Mendeley Recent Style Name 5_1">
    <vt:lpwstr>Modern Humanities Research Association 3rd edition (note with bibliography)</vt:lpwstr>
  </property>
  <property fmtid="{D5CDD505-2E9C-101B-9397-08002B2CF9AE}" pid="20" name="Mendeley Recent Style Name 6_1">
    <vt:lpwstr>Modern Language Association 8th edition</vt:lpwstr>
  </property>
  <property fmtid="{D5CDD505-2E9C-101B-9397-08002B2CF9AE}" pid="21" name="Mendeley Recent Style Name 7_1">
    <vt:lpwstr>Nature</vt:lpwstr>
  </property>
  <property fmtid="{D5CDD505-2E9C-101B-9397-08002B2CF9AE}" pid="22" name="Mendeley Recent Style Name 8_1">
    <vt:lpwstr>Turabian 8th edition (full note)</vt:lpwstr>
  </property>
  <property fmtid="{D5CDD505-2E9C-101B-9397-08002B2CF9AE}" pid="23" name="Mendeley Recent Style Name 9_1">
    <vt:lpwstr>Vancouver</vt:lpwstr>
  </property>
  <property fmtid="{D5CDD505-2E9C-101B-9397-08002B2CF9AE}" pid="24" name="Mendeley Unique User Id_1">
    <vt:lpwstr>3893664b-1929-3d42-9b31-4414b8f86ff5</vt:lpwstr>
  </property>
</Properties>
</file>