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E1E48" w:rsidRPr="00122F5F" w:rsidRDefault="00DE1E48" w:rsidP="00122F5F">
      <w:pPr>
        <w:rPr>
          <w:rFonts w:ascii="Calibri Light" w:hAnsi="Calibri Light" w:cs="Calibri Light"/>
          <w:b/>
          <w:bCs/>
          <w:sz w:val="24"/>
          <w:szCs w:val="24"/>
        </w:rPr>
      </w:pPr>
    </w:p>
    <w:p w:rsidR="00DE1E48" w:rsidRPr="00122F5F" w:rsidRDefault="004E6EE9" w:rsidP="00122F5F">
      <w:pPr>
        <w:rPr>
          <w:rFonts w:ascii="Calibri Light" w:hAnsi="Calibri Light" w:cs="Calibri Light"/>
          <w:b/>
          <w:bCs/>
          <w:iCs/>
          <w:sz w:val="28"/>
          <w:szCs w:val="28"/>
          <w:lang w:val="id-ID"/>
        </w:rPr>
      </w:pPr>
      <w:r w:rsidRPr="004E6EE9">
        <w:rPr>
          <w:rFonts w:ascii="Calibri Light" w:hAnsi="Calibri Light" w:cs="Calibri Light"/>
          <w:b/>
          <w:bCs/>
          <w:sz w:val="28"/>
          <w:szCs w:val="28"/>
        </w:rPr>
        <w:t>Military Court Authority to Adjudicate Serious Human Rights Violations Committed by TNI Personnel</w:t>
      </w:r>
    </w:p>
    <w:p w:rsidR="00DE1E48" w:rsidRPr="00122F5F" w:rsidRDefault="00DE1E48" w:rsidP="001D7DEE">
      <w:pPr>
        <w:jc w:val="center"/>
        <w:rPr>
          <w:rFonts w:ascii="Calibri Light" w:hAnsi="Calibri Light" w:cs="Calibri Light"/>
          <w:sz w:val="24"/>
          <w:szCs w:val="24"/>
        </w:rPr>
      </w:pPr>
    </w:p>
    <w:p w:rsidR="008C45DE" w:rsidRPr="00540F02" w:rsidRDefault="004E6EE9" w:rsidP="00122F5F">
      <w:pPr>
        <w:rPr>
          <w:rFonts w:ascii="Calibri Light" w:hAnsi="Calibri Light" w:cs="Calibri Light"/>
          <w:color w:val="A6A6A6"/>
          <w:sz w:val="24"/>
          <w:szCs w:val="24"/>
        </w:rPr>
      </w:pPr>
      <w:r w:rsidRPr="004E6EE9">
        <w:rPr>
          <w:rFonts w:ascii="Calibri Light" w:hAnsi="Calibri Light" w:cs="Calibri Light"/>
          <w:b/>
          <w:bCs/>
          <w:sz w:val="24"/>
          <w:szCs w:val="24"/>
        </w:rPr>
        <w:t>Azis Akbar Ramadhan</w:t>
      </w:r>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r w:rsidRPr="004E6EE9">
        <w:rPr>
          <w:rFonts w:ascii="Calibri Light" w:hAnsi="Calibri Light" w:cs="Calibri Light"/>
          <w:b/>
          <w:bCs/>
          <w:sz w:val="24"/>
          <w:szCs w:val="24"/>
        </w:rPr>
        <w:t>Ulya Shafa Firdausi</w:t>
      </w:r>
      <w:r w:rsidRPr="004E6EE9">
        <w:rPr>
          <w:rFonts w:ascii="Calibri Light" w:hAnsi="Calibri Light" w:cs="Calibri Light"/>
          <w:b/>
          <w:bCs/>
          <w:sz w:val="24"/>
          <w:szCs w:val="24"/>
          <w:vertAlign w:val="superscript"/>
        </w:rPr>
        <w:t>2</w:t>
      </w:r>
      <w:r w:rsidRPr="004E6EE9">
        <w:rPr>
          <w:rFonts w:ascii="Calibri Light" w:hAnsi="Calibri Light" w:cs="Calibri Light"/>
          <w:b/>
          <w:bCs/>
          <w:sz w:val="24"/>
          <w:szCs w:val="24"/>
        </w:rPr>
        <w:t>, Cerninta Khisan Kusuma Pratama Putri</w:t>
      </w:r>
      <w:r w:rsidRPr="004E6EE9">
        <w:rPr>
          <w:rFonts w:ascii="Calibri Light" w:hAnsi="Calibri Light" w:cs="Calibri Light"/>
          <w:b/>
          <w:bCs/>
          <w:sz w:val="24"/>
          <w:szCs w:val="24"/>
          <w:vertAlign w:val="superscript"/>
        </w:rPr>
        <w:t>3</w:t>
      </w:r>
    </w:p>
    <w:p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004E6EE9" w:rsidRPr="004E6EE9">
        <w:rPr>
          <w:rFonts w:ascii="Calibri Light" w:hAnsi="Calibri Light" w:cs="Calibri Light"/>
          <w:sz w:val="24"/>
          <w:szCs w:val="24"/>
        </w:rPr>
        <w:t>Universitas Airlangga, Jl. Mayjen Prof. Dr. Moestopo No.47, Surabaya, East Java</w:t>
      </w:r>
      <w:r w:rsidR="004E6EE9">
        <w:rPr>
          <w:rFonts w:ascii="Calibri Light" w:hAnsi="Calibri Light" w:cs="Calibri Light"/>
          <w:sz w:val="24"/>
          <w:szCs w:val="24"/>
        </w:rPr>
        <w:t>, Indonesia</w:t>
      </w:r>
    </w:p>
    <w:p w:rsidR="00CF57D6" w:rsidRDefault="008C45DE" w:rsidP="00122F5F">
      <w:pPr>
        <w:rPr>
          <w:rFonts w:ascii="Calibri Light" w:hAnsi="Calibri Light" w:cs="Calibri Light"/>
          <w:sz w:val="24"/>
          <w:szCs w:val="24"/>
        </w:rPr>
      </w:pPr>
      <w:r w:rsidRPr="00122F5F">
        <w:rPr>
          <w:rFonts w:ascii="Calibri Light" w:hAnsi="Calibri Light" w:cs="Calibri Light"/>
          <w:sz w:val="24"/>
          <w:szCs w:val="24"/>
          <w:vertAlign w:val="superscript"/>
        </w:rPr>
        <w:t>2</w:t>
      </w:r>
      <w:r w:rsidR="004E6EE9" w:rsidRPr="004E6EE9">
        <w:rPr>
          <w:rFonts w:ascii="Calibri Light" w:hAnsi="Calibri Light" w:cs="Calibri Light"/>
          <w:sz w:val="24"/>
          <w:szCs w:val="24"/>
        </w:rPr>
        <w:t>Universitas Islam Negeri Maulana Malik Ibrahim Malang, Jl. Gajayana No.50, Malang, East Java, Indonesia</w:t>
      </w:r>
    </w:p>
    <w:p w:rsidR="004E6EE9" w:rsidRPr="004E6EE9" w:rsidRDefault="004E6EE9" w:rsidP="00122F5F">
      <w:pPr>
        <w:rPr>
          <w:rFonts w:ascii="Calibri Light" w:hAnsi="Calibri Light" w:cs="Calibri Light"/>
          <w:sz w:val="24"/>
          <w:szCs w:val="24"/>
          <w:lang w:val="id-ID"/>
        </w:rPr>
      </w:pPr>
      <w:r w:rsidRPr="004E6EE9">
        <w:rPr>
          <w:rFonts w:ascii="Calibri Light" w:hAnsi="Calibri Light" w:cs="Calibri Light"/>
          <w:sz w:val="24"/>
          <w:szCs w:val="24"/>
          <w:vertAlign w:val="superscript"/>
          <w:lang w:val="id-ID"/>
        </w:rPr>
        <w:t>3</w:t>
      </w:r>
      <w:r w:rsidRPr="004E6EE9">
        <w:rPr>
          <w:rFonts w:ascii="Calibri Light" w:hAnsi="Calibri Light" w:cs="Calibri Light"/>
          <w:sz w:val="24"/>
          <w:szCs w:val="24"/>
          <w:lang w:val="id-ID"/>
        </w:rPr>
        <w:t>Universitas Muhammadiyah Ponorogo, Jl. Budi Utomo No.10, Ponorogo, East Java, Indonesia</w:t>
      </w:r>
    </w:p>
    <w:p w:rsidR="009E4EBA" w:rsidRPr="004E6EE9" w:rsidRDefault="009E4EBA" w:rsidP="00122F5F">
      <w:pPr>
        <w:rPr>
          <w:rFonts w:ascii="Calibri Light" w:hAnsi="Calibri Light" w:cs="Calibri Light"/>
          <w:sz w:val="24"/>
          <w:szCs w:val="24"/>
          <w:lang w:val="id-ID"/>
        </w:rPr>
      </w:pPr>
      <w:r w:rsidRPr="004E6EE9">
        <w:rPr>
          <w:rFonts w:ascii="Calibri Light" w:hAnsi="Calibri Light" w:cs="Calibri Light"/>
          <w:sz w:val="24"/>
          <w:szCs w:val="24"/>
          <w:lang w:val="id-ID"/>
        </w:rPr>
        <w:t>*</w:t>
      </w:r>
      <w:r w:rsidR="004E6EE9" w:rsidRPr="004E6EE9">
        <w:rPr>
          <w:rFonts w:ascii="Calibri Light" w:hAnsi="Calibri Light" w:cs="Calibri Light"/>
          <w:sz w:val="24"/>
          <w:szCs w:val="24"/>
          <w:lang w:val="id-ID"/>
        </w:rPr>
        <w:t>azisakbarramadhan1@gmail.com</w:t>
      </w:r>
    </w:p>
    <w:p w:rsidR="00DE1E48" w:rsidRPr="00122F5F" w:rsidRDefault="00DE1E48" w:rsidP="001D7DEE">
      <w:pPr>
        <w:jc w:val="cente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w:t>
      </w:r>
      <w:r w:rsidR="00D04875">
        <w:rPr>
          <w:rFonts w:ascii="Calibri Light" w:hAnsi="Calibri Light" w:cs="Calibri Light"/>
        </w:rPr>
        <w:t>4</w:t>
      </w:r>
      <w:r w:rsidRPr="00863A78">
        <w:rPr>
          <w:rFonts w:ascii="Calibri Light" w:hAnsi="Calibri Light" w:cs="Calibri Light"/>
        </w:rPr>
        <w:t>-</w:t>
      </w:r>
      <w:r w:rsidR="00D04875">
        <w:rPr>
          <w:rFonts w:ascii="Calibri Light" w:hAnsi="Calibri Light" w:cs="Calibri Light"/>
        </w:rPr>
        <w:t>March</w:t>
      </w:r>
      <w:r w:rsidRPr="00863A78">
        <w:rPr>
          <w:rFonts w:ascii="Calibri Light" w:hAnsi="Calibri Light" w:cs="Calibri Light"/>
        </w:rPr>
        <w:t>-1</w:t>
      </w:r>
      <w:r w:rsidR="00D04875">
        <w:rPr>
          <w:rFonts w:ascii="Calibri Light" w:hAnsi="Calibri Light" w:cs="Calibri Light"/>
        </w:rPr>
        <w:t>2</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w:t>
      </w:r>
      <w:r w:rsidR="00D92BF8">
        <w:rPr>
          <w:rFonts w:ascii="Calibri Light" w:hAnsi="Calibri Light" w:cs="Calibri Light"/>
        </w:rPr>
        <w:t>4</w:t>
      </w:r>
      <w:r w:rsidRPr="00863A78">
        <w:rPr>
          <w:rFonts w:ascii="Calibri Light" w:hAnsi="Calibri Light" w:cs="Calibri Light"/>
        </w:rPr>
        <w:t>-</w:t>
      </w:r>
      <w:r w:rsidR="00D92BF8">
        <w:rPr>
          <w:rFonts w:ascii="Calibri Light" w:hAnsi="Calibri Light" w:cs="Calibri Light"/>
        </w:rPr>
        <w:t>April</w:t>
      </w:r>
      <w:r w:rsidRPr="00863A78">
        <w:rPr>
          <w:rFonts w:ascii="Calibri Light" w:hAnsi="Calibri Light" w:cs="Calibri Light"/>
        </w:rPr>
        <w:t>-</w:t>
      </w:r>
      <w:r w:rsidR="00D92BF8">
        <w:rPr>
          <w:rFonts w:ascii="Calibri Light" w:hAnsi="Calibri Light" w:cs="Calibri Light"/>
        </w:rPr>
        <w:t>11</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w:t>
      </w:r>
      <w:r w:rsidR="009E24C6">
        <w:rPr>
          <w:rFonts w:ascii="Calibri Light" w:hAnsi="Calibri Light" w:cs="Calibri Light"/>
        </w:rPr>
        <w:t>4</w:t>
      </w:r>
      <w:r w:rsidRPr="00863A78">
        <w:rPr>
          <w:rFonts w:ascii="Calibri Light" w:hAnsi="Calibri Light" w:cs="Calibri Light"/>
        </w:rPr>
        <w:t>-</w:t>
      </w:r>
      <w:r w:rsidR="009E24C6">
        <w:rPr>
          <w:rFonts w:ascii="Calibri Light" w:hAnsi="Calibri Light" w:cs="Calibri Light"/>
        </w:rPr>
        <w:t>May</w:t>
      </w:r>
      <w:r w:rsidRPr="00863A78">
        <w:rPr>
          <w:rFonts w:ascii="Calibri Light" w:hAnsi="Calibri Light" w:cs="Calibri Light"/>
        </w:rPr>
        <w:t>-</w:t>
      </w:r>
      <w:r w:rsidR="009E24C6">
        <w:rPr>
          <w:rFonts w:ascii="Calibri Light" w:hAnsi="Calibri Light" w:cs="Calibri Light"/>
        </w:rPr>
        <w:t>0</w:t>
      </w:r>
      <w:r w:rsidRPr="00863A78">
        <w:rPr>
          <w:rFonts w:ascii="Calibri Light" w:hAnsi="Calibri Light" w:cs="Calibri Light"/>
        </w:rPr>
        <w:t>2</w:t>
      </w:r>
    </w:p>
    <w:p w:rsidR="00863A78" w:rsidRPr="00863A78" w:rsidRDefault="00863A78" w:rsidP="00863A78">
      <w:pPr>
        <w:ind w:right="737"/>
        <w:rPr>
          <w:rFonts w:ascii="Calibri Light" w:hAnsi="Calibri Light" w:cs="Calibri Light"/>
          <w:b/>
          <w:bCs/>
        </w:rPr>
      </w:pPr>
    </w:p>
    <w:p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009568BC" w:rsidRPr="009568BC">
              <w:rPr>
                <w:rFonts w:ascii="Calibri Light" w:hAnsi="Calibri Light" w:cs="Calibri Light"/>
              </w:rPr>
              <w:t>Ramadhan, A.A., Firdausi2, U.S. &amp; Putri, C.K.K.P.</w:t>
            </w:r>
            <w:r w:rsidRPr="00540F02">
              <w:rPr>
                <w:rFonts w:ascii="Calibri Light" w:hAnsi="Calibri Light" w:cs="Calibri Light"/>
              </w:rPr>
              <w:t xml:space="preserve"> (202</w:t>
            </w:r>
            <w:r w:rsidR="00563248">
              <w:rPr>
                <w:rFonts w:ascii="Calibri Light" w:hAnsi="Calibri Light" w:cs="Calibri Light"/>
              </w:rPr>
              <w:t>4</w:t>
            </w:r>
            <w:r w:rsidRPr="00540F02">
              <w:rPr>
                <w:rFonts w:ascii="Calibri Light" w:hAnsi="Calibri Light" w:cs="Calibri Light"/>
              </w:rPr>
              <w:t xml:space="preserve">). </w:t>
            </w:r>
            <w:r w:rsidR="00563248" w:rsidRPr="00563248">
              <w:rPr>
                <w:rFonts w:ascii="Calibri Light" w:hAnsi="Calibri Light" w:cs="Calibri Light"/>
              </w:rPr>
              <w:t>Military Court Authority to Adjudicate Serious Human Rights Violations Committed by TNI Personnel</w:t>
            </w:r>
            <w:r w:rsidRPr="00540F02">
              <w:rPr>
                <w:rFonts w:ascii="Calibri Light" w:hAnsi="Calibri Light" w:cs="Calibri Light"/>
              </w:rPr>
              <w:t>.</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00563248">
              <w:rPr>
                <w:rFonts w:ascii="Calibri Light" w:hAnsi="Calibri Light" w:cs="Calibri Light"/>
                <w:i/>
              </w:rPr>
              <w:t>3</w:t>
            </w:r>
            <w:r w:rsidRPr="00540F02">
              <w:rPr>
                <w:rFonts w:ascii="Calibri Light" w:hAnsi="Calibri Light" w:cs="Calibri Light"/>
              </w:rPr>
              <w:t>(</w:t>
            </w:r>
            <w:r w:rsidR="00563248">
              <w:rPr>
                <w:rFonts w:ascii="Calibri Light" w:hAnsi="Calibri Light" w:cs="Calibri Light"/>
              </w:rPr>
              <w:t>1</w:t>
            </w:r>
            <w:r w:rsidRPr="00540F02">
              <w:rPr>
                <w:rFonts w:ascii="Calibri Light" w:hAnsi="Calibri Light" w:cs="Calibri Light"/>
              </w:rPr>
              <w:t xml:space="preserve">), </w:t>
            </w:r>
            <w:r w:rsidR="002E79BD">
              <w:rPr>
                <w:rFonts w:ascii="Calibri Light" w:hAnsi="Calibri Light" w:cs="Calibri Light"/>
              </w:rPr>
              <w:t>34</w:t>
            </w:r>
            <w:r w:rsidRPr="00540F02">
              <w:rPr>
                <w:rFonts w:ascii="Calibri Light" w:hAnsi="Calibri Light" w:cs="Calibri Light"/>
              </w:rPr>
              <w:t>-</w:t>
            </w:r>
            <w:r w:rsidR="005F526E">
              <w:rPr>
                <w:rFonts w:ascii="Calibri Light" w:hAnsi="Calibri Light" w:cs="Calibri Light"/>
              </w:rPr>
              <w:t>43</w:t>
            </w:r>
            <w:r w:rsidRPr="00540F02">
              <w:rPr>
                <w:rFonts w:ascii="Calibri Light" w:hAnsi="Calibri Light" w:cs="Calibri Light"/>
              </w:rPr>
              <w:t>.</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260D64" w:rsidRDefault="00A27B3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A901CC" w:rsidRPr="00A901CC">
        <w:rPr>
          <w:rFonts w:ascii="Calibri Light" w:hAnsi="Calibri Light" w:cs="Calibri Light"/>
          <w:i/>
          <w:iCs/>
          <w:noProof/>
          <w:color w:val="000000"/>
          <w:sz w:val="24"/>
          <w:szCs w:val="24"/>
        </w:rPr>
        <w:t>This study aims to examine how the legal process and authority of the Military Court in trying human rights violations committed by TNI personnel. Normative legal research is used with a legislative approach and a conceptual approach, which is then analyzed against laws and regulations related to the problem to determine which court has the authority to try the case. The results of the analysis show that the authority of the Military Court is to try criminal acts committed by a soldier, who according to the law is considered equal to a soldier, and members of a group or position or agency are considered soldiers according to the law. Military courts in the military justice system, even though they are under the jurisdiction of a special court, namely the human rights court in the general justice system.</w:t>
      </w:r>
    </w:p>
    <w:p w:rsidR="00A901CC" w:rsidRPr="00122F5F" w:rsidRDefault="00A901CC" w:rsidP="00540F02">
      <w:pPr>
        <w:ind w:right="-1"/>
        <w:jc w:val="both"/>
        <w:rPr>
          <w:rFonts w:ascii="Calibri Light" w:hAnsi="Calibri Light" w:cs="Calibri Light"/>
          <w:noProof/>
          <w:color w:val="000000"/>
          <w:sz w:val="24"/>
          <w:szCs w:val="24"/>
          <w:lang w:val="id-ID"/>
        </w:rPr>
      </w:pPr>
    </w:p>
    <w:p w:rsidR="00DE1E48" w:rsidRPr="00122F5F" w:rsidRDefault="00A901CC" w:rsidP="00863A78">
      <w:pPr>
        <w:ind w:right="-1"/>
        <w:jc w:val="both"/>
        <w:rPr>
          <w:rFonts w:ascii="Calibri Light" w:hAnsi="Calibri Light" w:cs="Calibri Light"/>
          <w:i/>
          <w:iCs/>
          <w:sz w:val="24"/>
          <w:szCs w:val="24"/>
          <w:lang w:val="id-ID"/>
        </w:rPr>
      </w:pPr>
      <w:r w:rsidRPr="00A901CC">
        <w:rPr>
          <w:rFonts w:ascii="Calibri Light" w:hAnsi="Calibri Light" w:cs="Calibri Light"/>
          <w:noProof/>
          <w:sz w:val="24"/>
          <w:szCs w:val="24"/>
        </w:rPr>
        <w:t>Penelitian ini bertujuan mengkaji bagaimana proses hukum dan kewenangan Pengadilan Militer dalam mengadili pelanggaran HAM yang dilakukan oleh personel TNI. Penelitian yuridis normatif digunakan dengan pendekatan perundang-undangan dan pendekatan konseptual, yang kemudian dianalisis terhadap peraturan perundang-undangan yang berkaitan dengan permasalahan untuk menentukan pengadilan mana yang berwenang mengadili perkara. Hasil analisis menunjukkan kewenangan Pengadilan Militer adalah mengadili tindak pidana yang dilakukan oleh seorang prajurit, yang menurut undang-undang dianggap sederajat dengan prajurit, dan anggota suatu kelompok atau jabatan atau badan dianggap prajurit menurut undang-undang. Pengadilan militer dalam sistem peradilan militer, padahal berada di bawah yurisdiksi pengadilan khusus, yaitu pengadilan hak asasi manusia dalam sistem peradilan umum.</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F64620" w:rsidRPr="00F64620">
        <w:rPr>
          <w:rStyle w:val="shorttext"/>
          <w:rFonts w:ascii="Calibri Light" w:hAnsi="Calibri Light" w:cs="Calibri Light"/>
          <w:i/>
          <w:iCs/>
          <w:sz w:val="24"/>
          <w:szCs w:val="24"/>
        </w:rPr>
        <w:t>Military Court, Human Rights Violations, TNI Personnel.</w:t>
      </w: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EE3E1E" w:rsidRPr="00EE3E1E" w:rsidRDefault="00EE3E1E" w:rsidP="00EE3E1E">
      <w:pPr>
        <w:spacing w:before="120" w:after="120"/>
        <w:ind w:left="426"/>
        <w:jc w:val="both"/>
        <w:rPr>
          <w:rFonts w:ascii="Calibri Light" w:hAnsi="Calibri Light" w:cs="Calibri Light"/>
          <w:sz w:val="24"/>
          <w:szCs w:val="24"/>
        </w:rPr>
      </w:pPr>
      <w:r w:rsidRPr="00EE3E1E">
        <w:rPr>
          <w:rFonts w:ascii="Calibri Light" w:hAnsi="Calibri Light" w:cs="Calibri Light"/>
          <w:sz w:val="24"/>
          <w:szCs w:val="24"/>
        </w:rPr>
        <w:t>The concept of the rule of law is characterized by the presence of an independent and impartial judiciary. There are four types of independent and impartial judiciary within the Judiciary Bodies, all of which lead to one judiciary, namely that which is under the Supreme Court of the Republic of Indonesia, such as the general court, religious court, administrative court, and military court</w:t>
      </w:r>
      <w:r w:rsidR="007B4339">
        <w:rPr>
          <w:rFonts w:ascii="Calibri Light" w:hAnsi="Calibri Light" w:cs="Calibri Light"/>
          <w:sz w:val="24"/>
          <w:szCs w:val="24"/>
        </w:rPr>
        <w:t xml:space="preserve"> </w:t>
      </w:r>
      <w:r w:rsidR="007B4339">
        <w:rPr>
          <w:rFonts w:ascii="Calibri Light" w:hAnsi="Calibri Light" w:cs="Calibri Light"/>
          <w:sz w:val="24"/>
          <w:szCs w:val="24"/>
        </w:rPr>
        <w:fldChar w:fldCharType="begin" w:fldLock="1"/>
      </w:r>
      <w:r w:rsidR="007B4339">
        <w:rPr>
          <w:rFonts w:ascii="Calibri Light" w:hAnsi="Calibri Light" w:cs="Calibri Light"/>
          <w:sz w:val="24"/>
          <w:szCs w:val="24"/>
        </w:rPr>
        <w:instrText>ADDIN CSL_CITATION {"citationItems":[{"id":"ITEM-1","itemData":{"DOI":"10.26623/julr.v7i2.7917","author":[{"dropping-particle":"","family":"Valdanito","given":"Muammar","non-dropping-particle":"","parse-names":false,"suffix":""}],"container-title":"Jurnal USM Law Review","id":"ITEM-1","issue":"2","issued":{"date-parts":[["2024","6","15"]]},"page":"634-657","title":"Quo Vadis Penelitian Hukum: Sebuah Jalan Meluruskan Miskonsepsi Kecenderungan Arah Penelitian Hukum","type":"article-journal","volume":"7"},"uris":["http://www.mendeley.com/documents/?uuid=93fa7ec8-37ba-4829-a89b-7f0947c809b3"]}],"mendeley":{"formattedCitation":"(Valdanito, 2024)","plainTextFormattedCitation":"(Valdanito, 2024)","previouslyFormattedCitation":"(Valdanito, 2024)"},"properties":{"noteIndex":0},"schema":"https://github.com/citation-style-language/schema/raw/master/csl-citation.json"}</w:instrText>
      </w:r>
      <w:r w:rsidR="007B4339">
        <w:rPr>
          <w:rFonts w:ascii="Calibri Light" w:hAnsi="Calibri Light" w:cs="Calibri Light"/>
          <w:sz w:val="24"/>
          <w:szCs w:val="24"/>
        </w:rPr>
        <w:fldChar w:fldCharType="separate"/>
      </w:r>
      <w:r w:rsidR="007B4339" w:rsidRPr="007B4339">
        <w:rPr>
          <w:rFonts w:ascii="Calibri Light" w:hAnsi="Calibri Light" w:cs="Calibri Light"/>
          <w:noProof/>
          <w:sz w:val="24"/>
          <w:szCs w:val="24"/>
        </w:rPr>
        <w:t>(Valdanito, 2024)</w:t>
      </w:r>
      <w:r w:rsidR="007B4339">
        <w:rPr>
          <w:rFonts w:ascii="Calibri Light" w:hAnsi="Calibri Light" w:cs="Calibri Light"/>
          <w:sz w:val="24"/>
          <w:szCs w:val="24"/>
        </w:rPr>
        <w:fldChar w:fldCharType="end"/>
      </w:r>
      <w:r w:rsidRPr="00EE3E1E">
        <w:rPr>
          <w:rFonts w:ascii="Calibri Light" w:hAnsi="Calibri Light" w:cs="Calibri Light"/>
          <w:sz w:val="24"/>
          <w:szCs w:val="24"/>
        </w:rPr>
        <w:t>. Each court has different objects and subjects with their own specialties. The competence of the general court in criminal cases involves the judicial system starting from the investigation process, investigation, prosecution, trial, and correctional institutions. Based on Article 2 of the Military Criminal Code, criminal cases involving military personnel for general or military crimes are processed through the mechanism of the military criminal justice system with sub-systems of Ankum, Papera, Military Police, Military Prosecutor, and Military Judges</w:t>
      </w:r>
      <w:r w:rsidR="00C16F54">
        <w:rPr>
          <w:rFonts w:ascii="Calibri Light" w:hAnsi="Calibri Light" w:cs="Calibri Light"/>
          <w:sz w:val="24"/>
          <w:szCs w:val="24"/>
        </w:rPr>
        <w:t xml:space="preserve"> </w:t>
      </w:r>
      <w:r w:rsidR="00C16F54">
        <w:rPr>
          <w:rFonts w:ascii="Calibri Light" w:hAnsi="Calibri Light" w:cs="Calibri Light"/>
          <w:sz w:val="24"/>
          <w:szCs w:val="24"/>
        </w:rPr>
        <w:fldChar w:fldCharType="begin" w:fldLock="1"/>
      </w:r>
      <w:r w:rsidR="00C16F54">
        <w:rPr>
          <w:rFonts w:ascii="Calibri Light" w:hAnsi="Calibri Light" w:cs="Calibri Light"/>
          <w:sz w:val="24"/>
          <w:szCs w:val="24"/>
        </w:rPr>
        <w:instrText>ADDIN CSL_CITATION {"citationItems":[{"id":"ITEM-1","itemData":{"DOI":"10.55681/seikat.v3i1.1194","author":[{"dropping-particle":"","family":"Pebrianto","given":"Roli","non-dropping-particle":"","parse-names":false,"suffix":""}],"container-title":"SEIKAT: Jurnal Ilmu Sosial, Politik dan Hukum","id":"ITEM-1","issue":"1","issued":{"date-parts":[["2024","2","9"]]},"page":"71-80","title":"Kebijakan Hukum Pidana Tentang Pemeriksaan Prajurit TNI yang Melakukan Tindak Pidana Umum","type":"article-journal","volume":"3"},"uris":["http://www.mendeley.com/documents/?uuid=36ea79a9-30dc-4c0c-8d01-381fddbd01cb"]}],"mendeley":{"formattedCitation":"(Pebrianto, 2024)","plainTextFormattedCitation":"(Pebrianto, 2024)","previouslyFormattedCitation":"(Pebrianto, 2024)"},"properties":{"noteIndex":0},"schema":"https://github.com/citation-style-language/schema/raw/master/csl-citation.json"}</w:instrText>
      </w:r>
      <w:r w:rsidR="00C16F54">
        <w:rPr>
          <w:rFonts w:ascii="Calibri Light" w:hAnsi="Calibri Light" w:cs="Calibri Light"/>
          <w:sz w:val="24"/>
          <w:szCs w:val="24"/>
        </w:rPr>
        <w:fldChar w:fldCharType="separate"/>
      </w:r>
      <w:r w:rsidR="00C16F54" w:rsidRPr="00C16F54">
        <w:rPr>
          <w:rFonts w:ascii="Calibri Light" w:hAnsi="Calibri Light" w:cs="Calibri Light"/>
          <w:noProof/>
          <w:sz w:val="24"/>
          <w:szCs w:val="24"/>
        </w:rPr>
        <w:t>(Pebrianto, 2024)</w:t>
      </w:r>
      <w:r w:rsidR="00C16F54">
        <w:rPr>
          <w:rFonts w:ascii="Calibri Light" w:hAnsi="Calibri Light" w:cs="Calibri Light"/>
          <w:sz w:val="24"/>
          <w:szCs w:val="24"/>
        </w:rPr>
        <w:fldChar w:fldCharType="end"/>
      </w:r>
      <w:r w:rsidRPr="00EE3E1E">
        <w:rPr>
          <w:rFonts w:ascii="Calibri Light" w:hAnsi="Calibri Light" w:cs="Calibri Light"/>
          <w:sz w:val="24"/>
          <w:szCs w:val="24"/>
        </w:rPr>
        <w:t>. The existence of military courts was particularly prominent during the New Order era, which had extensive authority and placed military personnel as "special" citizens and rejected the concept of civilian supremacy, clearly indicating that "military supremacy" is the one that is maintained with certain special privileges for the TNI soldiers. Meanwhile, Article 6 of Law Number 8 of 1981 concerning Criminal Procedure Law is carried out by the National Police and Civil Servants</w:t>
      </w:r>
      <w:r w:rsidR="00C16F54">
        <w:rPr>
          <w:rFonts w:ascii="Calibri Light" w:hAnsi="Calibri Light" w:cs="Calibri Light"/>
          <w:sz w:val="24"/>
          <w:szCs w:val="24"/>
        </w:rPr>
        <w:t xml:space="preserve"> </w:t>
      </w:r>
      <w:r w:rsidR="00C16F54">
        <w:rPr>
          <w:rFonts w:ascii="Calibri Light" w:hAnsi="Calibri Light" w:cs="Calibri Light"/>
          <w:sz w:val="24"/>
          <w:szCs w:val="24"/>
        </w:rPr>
        <w:fldChar w:fldCharType="begin" w:fldLock="1"/>
      </w:r>
      <w:r w:rsidR="00C16F54">
        <w:rPr>
          <w:rFonts w:ascii="Calibri Light" w:hAnsi="Calibri Light" w:cs="Calibri Light"/>
          <w:sz w:val="24"/>
          <w:szCs w:val="24"/>
        </w:rPr>
        <w:instrText>ADDIN CSL_CITATION {"citationItems":[{"id":"ITEM-1","itemData":{"author":[{"dropping-particle":"","family":"Purwoleksono","given":"Didik Endro","non-dropping-particle":"","parse-names":false,"suffix":""}],"id":"ITEM-1","issued":{"date-parts":[["2015"]]},"publisher":"Surabaya: Airlangga University Press","title":"Hukum Acara Pidana","type":"book"},"uris":["http://www.mendeley.com/documents/?uuid=f694e71f-0b5f-46c2-954f-b3eebcf4a54b"]}],"mendeley":{"formattedCitation":"(Purwoleksono, 2015)","plainTextFormattedCitation":"(Purwoleksono, 2015)","previouslyFormattedCitation":"(Purwoleksono, 2015)"},"properties":{"noteIndex":0},"schema":"https://github.com/citation-style-language/schema/raw/master/csl-citation.json"}</w:instrText>
      </w:r>
      <w:r w:rsidR="00C16F54">
        <w:rPr>
          <w:rFonts w:ascii="Calibri Light" w:hAnsi="Calibri Light" w:cs="Calibri Light"/>
          <w:sz w:val="24"/>
          <w:szCs w:val="24"/>
        </w:rPr>
        <w:fldChar w:fldCharType="separate"/>
      </w:r>
      <w:r w:rsidR="00C16F54" w:rsidRPr="00C16F54">
        <w:rPr>
          <w:rFonts w:ascii="Calibri Light" w:hAnsi="Calibri Light" w:cs="Calibri Light"/>
          <w:noProof/>
          <w:sz w:val="24"/>
          <w:szCs w:val="24"/>
        </w:rPr>
        <w:t>(Purwoleksono, 2015)</w:t>
      </w:r>
      <w:r w:rsidR="00C16F54">
        <w:rPr>
          <w:rFonts w:ascii="Calibri Light" w:hAnsi="Calibri Light" w:cs="Calibri Light"/>
          <w:sz w:val="24"/>
          <w:szCs w:val="24"/>
        </w:rPr>
        <w:fldChar w:fldCharType="end"/>
      </w:r>
      <w:r w:rsidRPr="00EE3E1E">
        <w:rPr>
          <w:rFonts w:ascii="Calibri Light" w:hAnsi="Calibri Light" w:cs="Calibri Light"/>
          <w:sz w:val="24"/>
          <w:szCs w:val="24"/>
        </w:rPr>
        <w:t>. There is a need for clarity regarding one of the issues above related to the authority of investigators to examine military members who commit general crimes</w:t>
      </w:r>
      <w:r w:rsidR="00D81983">
        <w:rPr>
          <w:rFonts w:ascii="Calibri Light" w:hAnsi="Calibri Light" w:cs="Calibri Light"/>
          <w:sz w:val="24"/>
          <w:szCs w:val="24"/>
        </w:rPr>
        <w:t xml:space="preserve"> </w:t>
      </w:r>
      <w:r w:rsidR="00D81983">
        <w:rPr>
          <w:rFonts w:ascii="Calibri Light" w:hAnsi="Calibri Light" w:cs="Calibri Light"/>
          <w:sz w:val="24"/>
          <w:szCs w:val="24"/>
        </w:rPr>
        <w:fldChar w:fldCharType="begin" w:fldLock="1"/>
      </w:r>
      <w:r w:rsidR="00D81983">
        <w:rPr>
          <w:rFonts w:ascii="Calibri Light" w:hAnsi="Calibri Light" w:cs="Calibri Light"/>
          <w:sz w:val="24"/>
          <w:szCs w:val="24"/>
        </w:rPr>
        <w:instrText>ADDIN CSL_CITATION {"citationItems":[{"id":"ITEM-1","itemData":{"author":[{"dropping-particle":"","family":"UU No.8","given":"","non-dropping-particle":"","parse-names":false,"suffix":""}],"id":"ITEM-1","issued":{"date-parts":[["1981"]]},"title":"Undang-Undang Nomor 8 Tahun 1981 Tentang Kitab Undang-Undang Hukum Acara Pidana (Lembaran Negara Republik Indonesia Tahun 1981 Nomor 76, Tambahan Lembaran Negara Republik Indonesia Nomor 3209)","type":"book"},"uris":["http://www.mendeley.com/documents/?uuid=2f4aac27-9d55-4054-868e-876bf4529036"]}],"mendeley":{"formattedCitation":"(UU No.8, 1981)","plainTextFormattedCitation":"(UU No.8, 1981)","previouslyFormattedCitation":"(UU No.8, 1981)"},"properties":{"noteIndex":0},"schema":"https://github.com/citation-style-language/schema/raw/master/csl-citation.json"}</w:instrText>
      </w:r>
      <w:r w:rsidR="00D81983">
        <w:rPr>
          <w:rFonts w:ascii="Calibri Light" w:hAnsi="Calibri Light" w:cs="Calibri Light"/>
          <w:sz w:val="24"/>
          <w:szCs w:val="24"/>
        </w:rPr>
        <w:fldChar w:fldCharType="separate"/>
      </w:r>
      <w:r w:rsidR="00D81983" w:rsidRPr="00D81983">
        <w:rPr>
          <w:rFonts w:ascii="Calibri Light" w:hAnsi="Calibri Light" w:cs="Calibri Light"/>
          <w:noProof/>
          <w:sz w:val="24"/>
          <w:szCs w:val="24"/>
        </w:rPr>
        <w:t>(UU No.8, 1981)</w:t>
      </w:r>
      <w:r w:rsidR="00D81983">
        <w:rPr>
          <w:rFonts w:ascii="Calibri Light" w:hAnsi="Calibri Light" w:cs="Calibri Light"/>
          <w:sz w:val="24"/>
          <w:szCs w:val="24"/>
        </w:rPr>
        <w:fldChar w:fldCharType="end"/>
      </w:r>
      <w:r w:rsidRPr="00EE3E1E">
        <w:rPr>
          <w:rFonts w:ascii="Calibri Light" w:hAnsi="Calibri Light" w:cs="Calibri Light"/>
          <w:sz w:val="24"/>
          <w:szCs w:val="24"/>
        </w:rPr>
        <w:t xml:space="preserve">. </w:t>
      </w:r>
    </w:p>
    <w:p w:rsidR="00EE3E1E" w:rsidRDefault="00EE3E1E" w:rsidP="00EE3E1E">
      <w:pPr>
        <w:spacing w:before="120" w:after="120"/>
        <w:ind w:left="426"/>
        <w:jc w:val="both"/>
        <w:rPr>
          <w:rFonts w:ascii="Calibri Light" w:hAnsi="Calibri Light" w:cs="Calibri Light"/>
          <w:sz w:val="24"/>
          <w:szCs w:val="24"/>
        </w:rPr>
      </w:pPr>
      <w:r w:rsidRPr="00EE3E1E">
        <w:rPr>
          <w:rFonts w:ascii="Calibri Light" w:hAnsi="Calibri Light" w:cs="Calibri Light"/>
          <w:sz w:val="24"/>
          <w:szCs w:val="24"/>
        </w:rPr>
        <w:t>Based on Article 9 of the Military Judiciary Law, it states that the military judiciary environment has the authority to:</w:t>
      </w:r>
    </w:p>
    <w:p w:rsidR="00EE3E1E" w:rsidRPr="00EE3E1E" w:rsidRDefault="00EE3E1E" w:rsidP="00EE3E1E">
      <w:pPr>
        <w:pStyle w:val="ListParagraph"/>
        <w:numPr>
          <w:ilvl w:val="0"/>
          <w:numId w:val="31"/>
        </w:numPr>
        <w:spacing w:before="120" w:after="120"/>
        <w:rPr>
          <w:rFonts w:ascii="Calibri Light" w:hAnsi="Calibri Light" w:cs="Calibri Light"/>
          <w:sz w:val="24"/>
          <w:szCs w:val="24"/>
        </w:rPr>
      </w:pPr>
      <w:r w:rsidRPr="00EE3E1E">
        <w:rPr>
          <w:rFonts w:ascii="Calibri Light" w:hAnsi="Calibri Light" w:cs="Calibri Light"/>
          <w:sz w:val="24"/>
          <w:szCs w:val="24"/>
        </w:rPr>
        <w:t>Adjudicate criminal acts committed by individuals who, at the time of committing the criminal act, are:</w:t>
      </w:r>
    </w:p>
    <w:p w:rsidR="00EE3E1E" w:rsidRPr="00EE3E1E" w:rsidRDefault="00EE3E1E" w:rsidP="00EE3E1E">
      <w:pPr>
        <w:pStyle w:val="ListParagraph"/>
        <w:numPr>
          <w:ilvl w:val="0"/>
          <w:numId w:val="32"/>
        </w:numPr>
        <w:spacing w:before="120" w:after="120"/>
        <w:rPr>
          <w:rFonts w:ascii="Calibri Light" w:hAnsi="Calibri Light" w:cs="Calibri Light"/>
          <w:sz w:val="24"/>
          <w:szCs w:val="24"/>
        </w:rPr>
      </w:pPr>
      <w:r w:rsidRPr="00EE3E1E">
        <w:rPr>
          <w:rFonts w:ascii="Calibri Light" w:hAnsi="Calibri Light" w:cs="Calibri Light"/>
          <w:sz w:val="24"/>
          <w:szCs w:val="24"/>
        </w:rPr>
        <w:t>Soldiers;</w:t>
      </w:r>
    </w:p>
    <w:p w:rsidR="00EE3E1E" w:rsidRPr="00EE3E1E" w:rsidRDefault="00EE3E1E" w:rsidP="00EE3E1E">
      <w:pPr>
        <w:pStyle w:val="ListParagraph"/>
        <w:numPr>
          <w:ilvl w:val="0"/>
          <w:numId w:val="32"/>
        </w:numPr>
        <w:spacing w:before="120" w:after="120"/>
        <w:rPr>
          <w:rFonts w:ascii="Calibri Light" w:hAnsi="Calibri Light" w:cs="Calibri Light"/>
          <w:sz w:val="24"/>
          <w:szCs w:val="24"/>
        </w:rPr>
      </w:pPr>
      <w:r w:rsidRPr="00EE3E1E">
        <w:rPr>
          <w:rFonts w:ascii="Calibri Light" w:hAnsi="Calibri Light" w:cs="Calibri Light"/>
          <w:sz w:val="24"/>
          <w:szCs w:val="24"/>
        </w:rPr>
        <w:t>Those who, according to the law, are equated with Soldiers;</w:t>
      </w:r>
    </w:p>
    <w:p w:rsidR="00EE3E1E" w:rsidRPr="00EE3E1E" w:rsidRDefault="00EE3E1E" w:rsidP="00EE3E1E">
      <w:pPr>
        <w:pStyle w:val="ListParagraph"/>
        <w:numPr>
          <w:ilvl w:val="0"/>
          <w:numId w:val="32"/>
        </w:numPr>
        <w:spacing w:before="120" w:after="120"/>
        <w:rPr>
          <w:rFonts w:ascii="Calibri Light" w:hAnsi="Calibri Light" w:cs="Calibri Light"/>
          <w:sz w:val="24"/>
          <w:szCs w:val="24"/>
        </w:rPr>
      </w:pPr>
      <w:r w:rsidRPr="00EE3E1E">
        <w:rPr>
          <w:rFonts w:ascii="Calibri Light" w:hAnsi="Calibri Light" w:cs="Calibri Light"/>
          <w:sz w:val="24"/>
          <w:szCs w:val="24"/>
        </w:rPr>
        <w:t>Members of a group, position, or body, or those equated or considered as Soldiers according to the law;</w:t>
      </w:r>
    </w:p>
    <w:p w:rsidR="00EE3E1E" w:rsidRPr="00EE3E1E" w:rsidRDefault="00EE3E1E" w:rsidP="00EE3E1E">
      <w:pPr>
        <w:pStyle w:val="ListParagraph"/>
        <w:numPr>
          <w:ilvl w:val="0"/>
          <w:numId w:val="32"/>
        </w:numPr>
        <w:spacing w:before="120" w:after="120"/>
        <w:rPr>
          <w:rFonts w:ascii="Calibri Light" w:hAnsi="Calibri Light" w:cs="Calibri Light"/>
          <w:sz w:val="24"/>
          <w:szCs w:val="24"/>
        </w:rPr>
      </w:pPr>
      <w:r w:rsidRPr="00EE3E1E">
        <w:rPr>
          <w:rFonts w:ascii="Calibri Light" w:hAnsi="Calibri Light" w:cs="Calibri Light"/>
          <w:sz w:val="24"/>
          <w:szCs w:val="24"/>
        </w:rPr>
        <w:t>Individuals who do not fall under the categories in points a, b, and c, but must be tried by a Court within the military judiciary environment upon the decision of the Commander with the approval of the Minister of Justice.</w:t>
      </w:r>
    </w:p>
    <w:p w:rsidR="00EE3E1E" w:rsidRPr="00EE3E1E" w:rsidRDefault="00EE3E1E" w:rsidP="00EE3E1E">
      <w:pPr>
        <w:pStyle w:val="ListParagraph"/>
        <w:numPr>
          <w:ilvl w:val="0"/>
          <w:numId w:val="31"/>
        </w:numPr>
        <w:spacing w:before="120" w:after="120"/>
        <w:rPr>
          <w:rFonts w:ascii="Calibri Light" w:hAnsi="Calibri Light" w:cs="Calibri Light"/>
          <w:sz w:val="24"/>
          <w:szCs w:val="24"/>
        </w:rPr>
      </w:pPr>
      <w:r w:rsidRPr="00EE3E1E">
        <w:rPr>
          <w:rFonts w:ascii="Calibri Light" w:hAnsi="Calibri Light" w:cs="Calibri Light"/>
          <w:sz w:val="24"/>
          <w:szCs w:val="24"/>
        </w:rPr>
        <w:t>Examine, decide, and resolve disputes within the Armed Forces Administration.</w:t>
      </w:r>
    </w:p>
    <w:p w:rsidR="00EE3E1E" w:rsidRPr="00EE3E1E" w:rsidRDefault="00EE3E1E" w:rsidP="00EE3E1E">
      <w:pPr>
        <w:pStyle w:val="ListParagraph"/>
        <w:numPr>
          <w:ilvl w:val="0"/>
          <w:numId w:val="31"/>
        </w:numPr>
        <w:spacing w:before="120" w:after="120"/>
        <w:jc w:val="both"/>
        <w:rPr>
          <w:rFonts w:ascii="Calibri Light" w:hAnsi="Calibri Light" w:cs="Calibri Light"/>
          <w:sz w:val="24"/>
          <w:szCs w:val="24"/>
        </w:rPr>
      </w:pPr>
      <w:r w:rsidRPr="00EE3E1E">
        <w:rPr>
          <w:rFonts w:ascii="Calibri Light" w:hAnsi="Calibri Light" w:cs="Calibri Light"/>
          <w:sz w:val="24"/>
          <w:szCs w:val="24"/>
        </w:rPr>
        <w:t>Merge claims for compensation in the criminal case concerned at the request of the aggrieved party as a result of the criminal act which forms the basis of the accusation, and simultaneously decide both cases in one ruling.</w:t>
      </w:r>
    </w:p>
    <w:p w:rsidR="00EE3E1E" w:rsidRPr="00EE3E1E" w:rsidRDefault="00EE3E1E" w:rsidP="00EE3E1E">
      <w:pPr>
        <w:spacing w:before="120" w:after="120"/>
        <w:ind w:left="426"/>
        <w:jc w:val="both"/>
        <w:rPr>
          <w:rFonts w:ascii="Calibri Light" w:hAnsi="Calibri Light" w:cs="Calibri Light"/>
          <w:sz w:val="24"/>
          <w:szCs w:val="24"/>
        </w:rPr>
      </w:pPr>
      <w:r w:rsidRPr="00EE3E1E">
        <w:rPr>
          <w:rFonts w:ascii="Calibri Light" w:hAnsi="Calibri Light" w:cs="Calibri Light"/>
          <w:sz w:val="24"/>
          <w:szCs w:val="24"/>
        </w:rPr>
        <w:t xml:space="preserve">Based on the above, there have been numerous cases of serious violations of human rights committed by members of the military towards civilians. These violations generally occurred during President Suharto's administration, when the armed forces (later </w:t>
      </w:r>
      <w:r w:rsidRPr="00EE3E1E">
        <w:rPr>
          <w:rFonts w:ascii="Calibri Light" w:hAnsi="Calibri Light" w:cs="Calibri Light"/>
          <w:sz w:val="24"/>
          <w:szCs w:val="24"/>
        </w:rPr>
        <w:lastRenderedPageBreak/>
        <w:t>transformed into the TNI and Polri) were used as tools to maintain power</w:t>
      </w:r>
      <w:r w:rsidR="00B264D5">
        <w:rPr>
          <w:rFonts w:ascii="Calibri Light" w:hAnsi="Calibri Light" w:cs="Calibri Light"/>
          <w:sz w:val="24"/>
          <w:szCs w:val="24"/>
        </w:rPr>
        <w:t xml:space="preserve"> </w:t>
      </w:r>
      <w:r w:rsidR="00B264D5">
        <w:rPr>
          <w:rFonts w:ascii="Calibri Light" w:hAnsi="Calibri Light" w:cs="Calibri Light"/>
          <w:sz w:val="24"/>
          <w:szCs w:val="24"/>
        </w:rPr>
        <w:fldChar w:fldCharType="begin" w:fldLock="1"/>
      </w:r>
      <w:r w:rsidR="00B264D5">
        <w:rPr>
          <w:rFonts w:ascii="Calibri Light" w:hAnsi="Calibri Light" w:cs="Calibri Light"/>
          <w:sz w:val="24"/>
          <w:szCs w:val="24"/>
        </w:rPr>
        <w:instrText>ADDIN CSL_CITATION {"citationItems":[{"id":"ITEM-1","itemData":{"URL":"https://nasional.kompas.com/read/2016/05/25/07220041/Kontras","accessed":{"date-parts":[["2016","6","25"]]},"author":[{"dropping-particle":"","family":"Erdianto","given":"Kristian","non-dropping-particle":"","parse-names":false,"suffix":""}],"container-title":"Kompas.com","id":"ITEM-1","issued":{"date-parts":[["2016"]]},"title":"Kontras Paparkan 10 Kasus Pelanggaran Ham Yang Diduga Melibatkan TNI Era Soeharto","type":"webpage"},"uris":["http://www.mendeley.com/documents/?uuid=b0bc53d3-8156-4fab-b33f-702ddee7b602"]}],"mendeley":{"formattedCitation":"(Erdianto, 2016)","plainTextFormattedCitation":"(Erdianto, 2016)","previouslyFormattedCitation":"(Erdianto, 2016)"},"properties":{"noteIndex":0},"schema":"https://github.com/citation-style-language/schema/raw/master/csl-citation.json"}</w:instrText>
      </w:r>
      <w:r w:rsidR="00B264D5">
        <w:rPr>
          <w:rFonts w:ascii="Calibri Light" w:hAnsi="Calibri Light" w:cs="Calibri Light"/>
          <w:sz w:val="24"/>
          <w:szCs w:val="24"/>
        </w:rPr>
        <w:fldChar w:fldCharType="separate"/>
      </w:r>
      <w:r w:rsidR="00B264D5" w:rsidRPr="00B264D5">
        <w:rPr>
          <w:rFonts w:ascii="Calibri Light" w:hAnsi="Calibri Light" w:cs="Calibri Light"/>
          <w:noProof/>
          <w:sz w:val="24"/>
          <w:szCs w:val="24"/>
        </w:rPr>
        <w:t>(Erdianto, 2016)</w:t>
      </w:r>
      <w:r w:rsidR="00B264D5">
        <w:rPr>
          <w:rFonts w:ascii="Calibri Light" w:hAnsi="Calibri Light" w:cs="Calibri Light"/>
          <w:sz w:val="24"/>
          <w:szCs w:val="24"/>
        </w:rPr>
        <w:fldChar w:fldCharType="end"/>
      </w:r>
      <w:r w:rsidRPr="00EE3E1E">
        <w:rPr>
          <w:rFonts w:ascii="Calibri Light" w:hAnsi="Calibri Light" w:cs="Calibri Light"/>
          <w:sz w:val="24"/>
          <w:szCs w:val="24"/>
        </w:rPr>
        <w:t>. Human rights violations by the TNI reached their peak at the end of the New Order regime, when popular resistance grew stronger. The first case was the Trisakti tragedy, which took place at Trisakti University in Jakarta, Indonesia on May 12, 1998. During a demonstration demanding the resignation of President Soeharto, the Army shot unarmed demonstrators. Four students - Elang Mulia Lesmana, Heri Hertanto, Hafidin Royan, and Hendriawan Sie - were killed and dozens were injured. This shooting triggered riots and a wave of national revolution, ultimately leading to Soeharto's resignation. The second case, the Semanggi Tragedy in Jakarta, Indonesia, involved two incidents during which state forces fired on unarmed civilians and protesters during special parliamentary sessions. The first incident, known as Semanggi I, occurred on November 13, 1998, resulting in 17 deaths. The second incident, Semanggi II, took place on September 24, 1999, resulting in 12 deaths and over 200 injuries. The third case, the Lampung tragedy, occurred on September 28, 1999. It started when students from Lampung University marched towards Bandar Lampung University to join their peers in protesting the Emergency Response Law (PKB) and showing solidarity for those who died in Semanggi Jakarta four days earlier. After joining, they held a protest and marched towards Makorem 043/Garuda Hitam. However, when passing the headquarters of the Koramil Kedaton near Bandar Lampung University, the situation became uncontrollable as the Koramil Commander refused the students' demand to sign a rejection of the implementation of the PKB Law, leading to stone throwing and gunfire. The students scattered and sought refuge at Bandar Lampung University. Shortly after, it was discovered that bullet fragments had taken the life of Muhammad Yusuf Rizal. On that day, September 28, 1999, Muhammad Yusuf Rizal, a student in the Social and Political Science department of Lampung University from the Class of 1997, passed away from gun wounds that penetrated his chest and a bullet that went through his neck. He was shot in front of the Koramil Kedaton headquarters in Lampung. Dozens of other students were injured and had to be treated at a hospital. Several days later, Saidatul Fitriah, a student at Lampung University who was also a victim of police violence, sadly passed away</w:t>
      </w:r>
      <w:r w:rsidR="00C16F54">
        <w:rPr>
          <w:rFonts w:ascii="Calibri Light" w:hAnsi="Calibri Light" w:cs="Calibri Light"/>
          <w:sz w:val="24"/>
          <w:szCs w:val="24"/>
        </w:rPr>
        <w:t xml:space="preserve"> </w:t>
      </w:r>
      <w:r w:rsidR="00C16F54">
        <w:rPr>
          <w:rFonts w:ascii="Calibri Light" w:hAnsi="Calibri Light" w:cs="Calibri Light"/>
          <w:sz w:val="24"/>
          <w:szCs w:val="24"/>
        </w:rPr>
        <w:fldChar w:fldCharType="begin" w:fldLock="1"/>
      </w:r>
      <w:r w:rsidR="00C16F54">
        <w:rPr>
          <w:rFonts w:ascii="Calibri Light" w:hAnsi="Calibri Light" w:cs="Calibri Light"/>
          <w:sz w:val="24"/>
          <w:szCs w:val="24"/>
        </w:rPr>
        <w:instrText>ADDIN CSL_CITATION {"citationItems":[{"id":"ITEM-1","itemData":{"author":[{"dropping-particle":"","family":"Hadjon","given":"Philipus M.","non-dropping-particle":"","parse-names":false,"suffix":""},{"dropping-particle":"","family":"Djatmiati","given":"Tatiek","non-dropping-particle":"","parse-names":false,"suffix":""}],"id":"ITEM-1","issued":{"date-parts":[["2017"]]},"publisher":"Surabaya: Gadjah Mada University Press","title":"Argumentasi Hukum","type":"book"},"uris":["http://www.mendeley.com/documents/?uuid=8bf87133-38ec-47b8-83d4-938445722f0a"]}],"mendeley":{"formattedCitation":"(Hadjon &amp; Djatmiati, 2017)","plainTextFormattedCitation":"(Hadjon &amp; Djatmiati, 2017)","previouslyFormattedCitation":"(Hadjon &amp; Djatmiati, 2017)"},"properties":{"noteIndex":0},"schema":"https://github.com/citation-style-language/schema/raw/master/csl-citation.json"}</w:instrText>
      </w:r>
      <w:r w:rsidR="00C16F54">
        <w:rPr>
          <w:rFonts w:ascii="Calibri Light" w:hAnsi="Calibri Light" w:cs="Calibri Light"/>
          <w:sz w:val="24"/>
          <w:szCs w:val="24"/>
        </w:rPr>
        <w:fldChar w:fldCharType="separate"/>
      </w:r>
      <w:r w:rsidR="00C16F54" w:rsidRPr="00C16F54">
        <w:rPr>
          <w:rFonts w:ascii="Calibri Light" w:hAnsi="Calibri Light" w:cs="Calibri Light"/>
          <w:noProof/>
          <w:sz w:val="24"/>
          <w:szCs w:val="24"/>
        </w:rPr>
        <w:t>(Hadjon &amp; Djatmiati, 2017)</w:t>
      </w:r>
      <w:r w:rsidR="00C16F54">
        <w:rPr>
          <w:rFonts w:ascii="Calibri Light" w:hAnsi="Calibri Light" w:cs="Calibri Light"/>
          <w:sz w:val="24"/>
          <w:szCs w:val="24"/>
        </w:rPr>
        <w:fldChar w:fldCharType="end"/>
      </w:r>
      <w:r w:rsidRPr="00EE3E1E">
        <w:rPr>
          <w:rFonts w:ascii="Calibri Light" w:hAnsi="Calibri Light" w:cs="Calibri Light"/>
          <w:sz w:val="24"/>
          <w:szCs w:val="24"/>
        </w:rPr>
        <w:t>.</w:t>
      </w:r>
    </w:p>
    <w:p w:rsidR="00EE3E1E" w:rsidRPr="00EE3E1E" w:rsidRDefault="00EE3E1E" w:rsidP="00EE3E1E">
      <w:pPr>
        <w:spacing w:before="120" w:after="120"/>
        <w:ind w:left="426"/>
        <w:jc w:val="both"/>
        <w:rPr>
          <w:rFonts w:ascii="Calibri Light" w:hAnsi="Calibri Light" w:cs="Calibri Light"/>
          <w:sz w:val="24"/>
          <w:szCs w:val="24"/>
        </w:rPr>
      </w:pPr>
      <w:r w:rsidRPr="00EE3E1E">
        <w:rPr>
          <w:rFonts w:ascii="Calibri Light" w:hAnsi="Calibri Light" w:cs="Calibri Light"/>
          <w:sz w:val="24"/>
          <w:szCs w:val="24"/>
        </w:rPr>
        <w:t>In its development of eradication, it is regulated in a special court under Law No. 26 of 2000 concerning Human Rights Courts (State Gazette of the Republic of Indonesia Year 2000 No. 208, Supplementary State Gazette of the Republic of Indonesia No. 4026, hereinafter referred to as the "Human Rights Court Law") as a special court within the general judiciary system</w:t>
      </w:r>
      <w:r w:rsidR="00D81983">
        <w:rPr>
          <w:rFonts w:ascii="Calibri Light" w:hAnsi="Calibri Light" w:cs="Calibri Light"/>
          <w:sz w:val="24"/>
          <w:szCs w:val="24"/>
        </w:rPr>
        <w:t xml:space="preserve"> </w:t>
      </w:r>
      <w:r w:rsidR="00D81983">
        <w:rPr>
          <w:rFonts w:ascii="Calibri Light" w:hAnsi="Calibri Light" w:cs="Calibri Light"/>
          <w:sz w:val="24"/>
          <w:szCs w:val="24"/>
        </w:rPr>
        <w:fldChar w:fldCharType="begin" w:fldLock="1"/>
      </w:r>
      <w:r w:rsidR="00D81983">
        <w:rPr>
          <w:rFonts w:ascii="Calibri Light" w:hAnsi="Calibri Light" w:cs="Calibri Light"/>
          <w:sz w:val="24"/>
          <w:szCs w:val="24"/>
        </w:rPr>
        <w:instrText>ADDIN CSL_CITATION {"citationItems":[{"id":"ITEM-1","itemData":{"author":[{"dropping-particle":"","family":"UU No.26","given":"","non-dropping-particle":"","parse-names":false,"suffix":""}],"id":"ITEM-1","issued":{"date-parts":[["2000"]]},"title":"Undang-Undang Nomor 26 Tahun 2000 tentang Pengadilan HAM (Lembaran Negara Republik Indonesia Tahun 2000 Nomor 208, Tambahan Lembaran Negara Republik Indonesia Nomor 4026).","type":"book"},"uris":["http://www.mendeley.com/documents/?uuid=f3e5dc12-9a30-4abf-afe5-2b21c36cdb2e"]}],"mendeley":{"formattedCitation":"(UU No.26, 2000)","plainTextFormattedCitation":"(UU No.26, 2000)","previouslyFormattedCitation":"(UU No.26, 2000)"},"properties":{"noteIndex":0},"schema":"https://github.com/citation-style-language/schema/raw/master/csl-citation.json"}</w:instrText>
      </w:r>
      <w:r w:rsidR="00D81983">
        <w:rPr>
          <w:rFonts w:ascii="Calibri Light" w:hAnsi="Calibri Light" w:cs="Calibri Light"/>
          <w:sz w:val="24"/>
          <w:szCs w:val="24"/>
        </w:rPr>
        <w:fldChar w:fldCharType="separate"/>
      </w:r>
      <w:r w:rsidR="00D81983" w:rsidRPr="00D81983">
        <w:rPr>
          <w:rFonts w:ascii="Calibri Light" w:hAnsi="Calibri Light" w:cs="Calibri Light"/>
          <w:noProof/>
          <w:sz w:val="24"/>
          <w:szCs w:val="24"/>
        </w:rPr>
        <w:t>(UU No.26, 2000)</w:t>
      </w:r>
      <w:r w:rsidR="00D81983">
        <w:rPr>
          <w:rFonts w:ascii="Calibri Light" w:hAnsi="Calibri Light" w:cs="Calibri Light"/>
          <w:sz w:val="24"/>
          <w:szCs w:val="24"/>
        </w:rPr>
        <w:fldChar w:fldCharType="end"/>
      </w:r>
      <w:r w:rsidRPr="00EE3E1E">
        <w:rPr>
          <w:rFonts w:ascii="Calibri Light" w:hAnsi="Calibri Light" w:cs="Calibri Light"/>
          <w:sz w:val="24"/>
          <w:szCs w:val="24"/>
        </w:rPr>
        <w:t>.</w:t>
      </w:r>
    </w:p>
    <w:p w:rsidR="00EE3E1E" w:rsidRPr="00EE3E1E" w:rsidRDefault="00EE3E1E" w:rsidP="00EE3E1E">
      <w:pPr>
        <w:spacing w:before="120" w:after="120"/>
        <w:ind w:left="426"/>
        <w:jc w:val="both"/>
        <w:rPr>
          <w:rFonts w:ascii="Calibri Light" w:hAnsi="Calibri Light" w:cs="Calibri Light"/>
          <w:sz w:val="24"/>
          <w:szCs w:val="24"/>
        </w:rPr>
      </w:pPr>
      <w:r w:rsidRPr="00EE3E1E">
        <w:rPr>
          <w:rFonts w:ascii="Calibri Light" w:hAnsi="Calibri Light" w:cs="Calibri Light"/>
          <w:sz w:val="24"/>
          <w:szCs w:val="24"/>
        </w:rPr>
        <w:t>Based on Article 1 number 5 of Law Number 49 of 2009 concerning General Courts (State Gazette of the Republic of Indonesia Year 2009 Number 158, Supplement to State Gazette of the Republic of Indonesia Number 5077, hereinafter referred to as the "General Courts Law"), Special Courts are courts that have the authority to examine, judge, and decide on certain cases that can only be established within one of the judicial bodies</w:t>
      </w:r>
      <w:r w:rsidR="00D81983">
        <w:rPr>
          <w:rFonts w:ascii="Calibri Light" w:hAnsi="Calibri Light" w:cs="Calibri Light"/>
          <w:sz w:val="24"/>
          <w:szCs w:val="24"/>
        </w:rPr>
        <w:t xml:space="preserve"> </w:t>
      </w:r>
      <w:r w:rsidR="00D81983">
        <w:rPr>
          <w:rFonts w:ascii="Calibri Light" w:hAnsi="Calibri Light" w:cs="Calibri Light"/>
          <w:sz w:val="24"/>
          <w:szCs w:val="24"/>
        </w:rPr>
        <w:fldChar w:fldCharType="begin" w:fldLock="1"/>
      </w:r>
      <w:r w:rsidR="00D81983">
        <w:rPr>
          <w:rFonts w:ascii="Calibri Light" w:hAnsi="Calibri Light" w:cs="Calibri Light"/>
          <w:sz w:val="24"/>
          <w:szCs w:val="24"/>
        </w:rPr>
        <w:instrText>ADDIN CSL_CITATION {"citationItems":[{"id":"ITEM-1","itemData":{"author":[{"dropping-particle":"","family":"UU No.49","given":"","non-dropping-particle":"","parse-names":false,"suffix":""}],"id":"ITEM-1","issued":{"date-parts":[["2009"]]},"title":"Undang-Undang Nomor 49 Tahun 2009 Tentang Peradilan Umum (Lembaran Negara Republik Indonesia Tahun 2009 Nomor 158, Tambahan Lembaran Negara Republik Indonesia Nomor 5077).","type":"book"},"uris":["http://www.mendeley.com/documents/?uuid=fd622560-6952-4cbf-a01e-c82df9d64612"]}],"mendeley":{"formattedCitation":"(UU No.49, 2009)","plainTextFormattedCitation":"(UU No.49, 2009)","previouslyFormattedCitation":"(UU No.49, 2009)"},"properties":{"noteIndex":0},"schema":"https://github.com/citation-style-language/schema/raw/master/csl-citation.json"}</w:instrText>
      </w:r>
      <w:r w:rsidR="00D81983">
        <w:rPr>
          <w:rFonts w:ascii="Calibri Light" w:hAnsi="Calibri Light" w:cs="Calibri Light"/>
          <w:sz w:val="24"/>
          <w:szCs w:val="24"/>
        </w:rPr>
        <w:fldChar w:fldCharType="separate"/>
      </w:r>
      <w:r w:rsidR="00D81983" w:rsidRPr="00D81983">
        <w:rPr>
          <w:rFonts w:ascii="Calibri Light" w:hAnsi="Calibri Light" w:cs="Calibri Light"/>
          <w:noProof/>
          <w:sz w:val="24"/>
          <w:szCs w:val="24"/>
        </w:rPr>
        <w:t>(UU No.49, 2009)</w:t>
      </w:r>
      <w:r w:rsidR="00D81983">
        <w:rPr>
          <w:rFonts w:ascii="Calibri Light" w:hAnsi="Calibri Light" w:cs="Calibri Light"/>
          <w:sz w:val="24"/>
          <w:szCs w:val="24"/>
        </w:rPr>
        <w:fldChar w:fldCharType="end"/>
      </w:r>
      <w:r w:rsidRPr="00EE3E1E">
        <w:rPr>
          <w:rFonts w:ascii="Calibri Light" w:hAnsi="Calibri Light" w:cs="Calibri Light"/>
          <w:sz w:val="24"/>
          <w:szCs w:val="24"/>
        </w:rPr>
        <w:t xml:space="preserve">. Referring to the authority regarding cases of criminal violations of human rights in Article 1 paragraph 3 and Article 4 of Law No. 20 of 2000 concerning Human Rights Courts, human rights courts are the only special courts within the general </w:t>
      </w:r>
      <w:r w:rsidRPr="00EE3E1E">
        <w:rPr>
          <w:rFonts w:ascii="Calibri Light" w:hAnsi="Calibri Light" w:cs="Calibri Light"/>
          <w:sz w:val="24"/>
          <w:szCs w:val="24"/>
        </w:rPr>
        <w:lastRenderedPageBreak/>
        <w:t>court system authorized to adjudicate and decide on cases of serious human rights violations, including genocide and crimes against humanity.</w:t>
      </w:r>
    </w:p>
    <w:p w:rsidR="00EE3E1E" w:rsidRDefault="00EE3E1E" w:rsidP="00EE3E1E">
      <w:pPr>
        <w:spacing w:before="120" w:after="120"/>
        <w:ind w:left="426"/>
        <w:jc w:val="both"/>
        <w:rPr>
          <w:rFonts w:ascii="Calibri Light" w:hAnsi="Calibri Light" w:cs="Calibri Light"/>
          <w:sz w:val="24"/>
          <w:szCs w:val="24"/>
        </w:rPr>
      </w:pPr>
      <w:r w:rsidRPr="00EE3E1E">
        <w:rPr>
          <w:rFonts w:ascii="Calibri Light" w:hAnsi="Calibri Light" w:cs="Calibri Light"/>
          <w:sz w:val="24"/>
          <w:szCs w:val="24"/>
        </w:rPr>
        <w:t>Based on the description above, it can be observed that there is a norm conflict between Article 9 paragraph (1) of Law No. 31 of 1997 on Military Courts and Article 1 point 3 as well as Article 4 of Law No. 26 of 2000 on Human Rights Courts for the trial of serious human rights violations by military personnel (TNI). Whether perpetrators of serious human rights violations committed by TNI members are subject to military court within the military justice system or subject to human rights court remains uncertain.</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D26ADD" w:rsidRPr="00122F5F" w:rsidRDefault="00EE3E1E" w:rsidP="008C3DC2">
      <w:pPr>
        <w:spacing w:before="120" w:after="120"/>
        <w:ind w:left="426"/>
        <w:jc w:val="both"/>
        <w:rPr>
          <w:rFonts w:ascii="Calibri Light" w:hAnsi="Calibri Light" w:cs="Calibri Light"/>
          <w:sz w:val="24"/>
          <w:szCs w:val="24"/>
        </w:rPr>
      </w:pPr>
      <w:r w:rsidRPr="00EE3E1E">
        <w:rPr>
          <w:rFonts w:ascii="Calibri Light" w:hAnsi="Calibri Light" w:cs="Calibri Light"/>
          <w:sz w:val="24"/>
          <w:szCs w:val="24"/>
        </w:rPr>
        <w:t>Legal research is aimed at discovering the coherence of truth, namely the alignment between legal rules and legal norms, the alignment between legal norms and legal principles, and whether an individual's actions are in accordance with legal norms or principles</w:t>
      </w:r>
      <w:r w:rsidR="00B264D5">
        <w:rPr>
          <w:rFonts w:ascii="Calibri Light" w:hAnsi="Calibri Light" w:cs="Calibri Light"/>
          <w:sz w:val="24"/>
          <w:szCs w:val="24"/>
        </w:rPr>
        <w:t xml:space="preserve"> </w:t>
      </w:r>
      <w:r w:rsidR="00B264D5">
        <w:rPr>
          <w:rFonts w:ascii="Calibri Light" w:hAnsi="Calibri Light" w:cs="Calibri Light"/>
          <w:sz w:val="24"/>
          <w:szCs w:val="24"/>
        </w:rPr>
        <w:fldChar w:fldCharType="begin" w:fldLock="1"/>
      </w:r>
      <w:r w:rsidR="00B264D5">
        <w:rPr>
          <w:rFonts w:ascii="Calibri Light" w:hAnsi="Calibri Light" w:cs="Calibri Light"/>
          <w:sz w:val="24"/>
          <w:szCs w:val="24"/>
        </w:rPr>
        <w:instrText>ADDIN CSL_CITATION {"citationItems":[{"id":"ITEM-1","itemData":{"DOI":"10.24252/qadauna.v2i2.16278","author":[{"dropping-particle":"","family":"Ruslan","given":"Ruslan","non-dropping-particle":"","parse-names":false,"suffix":""},{"dropping-particle":"","family":"Gassing","given":"H T","non-dropping-particle":"","parse-names":false,"suffix":""}],"container-title":"Qadauna: Jurnal Ilmiah Mahasiswa Hukum Keluarga Islam","id":"ITEM-1","issue":"2","issued":{"date-parts":[["2021","4","18"]]},"page":"241-256","title":"Penerapan Asas Equality Before The Law Pada Sistem Peradilan Militer di Pengadilan Militer III-16 Makassar","type":"article-journal","volume":"2"},"uris":["http://www.mendeley.com/documents/?uuid=b729343b-e5b8-4ea0-8f4b-0a50ddf3705d"]}],"mendeley":{"formattedCitation":"(Ruslan &amp; Gassing, 2021)","plainTextFormattedCitation":"(Ruslan &amp; Gassing, 2021)","previouslyFormattedCitation":"(Ruslan &amp; Gassing, 2021)"},"properties":{"noteIndex":0},"schema":"https://github.com/citation-style-language/schema/raw/master/csl-citation.json"}</w:instrText>
      </w:r>
      <w:r w:rsidR="00B264D5">
        <w:rPr>
          <w:rFonts w:ascii="Calibri Light" w:hAnsi="Calibri Light" w:cs="Calibri Light"/>
          <w:sz w:val="24"/>
          <w:szCs w:val="24"/>
        </w:rPr>
        <w:fldChar w:fldCharType="separate"/>
      </w:r>
      <w:r w:rsidR="00B264D5" w:rsidRPr="00B264D5">
        <w:rPr>
          <w:rFonts w:ascii="Calibri Light" w:hAnsi="Calibri Light" w:cs="Calibri Light"/>
          <w:noProof/>
          <w:sz w:val="24"/>
          <w:szCs w:val="24"/>
        </w:rPr>
        <w:t>(Ruslan &amp; Gassing, 2021)</w:t>
      </w:r>
      <w:r w:rsidR="00B264D5">
        <w:rPr>
          <w:rFonts w:ascii="Calibri Light" w:hAnsi="Calibri Light" w:cs="Calibri Light"/>
          <w:sz w:val="24"/>
          <w:szCs w:val="24"/>
        </w:rPr>
        <w:fldChar w:fldCharType="end"/>
      </w:r>
      <w:r w:rsidRPr="00EE3E1E">
        <w:rPr>
          <w:rFonts w:ascii="Calibri Light" w:hAnsi="Calibri Light" w:cs="Calibri Light"/>
          <w:sz w:val="24"/>
          <w:szCs w:val="24"/>
        </w:rPr>
        <w:t>. This research method utilizes the normative juridical research type (legal research). This type of research is based on the currently applicable laws and regulations (positive law) to find the truth in a formal juridical manner, which is then linked to its application in the practical world of law, especially in relation to criminal acts in the field of serious human rights violations committed by military personnel. The approach methods used in this research consist of several methods known in normative legal research, such as the statutory approach and the conceptual approach. The legal materials utilized in this research are primary legal materials, including laws and regulations, official records, and minutes within laws and regulations.</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EE3E1E" w:rsidRPr="00EE3E1E" w:rsidRDefault="00EE3E1E" w:rsidP="00B25EDF">
      <w:pPr>
        <w:spacing w:before="120" w:after="120"/>
        <w:ind w:left="440" w:right="-1" w:hanging="14"/>
        <w:jc w:val="both"/>
        <w:rPr>
          <w:rFonts w:ascii="Calibri Light" w:hAnsi="Calibri Light" w:cs="Calibri Light"/>
          <w:b/>
          <w:bCs/>
          <w:sz w:val="24"/>
          <w:szCs w:val="24"/>
        </w:rPr>
      </w:pPr>
      <w:r w:rsidRPr="00EE3E1E">
        <w:rPr>
          <w:rFonts w:ascii="Calibri Light" w:hAnsi="Calibri Light" w:cs="Calibri Light"/>
          <w:b/>
          <w:bCs/>
          <w:sz w:val="24"/>
          <w:szCs w:val="24"/>
        </w:rPr>
        <w:t>Basis of Law Preferences in Determining Jurisdiction</w:t>
      </w:r>
    </w:p>
    <w:p w:rsidR="00EE3E1E" w:rsidRPr="00EE3E1E" w:rsidRDefault="00EE3E1E" w:rsidP="00EE3E1E">
      <w:pPr>
        <w:spacing w:before="120" w:after="120"/>
        <w:ind w:left="440" w:right="-1" w:hanging="14"/>
        <w:jc w:val="both"/>
        <w:rPr>
          <w:rFonts w:ascii="Calibri Light" w:hAnsi="Calibri Light" w:cs="Calibri Light"/>
          <w:sz w:val="24"/>
          <w:szCs w:val="24"/>
        </w:rPr>
      </w:pPr>
      <w:r w:rsidRPr="00EE3E1E">
        <w:rPr>
          <w:rFonts w:ascii="Calibri Light" w:hAnsi="Calibri Light" w:cs="Calibri Light"/>
          <w:sz w:val="24"/>
          <w:szCs w:val="24"/>
        </w:rPr>
        <w:t>Based on the description above, there are two fundamental elements of criminal law, namely the existence of a norm that enforces a prohibition or command, and the existence of sanctions for violating the norm such as criminal penalties. Bruggink states that in legal principles there is a fundamental judgment called legal principles. Therefore, legal principles play a role as the foundation of positive legal systems and as a measure of critical judgment on positive legal systems</w:t>
      </w:r>
      <w:r w:rsidR="005D377C">
        <w:rPr>
          <w:rFonts w:ascii="Calibri Light" w:hAnsi="Calibri Light" w:cs="Calibri Light"/>
          <w:sz w:val="24"/>
          <w:szCs w:val="24"/>
        </w:rPr>
        <w:t xml:space="preserve"> </w:t>
      </w:r>
      <w:r w:rsidR="005D377C">
        <w:rPr>
          <w:rFonts w:ascii="Calibri Light" w:hAnsi="Calibri Light" w:cs="Calibri Light"/>
          <w:sz w:val="24"/>
          <w:szCs w:val="24"/>
        </w:rPr>
        <w:fldChar w:fldCharType="begin" w:fldLock="1"/>
      </w:r>
      <w:r w:rsidR="007B4339">
        <w:rPr>
          <w:rFonts w:ascii="Calibri Light" w:hAnsi="Calibri Light" w:cs="Calibri Light"/>
          <w:sz w:val="24"/>
          <w:szCs w:val="24"/>
        </w:rPr>
        <w:instrText>ADDIN CSL_CITATION {"citationItems":[{"id":"ITEM-1","itemData":{"DOI":"10.22437/ujh.3.2.441-476","author":[{"dropping-particle":"","family":"Shidarta","given":"Shidarta","non-dropping-particle":"","parse-names":false,"suffix":""}],"container-title":"Undang Jurnal Hukum","id":"ITEM-1","issue":"2","issued":{"date-parts":[["2020","12","1"]]},"page":"441-476","title":"Bernard Arief Sidharta: Dari Pengembanan Hukum Teoretis ke Pembentukan Ilmu Hukum Nasional Indonesia","type":"article-journal","volume":"3"},"uris":["http://www.mendeley.com/documents/?uuid=39e114a8-7231-464d-8156-356421d1735e"]},{"id":"ITEM-2","itemData":{"DOI":"10.59141/comserva.v3i09.1140","author":[{"dropping-particle":"","family":"Holili","given":"Holili","non-dropping-particle":"","parse-names":false,"suffix":""},{"dropping-particle":"","family":"Yunus","given":"M","non-dropping-particle":"","parse-names":false,"suffix":""},{"dropping-particle":"","family":"Winarto","given":"Winarto","non-dropping-particle":"","parse-names":false,"suffix":""}],"container-title":"COMSERVA : Jurnal Penelitian dan Pengabdian Masyarakat","id":"ITEM-2","issue":"9","issued":{"date-parts":[["2024","1","23"]]},"page":"3718-3726","title":"Kedudukan Yurisprudensi sebagai Sumber Hukum di Indonesia sebagai Penganut Sistem Civil Law","type":"article-journal","volume":"3"},"uris":["http://www.mendeley.com/documents/?uuid=ecaabf18-c335-4ba3-9527-a358ad2629e9"]}],"mendeley":{"formattedCitation":"(Holili et al., 2024; Shidarta, 2020)","plainTextFormattedCitation":"(Holili et al., 2024; Shidarta, 2020)","previouslyFormattedCitation":"(Holili et al., 2024; Shidarta, 2020)"},"properties":{"noteIndex":0},"schema":"https://github.com/citation-style-language/schema/raw/master/csl-citation.json"}</w:instrText>
      </w:r>
      <w:r w:rsidR="005D377C">
        <w:rPr>
          <w:rFonts w:ascii="Calibri Light" w:hAnsi="Calibri Light" w:cs="Calibri Light"/>
          <w:sz w:val="24"/>
          <w:szCs w:val="24"/>
        </w:rPr>
        <w:fldChar w:fldCharType="separate"/>
      </w:r>
      <w:r w:rsidR="005D377C" w:rsidRPr="005D377C">
        <w:rPr>
          <w:rFonts w:ascii="Calibri Light" w:hAnsi="Calibri Light" w:cs="Calibri Light"/>
          <w:noProof/>
          <w:sz w:val="24"/>
          <w:szCs w:val="24"/>
        </w:rPr>
        <w:t>(Holili et al., 2024; Shidarta, 2020)</w:t>
      </w:r>
      <w:r w:rsidR="005D377C">
        <w:rPr>
          <w:rFonts w:ascii="Calibri Light" w:hAnsi="Calibri Light" w:cs="Calibri Light"/>
          <w:sz w:val="24"/>
          <w:szCs w:val="24"/>
        </w:rPr>
        <w:fldChar w:fldCharType="end"/>
      </w:r>
      <w:r w:rsidRPr="00EE3E1E">
        <w:rPr>
          <w:rFonts w:ascii="Calibri Light" w:hAnsi="Calibri Light" w:cs="Calibri Light"/>
          <w:sz w:val="24"/>
          <w:szCs w:val="24"/>
        </w:rPr>
        <w:t xml:space="preserve">. </w:t>
      </w:r>
    </w:p>
    <w:p w:rsidR="00EE3E1E" w:rsidRPr="00EE3E1E" w:rsidRDefault="00EE3E1E" w:rsidP="00EE3E1E">
      <w:pPr>
        <w:spacing w:before="120" w:after="120"/>
        <w:ind w:left="440" w:right="-1" w:hanging="14"/>
        <w:jc w:val="both"/>
        <w:rPr>
          <w:rFonts w:ascii="Calibri Light" w:hAnsi="Calibri Light" w:cs="Calibri Light"/>
          <w:sz w:val="24"/>
          <w:szCs w:val="24"/>
        </w:rPr>
      </w:pPr>
      <w:r w:rsidRPr="00EE3E1E">
        <w:rPr>
          <w:rFonts w:ascii="Calibri Light" w:hAnsi="Calibri Light" w:cs="Calibri Light"/>
          <w:sz w:val="24"/>
          <w:szCs w:val="24"/>
        </w:rPr>
        <w:t>According to Van Eika Hoemes:</w:t>
      </w:r>
    </w:p>
    <w:p w:rsidR="00EE3E1E" w:rsidRPr="00EE3E1E" w:rsidRDefault="00EE3E1E" w:rsidP="00EE3E1E">
      <w:pPr>
        <w:spacing w:before="120" w:after="120"/>
        <w:ind w:left="993" w:right="-1" w:hanging="14"/>
        <w:jc w:val="both"/>
        <w:rPr>
          <w:rFonts w:ascii="Calibri Light" w:hAnsi="Calibri Light" w:cs="Calibri Light"/>
          <w:sz w:val="24"/>
          <w:szCs w:val="24"/>
        </w:rPr>
      </w:pPr>
      <w:r>
        <w:rPr>
          <w:rFonts w:ascii="Calibri Light" w:hAnsi="Calibri Light" w:cs="Calibri Light"/>
          <w:sz w:val="24"/>
          <w:szCs w:val="24"/>
        </w:rPr>
        <w:t>“</w:t>
      </w:r>
      <w:r w:rsidRPr="00EE3E1E">
        <w:rPr>
          <w:rFonts w:ascii="Calibri Light" w:hAnsi="Calibri Light" w:cs="Calibri Light"/>
          <w:sz w:val="24"/>
          <w:szCs w:val="24"/>
        </w:rPr>
        <w:t>The principles of Law should not be considered as specific legal norms, but rather as the foundations of law, or guidelines for existing laws. The formation of law, in practice, needs to be oriented towards these legal principles. In other words, legal principles are the foundations or guiding directions in the formation of positive law.</w:t>
      </w:r>
      <w:r>
        <w:rPr>
          <w:rFonts w:ascii="Calibri Light" w:hAnsi="Calibri Light" w:cs="Calibri Light"/>
          <w:sz w:val="24"/>
          <w:szCs w:val="24"/>
        </w:rPr>
        <w:t>”</w:t>
      </w:r>
    </w:p>
    <w:p w:rsidR="00EE3E1E" w:rsidRDefault="00EE3E1E" w:rsidP="00EE3E1E">
      <w:pPr>
        <w:spacing w:before="120" w:after="120"/>
        <w:ind w:left="440" w:right="-1" w:hanging="14"/>
        <w:jc w:val="both"/>
        <w:rPr>
          <w:rFonts w:ascii="Calibri Light" w:hAnsi="Calibri Light" w:cs="Calibri Light"/>
          <w:sz w:val="24"/>
          <w:szCs w:val="24"/>
        </w:rPr>
      </w:pPr>
      <w:r w:rsidRPr="00EE3E1E">
        <w:rPr>
          <w:rFonts w:ascii="Calibri Light" w:hAnsi="Calibri Light" w:cs="Calibri Light"/>
          <w:sz w:val="24"/>
          <w:szCs w:val="24"/>
        </w:rPr>
        <w:t xml:space="preserve">Starting from the clear view, it is evident that fundamental principles as the foundation and critical evaluation play a role when there are conflicts in the legal system, where legal principles serve to resolve conflicts as will be discussed in this chapter on the </w:t>
      </w:r>
      <w:r w:rsidRPr="00EE3E1E">
        <w:rPr>
          <w:rFonts w:ascii="Calibri Light" w:hAnsi="Calibri Light" w:cs="Calibri Light"/>
          <w:sz w:val="24"/>
          <w:szCs w:val="24"/>
        </w:rPr>
        <w:lastRenderedPageBreak/>
        <w:t>jurisdiction of human rights courts within the general court system and military courts within the military justice system to investigate, prosecute, and decide on cases of serious human rights violations committed by military personnel (TNI)</w:t>
      </w:r>
      <w:r w:rsidR="005D377C">
        <w:rPr>
          <w:rFonts w:ascii="Calibri Light" w:hAnsi="Calibri Light" w:cs="Calibri Light"/>
          <w:sz w:val="24"/>
          <w:szCs w:val="24"/>
        </w:rPr>
        <w:t xml:space="preserve"> </w:t>
      </w:r>
      <w:r w:rsidR="005D377C">
        <w:rPr>
          <w:rFonts w:ascii="Calibri Light" w:hAnsi="Calibri Light" w:cs="Calibri Light"/>
          <w:sz w:val="24"/>
          <w:szCs w:val="24"/>
        </w:rPr>
        <w:fldChar w:fldCharType="begin" w:fldLock="1"/>
      </w:r>
      <w:r w:rsidR="005D377C">
        <w:rPr>
          <w:rFonts w:ascii="Calibri Light" w:hAnsi="Calibri Light" w:cs="Calibri Light"/>
          <w:sz w:val="24"/>
          <w:szCs w:val="24"/>
        </w:rPr>
        <w:instrText>ADDIN CSL_CITATION {"citationItems":[{"id":"ITEM-1","itemData":{"DOI":"10.15408/jch.v1i2.2998","author":[{"dropping-particle":"","family":"Helmi","given":"Muhammad","non-dropping-particle":"","parse-names":false,"suffix":""}],"container-title":"JURNAL CITA HUKUM","id":"ITEM-1","issue":"2","issued":{"date-parts":[["2016","4","7"]]},"title":"Penerapan Azas “Equality Before The Law” Dalam Sistem Peradilan Militer","type":"article-journal","volume":"1"},"uris":["http://www.mendeley.com/documents/?uuid=c7561545-042f-4f21-bf1c-e2be784c1792"]}],"mendeley":{"formattedCitation":"(Helmi, 2016)","plainTextFormattedCitation":"(Helmi, 2016)","previouslyFormattedCitation":"(Helmi, 2016)"},"properties":{"noteIndex":0},"schema":"https://github.com/citation-style-language/schema/raw/master/csl-citation.json"}</w:instrText>
      </w:r>
      <w:r w:rsidR="005D377C">
        <w:rPr>
          <w:rFonts w:ascii="Calibri Light" w:hAnsi="Calibri Light" w:cs="Calibri Light"/>
          <w:sz w:val="24"/>
          <w:szCs w:val="24"/>
        </w:rPr>
        <w:fldChar w:fldCharType="separate"/>
      </w:r>
      <w:r w:rsidR="005D377C" w:rsidRPr="00B264D5">
        <w:rPr>
          <w:rFonts w:ascii="Calibri Light" w:hAnsi="Calibri Light" w:cs="Calibri Light"/>
          <w:noProof/>
          <w:sz w:val="24"/>
          <w:szCs w:val="24"/>
        </w:rPr>
        <w:t>(Helmi, 2016)</w:t>
      </w:r>
      <w:r w:rsidR="005D377C">
        <w:rPr>
          <w:rFonts w:ascii="Calibri Light" w:hAnsi="Calibri Light" w:cs="Calibri Light"/>
          <w:sz w:val="24"/>
          <w:szCs w:val="24"/>
        </w:rPr>
        <w:fldChar w:fldCharType="end"/>
      </w:r>
      <w:r w:rsidRPr="00EE3E1E">
        <w:rPr>
          <w:rFonts w:ascii="Calibri Light" w:hAnsi="Calibri Light" w:cs="Calibri Light"/>
          <w:sz w:val="24"/>
          <w:szCs w:val="24"/>
        </w:rPr>
        <w:t>. Based on the aforementioned conflicts, it is necessary to explain the aspects of the preference principle which include the principles of lex posterior derogat legi priori, lex superior derogat legi inferior, and lex specialis derogat legi generalis, as follows:</w:t>
      </w:r>
    </w:p>
    <w:p w:rsidR="00EE3E1E" w:rsidRPr="00EE3E1E" w:rsidRDefault="00EE3E1E" w:rsidP="00EE3E1E">
      <w:pPr>
        <w:pStyle w:val="ListParagraph"/>
        <w:numPr>
          <w:ilvl w:val="0"/>
          <w:numId w:val="33"/>
        </w:numPr>
        <w:spacing w:before="120" w:after="120"/>
        <w:ind w:right="-1"/>
        <w:jc w:val="both"/>
        <w:rPr>
          <w:rFonts w:ascii="Calibri Light" w:hAnsi="Calibri Light" w:cs="Calibri Light"/>
          <w:sz w:val="24"/>
          <w:szCs w:val="24"/>
        </w:rPr>
      </w:pPr>
      <w:r w:rsidRPr="00EE3E1E">
        <w:rPr>
          <w:rFonts w:ascii="Calibri Light" w:hAnsi="Calibri Light" w:cs="Calibri Light"/>
          <w:sz w:val="24"/>
          <w:szCs w:val="24"/>
        </w:rPr>
        <w:t>Lex Posterior derogat legi priori</w:t>
      </w:r>
    </w:p>
    <w:p w:rsidR="00EE3E1E" w:rsidRPr="00EE3E1E" w:rsidRDefault="00EE3E1E" w:rsidP="00EE3E1E">
      <w:pPr>
        <w:spacing w:before="120" w:after="120"/>
        <w:ind w:left="440" w:right="-1" w:hanging="14"/>
        <w:jc w:val="both"/>
        <w:rPr>
          <w:rFonts w:ascii="Calibri Light" w:hAnsi="Calibri Light" w:cs="Calibri Light"/>
          <w:sz w:val="24"/>
          <w:szCs w:val="24"/>
        </w:rPr>
      </w:pPr>
      <w:r w:rsidRPr="00EE3E1E">
        <w:rPr>
          <w:rFonts w:ascii="Calibri Light" w:hAnsi="Calibri Light" w:cs="Calibri Light"/>
          <w:sz w:val="24"/>
          <w:szCs w:val="24"/>
        </w:rPr>
        <w:t>The principle of lex posterior derogat legi priori means that a new regulation takes precedence over an old regulation, so that the new law in practice is prioritized over the old law that regulates the same matters, if the new law does not specify the repeal of the old law.</w:t>
      </w:r>
    </w:p>
    <w:p w:rsidR="00EE3E1E" w:rsidRPr="00EE3E1E" w:rsidRDefault="00EE3E1E" w:rsidP="00EE3E1E">
      <w:pPr>
        <w:spacing w:before="120" w:after="120"/>
        <w:ind w:left="440" w:right="-1" w:hanging="14"/>
        <w:jc w:val="both"/>
        <w:rPr>
          <w:rFonts w:ascii="Calibri Light" w:hAnsi="Calibri Light" w:cs="Calibri Light"/>
          <w:sz w:val="24"/>
          <w:szCs w:val="24"/>
        </w:rPr>
      </w:pPr>
      <w:r w:rsidRPr="00EE3E1E">
        <w:rPr>
          <w:rFonts w:ascii="Calibri Light" w:hAnsi="Calibri Light" w:cs="Calibri Light"/>
          <w:sz w:val="24"/>
          <w:szCs w:val="24"/>
        </w:rPr>
        <w:t>Peter Mahmud Marzuki stated that the principle of lex posterior derogat legi priori means that:</w:t>
      </w:r>
    </w:p>
    <w:p w:rsidR="00EE3E1E" w:rsidRPr="00EE3E1E" w:rsidRDefault="00EE3E1E" w:rsidP="00EE3E1E">
      <w:pPr>
        <w:spacing w:before="120" w:after="120"/>
        <w:ind w:left="993" w:right="-1" w:hanging="14"/>
        <w:jc w:val="both"/>
        <w:rPr>
          <w:rFonts w:ascii="Calibri Light" w:hAnsi="Calibri Light" w:cs="Calibri Light"/>
          <w:sz w:val="24"/>
          <w:szCs w:val="24"/>
        </w:rPr>
      </w:pPr>
      <w:r>
        <w:rPr>
          <w:rFonts w:ascii="Calibri Light" w:hAnsi="Calibri Light" w:cs="Calibri Light"/>
          <w:sz w:val="24"/>
          <w:szCs w:val="24"/>
        </w:rPr>
        <w:t>“</w:t>
      </w:r>
      <w:r w:rsidRPr="00EE3E1E">
        <w:rPr>
          <w:rFonts w:ascii="Calibri Light" w:hAnsi="Calibri Light" w:cs="Calibri Light"/>
          <w:sz w:val="24"/>
          <w:szCs w:val="24"/>
        </w:rPr>
        <w:t>New legislation supersedes old legislation and the limitation of using this principle arises when faced with 2 (two) regulations of the same hierarchy.</w:t>
      </w:r>
      <w:r>
        <w:rPr>
          <w:rFonts w:ascii="Calibri Light" w:hAnsi="Calibri Light" w:cs="Calibri Light"/>
          <w:sz w:val="24"/>
          <w:szCs w:val="24"/>
        </w:rPr>
        <w:t>”</w:t>
      </w:r>
      <w:r w:rsidR="007B4339">
        <w:rPr>
          <w:rFonts w:ascii="Calibri Light" w:hAnsi="Calibri Light" w:cs="Calibri Light"/>
          <w:sz w:val="24"/>
          <w:szCs w:val="24"/>
        </w:rPr>
        <w:t xml:space="preserve"> </w:t>
      </w:r>
      <w:r w:rsidR="007B4339">
        <w:rPr>
          <w:rFonts w:ascii="Calibri Light" w:hAnsi="Calibri Light" w:cs="Calibri Light"/>
          <w:sz w:val="24"/>
          <w:szCs w:val="24"/>
        </w:rPr>
        <w:fldChar w:fldCharType="begin" w:fldLock="1"/>
      </w:r>
      <w:r w:rsidR="007B4339">
        <w:rPr>
          <w:rFonts w:ascii="Calibri Light" w:hAnsi="Calibri Light" w:cs="Calibri Light"/>
          <w:sz w:val="24"/>
          <w:szCs w:val="24"/>
        </w:rPr>
        <w:instrText>ADDIN CSL_CITATION {"citationItems":[{"id":"ITEM-1","itemData":{"author":[{"dropping-particle":"","family":"Marzuki","given":"Peter Mahmud","non-dropping-particle":"","parse-names":false,"suffix":""}],"id":"ITEM-1","issued":{"date-parts":[["2013"]]},"publisher":"Jakarta: Penerbit Kencana Prenada","title":"Pengantar Ilmu Hukum","type":"book"},"uris":["http://www.mendeley.com/documents/?uuid=7edca266-8822-4505-a2e1-6a3f40ca3ad1"]}],"mendeley":{"formattedCitation":"(Marzuki, 2013)","plainTextFormattedCitation":"(Marzuki, 2013)","previouslyFormattedCitation":"(Marzuki, 2013)"},"properties":{"noteIndex":0},"schema":"https://github.com/citation-style-language/schema/raw/master/csl-citation.json"}</w:instrText>
      </w:r>
      <w:r w:rsidR="007B4339">
        <w:rPr>
          <w:rFonts w:ascii="Calibri Light" w:hAnsi="Calibri Light" w:cs="Calibri Light"/>
          <w:sz w:val="24"/>
          <w:szCs w:val="24"/>
        </w:rPr>
        <w:fldChar w:fldCharType="separate"/>
      </w:r>
      <w:r w:rsidR="007B4339" w:rsidRPr="007B4339">
        <w:rPr>
          <w:rFonts w:ascii="Calibri Light" w:hAnsi="Calibri Light" w:cs="Calibri Light"/>
          <w:noProof/>
          <w:sz w:val="24"/>
          <w:szCs w:val="24"/>
        </w:rPr>
        <w:t>(Marzuki, 2013)</w:t>
      </w:r>
      <w:r w:rsidR="007B4339">
        <w:rPr>
          <w:rFonts w:ascii="Calibri Light" w:hAnsi="Calibri Light" w:cs="Calibri Light"/>
          <w:sz w:val="24"/>
          <w:szCs w:val="24"/>
        </w:rPr>
        <w:fldChar w:fldCharType="end"/>
      </w:r>
      <w:r w:rsidR="007B4339">
        <w:rPr>
          <w:rFonts w:ascii="Calibri Light" w:hAnsi="Calibri Light" w:cs="Calibri Light"/>
          <w:sz w:val="24"/>
          <w:szCs w:val="24"/>
        </w:rPr>
        <w:t>.</w:t>
      </w:r>
    </w:p>
    <w:p w:rsidR="00EE3E1E" w:rsidRPr="00EE3E1E" w:rsidRDefault="00EE3E1E" w:rsidP="00EE3E1E">
      <w:pPr>
        <w:spacing w:before="120" w:after="120"/>
        <w:ind w:left="440" w:right="-1" w:hanging="14"/>
        <w:jc w:val="both"/>
        <w:rPr>
          <w:rFonts w:ascii="Calibri Light" w:hAnsi="Calibri Light" w:cs="Calibri Light"/>
          <w:sz w:val="24"/>
          <w:szCs w:val="24"/>
        </w:rPr>
      </w:pPr>
      <w:r w:rsidRPr="00EE3E1E">
        <w:rPr>
          <w:rFonts w:ascii="Calibri Light" w:hAnsi="Calibri Light" w:cs="Calibri Light"/>
          <w:sz w:val="24"/>
          <w:szCs w:val="24"/>
        </w:rPr>
        <w:t xml:space="preserve">Bagir Manan also provides a definition of the principle of lex posterior by emphasizing a principle that the new legislation must be equal to or at least higher than the old legislation and the old legislation regulates the same aspects. </w:t>
      </w:r>
    </w:p>
    <w:p w:rsidR="00EE3E1E" w:rsidRPr="00EE3E1E" w:rsidRDefault="00EE3E1E" w:rsidP="00EE3E1E">
      <w:pPr>
        <w:spacing w:before="120" w:after="120"/>
        <w:ind w:left="440" w:right="-1" w:hanging="14"/>
        <w:jc w:val="both"/>
        <w:rPr>
          <w:rFonts w:ascii="Calibri Light" w:hAnsi="Calibri Light" w:cs="Calibri Light"/>
          <w:sz w:val="24"/>
          <w:szCs w:val="24"/>
        </w:rPr>
      </w:pPr>
      <w:r w:rsidRPr="00EE3E1E">
        <w:rPr>
          <w:rFonts w:ascii="Calibri Light" w:hAnsi="Calibri Light" w:cs="Calibri Light"/>
          <w:sz w:val="24"/>
          <w:szCs w:val="24"/>
        </w:rPr>
        <w:t xml:space="preserve">Peter Mahmud Marzuki clarifies the philosophical foundation of the principle of lex posterior derogat legi priori that: </w:t>
      </w:r>
    </w:p>
    <w:p w:rsidR="00EE3E1E" w:rsidRPr="00EE3E1E" w:rsidRDefault="00EE3E1E" w:rsidP="00EE3E1E">
      <w:pPr>
        <w:spacing w:before="120" w:after="120"/>
        <w:ind w:left="993" w:right="-1" w:hanging="14"/>
        <w:jc w:val="both"/>
        <w:rPr>
          <w:rFonts w:ascii="Calibri Light" w:hAnsi="Calibri Light" w:cs="Calibri Light"/>
          <w:sz w:val="24"/>
          <w:szCs w:val="24"/>
        </w:rPr>
      </w:pPr>
      <w:r>
        <w:rPr>
          <w:rFonts w:ascii="Calibri Light" w:hAnsi="Calibri Light" w:cs="Calibri Light"/>
          <w:sz w:val="24"/>
          <w:szCs w:val="24"/>
        </w:rPr>
        <w:t>“</w:t>
      </w:r>
      <w:r w:rsidRPr="00EE3E1E">
        <w:rPr>
          <w:rFonts w:ascii="Calibri Light" w:hAnsi="Calibri Light" w:cs="Calibri Light"/>
          <w:sz w:val="24"/>
          <w:szCs w:val="24"/>
        </w:rPr>
        <w:t>If the form of legislation contained in the old legislation is not contrary to the philosophical foundation of the new legislation, then the legislation remains valid in accordance with the transitional provisions of the new legislation.</w:t>
      </w:r>
      <w:r>
        <w:rPr>
          <w:rFonts w:ascii="Calibri Light" w:hAnsi="Calibri Light" w:cs="Calibri Light"/>
          <w:sz w:val="24"/>
          <w:szCs w:val="24"/>
        </w:rPr>
        <w:t>”</w:t>
      </w:r>
      <w:r w:rsidR="007B4339">
        <w:rPr>
          <w:rFonts w:ascii="Calibri Light" w:hAnsi="Calibri Light" w:cs="Calibri Light"/>
          <w:sz w:val="24"/>
          <w:szCs w:val="24"/>
        </w:rPr>
        <w:t xml:space="preserve"> </w:t>
      </w:r>
      <w:r w:rsidR="007B4339">
        <w:rPr>
          <w:rFonts w:ascii="Calibri Light" w:hAnsi="Calibri Light" w:cs="Calibri Light"/>
          <w:sz w:val="24"/>
          <w:szCs w:val="24"/>
        </w:rPr>
        <w:fldChar w:fldCharType="begin" w:fldLock="1"/>
      </w:r>
      <w:r w:rsidR="007B4339">
        <w:rPr>
          <w:rFonts w:ascii="Calibri Light" w:hAnsi="Calibri Light" w:cs="Calibri Light"/>
          <w:sz w:val="24"/>
          <w:szCs w:val="24"/>
        </w:rPr>
        <w:instrText>ADDIN CSL_CITATION {"citationItems":[{"id":"ITEM-1","itemData":{"author":[{"dropping-particle":"","family":"Marzuki","given":"Peter Mahmud","non-dropping-particle":"","parse-names":false,"suffix":""}],"id":"ITEM-1","issued":{"date-parts":[["2013"]]},"publisher":"Jakarta: Penerbit Kencana Prenada","title":"Pengantar Ilmu Hukum","type":"book"},"uris":["http://www.mendeley.com/documents/?uuid=7edca266-8822-4505-a2e1-6a3f40ca3ad1"]}],"mendeley":{"formattedCitation":"(Marzuki, 2013)","plainTextFormattedCitation":"(Marzuki, 2013)","previouslyFormattedCitation":"(Marzuki, 2013)"},"properties":{"noteIndex":0},"schema":"https://github.com/citation-style-language/schema/raw/master/csl-citation.json"}</w:instrText>
      </w:r>
      <w:r w:rsidR="007B4339">
        <w:rPr>
          <w:rFonts w:ascii="Calibri Light" w:hAnsi="Calibri Light" w:cs="Calibri Light"/>
          <w:sz w:val="24"/>
          <w:szCs w:val="24"/>
        </w:rPr>
        <w:fldChar w:fldCharType="separate"/>
      </w:r>
      <w:r w:rsidR="007B4339" w:rsidRPr="007B4339">
        <w:rPr>
          <w:rFonts w:ascii="Calibri Light" w:hAnsi="Calibri Light" w:cs="Calibri Light"/>
          <w:noProof/>
          <w:sz w:val="24"/>
          <w:szCs w:val="24"/>
        </w:rPr>
        <w:t>(Marzuki, 2013)</w:t>
      </w:r>
      <w:r w:rsidR="007B4339">
        <w:rPr>
          <w:rFonts w:ascii="Calibri Light" w:hAnsi="Calibri Light" w:cs="Calibri Light"/>
          <w:sz w:val="24"/>
          <w:szCs w:val="24"/>
        </w:rPr>
        <w:fldChar w:fldCharType="end"/>
      </w:r>
      <w:r w:rsidR="007B4339">
        <w:rPr>
          <w:rFonts w:ascii="Calibri Light" w:hAnsi="Calibri Light" w:cs="Calibri Light"/>
          <w:sz w:val="24"/>
          <w:szCs w:val="24"/>
        </w:rPr>
        <w:t>.</w:t>
      </w:r>
    </w:p>
    <w:p w:rsidR="00EE3E1E" w:rsidRDefault="00EE3E1E" w:rsidP="00EE3E1E">
      <w:pPr>
        <w:spacing w:before="120" w:after="120"/>
        <w:ind w:left="440" w:right="-1" w:hanging="14"/>
        <w:jc w:val="both"/>
        <w:rPr>
          <w:rFonts w:ascii="Calibri Light" w:hAnsi="Calibri Light" w:cs="Calibri Light"/>
          <w:sz w:val="24"/>
          <w:szCs w:val="24"/>
        </w:rPr>
      </w:pPr>
      <w:r w:rsidRPr="00EE3E1E">
        <w:rPr>
          <w:rFonts w:ascii="Calibri Light" w:hAnsi="Calibri Light" w:cs="Calibri Light"/>
          <w:sz w:val="24"/>
          <w:szCs w:val="24"/>
        </w:rPr>
        <w:t>Based on the above opinion stating that the philosophical principle of lex posterior derogat legi priori can be seen from the transition rules or closing provisions in a new legislation which are often mentioned at the end of a section of a law, resulting in whether the old law still applies as its substance or no longer applies as a whole of the substance of the section. The function of the principle of lex posterior derogat legi priori is indeed that the newer legislation overrides the older legislation, thus requiring the use of the new law by preventing dualism that can cause legal uncertainty.</w:t>
      </w:r>
    </w:p>
    <w:p w:rsidR="00EE3E1E" w:rsidRPr="00327ACE" w:rsidRDefault="00327ACE" w:rsidP="00327ACE">
      <w:pPr>
        <w:pStyle w:val="ListParagraph"/>
        <w:numPr>
          <w:ilvl w:val="0"/>
          <w:numId w:val="33"/>
        </w:numPr>
        <w:spacing w:before="120" w:after="120"/>
        <w:ind w:right="-1"/>
        <w:jc w:val="both"/>
        <w:rPr>
          <w:rFonts w:ascii="Calibri Light" w:hAnsi="Calibri Light" w:cs="Calibri Light"/>
          <w:sz w:val="24"/>
          <w:szCs w:val="24"/>
        </w:rPr>
      </w:pPr>
      <w:r w:rsidRPr="00327ACE">
        <w:rPr>
          <w:rFonts w:ascii="Calibri Light" w:hAnsi="Calibri Light" w:cs="Calibri Light"/>
          <w:sz w:val="24"/>
          <w:szCs w:val="24"/>
        </w:rPr>
        <w:t>Lex superior derogat legi inferiori</w:t>
      </w:r>
    </w:p>
    <w:p w:rsidR="00327ACE" w:rsidRPr="00327ACE" w:rsidRDefault="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The principle of lex superior derogat legi inferiori means that regulations of higher authority take precedence in their implementation over lower laws. For example, laws take precedence over government regulations, presidential regulations, ministerial regulations, provincial regulations, district regulations, and so on.</w:t>
      </w:r>
    </w:p>
    <w:p w:rsidR="00327ACE" w:rsidRPr="00327ACE" w:rsidRDefault="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According to Bagir Manan, the principle of lex superior derogat legi inferiori means that:</w:t>
      </w:r>
    </w:p>
    <w:p w:rsidR="00327ACE" w:rsidRPr="00327ACE" w:rsidRDefault="00D93BCB" w:rsidP="00327ACE">
      <w:pPr>
        <w:spacing w:before="120" w:after="120"/>
        <w:ind w:left="993" w:right="-1" w:hanging="14"/>
        <w:jc w:val="both"/>
        <w:rPr>
          <w:rFonts w:ascii="Calibri Light" w:hAnsi="Calibri Light" w:cs="Calibri Light"/>
          <w:sz w:val="24"/>
          <w:szCs w:val="24"/>
        </w:rPr>
      </w:pPr>
      <w:r>
        <w:rPr>
          <w:rFonts w:ascii="Calibri Light" w:hAnsi="Calibri Light" w:cs="Calibri Light"/>
          <w:sz w:val="24"/>
          <w:szCs w:val="24"/>
        </w:rPr>
        <w:t>“</w:t>
      </w:r>
      <w:r w:rsidR="00327ACE" w:rsidRPr="00327ACE">
        <w:rPr>
          <w:rFonts w:ascii="Calibri Light" w:hAnsi="Calibri Light" w:cs="Calibri Light"/>
          <w:sz w:val="24"/>
          <w:szCs w:val="24"/>
        </w:rPr>
        <w:t>Regulations of higher legal authority override regulations of lower legal authority, unless the content of the higher legal regulations govern matters that are within the jurisdiction of lower legal regulations as stipulated by the law.</w:t>
      </w:r>
      <w:r>
        <w:rPr>
          <w:rFonts w:ascii="Calibri Light" w:hAnsi="Calibri Light" w:cs="Calibri Light"/>
          <w:sz w:val="24"/>
          <w:szCs w:val="24"/>
        </w:rPr>
        <w:t>”</w:t>
      </w:r>
    </w:p>
    <w:p w:rsidR="00327ACE" w:rsidRPr="00327ACE" w:rsidRDefault="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lastRenderedPageBreak/>
        <w:t xml:space="preserve">Starting from the priority of a legal force of regulations, one must look at the hierarchy of Indonesian legal regulations as regulated in Article 7 paragraph (1) in Law No. 12 of 2011 concerning the Formation of Legal Regulations which asserts that the types and hierarchy of such legal regulations are as follows: </w:t>
      </w:r>
    </w:p>
    <w:p w:rsidR="00327ACE" w:rsidRPr="00327ACE" w:rsidRDefault="00D93BCB" w:rsidP="00327ACE">
      <w:pPr>
        <w:spacing w:before="120" w:after="120"/>
        <w:ind w:left="993" w:right="-1" w:hanging="14"/>
        <w:jc w:val="both"/>
        <w:rPr>
          <w:rFonts w:ascii="Calibri Light" w:hAnsi="Calibri Light" w:cs="Calibri Light"/>
          <w:sz w:val="24"/>
          <w:szCs w:val="24"/>
        </w:rPr>
      </w:pPr>
      <w:r>
        <w:rPr>
          <w:rFonts w:ascii="Calibri Light" w:hAnsi="Calibri Light" w:cs="Calibri Light"/>
          <w:sz w:val="24"/>
          <w:szCs w:val="24"/>
        </w:rPr>
        <w:t>“</w:t>
      </w:r>
      <w:r w:rsidR="00327ACE" w:rsidRPr="00327ACE">
        <w:rPr>
          <w:rFonts w:ascii="Calibri Light" w:hAnsi="Calibri Light" w:cs="Calibri Light"/>
          <w:sz w:val="24"/>
          <w:szCs w:val="24"/>
        </w:rPr>
        <w:t xml:space="preserve">First, there is the 1945 Constitution, secondly MPR Decrees, thirdly laws (UU)/Government Regulation in Lieu of Law (Perppu), fourthly Government Regulations (PP), fifthly Presidential Regulations (Perpres), sixthly Provincial Regional Regulations (Perda Provinsi), and Regional Regulations of Districts/Cities (Perda Kabupaten/kota). </w:t>
      </w:r>
      <w:r>
        <w:rPr>
          <w:rFonts w:ascii="Calibri Light" w:hAnsi="Calibri Light" w:cs="Calibri Light"/>
          <w:sz w:val="24"/>
          <w:szCs w:val="24"/>
        </w:rPr>
        <w:t>“</w:t>
      </w:r>
    </w:p>
    <w:p w:rsidR="00327ACE" w:rsidRPr="00327ACE" w:rsidRDefault="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Then based on Article 8 of the Law on the Formation of Legislation, regulations such as those established by the DPR, DPD, MA, MK, BPK, KY, BI, Ministers, bodies, institutions, or commissions of equivalent rank established by Law or Government on the mandate of the Law, Regional DPRD, Regents/Mayors, Village Heads, or of equivalent rank shall have legal binding force as long as instructed by higher regulations or established based on authority.</w:t>
      </w:r>
    </w:p>
    <w:p w:rsidR="00327ACE" w:rsidRPr="00327ACE" w:rsidRDefault="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Kusnu Goesniadhie stated that:</w:t>
      </w:r>
    </w:p>
    <w:p w:rsidR="00327ACE" w:rsidRPr="00327ACE" w:rsidRDefault="00D93BCB" w:rsidP="00327ACE">
      <w:pPr>
        <w:spacing w:before="120" w:after="120"/>
        <w:ind w:left="993" w:right="-1" w:hanging="14"/>
        <w:jc w:val="both"/>
        <w:rPr>
          <w:rFonts w:ascii="Calibri Light" w:hAnsi="Calibri Light" w:cs="Calibri Light"/>
          <w:sz w:val="24"/>
          <w:szCs w:val="24"/>
        </w:rPr>
      </w:pPr>
      <w:r>
        <w:rPr>
          <w:rFonts w:ascii="Calibri Light" w:hAnsi="Calibri Light" w:cs="Calibri Light"/>
          <w:sz w:val="24"/>
          <w:szCs w:val="24"/>
        </w:rPr>
        <w:t>“</w:t>
      </w:r>
      <w:r w:rsidR="00327ACE" w:rsidRPr="00327ACE">
        <w:rPr>
          <w:rFonts w:ascii="Calibri Light" w:hAnsi="Calibri Light" w:cs="Calibri Light"/>
          <w:sz w:val="24"/>
          <w:szCs w:val="24"/>
        </w:rPr>
        <w:t>Legislation of lower levels must not contradict legislation of higher levels that regulate the same normative material. In case of a conflict, the legislation of a higher level shall prevail over the legislation of a lower level, and due to the hierarchy in legislation, the principle of lex superior derogat legi inferiori applies.</w:t>
      </w:r>
      <w:r>
        <w:rPr>
          <w:rFonts w:ascii="Calibri Light" w:hAnsi="Calibri Light" w:cs="Calibri Light"/>
          <w:sz w:val="24"/>
          <w:szCs w:val="24"/>
        </w:rPr>
        <w:t>”</w:t>
      </w:r>
    </w:p>
    <w:p w:rsidR="00EE3E1E" w:rsidRDefault="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The principle of lex superior derogat legi inferiori provides an effort to solve problems regarding the interpretation of legislation by first considering the level of the law based on the hierarchy established, so that legal norms in legislation create legal certainty, justice, and utility.</w:t>
      </w:r>
    </w:p>
    <w:p w:rsidR="00327ACE" w:rsidRPr="00327ACE" w:rsidRDefault="00327ACE" w:rsidP="00327ACE">
      <w:pPr>
        <w:pStyle w:val="ListParagraph"/>
        <w:numPr>
          <w:ilvl w:val="0"/>
          <w:numId w:val="33"/>
        </w:numPr>
        <w:spacing w:before="120" w:after="120"/>
        <w:ind w:right="-1"/>
        <w:jc w:val="both"/>
        <w:rPr>
          <w:rFonts w:ascii="Calibri Light" w:hAnsi="Calibri Light" w:cs="Calibri Light"/>
          <w:sz w:val="24"/>
          <w:szCs w:val="24"/>
        </w:rPr>
      </w:pPr>
      <w:r w:rsidRPr="00327ACE">
        <w:rPr>
          <w:rFonts w:ascii="Calibri Light" w:hAnsi="Calibri Light" w:cs="Calibri Light"/>
          <w:sz w:val="24"/>
          <w:szCs w:val="24"/>
        </w:rPr>
        <w:t xml:space="preserve">Lex specialis </w:t>
      </w:r>
      <w:r w:rsidRPr="00327ACE">
        <w:rPr>
          <w:rFonts w:ascii="Calibri Light" w:hAnsi="Calibri Light" w:cs="Calibri Light"/>
          <w:sz w:val="24"/>
          <w:szCs w:val="24"/>
        </w:rPr>
        <w:t>derogat legi generalis</w:t>
      </w:r>
    </w:p>
    <w:p w:rsidR="00327ACE" w:rsidRPr="00327ACE" w:rsidRDefault="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 xml:space="preserve">Lex specialis derogat legi generalis means that specific laws are given priority over general laws, so that provisions that are general in nature can be overruled by regulations that specifically regulate the same matter. </w:t>
      </w:r>
    </w:p>
    <w:p w:rsidR="00327ACE" w:rsidRPr="00327ACE" w:rsidRDefault="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 xml:space="preserve">Soejono Sukanto stated that for specific events, the law that mentions the specific event must be applied, although the law that mentions a more general event that can include the specific event can also be applied. </w:t>
      </w:r>
    </w:p>
    <w:p w:rsidR="00327ACE" w:rsidRPr="00327ACE" w:rsidRDefault="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 xml:space="preserve">In the field of criminal law, the principle of lex specialis derogat legi generalis is regulated in Article 63 paragraph (2) of the Criminal Code which states that if an act falls within a general criminal provision but also within a specific criminal provision, only the specific regulation applies. </w:t>
      </w:r>
    </w:p>
    <w:p w:rsidR="00327ACE" w:rsidRPr="00327ACE" w:rsidRDefault="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 xml:space="preserve">According to Peter Mahmud Marzuki: </w:t>
      </w:r>
    </w:p>
    <w:p w:rsidR="00327ACE" w:rsidRPr="00327ACE" w:rsidRDefault="007B4339" w:rsidP="00327ACE">
      <w:pPr>
        <w:spacing w:before="120" w:after="120"/>
        <w:ind w:left="993" w:right="-1" w:hanging="14"/>
        <w:jc w:val="both"/>
        <w:rPr>
          <w:rFonts w:ascii="Calibri Light" w:hAnsi="Calibri Light" w:cs="Calibri Light"/>
          <w:sz w:val="24"/>
          <w:szCs w:val="24"/>
        </w:rPr>
      </w:pPr>
      <w:r>
        <w:rPr>
          <w:rFonts w:ascii="Calibri Light" w:hAnsi="Calibri Light" w:cs="Calibri Light"/>
          <w:sz w:val="24"/>
          <w:szCs w:val="24"/>
        </w:rPr>
        <w:t>“</w:t>
      </w:r>
      <w:r w:rsidR="00327ACE" w:rsidRPr="00327ACE">
        <w:rPr>
          <w:rFonts w:ascii="Calibri Light" w:hAnsi="Calibri Light" w:cs="Calibri Light"/>
          <w:sz w:val="24"/>
          <w:szCs w:val="24"/>
        </w:rPr>
        <w:t>The principle of lex specialis derogat legi generalis refers to two legal regulations that have the same hierarchical position but differ in substance, with one being a specific regulation of the other.</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{"citationItems":[{"id":"ITEM-1","itemData":{"author":[{"dropping-particle":"","family":"Marzuki","given":"Peter Mahmud","non-dropping-particle":"","parse-names":false,"suffix":""}],"id":"ITEM-1","issued":{"date-parts":[["2013"]]},"publisher":"Jakarta: Penerbit Kencana Prenada","title":"Pengantar Ilmu Hukum","type":"book"},"uris":["http://www.mendeley.com/documents/?uuid=7edca266-8822-4505-a2e1-6a3f40ca3ad1"]}],"mendeley":{"formattedCitation":"(Marzuki, 2013)","plainTextFormattedCitation":"(Marzuki, 2013)","previouslyFormattedCitation":"(Marzuki, 2013)"},"properties":{"noteIndex":0},"schema":"https://github.com/citation-style-language/schema/raw/master/csl-citation.json"}</w:instrText>
      </w:r>
      <w:r>
        <w:rPr>
          <w:rFonts w:ascii="Calibri Light" w:hAnsi="Calibri Light" w:cs="Calibri Light"/>
          <w:sz w:val="24"/>
          <w:szCs w:val="24"/>
        </w:rPr>
        <w:fldChar w:fldCharType="separate"/>
      </w:r>
      <w:r w:rsidRPr="007B4339">
        <w:rPr>
          <w:rFonts w:ascii="Calibri Light" w:hAnsi="Calibri Light" w:cs="Calibri Light"/>
          <w:noProof/>
          <w:sz w:val="24"/>
          <w:szCs w:val="24"/>
        </w:rPr>
        <w:t>(Marzuki, 2013)</w:t>
      </w:r>
      <w:r>
        <w:rPr>
          <w:rFonts w:ascii="Calibri Light" w:hAnsi="Calibri Light" w:cs="Calibri Light"/>
          <w:sz w:val="24"/>
          <w:szCs w:val="24"/>
        </w:rPr>
        <w:fldChar w:fldCharType="end"/>
      </w:r>
    </w:p>
    <w:p w:rsidR="00327ACE" w:rsidRPr="00327ACE" w:rsidRDefault="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lastRenderedPageBreak/>
        <w:t>According to Bagir Manan, there are several principles that must be considered in the principle of lex specialis derogat legi generalis, including:</w:t>
      </w:r>
    </w:p>
    <w:p w:rsidR="00327ACE" w:rsidRPr="00327ACE" w:rsidRDefault="00D93BCB" w:rsidP="00327ACE">
      <w:pPr>
        <w:spacing w:before="120" w:after="120"/>
        <w:ind w:left="993" w:right="-1" w:hanging="14"/>
        <w:jc w:val="both"/>
        <w:rPr>
          <w:rFonts w:ascii="Calibri Light" w:hAnsi="Calibri Light" w:cs="Calibri Light"/>
          <w:sz w:val="24"/>
          <w:szCs w:val="24"/>
        </w:rPr>
      </w:pPr>
      <w:r>
        <w:rPr>
          <w:rFonts w:ascii="Calibri Light" w:hAnsi="Calibri Light" w:cs="Calibri Light"/>
          <w:sz w:val="24"/>
          <w:szCs w:val="24"/>
        </w:rPr>
        <w:t>“</w:t>
      </w:r>
      <w:r w:rsidR="00327ACE" w:rsidRPr="00327ACE">
        <w:rPr>
          <w:rFonts w:ascii="Calibri Light" w:hAnsi="Calibri Light" w:cs="Calibri Light"/>
          <w:sz w:val="24"/>
          <w:szCs w:val="24"/>
        </w:rPr>
        <w:t>Provisions found in general legal rules still apply, unless specifically regulated in other special legal rules; furthermore, lex specialis must be equivalent to the provisions of lex generalis, meaning law with law, for example provisions in the criminal procedural law book with the provisions of the juvenile criminal justice system; and finally, lex specialis must be within the same legal environment (regime) as lex generalis, in this case such as the Human Rights Court Law with other court laws.</w:t>
      </w:r>
      <w:r>
        <w:rPr>
          <w:rFonts w:ascii="Calibri Light" w:hAnsi="Calibri Light" w:cs="Calibri Light"/>
          <w:sz w:val="24"/>
          <w:szCs w:val="24"/>
        </w:rPr>
        <w:t>”</w:t>
      </w:r>
    </w:p>
    <w:p w:rsidR="00EE3E1E" w:rsidRDefault="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Therefore, the principle of lex specialis derogat legi generalis is important for law enforcement officials when applying criminal laws to cases they are handling.</w:t>
      </w:r>
    </w:p>
    <w:p w:rsidR="00327ACE" w:rsidRPr="00327ACE" w:rsidRDefault="00327ACE" w:rsidP="00327ACE">
      <w:pPr>
        <w:pStyle w:val="ListParagraph"/>
        <w:numPr>
          <w:ilvl w:val="0"/>
          <w:numId w:val="33"/>
        </w:numPr>
        <w:spacing w:before="120" w:after="120"/>
        <w:ind w:right="-1"/>
        <w:jc w:val="both"/>
        <w:rPr>
          <w:rFonts w:ascii="Calibri Light" w:hAnsi="Calibri Light" w:cs="Calibri Light"/>
          <w:sz w:val="24"/>
          <w:szCs w:val="24"/>
        </w:rPr>
      </w:pPr>
      <w:r w:rsidRPr="00327ACE">
        <w:rPr>
          <w:rFonts w:ascii="Calibri Light" w:hAnsi="Calibri Light" w:cs="Calibri Light"/>
          <w:sz w:val="24"/>
          <w:szCs w:val="24"/>
        </w:rPr>
        <w:t xml:space="preserve">Lex </w:t>
      </w:r>
      <w:r w:rsidRPr="00327ACE">
        <w:rPr>
          <w:rFonts w:ascii="Calibri Light" w:hAnsi="Calibri Light" w:cs="Calibri Light"/>
          <w:sz w:val="24"/>
          <w:szCs w:val="24"/>
        </w:rPr>
        <w:t>specialis sistematica</w:t>
      </w:r>
    </w:p>
    <w:p w:rsidR="00327ACE" w:rsidRPr="00327ACE" w:rsidRDefault="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The clash of authority in a court often occurs due to the abundance of laws or special regulations, such as lex specialis, which, of course, will not be separated from legal issues when applying them, thus raising a question mark when an act is suspected of a criminal offense as discussed above, where Law Number 31 of 1997 concerning Military Judiciary and Law Number 26 of 2000 concerning Human Rights Courts, both of which are lex specialis from the provisions of Law Number 8 of 1981 concerning the Criminal Procedure Code (KUHAP)</w:t>
      </w:r>
      <w:r w:rsidR="00D81983">
        <w:rPr>
          <w:rFonts w:ascii="Calibri Light" w:hAnsi="Calibri Light" w:cs="Calibri Light"/>
          <w:sz w:val="24"/>
          <w:szCs w:val="24"/>
        </w:rPr>
        <w:t xml:space="preserve"> </w:t>
      </w:r>
      <w:r w:rsidR="00D81983">
        <w:rPr>
          <w:rFonts w:ascii="Calibri Light" w:hAnsi="Calibri Light" w:cs="Calibri Light"/>
          <w:sz w:val="24"/>
          <w:szCs w:val="24"/>
        </w:rPr>
        <w:fldChar w:fldCharType="begin" w:fldLock="1"/>
      </w:r>
      <w:r w:rsidR="00B264D5">
        <w:rPr>
          <w:rFonts w:ascii="Calibri Light" w:hAnsi="Calibri Light" w:cs="Calibri Light"/>
          <w:sz w:val="24"/>
          <w:szCs w:val="24"/>
        </w:rPr>
        <w:instrText>ADDIN CSL_CITATION {"citationItems":[{"id":"ITEM-1","itemData":{"author":[{"dropping-particle":"","family":"UU No.8","given":"","non-dropping-particle":"","parse-names":false,"suffix":""}],"id":"ITEM-1","issued":{"date-parts":[["1981"]]},"title":"Undang-Undang Nomor 8 Tahun 1981 Tentang Kitab Undang-Undang Hukum Acara Pidana (Lembaran Negara Republik Indonesia Tahun 1981 Nomor 76, Tambahan Lembaran Negara Republik Indonesia Nomor 3209)","type":"book"},"uris":["http://www.mendeley.com/documents/?uuid=2f4aac27-9d55-4054-868e-876bf4529036"]}],"mendeley":{"formattedCitation":"(UU No.8, 1981)","plainTextFormattedCitation":"(UU No.8, 1981)","previouslyFormattedCitation":"(UU No.8, 1981)"},"properties":{"noteIndex":0},"schema":"https://github.com/citation-style-language/schema/raw/master/csl-citation.json"}</w:instrText>
      </w:r>
      <w:r w:rsidR="00D81983">
        <w:rPr>
          <w:rFonts w:ascii="Calibri Light" w:hAnsi="Calibri Light" w:cs="Calibri Light"/>
          <w:sz w:val="24"/>
          <w:szCs w:val="24"/>
        </w:rPr>
        <w:fldChar w:fldCharType="separate"/>
      </w:r>
      <w:r w:rsidR="00D81983" w:rsidRPr="00D81983">
        <w:rPr>
          <w:rFonts w:ascii="Calibri Light" w:hAnsi="Calibri Light" w:cs="Calibri Light"/>
          <w:noProof/>
          <w:sz w:val="24"/>
          <w:szCs w:val="24"/>
        </w:rPr>
        <w:t>(UU No.8, 1981)</w:t>
      </w:r>
      <w:r w:rsidR="00D81983">
        <w:rPr>
          <w:rFonts w:ascii="Calibri Light" w:hAnsi="Calibri Light" w:cs="Calibri Light"/>
          <w:sz w:val="24"/>
          <w:szCs w:val="24"/>
        </w:rPr>
        <w:fldChar w:fldCharType="end"/>
      </w:r>
      <w:r w:rsidRPr="00327ACE">
        <w:rPr>
          <w:rFonts w:ascii="Calibri Light" w:hAnsi="Calibri Light" w:cs="Calibri Light"/>
          <w:sz w:val="24"/>
          <w:szCs w:val="24"/>
        </w:rPr>
        <w:t xml:space="preserve">. </w:t>
      </w:r>
    </w:p>
    <w:p w:rsidR="00327ACE" w:rsidRPr="00327ACE" w:rsidRDefault="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In the development of legal science, including criminal law, according to</w:t>
      </w:r>
      <w:r w:rsidR="007B4339">
        <w:rPr>
          <w:rFonts w:ascii="Calibri Light" w:hAnsi="Calibri Light" w:cs="Calibri Light"/>
          <w:sz w:val="24"/>
          <w:szCs w:val="24"/>
        </w:rPr>
        <w:t xml:space="preserve"> </w:t>
      </w:r>
      <w:r w:rsidR="007B4339">
        <w:rPr>
          <w:rFonts w:ascii="Calibri Light" w:hAnsi="Calibri Light" w:cs="Calibri Light"/>
          <w:sz w:val="24"/>
          <w:szCs w:val="24"/>
        </w:rPr>
        <w:fldChar w:fldCharType="begin" w:fldLock="1"/>
      </w:r>
      <w:r w:rsidR="007B4339">
        <w:rPr>
          <w:rFonts w:ascii="Calibri Light" w:hAnsi="Calibri Light" w:cs="Calibri Light"/>
          <w:sz w:val="24"/>
          <w:szCs w:val="24"/>
        </w:rPr>
        <w:instrText>ADDIN CSL_CITATION {"citationItems":[{"id":"ITEM-1","itemData":{"author":[{"dropping-particle":"","family":"Hiariej","given":"Eddy O.S.","non-dropping-particle":"","parse-names":false,"suffix":""}],"id":"ITEM-1","issued":{"date-parts":[["2018"]]},"publisher":"Jakarta: Cahaya Atma Pustaka","title":"Prinsip-Prinsip Hukum Pidana","type":"book"},"uris":["http://www.mendeley.com/documents/?uuid=6cef8506-32a1-4c31-aaad-650001700ffc"]}],"mendeley":{"formattedCitation":"(Hiariej, 2018)","manualFormatting":"Hiariej (2018)","plainTextFormattedCitation":"(Hiariej, 2018)","previouslyFormattedCitation":"(Hiariej, 2018)"},"properties":{"noteIndex":0},"schema":"https://github.com/citation-style-language/schema/raw/master/csl-citation.json"}</w:instrText>
      </w:r>
      <w:r w:rsidR="007B4339">
        <w:rPr>
          <w:rFonts w:ascii="Calibri Light" w:hAnsi="Calibri Light" w:cs="Calibri Light"/>
          <w:sz w:val="24"/>
          <w:szCs w:val="24"/>
        </w:rPr>
        <w:fldChar w:fldCharType="separate"/>
      </w:r>
      <w:r w:rsidR="007B4339" w:rsidRPr="007B4339">
        <w:rPr>
          <w:rFonts w:ascii="Calibri Light" w:hAnsi="Calibri Light" w:cs="Calibri Light"/>
          <w:noProof/>
          <w:sz w:val="24"/>
          <w:szCs w:val="24"/>
        </w:rPr>
        <w:t xml:space="preserve">Hiariej </w:t>
      </w:r>
      <w:r w:rsidR="007B4339">
        <w:rPr>
          <w:rFonts w:ascii="Calibri Light" w:hAnsi="Calibri Light" w:cs="Calibri Light"/>
          <w:noProof/>
          <w:sz w:val="24"/>
          <w:szCs w:val="24"/>
        </w:rPr>
        <w:t>(</w:t>
      </w:r>
      <w:r w:rsidR="007B4339" w:rsidRPr="007B4339">
        <w:rPr>
          <w:rFonts w:ascii="Calibri Light" w:hAnsi="Calibri Light" w:cs="Calibri Light"/>
          <w:noProof/>
          <w:sz w:val="24"/>
          <w:szCs w:val="24"/>
        </w:rPr>
        <w:t>2018)</w:t>
      </w:r>
      <w:r w:rsidR="007B4339">
        <w:rPr>
          <w:rFonts w:ascii="Calibri Light" w:hAnsi="Calibri Light" w:cs="Calibri Light"/>
          <w:sz w:val="24"/>
          <w:szCs w:val="24"/>
        </w:rPr>
        <w:fldChar w:fldCharType="end"/>
      </w:r>
      <w:r w:rsidRPr="00327ACE">
        <w:rPr>
          <w:rFonts w:ascii="Calibri Light" w:hAnsi="Calibri Light" w:cs="Calibri Light"/>
          <w:sz w:val="24"/>
          <w:szCs w:val="24"/>
        </w:rPr>
        <w:t>, the principle of lex specialis derogat legi generalis cannot resolve legal disputes if there is an act that is threatened and falls under more than one provision of legislation, each of which is classified as a special offense or crime. Based on the above explanation, which legal rule should be used considering that the conflicting laws are both lex specialis</w:t>
      </w:r>
      <w:r w:rsidR="007B4339">
        <w:rPr>
          <w:rFonts w:ascii="Calibri Light" w:hAnsi="Calibri Light" w:cs="Calibri Light"/>
          <w:sz w:val="24"/>
          <w:szCs w:val="24"/>
        </w:rPr>
        <w:t xml:space="preserve"> </w:t>
      </w:r>
      <w:r w:rsidR="007B4339">
        <w:rPr>
          <w:rFonts w:ascii="Calibri Light" w:hAnsi="Calibri Light" w:cs="Calibri Light"/>
          <w:sz w:val="24"/>
          <w:szCs w:val="24"/>
        </w:rPr>
        <w:fldChar w:fldCharType="begin" w:fldLock="1"/>
      </w:r>
      <w:r w:rsidR="007B4339">
        <w:rPr>
          <w:rFonts w:ascii="Calibri Light" w:hAnsi="Calibri Light" w:cs="Calibri Light"/>
          <w:sz w:val="24"/>
          <w:szCs w:val="24"/>
        </w:rPr>
        <w:instrText>ADDIN CSL_CITATION {"citationItems":[{"id":"ITEM-1","itemData":{"DOI":"10.59435/jurdikum.v1i1.100","author":[{"dropping-particle":"","family":"Kristiyadi","given":"","non-dropping-particle":"","parse-names":false,"suffix":""}],"container-title":"Jurnal Dunia Ilmu Hukum (JURDIKUM)","id":"ITEM-1","issue":"1","issued":{"date-parts":[["2023","6","13"]]},"page":"25-27","title":"Pergeseran Asas Legalitas Dalam Pembaruan Hukum Pidana Indonesia","type":"article-journal","volume":"1"},"uris":["http://www.mendeley.com/documents/?uuid=3323c031-b005-4b1d-a5dc-59130bfea59a"]}],"mendeley":{"formattedCitation":"(Kristiyadi, 2023)","plainTextFormattedCitation":"(Kristiyadi, 2023)","previouslyFormattedCitation":"(Kristiyadi, 2023)"},"properties":{"noteIndex":0},"schema":"https://github.com/citation-style-language/schema/raw/master/csl-citation.json"}</w:instrText>
      </w:r>
      <w:r w:rsidR="007B4339">
        <w:rPr>
          <w:rFonts w:ascii="Calibri Light" w:hAnsi="Calibri Light" w:cs="Calibri Light"/>
          <w:sz w:val="24"/>
          <w:szCs w:val="24"/>
        </w:rPr>
        <w:fldChar w:fldCharType="separate"/>
      </w:r>
      <w:r w:rsidR="007B4339" w:rsidRPr="007B4339">
        <w:rPr>
          <w:rFonts w:ascii="Calibri Light" w:hAnsi="Calibri Light" w:cs="Calibri Light"/>
          <w:noProof/>
          <w:sz w:val="24"/>
          <w:szCs w:val="24"/>
        </w:rPr>
        <w:t>(Kristiyadi, 2023)</w:t>
      </w:r>
      <w:r w:rsidR="007B4339">
        <w:rPr>
          <w:rFonts w:ascii="Calibri Light" w:hAnsi="Calibri Light" w:cs="Calibri Light"/>
          <w:sz w:val="24"/>
          <w:szCs w:val="24"/>
        </w:rPr>
        <w:fldChar w:fldCharType="end"/>
      </w:r>
      <w:r w:rsidRPr="00327ACE">
        <w:rPr>
          <w:rFonts w:ascii="Calibri Light" w:hAnsi="Calibri Light" w:cs="Calibri Light"/>
          <w:sz w:val="24"/>
          <w:szCs w:val="24"/>
        </w:rPr>
        <w:t xml:space="preserve">. </w:t>
      </w:r>
    </w:p>
    <w:p w:rsidR="00327ACE" w:rsidRPr="00327ACE" w:rsidRDefault="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ab/>
        <w:t>According to</w:t>
      </w:r>
      <w:r w:rsidR="007B4339">
        <w:rPr>
          <w:rFonts w:ascii="Calibri Light" w:hAnsi="Calibri Light" w:cs="Calibri Light"/>
          <w:sz w:val="24"/>
          <w:szCs w:val="24"/>
        </w:rPr>
        <w:t xml:space="preserve"> </w:t>
      </w:r>
      <w:r w:rsidR="007B4339">
        <w:rPr>
          <w:rFonts w:ascii="Calibri Light" w:hAnsi="Calibri Light" w:cs="Calibri Light"/>
          <w:sz w:val="24"/>
          <w:szCs w:val="24"/>
        </w:rPr>
        <w:fldChar w:fldCharType="begin" w:fldLock="1"/>
      </w:r>
      <w:r w:rsidR="007B4339">
        <w:rPr>
          <w:rFonts w:ascii="Calibri Light" w:hAnsi="Calibri Light" w:cs="Calibri Light"/>
          <w:sz w:val="24"/>
          <w:szCs w:val="24"/>
        </w:rPr>
        <w:instrText>ADDIN CSL_CITATION {"citationItems":[{"id":"ITEM-1","itemData":{"author":[{"dropping-particle":"","family":"Remmelink","given":"Jan","non-dropping-particle":"","parse-names":false,"suffix":""}],"id":"ITEM-1","issued":{"date-parts":[["2017"]]},"publisher":"Jakarta: Gramedia Pustaka Utama","title":"Hukum Pidana: Komentar Atas Pasal-Pasal Terpenting Dalam Kitab Undang-Undang Hukum Pidana Belanda dan Padanannya Dalam Kitab Undang-Undang Hukum Pidana Indonesia","type":"book"},"uris":["http://www.mendeley.com/documents/?uuid=b02df199-ebf6-4909-913c-17de9d578b15"]}],"mendeley":{"formattedCitation":"(Remmelink, 2017)","manualFormatting":"Remmelink (2017)","plainTextFormattedCitation":"(Remmelink, 2017)","previouslyFormattedCitation":"(Remmelink, 2017)"},"properties":{"noteIndex":0},"schema":"https://github.com/citation-style-language/schema/raw/master/csl-citation.json"}</w:instrText>
      </w:r>
      <w:r w:rsidR="007B4339">
        <w:rPr>
          <w:rFonts w:ascii="Calibri Light" w:hAnsi="Calibri Light" w:cs="Calibri Light"/>
          <w:sz w:val="24"/>
          <w:szCs w:val="24"/>
        </w:rPr>
        <w:fldChar w:fldCharType="separate"/>
      </w:r>
      <w:r w:rsidR="007B4339" w:rsidRPr="007B4339">
        <w:rPr>
          <w:rFonts w:ascii="Calibri Light" w:hAnsi="Calibri Light" w:cs="Calibri Light"/>
          <w:noProof/>
          <w:sz w:val="24"/>
          <w:szCs w:val="24"/>
        </w:rPr>
        <w:t xml:space="preserve">Remmelink </w:t>
      </w:r>
      <w:r w:rsidR="007B4339">
        <w:rPr>
          <w:rFonts w:ascii="Calibri Light" w:hAnsi="Calibri Light" w:cs="Calibri Light"/>
          <w:noProof/>
          <w:sz w:val="24"/>
          <w:szCs w:val="24"/>
        </w:rPr>
        <w:t>(</w:t>
      </w:r>
      <w:r w:rsidR="007B4339" w:rsidRPr="007B4339">
        <w:rPr>
          <w:rFonts w:ascii="Calibri Light" w:hAnsi="Calibri Light" w:cs="Calibri Light"/>
          <w:noProof/>
          <w:sz w:val="24"/>
          <w:szCs w:val="24"/>
        </w:rPr>
        <w:t>2017)</w:t>
      </w:r>
      <w:r w:rsidR="007B4339">
        <w:rPr>
          <w:rFonts w:ascii="Calibri Light" w:hAnsi="Calibri Light" w:cs="Calibri Light"/>
          <w:sz w:val="24"/>
          <w:szCs w:val="24"/>
        </w:rPr>
        <w:fldChar w:fldCharType="end"/>
      </w:r>
      <w:r w:rsidRPr="00327ACE">
        <w:rPr>
          <w:rFonts w:ascii="Calibri Light" w:hAnsi="Calibri Light" w:cs="Calibri Light"/>
          <w:sz w:val="24"/>
          <w:szCs w:val="24"/>
        </w:rPr>
        <w:t>, when two conflicting laws affect the enforcement of criminal law because the procedural law regulated by those laws differs, another principle is needed to resolve the issue of conflicting authorities in cases of human rights violations committed by military personnel (Indonesian National Armed Forces), namely by using the principle of lex specialis systematica as a derivative or extension of the use of the principle of lex specialis derogat legi generalis. The principle of lex specialis systematica in the Netherlands is better known as legal speciality or systematic speciality, in addition to logical speciality</w:t>
      </w:r>
      <w:r w:rsidR="007B4339">
        <w:rPr>
          <w:rFonts w:ascii="Calibri Light" w:hAnsi="Calibri Light" w:cs="Calibri Light"/>
          <w:sz w:val="24"/>
          <w:szCs w:val="24"/>
        </w:rPr>
        <w:t xml:space="preserve"> </w:t>
      </w:r>
      <w:r w:rsidR="007B4339">
        <w:rPr>
          <w:rFonts w:ascii="Calibri Light" w:hAnsi="Calibri Light" w:cs="Calibri Light"/>
          <w:sz w:val="24"/>
          <w:szCs w:val="24"/>
        </w:rPr>
        <w:fldChar w:fldCharType="begin" w:fldLock="1"/>
      </w:r>
      <w:r w:rsidR="007B4339">
        <w:rPr>
          <w:rFonts w:ascii="Calibri Light" w:hAnsi="Calibri Light" w:cs="Calibri Light"/>
          <w:sz w:val="24"/>
          <w:szCs w:val="24"/>
        </w:rPr>
        <w:instrText>ADDIN CSL_CITATION {"citationItems":[{"id":"ITEM-1","itemData":{"DOI":"10.32734/mah.v1i1.8311","author":[{"dropping-particle":"","family":"Hafizah","given":"Annisa","non-dropping-particle":"","parse-names":false,"suffix":""},{"dropping-particle":"","family":"Ablisar","given":"Madiasa","non-dropping-particle":"","parse-names":false,"suffix":""},{"dropping-particle":"","family":"Lubis","given":"Rafiqoh","non-dropping-particle":"","parse-names":false,"suffix":""}],"container-title":"Mahadi: Indonesia Journal of Law","id":"ITEM-1","issue":"1","issued":{"date-parts":[["2022","2","10"]]},"page":"1-10","title":"Asas Legalitas dalam Hukum Pidana Indonesia dan Hukum Pidana Islam","type":"article-journal","volume":"1"},"uris":["http://www.mendeley.com/documents/?uuid=7daae683-b834-4b0b-9eaa-5f8afa567c2b"]}],"mendeley":{"formattedCitation":"(Hafizah et al., 2022)","plainTextFormattedCitation":"(Hafizah et al., 2022)","previouslyFormattedCitation":"(Hafizah et al., 2022)"},"properties":{"noteIndex":0},"schema":"https://github.com/citation-style-language/schema/raw/master/csl-citation.json"}</w:instrText>
      </w:r>
      <w:r w:rsidR="007B4339">
        <w:rPr>
          <w:rFonts w:ascii="Calibri Light" w:hAnsi="Calibri Light" w:cs="Calibri Light"/>
          <w:sz w:val="24"/>
          <w:szCs w:val="24"/>
        </w:rPr>
        <w:fldChar w:fldCharType="separate"/>
      </w:r>
      <w:r w:rsidR="007B4339" w:rsidRPr="007B4339">
        <w:rPr>
          <w:rFonts w:ascii="Calibri Light" w:hAnsi="Calibri Light" w:cs="Calibri Light"/>
          <w:noProof/>
          <w:sz w:val="24"/>
          <w:szCs w:val="24"/>
        </w:rPr>
        <w:t>(Hafizah et al., 2022)</w:t>
      </w:r>
      <w:r w:rsidR="007B4339">
        <w:rPr>
          <w:rFonts w:ascii="Calibri Light" w:hAnsi="Calibri Light" w:cs="Calibri Light"/>
          <w:sz w:val="24"/>
          <w:szCs w:val="24"/>
        </w:rPr>
        <w:fldChar w:fldCharType="end"/>
      </w:r>
      <w:r w:rsidRPr="00327ACE">
        <w:rPr>
          <w:rFonts w:ascii="Calibri Light" w:hAnsi="Calibri Light" w:cs="Calibri Light"/>
          <w:sz w:val="24"/>
          <w:szCs w:val="24"/>
        </w:rPr>
        <w:t>.</w:t>
      </w:r>
    </w:p>
    <w:p w:rsidR="00327ACE" w:rsidRPr="00327ACE" w:rsidRDefault="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ab/>
        <w:t>According to</w:t>
      </w:r>
      <w:r w:rsidR="007B4339">
        <w:rPr>
          <w:rFonts w:ascii="Calibri Light" w:hAnsi="Calibri Light" w:cs="Calibri Light"/>
          <w:sz w:val="24"/>
          <w:szCs w:val="24"/>
        </w:rPr>
        <w:t xml:space="preserve"> </w:t>
      </w:r>
      <w:r w:rsidR="007B4339">
        <w:rPr>
          <w:rFonts w:ascii="Calibri Light" w:hAnsi="Calibri Light" w:cs="Calibri Light"/>
          <w:sz w:val="24"/>
          <w:szCs w:val="24"/>
        </w:rPr>
        <w:fldChar w:fldCharType="begin" w:fldLock="1"/>
      </w:r>
      <w:r w:rsidR="00C16F54">
        <w:rPr>
          <w:rFonts w:ascii="Calibri Light" w:hAnsi="Calibri Light" w:cs="Calibri Light"/>
          <w:sz w:val="24"/>
          <w:szCs w:val="24"/>
        </w:rPr>
        <w:instrText>ADDIN CSL_CITATION {"citationItems":[{"id":"ITEM-1","itemData":{"author":[{"dropping-particle":"","family":"Hiariej","given":"Eddy O.S.","non-dropping-particle":"","parse-names":false,"suffix":""}],"id":"ITEM-1","issued":{"date-parts":[["2018"]]},"publisher":"Jakarta: Cahaya Atma Pustaka","title":"Prinsip-Prinsip Hukum Pidana","type":"book"},"uris":["http://www.mendeley.com/documents/?uuid=6cef8506-32a1-4c31-aaad-650001700ffc"]}],"mendeley":{"formattedCitation":"(Hiariej, 2018)","manualFormatting":"Hiariej (2018)","plainTextFormattedCitation":"(Hiariej, 2018)","previouslyFormattedCitation":"(Hiariej, 2018)"},"properties":{"noteIndex":0},"schema":"https://github.com/citation-style-language/schema/raw/master/csl-citation.json"}</w:instrText>
      </w:r>
      <w:r w:rsidR="007B4339">
        <w:rPr>
          <w:rFonts w:ascii="Calibri Light" w:hAnsi="Calibri Light" w:cs="Calibri Light"/>
          <w:sz w:val="24"/>
          <w:szCs w:val="24"/>
        </w:rPr>
        <w:fldChar w:fldCharType="separate"/>
      </w:r>
      <w:r w:rsidR="007B4339" w:rsidRPr="007B4339">
        <w:rPr>
          <w:rFonts w:ascii="Calibri Light" w:hAnsi="Calibri Light" w:cs="Calibri Light"/>
          <w:noProof/>
          <w:sz w:val="24"/>
          <w:szCs w:val="24"/>
        </w:rPr>
        <w:t xml:space="preserve">Hiariej </w:t>
      </w:r>
      <w:r w:rsidR="007B4339">
        <w:rPr>
          <w:rFonts w:ascii="Calibri Light" w:hAnsi="Calibri Light" w:cs="Calibri Light"/>
          <w:noProof/>
          <w:sz w:val="24"/>
          <w:szCs w:val="24"/>
        </w:rPr>
        <w:t>(</w:t>
      </w:r>
      <w:r w:rsidR="007B4339" w:rsidRPr="007B4339">
        <w:rPr>
          <w:rFonts w:ascii="Calibri Light" w:hAnsi="Calibri Light" w:cs="Calibri Light"/>
          <w:noProof/>
          <w:sz w:val="24"/>
          <w:szCs w:val="24"/>
        </w:rPr>
        <w:t>2018)</w:t>
      </w:r>
      <w:r w:rsidR="007B4339">
        <w:rPr>
          <w:rFonts w:ascii="Calibri Light" w:hAnsi="Calibri Light" w:cs="Calibri Light"/>
          <w:sz w:val="24"/>
          <w:szCs w:val="24"/>
        </w:rPr>
        <w:fldChar w:fldCharType="end"/>
      </w:r>
      <w:r w:rsidRPr="00327ACE">
        <w:rPr>
          <w:rFonts w:ascii="Calibri Light" w:hAnsi="Calibri Light" w:cs="Calibri Light"/>
          <w:sz w:val="24"/>
          <w:szCs w:val="24"/>
        </w:rPr>
        <w:t>, the criteria for systematic speciality are the object of a general definition that is more fully regulated within a specific corridor framework, while logical speciality has detailed criteria for defining crimes within the limits of a general definition. For example:</w:t>
      </w:r>
    </w:p>
    <w:p w:rsidR="00327ACE" w:rsidRPr="00327ACE" w:rsidRDefault="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ab/>
        <w:t xml:space="preserve">An individual illegally cuts down trees in a protected forest area, resulting in environmental damage. This act violates environmental management laws on one hand, and forestry laws on the other hand. However, upon further examination, the case should be based on the regulations in forestry laws because they are more complete and </w:t>
      </w:r>
      <w:r w:rsidRPr="00327ACE">
        <w:rPr>
          <w:rFonts w:ascii="Calibri Light" w:hAnsi="Calibri Light" w:cs="Calibri Light"/>
          <w:sz w:val="24"/>
          <w:szCs w:val="24"/>
        </w:rPr>
        <w:lastRenderedPageBreak/>
        <w:t xml:space="preserve">detailed within the specific criminal provisions framework. Therefore, forestry laws are lex specialis systematica. </w:t>
      </w:r>
    </w:p>
    <w:p w:rsidR="00EE3E1E" w:rsidRDefault="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Moving from the two legal regulations described above, in the Republic of Indonesia Law Number 31 of 1997 Regarding Military Courts and Republic of Indonesia Law Number 26 of 2000 Regarding Human Rights Courts, both of which are lex specialis systematica regulations that are both lex specialis provisions of the Criminal Procedure Code, however, if there are legal regulations that are more specific in regulating the specificity of the subjects who are military personnel (TNI), then they are still subject to military courts which have absolute authority in the legislation that is the only authority to try perpetrators of crimes committed by military personnel (TNI)</w:t>
      </w:r>
      <w:r w:rsidR="00D81983">
        <w:rPr>
          <w:rFonts w:ascii="Calibri Light" w:hAnsi="Calibri Light" w:cs="Calibri Light"/>
          <w:sz w:val="24"/>
          <w:szCs w:val="24"/>
        </w:rPr>
        <w:t xml:space="preserve"> </w:t>
      </w:r>
      <w:r w:rsidR="00D81983">
        <w:rPr>
          <w:rFonts w:ascii="Calibri Light" w:hAnsi="Calibri Light" w:cs="Calibri Light"/>
          <w:sz w:val="24"/>
          <w:szCs w:val="24"/>
        </w:rPr>
        <w:fldChar w:fldCharType="begin" w:fldLock="1"/>
      </w:r>
      <w:r w:rsidR="00D81983">
        <w:rPr>
          <w:rFonts w:ascii="Calibri Light" w:hAnsi="Calibri Light" w:cs="Calibri Light"/>
          <w:sz w:val="24"/>
          <w:szCs w:val="24"/>
        </w:rPr>
        <w:instrText>ADDIN CSL_CITATION {"citationItems":[{"id":"ITEM-1","itemData":{"author":[{"dropping-particle":"","family":"UU No.31","given":"","non-dropping-particle":"","parse-names":false,"suffix":""}],"id":"ITEM-1","issued":{"date-parts":[["1997"]]},"title":"Undang-Undang Nomor 31 Tahun 1997 tentang Peradilan Militer (Lembaran Negara Republik Indonesia Tahun 1997 Nomor 84, Tambahan Lembaran Negara Republik Indonesia Nomor 3713).","type":"book"},"uris":["http://www.mendeley.com/documents/?uuid=9b7539c8-6829-440f-9874-771102b9b7ca"]}],"mendeley":{"formattedCitation":"(UU No.31, 1997)","plainTextFormattedCitation":"(UU No.31, 1997)","previouslyFormattedCitation":"(UU No.31, 1997)"},"properties":{"noteIndex":0},"schema":"https://github.com/citation-style-language/schema/raw/master/csl-citation.json"}</w:instrText>
      </w:r>
      <w:r w:rsidR="00D81983">
        <w:rPr>
          <w:rFonts w:ascii="Calibri Light" w:hAnsi="Calibri Light" w:cs="Calibri Light"/>
          <w:sz w:val="24"/>
          <w:szCs w:val="24"/>
        </w:rPr>
        <w:fldChar w:fldCharType="separate"/>
      </w:r>
      <w:r w:rsidR="00D81983" w:rsidRPr="00D81983">
        <w:rPr>
          <w:rFonts w:ascii="Calibri Light" w:hAnsi="Calibri Light" w:cs="Calibri Light"/>
          <w:noProof/>
          <w:sz w:val="24"/>
          <w:szCs w:val="24"/>
        </w:rPr>
        <w:t>(UU No.31, 1997)</w:t>
      </w:r>
      <w:r w:rsidR="00D81983">
        <w:rPr>
          <w:rFonts w:ascii="Calibri Light" w:hAnsi="Calibri Light" w:cs="Calibri Light"/>
          <w:sz w:val="24"/>
          <w:szCs w:val="24"/>
        </w:rPr>
        <w:fldChar w:fldCharType="end"/>
      </w:r>
      <w:r w:rsidRPr="00327ACE">
        <w:rPr>
          <w:rFonts w:ascii="Calibri Light" w:hAnsi="Calibri Light" w:cs="Calibri Light"/>
          <w:sz w:val="24"/>
          <w:szCs w:val="24"/>
        </w:rPr>
        <w:t xml:space="preserve">. This subordination is carried out and occurs in various legal contexts. </w:t>
      </w:r>
      <w:r w:rsidRPr="00C16F54">
        <w:rPr>
          <w:rFonts w:ascii="Calibri Light" w:hAnsi="Calibri Light" w:cs="Calibri Light"/>
          <w:i/>
          <w:iCs/>
          <w:sz w:val="24"/>
          <w:szCs w:val="24"/>
        </w:rPr>
        <w:t>First</w:t>
      </w:r>
      <w:r w:rsidRPr="00327ACE">
        <w:rPr>
          <w:rFonts w:ascii="Calibri Light" w:hAnsi="Calibri Light" w:cs="Calibri Light"/>
          <w:sz w:val="24"/>
          <w:szCs w:val="24"/>
        </w:rPr>
        <w:t xml:space="preserve">, there is a material law specification that applies sui generis to the military, namely military law and general criminal law. And in the military, there is a unique way of treating its members, as long as the treatment is still within reasonable limits. </w:t>
      </w:r>
      <w:r w:rsidRPr="00C16F54">
        <w:rPr>
          <w:rFonts w:ascii="Calibri Light" w:hAnsi="Calibri Light" w:cs="Calibri Light"/>
          <w:i/>
          <w:iCs/>
          <w:sz w:val="24"/>
          <w:szCs w:val="24"/>
        </w:rPr>
        <w:t>Second</w:t>
      </w:r>
      <w:r w:rsidRPr="00327ACE">
        <w:rPr>
          <w:rFonts w:ascii="Calibri Light" w:hAnsi="Calibri Light" w:cs="Calibri Light"/>
          <w:sz w:val="24"/>
          <w:szCs w:val="24"/>
        </w:rPr>
        <w:t xml:space="preserve">, a soldier must set a good example and not act arbitrarily towards the community because essentially the TNI is also ordinary humans. </w:t>
      </w:r>
      <w:r w:rsidRPr="00C16F54">
        <w:rPr>
          <w:rFonts w:ascii="Calibri Light" w:hAnsi="Calibri Light" w:cs="Calibri Light"/>
          <w:i/>
          <w:iCs/>
          <w:sz w:val="24"/>
          <w:szCs w:val="24"/>
        </w:rPr>
        <w:t>Third</w:t>
      </w:r>
      <w:r w:rsidRPr="00327ACE">
        <w:rPr>
          <w:rFonts w:ascii="Calibri Light" w:hAnsi="Calibri Light" w:cs="Calibri Light"/>
          <w:sz w:val="24"/>
          <w:szCs w:val="24"/>
        </w:rPr>
        <w:t xml:space="preserve">, a soldier is prepared to face very dangerous situations, namely threats to national security from both domestic and foreign sources. </w:t>
      </w:r>
      <w:r w:rsidRPr="00C16F54">
        <w:rPr>
          <w:rFonts w:ascii="Calibri Light" w:hAnsi="Calibri Light" w:cs="Calibri Light"/>
          <w:i/>
          <w:iCs/>
          <w:sz w:val="24"/>
          <w:szCs w:val="24"/>
        </w:rPr>
        <w:t>Fourth</w:t>
      </w:r>
      <w:r w:rsidRPr="00327ACE">
        <w:rPr>
          <w:rFonts w:ascii="Calibri Light" w:hAnsi="Calibri Light" w:cs="Calibri Light"/>
          <w:sz w:val="24"/>
          <w:szCs w:val="24"/>
        </w:rPr>
        <w:t>, a soldier must be accustomed to obeying their commanders because they are bound by a command system that greatly restricts their movements. This is necessary so that soldiers do not easily disobey their superiors and act arbitrarily</w:t>
      </w:r>
      <w:r w:rsidR="00C16F54">
        <w:rPr>
          <w:rFonts w:ascii="Calibri Light" w:hAnsi="Calibri Light" w:cs="Calibri Light"/>
          <w:sz w:val="24"/>
          <w:szCs w:val="24"/>
        </w:rPr>
        <w:t xml:space="preserve"> </w:t>
      </w:r>
      <w:r w:rsidR="00C16F54">
        <w:rPr>
          <w:rFonts w:ascii="Calibri Light" w:hAnsi="Calibri Light" w:cs="Calibri Light"/>
          <w:sz w:val="24"/>
          <w:szCs w:val="24"/>
        </w:rPr>
        <w:fldChar w:fldCharType="begin" w:fldLock="1"/>
      </w:r>
      <w:r w:rsidR="005953A6">
        <w:rPr>
          <w:rFonts w:ascii="Calibri Light" w:hAnsi="Calibri Light" w:cs="Calibri Light"/>
          <w:sz w:val="24"/>
          <w:szCs w:val="24"/>
        </w:rPr>
        <w:instrText>ADDIN CSL_CITATION {"citationItems":[{"id":"ITEM-1","itemData":{"DOI":"10.29313/bcsls.v2i2.3261","author":[{"dropping-particle":"","family":"Ramadhan","given":"Indra","non-dropping-particle":"","parse-names":false,"suffix":""},{"dropping-particle":"","family":"Heniarti","given":"Dini","non-dropping-particle":"","parse-names":false,"suffix":""}],"container-title":"Bandung Conference Series: Law Studies","id":"ITEM-1","issue":"2","issued":{"date-parts":[["2022","8","20"]]},"title":"Pertanggungjawaban Hukum Pidana terhadap Anggota TNI yang Melakukan Tindak Pidana Insurbordinasi Dihubungkan dengan Displin Militer","type":"article-journal","volume":"2"},"uris":["http://www.mendeley.com/documents/?uuid=3c1ad6e1-3273-411b-b371-63c70f04a507"]}],"mendeley":{"formattedCitation":"(Ramadhan &amp; Heniarti, 2022)","plainTextFormattedCitation":"(Ramadhan &amp; Heniarti, 2022)","previouslyFormattedCitation":"(Ramadhan &amp; Heniarti, 2022)"},"properties":{"noteIndex":0},"schema":"https://github.com/citation-style-language/schema/raw/master/csl-citation.json"}</w:instrText>
      </w:r>
      <w:r w:rsidR="00C16F54">
        <w:rPr>
          <w:rFonts w:ascii="Calibri Light" w:hAnsi="Calibri Light" w:cs="Calibri Light"/>
          <w:sz w:val="24"/>
          <w:szCs w:val="24"/>
        </w:rPr>
        <w:fldChar w:fldCharType="separate"/>
      </w:r>
      <w:r w:rsidR="00C16F54" w:rsidRPr="00C16F54">
        <w:rPr>
          <w:rFonts w:ascii="Calibri Light" w:hAnsi="Calibri Light" w:cs="Calibri Light"/>
          <w:noProof/>
          <w:sz w:val="24"/>
          <w:szCs w:val="24"/>
        </w:rPr>
        <w:t>(Ramadhan &amp; Heniarti, 2022)</w:t>
      </w:r>
      <w:r w:rsidR="00C16F54">
        <w:rPr>
          <w:rFonts w:ascii="Calibri Light" w:hAnsi="Calibri Light" w:cs="Calibri Light"/>
          <w:sz w:val="24"/>
          <w:szCs w:val="24"/>
        </w:rPr>
        <w:fldChar w:fldCharType="end"/>
      </w:r>
      <w:r w:rsidRPr="00327ACE">
        <w:rPr>
          <w:rFonts w:ascii="Calibri Light" w:hAnsi="Calibri Light" w:cs="Calibri Light"/>
          <w:sz w:val="24"/>
          <w:szCs w:val="24"/>
        </w:rPr>
        <w:t>.</w:t>
      </w: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6B0510" w:rsidRPr="00122F5F" w:rsidRDefault="00327ACE"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327ACE">
        <w:rPr>
          <w:rFonts w:ascii="Calibri Light" w:hAnsi="Calibri Light" w:cs="Calibri Light"/>
          <w:sz w:val="24"/>
          <w:szCs w:val="24"/>
        </w:rPr>
        <w:t>The authority of the Military Court is to adjudicate criminal acts committed by a soldier, who according to the law is considered equal to a soldier, and members of a group or office or body deemed as soldiers according to the law. Therefore, the provisions in Law No. 31 of 1997 Concerning Military Justice are specific provisions of the Criminal Procedure Code. The same goes for the provisions in Law No. 26 of 2000 Concerning Human Rights Courts which are specific provisions of the Criminal Procedure Code. If there is a military member (TNI) suspected of committing a serious human rights violation crime, then based on the Lex Specialis Systematica principle, the perpetrator of serious human rights violation crimes committed by a military member (TNI) will still be tried in the military court within the military justice system, even though it is under the jurisdiction of a special court, namely the human rights court within the general court system.</w:t>
      </w:r>
    </w:p>
    <w:p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RDefault="00F369EC" w:rsidP="00327ACE">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rsidR="005953A6" w:rsidRPr="005953A6" w:rsidRDefault="005953A6" w:rsidP="005953A6">
      <w:pPr>
        <w:widowControl w:val="0"/>
        <w:adjustRightInd w:val="0"/>
        <w:spacing w:before="120" w:after="120"/>
        <w:ind w:left="851" w:hanging="567"/>
        <w:jc w:val="both"/>
        <w:rPr>
          <w:rFonts w:ascii="Calibri Light" w:hAnsi="Calibri Light" w:cs="Calibri Light"/>
          <w:noProof/>
          <w:sz w:val="24"/>
          <w:szCs w:val="24"/>
        </w:rPr>
      </w:pPr>
      <w:r>
        <w:rPr>
          <w:rFonts w:ascii="Calibri Light" w:hAnsi="Calibri Light" w:cs="Calibri Light"/>
          <w:color w:val="A6A6A6"/>
          <w:sz w:val="24"/>
          <w:szCs w:val="24"/>
        </w:rPr>
        <w:fldChar w:fldCharType="begin" w:fldLock="1"/>
      </w:r>
      <w:r>
        <w:rPr>
          <w:rFonts w:ascii="Calibri Light" w:hAnsi="Calibri Light" w:cs="Calibri Light"/>
          <w:color w:val="A6A6A6"/>
          <w:sz w:val="24"/>
          <w:szCs w:val="24"/>
        </w:rPr>
        <w:instrText xml:space="preserve">ADDIN Mendeley Bibliography CSL_BIBLIOGRAPHY </w:instrText>
      </w:r>
      <w:r>
        <w:rPr>
          <w:rFonts w:ascii="Calibri Light" w:hAnsi="Calibri Light" w:cs="Calibri Light"/>
          <w:color w:val="A6A6A6"/>
          <w:sz w:val="24"/>
          <w:szCs w:val="24"/>
        </w:rPr>
        <w:fldChar w:fldCharType="separate"/>
      </w:r>
      <w:r w:rsidRPr="005953A6">
        <w:rPr>
          <w:rFonts w:ascii="Calibri Light" w:hAnsi="Calibri Light" w:cs="Calibri Light"/>
          <w:noProof/>
          <w:sz w:val="24"/>
          <w:szCs w:val="24"/>
        </w:rPr>
        <w:t xml:space="preserve">Erdianto, K. (2016). </w:t>
      </w:r>
      <w:r w:rsidRPr="005953A6">
        <w:rPr>
          <w:rFonts w:ascii="Calibri Light" w:hAnsi="Calibri Light" w:cs="Calibri Light"/>
          <w:i/>
          <w:iCs/>
          <w:noProof/>
          <w:sz w:val="24"/>
          <w:szCs w:val="24"/>
        </w:rPr>
        <w:t>Kontras Paparkan 10 Kasus Pelanggaran Ham Yang Diduga Melibatkan TNI Era Soeharto</w:t>
      </w:r>
      <w:r w:rsidRPr="005953A6">
        <w:rPr>
          <w:rFonts w:ascii="Calibri Light" w:hAnsi="Calibri Light" w:cs="Calibri Light"/>
          <w:noProof/>
          <w:sz w:val="24"/>
          <w:szCs w:val="24"/>
        </w:rPr>
        <w:t xml:space="preserve">. Kompas.Com. </w:t>
      </w:r>
      <w:hyperlink r:id="rId11" w:history="1">
        <w:r w:rsidRPr="005A53A8">
          <w:rPr>
            <w:rStyle w:val="Hyperlink"/>
            <w:rFonts w:ascii="Calibri Light" w:hAnsi="Calibri Light" w:cs="Calibri Light"/>
            <w:noProof/>
            <w:sz w:val="24"/>
            <w:szCs w:val="24"/>
          </w:rPr>
          <w:t>https://nasional.kompas.com/read/2016/05/25/07220041/Kontras</w:t>
        </w:r>
      </w:hyperlink>
    </w:p>
    <w:p w:rsidR="005953A6" w:rsidRPr="005953A6" w:rsidRDefault="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Hadjon, P. M., &amp; Djatmiati, T. (2017). </w:t>
      </w:r>
      <w:r w:rsidRPr="005953A6">
        <w:rPr>
          <w:rFonts w:ascii="Calibri Light" w:hAnsi="Calibri Light" w:cs="Calibri Light"/>
          <w:i/>
          <w:iCs/>
          <w:noProof/>
          <w:sz w:val="24"/>
          <w:szCs w:val="24"/>
        </w:rPr>
        <w:t>Argumentasi Hukum</w:t>
      </w:r>
      <w:r w:rsidRPr="005953A6">
        <w:rPr>
          <w:rFonts w:ascii="Calibri Light" w:hAnsi="Calibri Light" w:cs="Calibri Light"/>
          <w:noProof/>
          <w:sz w:val="24"/>
          <w:szCs w:val="24"/>
        </w:rPr>
        <w:t>. Surabaya: Gadjah Mada University Press.</w:t>
      </w:r>
    </w:p>
    <w:p w:rsidR="005953A6" w:rsidRPr="005953A6" w:rsidRDefault="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lastRenderedPageBreak/>
        <w:t xml:space="preserve">Hafizah, A., Ablisar, M., &amp; Lubis, R. (2022). Asas Legalitas dalam Hukum Pidana Indonesia dan Hukum Pidana Islam. </w:t>
      </w:r>
      <w:r w:rsidRPr="005953A6">
        <w:rPr>
          <w:rFonts w:ascii="Calibri Light" w:hAnsi="Calibri Light" w:cs="Calibri Light"/>
          <w:i/>
          <w:iCs/>
          <w:noProof/>
          <w:sz w:val="24"/>
          <w:szCs w:val="24"/>
        </w:rPr>
        <w:t>Mahadi: Indonesia Journal of Law</w:t>
      </w:r>
      <w:r w:rsidRPr="005953A6">
        <w:rPr>
          <w:rFonts w:ascii="Calibri Light" w:hAnsi="Calibri Light" w:cs="Calibri Light"/>
          <w:noProof/>
          <w:sz w:val="24"/>
          <w:szCs w:val="24"/>
        </w:rPr>
        <w:t xml:space="preserve">, </w:t>
      </w:r>
      <w:r w:rsidRPr="005953A6">
        <w:rPr>
          <w:rFonts w:ascii="Calibri Light" w:hAnsi="Calibri Light" w:cs="Calibri Light"/>
          <w:i/>
          <w:iCs/>
          <w:noProof/>
          <w:sz w:val="24"/>
          <w:szCs w:val="24"/>
        </w:rPr>
        <w:t>1</w:t>
      </w:r>
      <w:r w:rsidRPr="005953A6">
        <w:rPr>
          <w:rFonts w:ascii="Calibri Light" w:hAnsi="Calibri Light" w:cs="Calibri Light"/>
          <w:noProof/>
          <w:sz w:val="24"/>
          <w:szCs w:val="24"/>
        </w:rPr>
        <w:t xml:space="preserve">(1), 1–10. </w:t>
      </w:r>
      <w:hyperlink r:id="rId12" w:history="1">
        <w:r w:rsidRPr="005A53A8">
          <w:rPr>
            <w:rStyle w:val="Hyperlink"/>
            <w:rFonts w:ascii="Calibri Light" w:hAnsi="Calibri Light" w:cs="Calibri Light"/>
            <w:noProof/>
            <w:sz w:val="24"/>
            <w:szCs w:val="24"/>
          </w:rPr>
          <w:t>https://doi.org/10.32734/mah.v1i1.8311</w:t>
        </w:r>
      </w:hyperlink>
    </w:p>
    <w:p w:rsidR="005953A6" w:rsidRPr="005953A6" w:rsidRDefault="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Helmi, M. (2016). Penerapan Azas “Equality Before The Law” Dalam Sistem Peradilan Militer. </w:t>
      </w:r>
      <w:r w:rsidRPr="005953A6">
        <w:rPr>
          <w:rFonts w:ascii="Calibri Light" w:hAnsi="Calibri Light" w:cs="Calibri Light"/>
          <w:i/>
          <w:iCs/>
          <w:noProof/>
          <w:sz w:val="24"/>
          <w:szCs w:val="24"/>
        </w:rPr>
        <w:t>JURNAL CITA HUKUM</w:t>
      </w:r>
      <w:r w:rsidRPr="005953A6">
        <w:rPr>
          <w:rFonts w:ascii="Calibri Light" w:hAnsi="Calibri Light" w:cs="Calibri Light"/>
          <w:noProof/>
          <w:sz w:val="24"/>
          <w:szCs w:val="24"/>
        </w:rPr>
        <w:t xml:space="preserve">, </w:t>
      </w:r>
      <w:r w:rsidRPr="005953A6">
        <w:rPr>
          <w:rFonts w:ascii="Calibri Light" w:hAnsi="Calibri Light" w:cs="Calibri Light"/>
          <w:i/>
          <w:iCs/>
          <w:noProof/>
          <w:sz w:val="24"/>
          <w:szCs w:val="24"/>
        </w:rPr>
        <w:t>1</w:t>
      </w:r>
      <w:r w:rsidRPr="005953A6">
        <w:rPr>
          <w:rFonts w:ascii="Calibri Light" w:hAnsi="Calibri Light" w:cs="Calibri Light"/>
          <w:noProof/>
          <w:sz w:val="24"/>
          <w:szCs w:val="24"/>
        </w:rPr>
        <w:t xml:space="preserve">(2). </w:t>
      </w:r>
      <w:hyperlink r:id="rId13" w:history="1">
        <w:r w:rsidRPr="005A53A8">
          <w:rPr>
            <w:rStyle w:val="Hyperlink"/>
            <w:rFonts w:ascii="Calibri Light" w:hAnsi="Calibri Light" w:cs="Calibri Light"/>
            <w:noProof/>
            <w:sz w:val="24"/>
            <w:szCs w:val="24"/>
          </w:rPr>
          <w:t>https://doi.org/10.15408/jch.v1i2.2998</w:t>
        </w:r>
      </w:hyperlink>
    </w:p>
    <w:p w:rsidR="005953A6" w:rsidRPr="005953A6" w:rsidRDefault="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Hiariej, E. O. S. (2018). </w:t>
      </w:r>
      <w:r w:rsidRPr="005953A6">
        <w:rPr>
          <w:rFonts w:ascii="Calibri Light" w:hAnsi="Calibri Light" w:cs="Calibri Light"/>
          <w:i/>
          <w:iCs/>
          <w:noProof/>
          <w:sz w:val="24"/>
          <w:szCs w:val="24"/>
        </w:rPr>
        <w:t>Prinsip-Prinsip Hukum Pidana</w:t>
      </w:r>
      <w:r w:rsidRPr="005953A6">
        <w:rPr>
          <w:rFonts w:ascii="Calibri Light" w:hAnsi="Calibri Light" w:cs="Calibri Light"/>
          <w:noProof/>
          <w:sz w:val="24"/>
          <w:szCs w:val="24"/>
        </w:rPr>
        <w:t>. Jakarta: Cahaya Atma Pustaka.</w:t>
      </w:r>
    </w:p>
    <w:p w:rsidR="005953A6" w:rsidRPr="005953A6" w:rsidRDefault="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Holili, H., Yunus, M., &amp; Winarto, W. (2024). Kedudukan Yurisprudensi sebagai Sumber Hukum di Indonesia sebagai Penganut Sistem Civil Law. </w:t>
      </w:r>
      <w:r w:rsidRPr="005953A6">
        <w:rPr>
          <w:rFonts w:ascii="Calibri Light" w:hAnsi="Calibri Light" w:cs="Calibri Light"/>
          <w:i/>
          <w:iCs/>
          <w:noProof/>
          <w:sz w:val="24"/>
          <w:szCs w:val="24"/>
        </w:rPr>
        <w:t>COMSERVA : Jurnal Penelitian Dan Pengabdian Masyarakat</w:t>
      </w:r>
      <w:r w:rsidRPr="005953A6">
        <w:rPr>
          <w:rFonts w:ascii="Calibri Light" w:hAnsi="Calibri Light" w:cs="Calibri Light"/>
          <w:noProof/>
          <w:sz w:val="24"/>
          <w:szCs w:val="24"/>
        </w:rPr>
        <w:t xml:space="preserve">, </w:t>
      </w:r>
      <w:r w:rsidRPr="005953A6">
        <w:rPr>
          <w:rFonts w:ascii="Calibri Light" w:hAnsi="Calibri Light" w:cs="Calibri Light"/>
          <w:i/>
          <w:iCs/>
          <w:noProof/>
          <w:sz w:val="24"/>
          <w:szCs w:val="24"/>
        </w:rPr>
        <w:t>3</w:t>
      </w:r>
      <w:r w:rsidRPr="005953A6">
        <w:rPr>
          <w:rFonts w:ascii="Calibri Light" w:hAnsi="Calibri Light" w:cs="Calibri Light"/>
          <w:noProof/>
          <w:sz w:val="24"/>
          <w:szCs w:val="24"/>
        </w:rPr>
        <w:t xml:space="preserve">(9), 3718–3726. </w:t>
      </w:r>
      <w:hyperlink r:id="rId14" w:history="1">
        <w:r w:rsidRPr="005A53A8">
          <w:rPr>
            <w:rStyle w:val="Hyperlink"/>
            <w:rFonts w:ascii="Calibri Light" w:hAnsi="Calibri Light" w:cs="Calibri Light"/>
            <w:noProof/>
            <w:sz w:val="24"/>
            <w:szCs w:val="24"/>
          </w:rPr>
          <w:t>https://doi.org/10.59141/comserva.v3i09.1140</w:t>
        </w:r>
      </w:hyperlink>
    </w:p>
    <w:p w:rsidR="005953A6" w:rsidRPr="005953A6" w:rsidRDefault="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Kristiyadi. (2023). Pergeseran Asas Legalitas Dalam Pembaruan Hukum Pidana Indonesia. </w:t>
      </w:r>
      <w:r w:rsidRPr="005953A6">
        <w:rPr>
          <w:rFonts w:ascii="Calibri Light" w:hAnsi="Calibri Light" w:cs="Calibri Light"/>
          <w:i/>
          <w:iCs/>
          <w:noProof/>
          <w:sz w:val="24"/>
          <w:szCs w:val="24"/>
        </w:rPr>
        <w:t>Jurnal Dunia Ilmu Hukum (JURDIKUM)</w:t>
      </w:r>
      <w:r w:rsidRPr="005953A6">
        <w:rPr>
          <w:rFonts w:ascii="Calibri Light" w:hAnsi="Calibri Light" w:cs="Calibri Light"/>
          <w:noProof/>
          <w:sz w:val="24"/>
          <w:szCs w:val="24"/>
        </w:rPr>
        <w:t xml:space="preserve">, </w:t>
      </w:r>
      <w:r w:rsidRPr="005953A6">
        <w:rPr>
          <w:rFonts w:ascii="Calibri Light" w:hAnsi="Calibri Light" w:cs="Calibri Light"/>
          <w:i/>
          <w:iCs/>
          <w:noProof/>
          <w:sz w:val="24"/>
          <w:szCs w:val="24"/>
        </w:rPr>
        <w:t>1</w:t>
      </w:r>
      <w:r w:rsidRPr="005953A6">
        <w:rPr>
          <w:rFonts w:ascii="Calibri Light" w:hAnsi="Calibri Light" w:cs="Calibri Light"/>
          <w:noProof/>
          <w:sz w:val="24"/>
          <w:szCs w:val="24"/>
        </w:rPr>
        <w:t xml:space="preserve">(1), 25–27. </w:t>
      </w:r>
      <w:hyperlink r:id="rId15" w:history="1">
        <w:r w:rsidRPr="005A53A8">
          <w:rPr>
            <w:rStyle w:val="Hyperlink"/>
            <w:rFonts w:ascii="Calibri Light" w:hAnsi="Calibri Light" w:cs="Calibri Light"/>
            <w:noProof/>
            <w:sz w:val="24"/>
            <w:szCs w:val="24"/>
          </w:rPr>
          <w:t>https://doi.org/10.59435/jurdikum.v1i1.100</w:t>
        </w:r>
      </w:hyperlink>
    </w:p>
    <w:p w:rsidR="005953A6" w:rsidRPr="005953A6" w:rsidRDefault="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Marzuki, P. M. (2013). </w:t>
      </w:r>
      <w:r w:rsidRPr="005953A6">
        <w:rPr>
          <w:rFonts w:ascii="Calibri Light" w:hAnsi="Calibri Light" w:cs="Calibri Light"/>
          <w:i/>
          <w:iCs/>
          <w:noProof/>
          <w:sz w:val="24"/>
          <w:szCs w:val="24"/>
        </w:rPr>
        <w:t>Pengantar Ilmu Hukum</w:t>
      </w:r>
      <w:r w:rsidRPr="005953A6">
        <w:rPr>
          <w:rFonts w:ascii="Calibri Light" w:hAnsi="Calibri Light" w:cs="Calibri Light"/>
          <w:noProof/>
          <w:sz w:val="24"/>
          <w:szCs w:val="24"/>
        </w:rPr>
        <w:t>. Jakarta: Penerbit Kencana Prenada.</w:t>
      </w:r>
    </w:p>
    <w:p w:rsidR="005953A6" w:rsidRPr="005953A6" w:rsidRDefault="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Pebrianto, R. (2024). Kebijakan Hukum Pidana Tentang Pemeriksaan Prajurit TNI yang Melakukan Tindak Pidana Umum. </w:t>
      </w:r>
      <w:r w:rsidRPr="005953A6">
        <w:rPr>
          <w:rFonts w:ascii="Calibri Light" w:hAnsi="Calibri Light" w:cs="Calibri Light"/>
          <w:i/>
          <w:iCs/>
          <w:noProof/>
          <w:sz w:val="24"/>
          <w:szCs w:val="24"/>
        </w:rPr>
        <w:t>SEIKAT: Jurnal Ilmu Sosial, Politik Dan Hukum</w:t>
      </w:r>
      <w:r w:rsidRPr="005953A6">
        <w:rPr>
          <w:rFonts w:ascii="Calibri Light" w:hAnsi="Calibri Light" w:cs="Calibri Light"/>
          <w:noProof/>
          <w:sz w:val="24"/>
          <w:szCs w:val="24"/>
        </w:rPr>
        <w:t xml:space="preserve">, </w:t>
      </w:r>
      <w:r w:rsidRPr="005953A6">
        <w:rPr>
          <w:rFonts w:ascii="Calibri Light" w:hAnsi="Calibri Light" w:cs="Calibri Light"/>
          <w:i/>
          <w:iCs/>
          <w:noProof/>
          <w:sz w:val="24"/>
          <w:szCs w:val="24"/>
        </w:rPr>
        <w:t>3</w:t>
      </w:r>
      <w:r w:rsidRPr="005953A6">
        <w:rPr>
          <w:rFonts w:ascii="Calibri Light" w:hAnsi="Calibri Light" w:cs="Calibri Light"/>
          <w:noProof/>
          <w:sz w:val="24"/>
          <w:szCs w:val="24"/>
        </w:rPr>
        <w:t xml:space="preserve">(1), 71–80. </w:t>
      </w:r>
      <w:hyperlink r:id="rId16" w:history="1">
        <w:r w:rsidRPr="005A53A8">
          <w:rPr>
            <w:rStyle w:val="Hyperlink"/>
            <w:rFonts w:ascii="Calibri Light" w:hAnsi="Calibri Light" w:cs="Calibri Light"/>
            <w:noProof/>
            <w:sz w:val="24"/>
            <w:szCs w:val="24"/>
          </w:rPr>
          <w:t>https://doi.org/10.55681/seikat.v3i1.1194</w:t>
        </w:r>
      </w:hyperlink>
    </w:p>
    <w:p w:rsidR="005953A6" w:rsidRPr="005953A6" w:rsidRDefault="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Purwoleksono, D. E. (2015). </w:t>
      </w:r>
      <w:r w:rsidRPr="005953A6">
        <w:rPr>
          <w:rFonts w:ascii="Calibri Light" w:hAnsi="Calibri Light" w:cs="Calibri Light"/>
          <w:i/>
          <w:iCs/>
          <w:noProof/>
          <w:sz w:val="24"/>
          <w:szCs w:val="24"/>
        </w:rPr>
        <w:t>Hukum Acara Pidana</w:t>
      </w:r>
      <w:r w:rsidRPr="005953A6">
        <w:rPr>
          <w:rFonts w:ascii="Calibri Light" w:hAnsi="Calibri Light" w:cs="Calibri Light"/>
          <w:noProof/>
          <w:sz w:val="24"/>
          <w:szCs w:val="24"/>
        </w:rPr>
        <w:t>. Surabaya: Airlangga University Press.</w:t>
      </w:r>
    </w:p>
    <w:p w:rsidR="005953A6" w:rsidRPr="005953A6" w:rsidRDefault="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Ramadhan, I., &amp; Heniarti, D. (2022). Pertanggungjawaban Hukum Pidana terhadap Anggota TNI yang Melakukan Tindak Pidana Insurbordinasi Dihubungkan dengan Displin Militer. </w:t>
      </w:r>
      <w:r w:rsidRPr="005953A6">
        <w:rPr>
          <w:rFonts w:ascii="Calibri Light" w:hAnsi="Calibri Light" w:cs="Calibri Light"/>
          <w:i/>
          <w:iCs/>
          <w:noProof/>
          <w:sz w:val="24"/>
          <w:szCs w:val="24"/>
        </w:rPr>
        <w:t>Bandung Conference Series: Law Studies</w:t>
      </w:r>
      <w:r w:rsidRPr="005953A6">
        <w:rPr>
          <w:rFonts w:ascii="Calibri Light" w:hAnsi="Calibri Light" w:cs="Calibri Light"/>
          <w:noProof/>
          <w:sz w:val="24"/>
          <w:szCs w:val="24"/>
        </w:rPr>
        <w:t xml:space="preserve">, </w:t>
      </w:r>
      <w:r w:rsidRPr="005953A6">
        <w:rPr>
          <w:rFonts w:ascii="Calibri Light" w:hAnsi="Calibri Light" w:cs="Calibri Light"/>
          <w:i/>
          <w:iCs/>
          <w:noProof/>
          <w:sz w:val="24"/>
          <w:szCs w:val="24"/>
        </w:rPr>
        <w:t>2</w:t>
      </w:r>
      <w:r w:rsidRPr="005953A6">
        <w:rPr>
          <w:rFonts w:ascii="Calibri Light" w:hAnsi="Calibri Light" w:cs="Calibri Light"/>
          <w:noProof/>
          <w:sz w:val="24"/>
          <w:szCs w:val="24"/>
        </w:rPr>
        <w:t xml:space="preserve">(2). </w:t>
      </w:r>
      <w:hyperlink r:id="rId17" w:history="1">
        <w:r w:rsidRPr="005A53A8">
          <w:rPr>
            <w:rStyle w:val="Hyperlink"/>
            <w:rFonts w:ascii="Calibri Light" w:hAnsi="Calibri Light" w:cs="Calibri Light"/>
            <w:noProof/>
            <w:sz w:val="24"/>
            <w:szCs w:val="24"/>
          </w:rPr>
          <w:t>https://doi.org/10.29313/bcsls.v2i2.3261</w:t>
        </w:r>
      </w:hyperlink>
    </w:p>
    <w:p w:rsidR="005953A6" w:rsidRPr="005953A6" w:rsidRDefault="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Remmelink, J. (2017). </w:t>
      </w:r>
      <w:r w:rsidRPr="005953A6">
        <w:rPr>
          <w:rFonts w:ascii="Calibri Light" w:hAnsi="Calibri Light" w:cs="Calibri Light"/>
          <w:i/>
          <w:iCs/>
          <w:noProof/>
          <w:sz w:val="24"/>
          <w:szCs w:val="24"/>
        </w:rPr>
        <w:t>Hukum Pidana: Komentar Atas Pasal-Pasal Terpenting Dalam Kitab Undang-Undang Hukum Pidana Belanda dan Padanannya Dalam Kitab Undang-Undang Hukum Pidana Indonesia</w:t>
      </w:r>
      <w:r w:rsidRPr="005953A6">
        <w:rPr>
          <w:rFonts w:ascii="Calibri Light" w:hAnsi="Calibri Light" w:cs="Calibri Light"/>
          <w:noProof/>
          <w:sz w:val="24"/>
          <w:szCs w:val="24"/>
        </w:rPr>
        <w:t>. Jakarta: Gramedia Pustaka Utama.</w:t>
      </w:r>
    </w:p>
    <w:p w:rsidR="005953A6" w:rsidRPr="005953A6" w:rsidRDefault="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Ruslan, R., &amp; Gassing, H. T. (2021). Penerapan Asas Equality Before The Law Pada Sistem Peradilan Militer di Pengadilan Militer III-16 Makassar. </w:t>
      </w:r>
      <w:r w:rsidRPr="005953A6">
        <w:rPr>
          <w:rFonts w:ascii="Calibri Light" w:hAnsi="Calibri Light" w:cs="Calibri Light"/>
          <w:i/>
          <w:iCs/>
          <w:noProof/>
          <w:sz w:val="24"/>
          <w:szCs w:val="24"/>
        </w:rPr>
        <w:t>Qadauna: Jurnal Ilmiah Mahasiswa Hukum Keluarga Islam</w:t>
      </w:r>
      <w:r w:rsidRPr="005953A6">
        <w:rPr>
          <w:rFonts w:ascii="Calibri Light" w:hAnsi="Calibri Light" w:cs="Calibri Light"/>
          <w:noProof/>
          <w:sz w:val="24"/>
          <w:szCs w:val="24"/>
        </w:rPr>
        <w:t xml:space="preserve">, </w:t>
      </w:r>
      <w:r w:rsidRPr="005953A6">
        <w:rPr>
          <w:rFonts w:ascii="Calibri Light" w:hAnsi="Calibri Light" w:cs="Calibri Light"/>
          <w:i/>
          <w:iCs/>
          <w:noProof/>
          <w:sz w:val="24"/>
          <w:szCs w:val="24"/>
        </w:rPr>
        <w:t>2</w:t>
      </w:r>
      <w:r w:rsidRPr="005953A6">
        <w:rPr>
          <w:rFonts w:ascii="Calibri Light" w:hAnsi="Calibri Light" w:cs="Calibri Light"/>
          <w:noProof/>
          <w:sz w:val="24"/>
          <w:szCs w:val="24"/>
        </w:rPr>
        <w:t xml:space="preserve">(2), 241–256. </w:t>
      </w:r>
      <w:hyperlink r:id="rId18" w:history="1">
        <w:r w:rsidRPr="005A53A8">
          <w:rPr>
            <w:rStyle w:val="Hyperlink"/>
            <w:rFonts w:ascii="Calibri Light" w:hAnsi="Calibri Light" w:cs="Calibri Light"/>
            <w:noProof/>
            <w:sz w:val="24"/>
            <w:szCs w:val="24"/>
          </w:rPr>
          <w:t>https://doi.org/10.24252/qadauna.v2i2.16278</w:t>
        </w:r>
      </w:hyperlink>
    </w:p>
    <w:p w:rsidR="005953A6" w:rsidRPr="005953A6" w:rsidRDefault="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Shidarta, S. (2020). Bernard Arief Sidharta: Dari Pengembanan Hukum Teoretis ke Pembentukan Ilmu Hukum Nasional Indonesia. </w:t>
      </w:r>
      <w:r w:rsidRPr="005953A6">
        <w:rPr>
          <w:rFonts w:ascii="Calibri Light" w:hAnsi="Calibri Light" w:cs="Calibri Light"/>
          <w:i/>
          <w:iCs/>
          <w:noProof/>
          <w:sz w:val="24"/>
          <w:szCs w:val="24"/>
        </w:rPr>
        <w:t>Undang Jurnal Hukum</w:t>
      </w:r>
      <w:r w:rsidRPr="005953A6">
        <w:rPr>
          <w:rFonts w:ascii="Calibri Light" w:hAnsi="Calibri Light" w:cs="Calibri Light"/>
          <w:noProof/>
          <w:sz w:val="24"/>
          <w:szCs w:val="24"/>
        </w:rPr>
        <w:t xml:space="preserve">, </w:t>
      </w:r>
      <w:r w:rsidRPr="005953A6">
        <w:rPr>
          <w:rFonts w:ascii="Calibri Light" w:hAnsi="Calibri Light" w:cs="Calibri Light"/>
          <w:i/>
          <w:iCs/>
          <w:noProof/>
          <w:sz w:val="24"/>
          <w:szCs w:val="24"/>
        </w:rPr>
        <w:t>3</w:t>
      </w:r>
      <w:r w:rsidRPr="005953A6">
        <w:rPr>
          <w:rFonts w:ascii="Calibri Light" w:hAnsi="Calibri Light" w:cs="Calibri Light"/>
          <w:noProof/>
          <w:sz w:val="24"/>
          <w:szCs w:val="24"/>
        </w:rPr>
        <w:t xml:space="preserve">(2), 441–476. </w:t>
      </w:r>
      <w:hyperlink r:id="rId19" w:history="1">
        <w:r w:rsidRPr="005A53A8">
          <w:rPr>
            <w:rStyle w:val="Hyperlink"/>
            <w:rFonts w:ascii="Calibri Light" w:hAnsi="Calibri Light" w:cs="Calibri Light"/>
            <w:noProof/>
            <w:sz w:val="24"/>
            <w:szCs w:val="24"/>
          </w:rPr>
          <w:t>https://doi.org/10.22437/ujh.3.2.441-476</w:t>
        </w:r>
      </w:hyperlink>
    </w:p>
    <w:p w:rsidR="005953A6" w:rsidRPr="005953A6" w:rsidRDefault="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UU No.26. (2000). </w:t>
      </w:r>
      <w:r w:rsidRPr="005953A6">
        <w:rPr>
          <w:rFonts w:ascii="Calibri Light" w:hAnsi="Calibri Light" w:cs="Calibri Light"/>
          <w:i/>
          <w:iCs/>
          <w:noProof/>
          <w:sz w:val="24"/>
          <w:szCs w:val="24"/>
        </w:rPr>
        <w:t>Undang-Undang Nomor 26 Tahun 2000 tentang Pengadilan HAM (Lembaran Negara Republik Indonesia Tahun 2000 Nomor 208, Tambahan Lembaran Negara Republik Indonesia Nomor 4026).</w:t>
      </w:r>
    </w:p>
    <w:p w:rsidR="005953A6" w:rsidRPr="005953A6" w:rsidRDefault="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UU No.31. (1997). </w:t>
      </w:r>
      <w:r w:rsidRPr="005953A6">
        <w:rPr>
          <w:rFonts w:ascii="Calibri Light" w:hAnsi="Calibri Light" w:cs="Calibri Light"/>
          <w:i/>
          <w:iCs/>
          <w:noProof/>
          <w:sz w:val="24"/>
          <w:szCs w:val="24"/>
        </w:rPr>
        <w:t>Undang-Undang Nomor 31 Tahun 1997 tentang Peradilan Militer (Lembaran Negara Republik Indonesia Tahun 1997 Nomor 84, Tambahan Lembaran Negara Republik Indonesia Nomor 3713).</w:t>
      </w:r>
    </w:p>
    <w:p w:rsidR="005953A6" w:rsidRPr="005953A6" w:rsidRDefault="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UU No.49. (2009). </w:t>
      </w:r>
      <w:r w:rsidRPr="005953A6">
        <w:rPr>
          <w:rFonts w:ascii="Calibri Light" w:hAnsi="Calibri Light" w:cs="Calibri Light"/>
          <w:i/>
          <w:iCs/>
          <w:noProof/>
          <w:sz w:val="24"/>
          <w:szCs w:val="24"/>
        </w:rPr>
        <w:t xml:space="preserve">Undang-Undang Nomor 49 Tahun 2009 Tentang Peradilan Umum </w:t>
      </w:r>
      <w:r w:rsidRPr="005953A6">
        <w:rPr>
          <w:rFonts w:ascii="Calibri Light" w:hAnsi="Calibri Light" w:cs="Calibri Light"/>
          <w:i/>
          <w:iCs/>
          <w:noProof/>
          <w:sz w:val="24"/>
          <w:szCs w:val="24"/>
        </w:rPr>
        <w:lastRenderedPageBreak/>
        <w:t>(Lembaran Negara Republik Indonesia Tahun 2009 Nomor 158, Tambahan Lembaran Negara Republik Indonesia Nomor 5077).</w:t>
      </w:r>
    </w:p>
    <w:p w:rsidR="005953A6" w:rsidRPr="005953A6" w:rsidRDefault="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UU No.8. (1981). </w:t>
      </w:r>
      <w:r w:rsidRPr="005953A6">
        <w:rPr>
          <w:rFonts w:ascii="Calibri Light" w:hAnsi="Calibri Light" w:cs="Calibri Light"/>
          <w:i/>
          <w:iCs/>
          <w:noProof/>
          <w:sz w:val="24"/>
          <w:szCs w:val="24"/>
        </w:rPr>
        <w:t>Undang-Undang Nomor 8 Tahun 1981 Tentang Kitab Undang-Undang Hukum Acara Pidana (Lembaran Negara Republik Indonesia Tahun 1981 Nomor 76, Tambahan Lembaran Negara Republik Indonesia Nomor 3209)</w:t>
      </w:r>
      <w:r w:rsidRPr="005953A6">
        <w:rPr>
          <w:rFonts w:ascii="Calibri Light" w:hAnsi="Calibri Light" w:cs="Calibri Light"/>
          <w:noProof/>
          <w:sz w:val="24"/>
          <w:szCs w:val="24"/>
        </w:rPr>
        <w:t>.</w:t>
      </w:r>
    </w:p>
    <w:p w:rsidR="005953A6" w:rsidRPr="005953A6" w:rsidRDefault="005953A6" w:rsidP="005953A6">
      <w:pPr>
        <w:widowControl w:val="0"/>
        <w:adjustRightInd w:val="0"/>
        <w:spacing w:before="120" w:after="120"/>
        <w:ind w:left="851" w:hanging="567"/>
        <w:jc w:val="both"/>
        <w:rPr>
          <w:rFonts w:ascii="Calibri Light" w:hAnsi="Calibri Light" w:cs="Calibri Light"/>
          <w:noProof/>
          <w:sz w:val="24"/>
        </w:rPr>
      </w:pPr>
      <w:r w:rsidRPr="005953A6">
        <w:rPr>
          <w:rFonts w:ascii="Calibri Light" w:hAnsi="Calibri Light" w:cs="Calibri Light"/>
          <w:noProof/>
          <w:sz w:val="24"/>
          <w:szCs w:val="24"/>
        </w:rPr>
        <w:t xml:space="preserve">Valdanito, M. (2024). Quo Vadis Penelitian Hukum: Sebuah Jalan Meluruskan Miskonsepsi Kecenderungan Arah Penelitian Hukum. </w:t>
      </w:r>
      <w:r w:rsidRPr="005953A6">
        <w:rPr>
          <w:rFonts w:ascii="Calibri Light" w:hAnsi="Calibri Light" w:cs="Calibri Light"/>
          <w:i/>
          <w:iCs/>
          <w:noProof/>
          <w:sz w:val="24"/>
          <w:szCs w:val="24"/>
        </w:rPr>
        <w:t>Jurnal USM Law Review</w:t>
      </w:r>
      <w:r w:rsidRPr="005953A6">
        <w:rPr>
          <w:rFonts w:ascii="Calibri Light" w:hAnsi="Calibri Light" w:cs="Calibri Light"/>
          <w:noProof/>
          <w:sz w:val="24"/>
          <w:szCs w:val="24"/>
        </w:rPr>
        <w:t xml:space="preserve">, </w:t>
      </w:r>
      <w:r w:rsidRPr="005953A6">
        <w:rPr>
          <w:rFonts w:ascii="Calibri Light" w:hAnsi="Calibri Light" w:cs="Calibri Light"/>
          <w:i/>
          <w:iCs/>
          <w:noProof/>
          <w:sz w:val="24"/>
          <w:szCs w:val="24"/>
        </w:rPr>
        <w:t>7</w:t>
      </w:r>
      <w:r w:rsidRPr="005953A6">
        <w:rPr>
          <w:rFonts w:ascii="Calibri Light" w:hAnsi="Calibri Light" w:cs="Calibri Light"/>
          <w:noProof/>
          <w:sz w:val="24"/>
          <w:szCs w:val="24"/>
        </w:rPr>
        <w:t xml:space="preserve">(2), 634–657. </w:t>
      </w:r>
      <w:hyperlink r:id="rId20" w:history="1">
        <w:r w:rsidRPr="005A53A8">
          <w:rPr>
            <w:rStyle w:val="Hyperlink"/>
            <w:rFonts w:ascii="Calibri Light" w:hAnsi="Calibri Light" w:cs="Calibri Light"/>
            <w:noProof/>
            <w:sz w:val="24"/>
            <w:szCs w:val="24"/>
          </w:rPr>
          <w:t>https://doi.org/10.26623/julr.v7i2.7917</w:t>
        </w:r>
      </w:hyperlink>
    </w:p>
    <w:p w:rsidR="00327ACE" w:rsidRPr="00540F02" w:rsidRDefault="005953A6" w:rsidP="005953A6">
      <w:pPr>
        <w:pStyle w:val="ListParagraph"/>
        <w:tabs>
          <w:tab w:val="left" w:pos="1134"/>
        </w:tabs>
        <w:spacing w:before="120" w:after="120" w:line="240" w:lineRule="auto"/>
        <w:ind w:left="851" w:right="-1" w:hanging="567"/>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327ACE" w:rsidRPr="00540F02" w:rsidSect="005F526E">
      <w:headerReference w:type="even" r:id="rId21"/>
      <w:headerReference w:type="default" r:id="rId22"/>
      <w:footerReference w:type="even" r:id="rId23"/>
      <w:footerReference w:type="default" r:id="rId24"/>
      <w:headerReference w:type="first" r:id="rId25"/>
      <w:footerReference w:type="first" r:id="rId26"/>
      <w:pgSz w:w="11907" w:h="16840" w:code="9"/>
      <w:pgMar w:top="1418" w:right="1418" w:bottom="1418" w:left="1418" w:header="720" w:footer="720" w:gutter="0"/>
      <w:pgNumType w:start="34"/>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03691" w:rsidRDefault="00603691">
      <w:r>
        <w:separator/>
      </w:r>
    </w:p>
  </w:endnote>
  <w:endnote w:type="continuationSeparator" w:id="0">
    <w:p w:rsidR="00603691" w:rsidRDefault="00603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simplePos x="0" y="0"/>
              <wp:positionH relativeFrom="column">
                <wp:posOffset>4590734</wp:posOffset>
              </wp:positionH>
              <wp:positionV relativeFrom="paragraph">
                <wp:posOffset>-67627</wp:posOffset>
              </wp:positionV>
              <wp:extent cx="1181100" cy="278130"/>
              <wp:effectExtent l="0" t="0" r="19050" b="2667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0" cy="278130"/>
                      </a:xfrm>
                      <a:prstGeom prst="rect">
                        <a:avLst/>
                      </a:prstGeom>
                      <a:solidFill>
                        <a:srgbClr val="FFFFFF"/>
                      </a:solidFill>
                      <a:ln w="9525">
                        <a:solidFill>
                          <a:srgbClr val="FFFFFF"/>
                        </a:solidFill>
                        <a:miter lim="800000"/>
                        <a:headEnd/>
                        <a:tailEnd/>
                      </a:ln>
                    </wps:spPr>
                    <wps:txbx>
                      <w:txbxContent>
                        <w:p w:rsidR="00122F5F" w:rsidRPr="00122F5F" w:rsidRDefault="0008198D" w:rsidP="00122F5F">
                          <w:pPr>
                            <w:jc w:val="center"/>
                            <w:rPr>
                              <w:rFonts w:ascii="Calibri" w:hAnsi="Calibri" w:cs="Calibri"/>
                              <w:sz w:val="16"/>
                              <w:szCs w:val="16"/>
                            </w:rPr>
                          </w:pPr>
                          <w:r w:rsidRPr="0008198D">
                            <w:rPr>
                              <w:rFonts w:ascii="Calibri" w:hAnsi="Calibri" w:cs="Calibri"/>
                              <w:sz w:val="16"/>
                              <w:szCs w:val="16"/>
                            </w:rPr>
                            <w:t>Volume 3, Issue 1,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361.5pt;margin-top:-5.3pt;width:93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" strokecolor="white">
              <v:textbox>
                <w:txbxContent>
                  <w:p w:rsidR="00122F5F" w:rsidRPr="00122F5F" w:rsidRDefault="0008198D" w:rsidP="00122F5F">
                    <w:pPr>
                      <w:jc w:val="center"/>
                      <w:rPr>
                        <w:rFonts w:ascii="Calibri" w:hAnsi="Calibri" w:cs="Calibri"/>
                        <w:sz w:val="16"/>
                        <w:szCs w:val="16"/>
                      </w:rPr>
                    </w:pPr>
                    <w:r w:rsidRPr="0008198D">
                      <w:rPr>
                        <w:rFonts w:ascii="Calibri" w:hAnsi="Calibri" w:cs="Calibri"/>
                        <w:sz w:val="16"/>
                        <w:szCs w:val="16"/>
                      </w:rPr>
                      <w:t>Volume 3, Issue 1, 2024</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56705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56705C" w:rsidRPr="0056705C">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simplePos x="0" y="0"/>
              <wp:positionH relativeFrom="column">
                <wp:posOffset>4590733</wp:posOffset>
              </wp:positionH>
              <wp:positionV relativeFrom="paragraph">
                <wp:posOffset>-67627</wp:posOffset>
              </wp:positionV>
              <wp:extent cx="1180465" cy="278130"/>
              <wp:effectExtent l="0" t="0" r="19685" b="266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0465" cy="278130"/>
                      </a:xfrm>
                      <a:prstGeom prst="rect">
                        <a:avLst/>
                      </a:prstGeom>
                      <a:solidFill>
                        <a:srgbClr val="FFFFFF"/>
                      </a:solidFill>
                      <a:ln w="9525">
                        <a:solidFill>
                          <a:srgbClr val="FFFFFF"/>
                        </a:solidFill>
                        <a:miter lim="800000"/>
                        <a:headEnd/>
                        <a:tailEnd/>
                      </a:ln>
                    </wps:spPr>
                    <wps:txbx>
                      <w:txbxContent>
                        <w:p w:rsidR="0008220C" w:rsidRPr="00122F5F" w:rsidRDefault="0008198D" w:rsidP="0008220C">
                          <w:pPr>
                            <w:jc w:val="center"/>
                            <w:rPr>
                              <w:rFonts w:ascii="Calibri" w:hAnsi="Calibri" w:cs="Calibri"/>
                              <w:sz w:val="16"/>
                              <w:szCs w:val="16"/>
                            </w:rPr>
                          </w:pPr>
                          <w:r w:rsidRPr="0008198D">
                            <w:rPr>
                              <w:rFonts w:ascii="Calibri" w:hAnsi="Calibri" w:cs="Calibri"/>
                              <w:sz w:val="16"/>
                              <w:szCs w:val="16"/>
                            </w:rPr>
                            <w:t>Volume 3, Issue 1,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361.5pt;margin-top:-5.3pt;width:92.95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" strokecolor="white">
              <v:textbox>
                <w:txbxContent>
                  <w:p w:rsidR="0008220C" w:rsidRPr="00122F5F" w:rsidRDefault="0008198D" w:rsidP="0008220C">
                    <w:pPr>
                      <w:jc w:val="center"/>
                      <w:rPr>
                        <w:rFonts w:ascii="Calibri" w:hAnsi="Calibri" w:cs="Calibri"/>
                        <w:sz w:val="16"/>
                        <w:szCs w:val="16"/>
                      </w:rPr>
                    </w:pPr>
                    <w:r w:rsidRPr="0008198D">
                      <w:rPr>
                        <w:rFonts w:ascii="Calibri" w:hAnsi="Calibri" w:cs="Calibri"/>
                        <w:sz w:val="16"/>
                        <w:szCs w:val="16"/>
                      </w:rPr>
                      <w:t>Volume 3, Issue 1, 2024</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56705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56705C" w:rsidRPr="0056705C">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simplePos x="0" y="0"/>
              <wp:positionH relativeFrom="column">
                <wp:posOffset>4557395</wp:posOffset>
              </wp:positionH>
              <wp:positionV relativeFrom="paragraph">
                <wp:posOffset>-67627</wp:posOffset>
              </wp:positionV>
              <wp:extent cx="1214438" cy="278130"/>
              <wp:effectExtent l="0" t="0" r="24130" b="266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4438" cy="278130"/>
                      </a:xfrm>
                      <a:prstGeom prst="rect">
                        <a:avLst/>
                      </a:prstGeom>
                      <a:solidFill>
                        <a:srgbClr val="FFFFFF"/>
                      </a:solidFill>
                      <a:ln w="9525">
                        <a:solidFill>
                          <a:srgbClr val="FFFFFF"/>
                        </a:solidFill>
                        <a:miter lim="800000"/>
                        <a:headEnd/>
                        <a:tailEnd/>
                      </a:ln>
                    </wps:spPr>
                    <wps:txbx>
                      <w:txbxContent>
                        <w:p w:rsidR="00122F5F" w:rsidRPr="00540F02" w:rsidRDefault="0008198D" w:rsidP="00122F5F">
                          <w:pPr>
                            <w:jc w:val="center"/>
                            <w:rPr>
                              <w:rFonts w:ascii="Calibri" w:hAnsi="Calibri" w:cs="Calibri"/>
                              <w:sz w:val="16"/>
                              <w:szCs w:val="16"/>
                            </w:rPr>
                          </w:pPr>
                          <w:r w:rsidRPr="0008198D">
                            <w:rPr>
                              <w:rFonts w:ascii="Calibri" w:hAnsi="Calibri" w:cs="Calibri"/>
                              <w:sz w:val="16"/>
                              <w:szCs w:val="16"/>
                            </w:rPr>
                            <w:t>Volume 3, Issue 1,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358.85pt;margin-top:-5.3pt;width:95.65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" strokecolor="white">
              <v:textbox>
                <w:txbxContent>
                  <w:p w:rsidR="00122F5F" w:rsidRPr="00540F02" w:rsidRDefault="0008198D" w:rsidP="00122F5F">
                    <w:pPr>
                      <w:jc w:val="center"/>
                      <w:rPr>
                        <w:rFonts w:ascii="Calibri" w:hAnsi="Calibri" w:cs="Calibri"/>
                        <w:sz w:val="16"/>
                        <w:szCs w:val="16"/>
                      </w:rPr>
                    </w:pPr>
                    <w:r w:rsidRPr="0008198D">
                      <w:rPr>
                        <w:rFonts w:ascii="Calibri" w:hAnsi="Calibri" w:cs="Calibri"/>
                        <w:sz w:val="16"/>
                        <w:szCs w:val="16"/>
                      </w:rPr>
                      <w:t>Volume 3, Issue 1, 2024</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56705C">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56705C" w:rsidRPr="0056705C">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03691" w:rsidRDefault="00603691">
      <w:r>
        <w:separator/>
      </w:r>
    </w:p>
  </w:footnote>
  <w:footnote w:type="continuationSeparator" w:id="0">
    <w:p w:rsidR="00603691" w:rsidRDefault="006036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08198D" w:rsidRDefault="00122F5F"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08198D" w:rsidRDefault="00122F5F"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6705C">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6705C">
                      <w:rPr>
                        <w:rFonts w:ascii="Calibri Light" w:hAnsi="Calibri Light" w:cs="Calibri Light"/>
                        <w:noProof/>
                      </w:rPr>
                      <w:t>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4B01FC" w:rsidP="00122F5F">
                          <w:pPr>
                            <w:ind w:left="23"/>
                            <w:jc w:val="both"/>
                            <w:rPr>
                              <w:rFonts w:ascii="Calibri Light" w:hAnsi="Calibri Light" w:cs="Calibri Light"/>
                              <w:i/>
                              <w:sz w:val="18"/>
                            </w:rPr>
                          </w:pPr>
                          <w:r w:rsidRPr="009568BC">
                            <w:rPr>
                              <w:rFonts w:ascii="Calibri Light" w:hAnsi="Calibri Light" w:cs="Calibri Light"/>
                              <w:sz w:val="18"/>
                            </w:rPr>
                            <w:t>Ramadhan, A.A., Firdausi2, U.S. &amp; Putri, C.K.K.P.</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4B01FC">
                            <w:rPr>
                              <w:rFonts w:ascii="Calibri Light" w:hAnsi="Calibri Light" w:cs="Calibri Light"/>
                              <w:i/>
                              <w:sz w:val="18"/>
                            </w:rPr>
                            <w:t>Military Court Authority to Adjudicate Serious Human Rights Violations Committed by TNI Personnel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rsidR="00122F5F" w:rsidRPr="00FF1D30" w:rsidRDefault="004B01FC" w:rsidP="00122F5F">
                    <w:pPr>
                      <w:ind w:left="23"/>
                      <w:jc w:val="both"/>
                      <w:rPr>
                        <w:rFonts w:ascii="Calibri Light" w:hAnsi="Calibri Light" w:cs="Calibri Light"/>
                        <w:i/>
                        <w:sz w:val="18"/>
                      </w:rPr>
                    </w:pPr>
                    <w:r w:rsidRPr="009568BC">
                      <w:rPr>
                        <w:rFonts w:ascii="Calibri Light" w:hAnsi="Calibri Light" w:cs="Calibri Light"/>
                        <w:sz w:val="18"/>
                      </w:rPr>
                      <w:t>Ramadhan, A.A., Firdausi2, U.S. &amp; Putri, C.K.K.P.</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4B01FC">
                      <w:rPr>
                        <w:rFonts w:ascii="Calibri Light" w:hAnsi="Calibri Light" w:cs="Calibri Light"/>
                        <w:i/>
                        <w:sz w:val="18"/>
                      </w:rPr>
                      <w:t>Military Court Authority to Adjudicate Serious Human Rights Violations Committed by TNI Personnel</w:t>
                    </w:r>
                  </w:p>
                </w:txbxContent>
              </v:textbox>
              <w10:wrap anchorx="page" anchory="page"/>
            </v:shape>
          </w:pict>
        </mc:Fallback>
      </mc:AlternateContent>
    </w:r>
    <w:r>
      <w:rPr>
        <w:noProof/>
        <w:lang w:val="id-ID" w:eastAsia="id-ID"/>
      </w:rPr>
      <w:drawing>
        <wp:inline distT="0" distB="0" distL="0" distR="0">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08198D" w:rsidRDefault="00540F02"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08198D" w:rsidRDefault="00540F02"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6705C">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6705C">
                      <w:rPr>
                        <w:rFonts w:ascii="Calibri Light" w:hAnsi="Calibri Light" w:cs="Calibri Light"/>
                        <w:noProof/>
                      </w:rPr>
                      <w:t>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4B01FC" w:rsidP="00540F02">
                          <w:pPr>
                            <w:ind w:left="23"/>
                            <w:jc w:val="both"/>
                            <w:rPr>
                              <w:rFonts w:ascii="Calibri Light" w:hAnsi="Calibri Light" w:cs="Calibri Light"/>
                              <w:i/>
                              <w:sz w:val="18"/>
                            </w:rPr>
                          </w:pPr>
                          <w:r w:rsidRPr="009568BC">
                            <w:rPr>
                              <w:rFonts w:ascii="Calibri Light" w:hAnsi="Calibri Light" w:cs="Calibri Light"/>
                              <w:sz w:val="18"/>
                            </w:rPr>
                            <w:t>Ramadhan, A.A., Firdausi2, U.S. &amp; Putri, C.K.K.P.</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4B01FC">
                            <w:rPr>
                              <w:rFonts w:ascii="Calibri Light" w:hAnsi="Calibri Light" w:cs="Calibri Light"/>
                              <w:i/>
                              <w:sz w:val="18"/>
                            </w:rPr>
                            <w:t>Military Court Authority to Adjudicate Serious Human Rights Violations Committed by TNI Personnel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rsidR="00540F02" w:rsidRPr="00FF1D30" w:rsidRDefault="004B01FC" w:rsidP="00540F02">
                    <w:pPr>
                      <w:ind w:left="23"/>
                      <w:jc w:val="both"/>
                      <w:rPr>
                        <w:rFonts w:ascii="Calibri Light" w:hAnsi="Calibri Light" w:cs="Calibri Light"/>
                        <w:i/>
                        <w:sz w:val="18"/>
                      </w:rPr>
                    </w:pPr>
                    <w:r w:rsidRPr="009568BC">
                      <w:rPr>
                        <w:rFonts w:ascii="Calibri Light" w:hAnsi="Calibri Light" w:cs="Calibri Light"/>
                        <w:sz w:val="18"/>
                      </w:rPr>
                      <w:t>Ramadhan, A.A., Firdausi2, U.S. &amp; Putri, C.K.K.P.</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4B01FC">
                      <w:rPr>
                        <w:rFonts w:ascii="Calibri Light" w:hAnsi="Calibri Light" w:cs="Calibri Light"/>
                        <w:i/>
                        <w:sz w:val="18"/>
                      </w:rPr>
                      <w:t>Military Court Authority to Adjudicate Serious Human Rights Violations Committed by TNI Personnel</w:t>
                    </w:r>
                  </w:p>
                </w:txbxContent>
              </v:textbox>
              <w10:wrap anchorx="page" anchory="page"/>
            </v:shape>
          </w:pict>
        </mc:Fallback>
      </mc:AlternateContent>
    </w:r>
    <w:r>
      <w:rPr>
        <w:noProof/>
        <w:lang w:val="id-ID" w:eastAsia="id-ID"/>
      </w:rPr>
      <w:drawing>
        <wp:inline distT="0" distB="0" distL="0" distR="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08198D" w:rsidRDefault="00FF1D30"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08198D" w:rsidRDefault="00FF1D30"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6705C">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6705C">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9568BC" w:rsidP="00FF1D30">
                          <w:pPr>
                            <w:ind w:left="23"/>
                            <w:jc w:val="both"/>
                            <w:rPr>
                              <w:rFonts w:ascii="Calibri Light" w:hAnsi="Calibri Light" w:cs="Calibri Light"/>
                              <w:i/>
                              <w:sz w:val="18"/>
                            </w:rPr>
                          </w:pPr>
                          <w:r w:rsidRPr="009568BC">
                            <w:rPr>
                              <w:rFonts w:ascii="Calibri Light" w:hAnsi="Calibri Light" w:cs="Calibri Light"/>
                              <w:sz w:val="18"/>
                            </w:rPr>
                            <w:t>Ramadhan, A.A., Firdausi2, U.S. &amp; Putri, C.K.K.P.</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004B01FC" w:rsidRPr="004B01FC">
                            <w:rPr>
                              <w:rFonts w:ascii="Calibri Light" w:hAnsi="Calibri Light" w:cs="Calibri Light"/>
                              <w:i/>
                              <w:sz w:val="18"/>
                            </w:rPr>
                            <w:t>Military Court Authority to Adjudicate Serious Human Rights Violations Committed by TNI Personnel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rsidR="00FF1D30" w:rsidRPr="00FF1D30" w:rsidRDefault="009568BC" w:rsidP="00FF1D30">
                    <w:pPr>
                      <w:ind w:left="23"/>
                      <w:jc w:val="both"/>
                      <w:rPr>
                        <w:rFonts w:ascii="Calibri Light" w:hAnsi="Calibri Light" w:cs="Calibri Light"/>
                        <w:i/>
                        <w:sz w:val="18"/>
                      </w:rPr>
                    </w:pPr>
                    <w:r w:rsidRPr="009568BC">
                      <w:rPr>
                        <w:rFonts w:ascii="Calibri Light" w:hAnsi="Calibri Light" w:cs="Calibri Light"/>
                        <w:sz w:val="18"/>
                      </w:rPr>
                      <w:t>Ramadhan, A.A., Firdausi2, U.S. &amp; Putri, C.K.K.P.</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004B01FC" w:rsidRPr="004B01FC">
                      <w:rPr>
                        <w:rFonts w:ascii="Calibri Light" w:hAnsi="Calibri Light" w:cs="Calibri Light"/>
                        <w:i/>
                        <w:sz w:val="18"/>
                      </w:rPr>
                      <w:t>Military Court Authority to Adjudicate Serious Human Rights Violations Committed by TNI Personnel</w:t>
                    </w:r>
                  </w:p>
                </w:txbxContent>
              </v:textbox>
              <w10:wrap anchorx="page" anchory="page"/>
            </v:shape>
          </w:pict>
        </mc:Fallback>
      </mc:AlternateContent>
    </w:r>
    <w:r>
      <w:rPr>
        <w:noProof/>
        <w:lang w:val="id-ID" w:eastAsia="id-ID"/>
      </w:rPr>
      <w:drawing>
        <wp:inline distT="0" distB="0" distL="0" distR="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5C95CB3"/>
    <w:multiLevelType w:val="hybridMultilevel"/>
    <w:tmpl w:val="10BA0334"/>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5" w15:restartNumberingAfterBreak="0">
    <w:nsid w:val="2AB06B63"/>
    <w:multiLevelType w:val="hybridMultilevel"/>
    <w:tmpl w:val="78A49A0E"/>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6"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8" w15:restartNumberingAfterBreak="0">
    <w:nsid w:val="38A43637"/>
    <w:multiLevelType w:val="hybridMultilevel"/>
    <w:tmpl w:val="93442EBC"/>
    <w:lvl w:ilvl="0" w:tplc="FE2C6D0A">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9"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0"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1"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2"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559E4693"/>
    <w:multiLevelType w:val="hybridMultilevel"/>
    <w:tmpl w:val="1D1AD1D4"/>
    <w:lvl w:ilvl="0" w:tplc="C19E8510">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5"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6"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7"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9"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0"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180200056">
    <w:abstractNumId w:val="16"/>
  </w:num>
  <w:num w:numId="2" w16cid:durableId="1537892093">
    <w:abstractNumId w:val="8"/>
  </w:num>
  <w:num w:numId="3" w16cid:durableId="612522489">
    <w:abstractNumId w:val="9"/>
  </w:num>
  <w:num w:numId="4" w16cid:durableId="1558662887">
    <w:abstractNumId w:val="26"/>
  </w:num>
  <w:num w:numId="5" w16cid:durableId="92013854">
    <w:abstractNumId w:val="25"/>
  </w:num>
  <w:num w:numId="6" w16cid:durableId="1175418985">
    <w:abstractNumId w:val="23"/>
  </w:num>
  <w:num w:numId="7" w16cid:durableId="1773085138">
    <w:abstractNumId w:val="31"/>
  </w:num>
  <w:num w:numId="8" w16cid:durableId="1525630166">
    <w:abstractNumId w:val="17"/>
  </w:num>
  <w:num w:numId="9" w16cid:durableId="2036493169">
    <w:abstractNumId w:val="27"/>
  </w:num>
  <w:num w:numId="10" w16cid:durableId="147211974">
    <w:abstractNumId w:val="28"/>
  </w:num>
  <w:num w:numId="11" w16cid:durableId="817261977">
    <w:abstractNumId w:val="11"/>
  </w:num>
  <w:num w:numId="12" w16cid:durableId="2127456360">
    <w:abstractNumId w:val="21"/>
  </w:num>
  <w:num w:numId="13" w16cid:durableId="1659113750">
    <w:abstractNumId w:val="7"/>
  </w:num>
  <w:num w:numId="14" w16cid:durableId="817184149">
    <w:abstractNumId w:val="0"/>
  </w:num>
  <w:num w:numId="15" w16cid:durableId="1816491169">
    <w:abstractNumId w:val="32"/>
  </w:num>
  <w:num w:numId="16" w16cid:durableId="207995">
    <w:abstractNumId w:val="22"/>
  </w:num>
  <w:num w:numId="17" w16cid:durableId="1422944272">
    <w:abstractNumId w:val="30"/>
  </w:num>
  <w:num w:numId="18" w16cid:durableId="1189685800">
    <w:abstractNumId w:val="29"/>
  </w:num>
  <w:num w:numId="19" w16cid:durableId="51586631">
    <w:abstractNumId w:val="20"/>
  </w:num>
  <w:num w:numId="20" w16cid:durableId="184363826">
    <w:abstractNumId w:val="5"/>
  </w:num>
  <w:num w:numId="21" w16cid:durableId="2138135939">
    <w:abstractNumId w:val="1"/>
  </w:num>
  <w:num w:numId="22" w16cid:durableId="1228346796">
    <w:abstractNumId w:val="12"/>
  </w:num>
  <w:num w:numId="23" w16cid:durableId="489446660">
    <w:abstractNumId w:val="2"/>
  </w:num>
  <w:num w:numId="24" w16cid:durableId="1826434357">
    <w:abstractNumId w:val="3"/>
  </w:num>
  <w:num w:numId="25" w16cid:durableId="1520511859">
    <w:abstractNumId w:val="4"/>
  </w:num>
  <w:num w:numId="26" w16cid:durableId="2066640456">
    <w:abstractNumId w:val="10"/>
  </w:num>
  <w:num w:numId="27" w16cid:durableId="14580053">
    <w:abstractNumId w:val="13"/>
  </w:num>
  <w:num w:numId="28" w16cid:durableId="1245644063">
    <w:abstractNumId w:val="6"/>
  </w:num>
  <w:num w:numId="29" w16cid:durableId="1324237841">
    <w:abstractNumId w:val="19"/>
  </w:num>
  <w:num w:numId="30" w16cid:durableId="1754355504">
    <w:abstractNumId w:val="14"/>
  </w:num>
  <w:num w:numId="31" w16cid:durableId="267273884">
    <w:abstractNumId w:val="18"/>
  </w:num>
  <w:num w:numId="32" w16cid:durableId="888759400">
    <w:abstractNumId w:val="15"/>
  </w:num>
  <w:num w:numId="33" w16cid:durableId="785732522">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417D3"/>
    <w:rsid w:val="00046065"/>
    <w:rsid w:val="000475BE"/>
    <w:rsid w:val="00055FC4"/>
    <w:rsid w:val="0006191D"/>
    <w:rsid w:val="00066AC1"/>
    <w:rsid w:val="00076F8C"/>
    <w:rsid w:val="0008198D"/>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20406B"/>
    <w:rsid w:val="0020676E"/>
    <w:rsid w:val="002077A9"/>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E79BD"/>
    <w:rsid w:val="002F4D18"/>
    <w:rsid w:val="00301FEB"/>
    <w:rsid w:val="00303D42"/>
    <w:rsid w:val="0030640D"/>
    <w:rsid w:val="00312D76"/>
    <w:rsid w:val="00327ACE"/>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1FC"/>
    <w:rsid w:val="004B08D8"/>
    <w:rsid w:val="004B0E60"/>
    <w:rsid w:val="004C15A0"/>
    <w:rsid w:val="004D00AE"/>
    <w:rsid w:val="004D0872"/>
    <w:rsid w:val="004D5A18"/>
    <w:rsid w:val="004D67B0"/>
    <w:rsid w:val="004D7EF4"/>
    <w:rsid w:val="004E6EE9"/>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248"/>
    <w:rsid w:val="005635B4"/>
    <w:rsid w:val="0056705C"/>
    <w:rsid w:val="00571CFE"/>
    <w:rsid w:val="00591DE5"/>
    <w:rsid w:val="0059236C"/>
    <w:rsid w:val="005953A6"/>
    <w:rsid w:val="005A4F69"/>
    <w:rsid w:val="005A53A8"/>
    <w:rsid w:val="005C14AA"/>
    <w:rsid w:val="005C643D"/>
    <w:rsid w:val="005D377C"/>
    <w:rsid w:val="005D4A0D"/>
    <w:rsid w:val="005E7673"/>
    <w:rsid w:val="005F526E"/>
    <w:rsid w:val="006035FA"/>
    <w:rsid w:val="00603691"/>
    <w:rsid w:val="006052AE"/>
    <w:rsid w:val="0061613E"/>
    <w:rsid w:val="0062129F"/>
    <w:rsid w:val="00622926"/>
    <w:rsid w:val="0062388D"/>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4339"/>
    <w:rsid w:val="007B496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2F9C"/>
    <w:rsid w:val="00906AC7"/>
    <w:rsid w:val="009078DF"/>
    <w:rsid w:val="00911A24"/>
    <w:rsid w:val="009206DD"/>
    <w:rsid w:val="009276FB"/>
    <w:rsid w:val="00936811"/>
    <w:rsid w:val="00940F83"/>
    <w:rsid w:val="0094187E"/>
    <w:rsid w:val="00945575"/>
    <w:rsid w:val="0095288D"/>
    <w:rsid w:val="00954BA8"/>
    <w:rsid w:val="009568BC"/>
    <w:rsid w:val="00965E3F"/>
    <w:rsid w:val="00965F50"/>
    <w:rsid w:val="0098193E"/>
    <w:rsid w:val="00987772"/>
    <w:rsid w:val="0099291C"/>
    <w:rsid w:val="009929B4"/>
    <w:rsid w:val="009A1281"/>
    <w:rsid w:val="009B6344"/>
    <w:rsid w:val="009B764B"/>
    <w:rsid w:val="009D7AA9"/>
    <w:rsid w:val="009E2468"/>
    <w:rsid w:val="009E24C6"/>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01CC"/>
    <w:rsid w:val="00A91CAD"/>
    <w:rsid w:val="00A92D0F"/>
    <w:rsid w:val="00A95B23"/>
    <w:rsid w:val="00AA4AE4"/>
    <w:rsid w:val="00AA4E7D"/>
    <w:rsid w:val="00AA6636"/>
    <w:rsid w:val="00AC6628"/>
    <w:rsid w:val="00AC702B"/>
    <w:rsid w:val="00AD2E20"/>
    <w:rsid w:val="00AD3EFD"/>
    <w:rsid w:val="00AD559D"/>
    <w:rsid w:val="00AF35CC"/>
    <w:rsid w:val="00AF73DF"/>
    <w:rsid w:val="00B02CE0"/>
    <w:rsid w:val="00B17324"/>
    <w:rsid w:val="00B25EDF"/>
    <w:rsid w:val="00B264D5"/>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6F54"/>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04875"/>
    <w:rsid w:val="00D26ADD"/>
    <w:rsid w:val="00D44083"/>
    <w:rsid w:val="00D57022"/>
    <w:rsid w:val="00D57A56"/>
    <w:rsid w:val="00D63088"/>
    <w:rsid w:val="00D67104"/>
    <w:rsid w:val="00D73826"/>
    <w:rsid w:val="00D775DE"/>
    <w:rsid w:val="00D81983"/>
    <w:rsid w:val="00D90FE5"/>
    <w:rsid w:val="00D92BF8"/>
    <w:rsid w:val="00D93BCB"/>
    <w:rsid w:val="00D94113"/>
    <w:rsid w:val="00D96860"/>
    <w:rsid w:val="00DC3AF3"/>
    <w:rsid w:val="00DC4FE5"/>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EE3E1E"/>
    <w:rsid w:val="00F01DBC"/>
    <w:rsid w:val="00F06CD1"/>
    <w:rsid w:val="00F06FB4"/>
    <w:rsid w:val="00F1027C"/>
    <w:rsid w:val="00F12364"/>
    <w:rsid w:val="00F1612A"/>
    <w:rsid w:val="00F20642"/>
    <w:rsid w:val="00F23791"/>
    <w:rsid w:val="00F3381A"/>
    <w:rsid w:val="00F369EC"/>
    <w:rsid w:val="00F52E83"/>
    <w:rsid w:val="00F64620"/>
    <w:rsid w:val="00F660DB"/>
    <w:rsid w:val="00F727DB"/>
    <w:rsid w:val="00F7294C"/>
    <w:rsid w:val="00F7539A"/>
    <w:rsid w:val="00F814D0"/>
    <w:rsid w:val="00F9056B"/>
    <w:rsid w:val="00F956D7"/>
    <w:rsid w:val="00FA3FD1"/>
    <w:rsid w:val="00FB2A93"/>
    <w:rsid w:val="00FB5880"/>
    <w:rsid w:val="00FC2DC7"/>
    <w:rsid w:val="00FC3FCF"/>
    <w:rsid w:val="00FC4C88"/>
    <w:rsid w:val="00FC679E"/>
    <w:rsid w:val="00FD08EE"/>
    <w:rsid w:val="00FD13C7"/>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9481FC5"/>
  <w14:defaultImageDpi w14:val="0"/>
  <w15:docId w15:val="{33092601-9B23-459D-8210-6906459D5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 w:type="character" w:styleId="UnresolvedMention">
    <w:name w:val="Unresolved Mention"/>
    <w:basedOn w:val="DefaultParagraphFont"/>
    <w:uiPriority w:val="99"/>
    <w:semiHidden/>
    <w:unhideWhenUsed/>
    <w:rsid w:val="005A53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oi.org/10.15408/jch.v1i2.2998" TargetMode="External"/><Relationship Id="rId18" Type="http://schemas.openxmlformats.org/officeDocument/2006/relationships/hyperlink" Target="https://doi.org/10.24252/qadauna.v2i2.16278"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doi.org/10.32734/mah.v1i1.8311" TargetMode="External"/><Relationship Id="rId17" Type="http://schemas.openxmlformats.org/officeDocument/2006/relationships/hyperlink" Target="https://doi.org/10.29313/bcsls.v2i2.3261"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doi.org/10.55681/seikat.v3i1.1194" TargetMode="External"/><Relationship Id="rId20" Type="http://schemas.openxmlformats.org/officeDocument/2006/relationships/hyperlink" Target="https://doi.org/10.26623/julr.v7i2.791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asional.kompas.com/read/2016/05/25/07220041/Kontras"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doi.org/10.59435/jurdikum.v1i1.100"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creativecommons.org/licenses/by/4.0/" TargetMode="External"/><Relationship Id="rId19" Type="http://schemas.openxmlformats.org/officeDocument/2006/relationships/hyperlink" Target="https://doi.org/10.22437/ujh.3.2.441-476" TargetMode="Externa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hyperlink" Target="https://doi.org/10.59141/comserva.v3i09.1140" TargetMode="External"/><Relationship Id="rId22" Type="http://schemas.openxmlformats.org/officeDocument/2006/relationships/header" Target="header2.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37DD54-E1D4-4984-BDED-CF213994A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10</Pages>
  <Words>7063</Words>
  <Characters>40265</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47234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M</cp:lastModifiedBy>
  <cp:revision>33</cp:revision>
  <cp:lastPrinted>2008-11-01T04:52:00Z</cp:lastPrinted>
  <dcterms:created xsi:type="dcterms:W3CDTF">2023-02-02T21:36:00Z</dcterms:created>
  <dcterms:modified xsi:type="dcterms:W3CDTF">2024-08-15T12:57:00Z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https://csl.mendeley.com/styles/475823531/apa</vt:lpwstr>
  </property>
  <property fmtid="{D5CDD505-2E9C-101B-9397-08002B2CF9AE}" pid="7" name="Mendeley Recent Style Name 2_1">
    <vt:lpwstr>American Psychological Association 6th edition - Mincho Slavov</vt:lpwstr>
  </property>
  <property fmtid="{D5CDD505-2E9C-101B-9397-08002B2CF9AE}" pid="8" name="Mendeley Recent Style Id 3_1">
    <vt:lpwstr>http://www.zotero.org/styles/apa</vt:lpwstr>
  </property>
  <property fmtid="{D5CDD505-2E9C-101B-9397-08002B2CF9AE}" pid="9" name="Mendeley Recent Style Name 3_1">
    <vt:lpwstr>American Psychological Association 7th edition</vt:lpwstr>
  </property>
  <property fmtid="{D5CDD505-2E9C-101B-9397-08002B2CF9AE}" pid="10" name="Mendeley Recent Style Id 4_1">
    <vt:lpwstr>http://www.zotero.org/styles/american-sociological-association</vt:lpwstr>
  </property>
  <property fmtid="{D5CDD505-2E9C-101B-9397-08002B2CF9AE}" pid="11" name="Mendeley Recent Style Name 4_1">
    <vt:lpwstr>American Sociological Association 6th edition</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http://www.zotero.org/styles/turabian-fullnote-bibliography</vt:lpwstr>
  </property>
  <property fmtid="{D5CDD505-2E9C-101B-9397-08002B2CF9AE}" pid="21" name="Mendeley Recent Style Name 9_1">
    <vt:lpwstr>Turabian 8th edition (full note)</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http://www.zotero.org/styles/apa</vt:lpwstr>
  </property>
</Properties>
</file>