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sidRPr="004E6EE9">
        <w:rPr>
          <w:rFonts w:ascii="Calibri Light" w:hAnsi="Calibri Light" w:cs="Calibri Light"/>
          <w:b/>
          <w:bCs/>
          <w:sz w:val="28"/>
          <w:szCs w:val="28"/>
        </w:rPr>
        <w:t>Military Court Authority to Adjudicate Serious Human Rights Violations Committed by TNI Personnel</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4E6EE9">
        <w:rPr>
          <w:rFonts w:ascii="Calibri Light" w:hAnsi="Calibri Light" w:cs="Calibri Light"/>
          <w:b/>
          <w:bCs/>
          <w:sz w:val="24"/>
          <w:szCs w:val="24"/>
        </w:rPr>
        <w:t>Azis Akbar Ramadhan</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4E6EE9">
        <w:rPr>
          <w:rFonts w:ascii="Calibri Light" w:hAnsi="Calibri Light" w:cs="Calibri Light"/>
          <w:b/>
          <w:bCs/>
          <w:sz w:val="24"/>
          <w:szCs w:val="24"/>
        </w:rPr>
        <w:t>Ulya Shafa Firdausi</w:t>
      </w:r>
      <w:r w:rsidRPr="004E6EE9">
        <w:rPr>
          <w:rFonts w:ascii="Calibri Light" w:hAnsi="Calibri Light" w:cs="Calibri Light"/>
          <w:b/>
          <w:bCs/>
          <w:sz w:val="24"/>
          <w:szCs w:val="24"/>
          <w:vertAlign w:val="superscript"/>
        </w:rPr>
        <w:t>2</w:t>
      </w:r>
      <w:r w:rsidRPr="004E6EE9">
        <w:rPr>
          <w:rFonts w:ascii="Calibri Light" w:hAnsi="Calibri Light" w:cs="Calibri Light"/>
          <w:b/>
          <w:bCs/>
          <w:sz w:val="24"/>
          <w:szCs w:val="24"/>
        </w:rPr>
        <w:t>, Cerninta Khisan Kusuma Pratama Putri</w:t>
      </w:r>
      <w:r w:rsidRPr="004E6EE9">
        <w:rPr>
          <w:rFonts w:ascii="Calibri Light" w:hAnsi="Calibri Light" w:cs="Calibri Light"/>
          <w:b/>
          <w:bCs/>
          <w:sz w:val="24"/>
          <w:szCs w:val="24"/>
          <w:vertAlign w:val="superscript"/>
        </w:rPr>
        <w:t>3</w:t>
      </w:r>
    </w:p>
    <w:p w:rsidR="008C45DE" w:rsidRPr="00122F5F"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4E6EE9" w:rsidR="004E6EE9">
        <w:rPr>
          <w:rFonts w:ascii="Calibri Light" w:hAnsi="Calibri Light" w:cs="Calibri Light"/>
          <w:sz w:val="24"/>
          <w:szCs w:val="24"/>
        </w:rPr>
        <w:t>Universitas Airlangga, Jl. Mayjen Prof. Dr. Moestopo No.47, Surabaya, East Java</w:t>
      </w:r>
      <w:r w:rsidR="004E6EE9">
        <w:rPr>
          <w:rFonts w:ascii="Calibri Light" w:hAnsi="Calibri Light" w:cs="Calibri Light"/>
          <w:sz w:val="24"/>
          <w:szCs w:val="24"/>
        </w:rPr>
        <w:t>, Indonesia</w:t>
      </w:r>
    </w:p>
    <w:p w:rsidR="00CF57D6"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Pr="004E6EE9" w:rsidR="004E6EE9">
        <w:rPr>
          <w:rFonts w:ascii="Calibri Light" w:hAnsi="Calibri Light" w:cs="Calibri Light"/>
          <w:sz w:val="24"/>
          <w:szCs w:val="24"/>
        </w:rPr>
        <w:t>Universitas Islam Negeri Maulana Malik Ibrahim Malang, Jl. Gajayana No.50, Malang, East Java, Indonesia</w:t>
      </w:r>
    </w:p>
    <w:p w:rsidR="004E6EE9" w:rsidRPr="004E6EE9" w:rsidP="00122F5F">
      <w:pPr>
        <w:rPr>
          <w:rFonts w:ascii="Calibri Light" w:hAnsi="Calibri Light" w:cs="Calibri Light"/>
          <w:sz w:val="24"/>
          <w:szCs w:val="24"/>
          <w:lang w:val="id-ID"/>
        </w:rPr>
      </w:pPr>
      <w:r w:rsidRPr="004E6EE9">
        <w:rPr>
          <w:rFonts w:ascii="Calibri Light" w:hAnsi="Calibri Light" w:cs="Calibri Light"/>
          <w:sz w:val="24"/>
          <w:szCs w:val="24"/>
          <w:vertAlign w:val="superscript"/>
          <w:lang w:val="id-ID"/>
        </w:rPr>
        <w:t>3</w:t>
      </w:r>
      <w:r w:rsidRPr="004E6EE9">
        <w:rPr>
          <w:rFonts w:ascii="Calibri Light" w:hAnsi="Calibri Light" w:cs="Calibri Light"/>
          <w:sz w:val="24"/>
          <w:szCs w:val="24"/>
          <w:lang w:val="id-ID"/>
        </w:rPr>
        <w:t>Universitas Muhammadiyah Ponorogo, Jl. Budi Utomo No.10, Ponorogo, East Java, Indonesia</w:t>
      </w:r>
    </w:p>
    <w:p w:rsidR="009E4EBA" w:rsidRPr="004E6EE9" w:rsidP="00122F5F">
      <w:pPr>
        <w:rPr>
          <w:rFonts w:ascii="Calibri Light" w:hAnsi="Calibri Light" w:cs="Calibri Light"/>
          <w:sz w:val="24"/>
          <w:szCs w:val="24"/>
          <w:lang w:val="id-ID"/>
        </w:rPr>
      </w:pPr>
      <w:r w:rsidRPr="004E6EE9">
        <w:rPr>
          <w:rFonts w:ascii="Calibri Light" w:hAnsi="Calibri Light" w:cs="Calibri Light"/>
          <w:sz w:val="24"/>
          <w:szCs w:val="24"/>
          <w:lang w:val="id-ID"/>
        </w:rPr>
        <w:t>*</w:t>
      </w:r>
      <w:r w:rsidRPr="004E6EE9" w:rsidR="004E6EE9">
        <w:rPr>
          <w:rFonts w:ascii="Calibri Light" w:hAnsi="Calibri Light" w:cs="Calibri Light"/>
          <w:sz w:val="24"/>
          <w:szCs w:val="24"/>
          <w:lang w:val="id-ID"/>
        </w:rPr>
        <w:t>azisakbarramadhan1@gmail.com</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w:t>
      </w:r>
      <w:r w:rsidR="00D04875">
        <w:rPr>
          <w:rFonts w:ascii="Calibri Light" w:hAnsi="Calibri Light" w:cs="Calibri Light"/>
        </w:rPr>
        <w:t>4</w:t>
      </w:r>
      <w:r w:rsidRPr="00863A78">
        <w:rPr>
          <w:rFonts w:ascii="Calibri Light" w:hAnsi="Calibri Light" w:cs="Calibri Light"/>
        </w:rPr>
        <w:t>-</w:t>
      </w:r>
      <w:r w:rsidR="00D04875">
        <w:rPr>
          <w:rFonts w:ascii="Calibri Light" w:hAnsi="Calibri Light" w:cs="Calibri Light"/>
        </w:rPr>
        <w:t>March</w:t>
      </w:r>
      <w:r w:rsidRPr="00863A78">
        <w:rPr>
          <w:rFonts w:ascii="Calibri Light" w:hAnsi="Calibri Light" w:cs="Calibri Light"/>
        </w:rPr>
        <w:t>-1</w:t>
      </w:r>
      <w:r w:rsidR="00D04875">
        <w:rPr>
          <w:rFonts w:ascii="Calibri Light" w:hAnsi="Calibri Light" w:cs="Calibri Light"/>
        </w:rPr>
        <w:t>2</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D92BF8">
        <w:rPr>
          <w:rFonts w:ascii="Calibri Light" w:hAnsi="Calibri Light" w:cs="Calibri Light"/>
        </w:rPr>
        <w:t>4</w:t>
      </w:r>
      <w:r w:rsidRPr="00863A78">
        <w:rPr>
          <w:rFonts w:ascii="Calibri Light" w:hAnsi="Calibri Light" w:cs="Calibri Light"/>
        </w:rPr>
        <w:t>-</w:t>
      </w:r>
      <w:r w:rsidR="00D92BF8">
        <w:rPr>
          <w:rFonts w:ascii="Calibri Light" w:hAnsi="Calibri Light" w:cs="Calibri Light"/>
        </w:rPr>
        <w:t>April</w:t>
      </w:r>
      <w:r w:rsidRPr="00863A78">
        <w:rPr>
          <w:rFonts w:ascii="Calibri Light" w:hAnsi="Calibri Light" w:cs="Calibri Light"/>
        </w:rPr>
        <w:t>-</w:t>
      </w:r>
      <w:r w:rsidR="00D92BF8">
        <w:rPr>
          <w:rFonts w:ascii="Calibri Light" w:hAnsi="Calibri Light" w:cs="Calibri Light"/>
        </w:rPr>
        <w:t>11</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E24C6">
        <w:rPr>
          <w:rFonts w:ascii="Calibri Light" w:hAnsi="Calibri Light" w:cs="Calibri Light"/>
        </w:rPr>
        <w:t>4</w:t>
      </w:r>
      <w:r w:rsidRPr="00863A78">
        <w:rPr>
          <w:rFonts w:ascii="Calibri Light" w:hAnsi="Calibri Light" w:cs="Calibri Light"/>
        </w:rPr>
        <w:t>-</w:t>
      </w:r>
      <w:r w:rsidR="009E24C6">
        <w:rPr>
          <w:rFonts w:ascii="Calibri Light" w:hAnsi="Calibri Light" w:cs="Calibri Light"/>
        </w:rPr>
        <w:t>May</w:t>
      </w:r>
      <w:r w:rsidRPr="00863A78">
        <w:rPr>
          <w:rFonts w:ascii="Calibri Light" w:hAnsi="Calibri Light" w:cs="Calibri Light"/>
        </w:rPr>
        <w:t>-</w:t>
      </w:r>
      <w:r w:rsidR="009E24C6">
        <w:rPr>
          <w:rFonts w:ascii="Calibri Light" w:hAnsi="Calibri Light" w:cs="Calibri Light"/>
        </w:rPr>
        <w:t>0</w:t>
      </w:r>
      <w:r w:rsidRPr="00863A78">
        <w:rPr>
          <w:rFonts w:ascii="Calibri Light" w:hAnsi="Calibri Light" w:cs="Calibri Light"/>
        </w:rPr>
        <w:t>2</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9568BC" w:rsidR="009568BC">
              <w:rPr>
                <w:rFonts w:ascii="Calibri Light" w:hAnsi="Calibri Light" w:cs="Calibri Light"/>
              </w:rPr>
              <w:t>Ramadhan, A.A., Firdausi2, U.S. &amp; Putri, C.K.K.P.</w:t>
            </w:r>
            <w:r w:rsidRPr="00540F02">
              <w:rPr>
                <w:rFonts w:ascii="Calibri Light" w:hAnsi="Calibri Light" w:cs="Calibri Light"/>
              </w:rPr>
              <w:t xml:space="preserve"> (202</w:t>
            </w:r>
            <w:r w:rsidR="00563248">
              <w:rPr>
                <w:rFonts w:ascii="Calibri Light" w:hAnsi="Calibri Light" w:cs="Calibri Light"/>
              </w:rPr>
              <w:t>4</w:t>
            </w:r>
            <w:r w:rsidRPr="00540F02">
              <w:rPr>
                <w:rFonts w:ascii="Calibri Light" w:hAnsi="Calibri Light" w:cs="Calibri Light"/>
              </w:rPr>
              <w:t xml:space="preserve">). </w:t>
            </w:r>
            <w:r w:rsidRPr="00563248" w:rsidR="00563248">
              <w:rPr>
                <w:rFonts w:ascii="Calibri Light" w:hAnsi="Calibri Light" w:cs="Calibri Light"/>
              </w:rPr>
              <w:t>Military Court Authority to Adjudicate Serious Human Rights Violations Committed by TNI Personnel</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00563248">
              <w:rPr>
                <w:rFonts w:ascii="Calibri Light" w:hAnsi="Calibri Light" w:cs="Calibri Light"/>
                <w:i/>
              </w:rPr>
              <w:t>3</w:t>
            </w:r>
            <w:r w:rsidRPr="00540F02">
              <w:rPr>
                <w:rFonts w:ascii="Calibri Light" w:hAnsi="Calibri Light" w:cs="Calibri Light"/>
              </w:rPr>
              <w:t>(</w:t>
            </w:r>
            <w:r w:rsidR="00563248">
              <w:rPr>
                <w:rFonts w:ascii="Calibri Light" w:hAnsi="Calibri Light" w:cs="Calibri Light"/>
              </w:rPr>
              <w:t>1</w:t>
            </w:r>
            <w:r w:rsidRPr="00540F02">
              <w:rPr>
                <w:rFonts w:ascii="Calibri Light" w:hAnsi="Calibri Light" w:cs="Calibri Light"/>
              </w:rPr>
              <w:t xml:space="preserve">), </w:t>
            </w:r>
            <w:r w:rsidR="002E79BD">
              <w:rPr>
                <w:rFonts w:ascii="Calibri Light" w:hAnsi="Calibri Light" w:cs="Calibri Light"/>
              </w:rPr>
              <w:t>34</w:t>
            </w:r>
            <w:r w:rsidRPr="00540F02">
              <w:rPr>
                <w:rFonts w:ascii="Calibri Light" w:hAnsi="Calibri Light" w:cs="Calibri Light"/>
              </w:rPr>
              <w:t>-</w:t>
            </w:r>
            <w:r w:rsidR="005F526E">
              <w:rPr>
                <w:rFonts w:ascii="Calibri Light" w:hAnsi="Calibri Light" w:cs="Calibri Light"/>
              </w:rPr>
              <w:t>43</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A901CC" w:rsidR="00A901CC">
        <w:rPr>
          <w:rFonts w:ascii="Calibri Light" w:hAnsi="Calibri Light" w:cs="Calibri Light"/>
          <w:i/>
          <w:iCs/>
          <w:noProof/>
          <w:color w:val="000000"/>
          <w:sz w:val="24"/>
          <w:szCs w:val="24"/>
        </w:rPr>
        <w:t>This study examines the Military Court's legal process and authority in trying to resolve human rights violations committed by TNI personnel. Normative legal research is used with a legislative approach and a conceptual approach, which is then analyzed against laws and regulations related to the problem to determine which court has the authority to try the case. The analysis results show that the Military Court's rule is to try criminal acts committed by a soldier, who according to the law is considered equal to a soldier, and members of a group or position or agency are considered soldiers according to the law. Military courts in the military justice system, even though they are under the jurisdiction of a special court, namely the human rights court in the general justice system.</w:t>
      </w:r>
    </w:p>
    <w:p w:rsidR="00A901CC" w:rsidRPr="00122F5F" w:rsidP="00540F02">
      <w:pPr>
        <w:ind w:right="-1"/>
        <w:jc w:val="both"/>
        <w:rPr>
          <w:rFonts w:ascii="Calibri Light" w:hAnsi="Calibri Light" w:cs="Calibri Light"/>
          <w:noProof/>
          <w:color w:val="000000"/>
          <w:sz w:val="24"/>
          <w:szCs w:val="24"/>
          <w:lang w:val="id-ID"/>
        </w:rPr>
      </w:pPr>
    </w:p>
    <w:p w:rsidR="00DE1E48" w:rsidRPr="00122F5F" w:rsidP="00863A78">
      <w:pPr>
        <w:ind w:right="-1"/>
        <w:jc w:val="both"/>
        <w:rPr>
          <w:rFonts w:ascii="Calibri Light" w:hAnsi="Calibri Light" w:cs="Calibri Light"/>
          <w:i/>
          <w:iCs/>
          <w:sz w:val="24"/>
          <w:szCs w:val="24"/>
          <w:lang w:val="id-ID"/>
        </w:rPr>
      </w:pPr>
      <w:r w:rsidRPr="00A901CC">
        <w:rPr>
          <w:rFonts w:ascii="Calibri Light" w:hAnsi="Calibri Light" w:cs="Calibri Light"/>
          <w:noProof/>
          <w:sz w:val="24"/>
          <w:szCs w:val="24"/>
        </w:rPr>
        <w:t>Penelitian ini bertujuan mengkaji bagaimana proses hukum dan kewenangan Pengadilan Militer dalam mengadili pelanggaran HAM yang dilakukan oleh personel TNI. Penelitian yuridis normatif digunakan dengan pendekatan perundang-undangan dan pendekatan konseptual, yang kemudian dianalisis terhadap peraturan perundang-undangan yang berkaitan dengan permasalahan untuk menentukan pengadilan mana yang berwenang mengadili perkara. Hasil analisis menunjukkan kewenangan Pengadilan Militer adalah mengadili tindak pidana yang dilakukan oleh seorang prajurit, yang menurut undang-undang dianggap sederajat dengan prajurit, dan anggota suatu kelompok atau jabatan atau badan dianggap prajurit menurut undang-undang. Pengadilan militer dalam sistem peradilan militer, padahal berada di bawah yurisdiksi pengadilan khusus, yaitu pengadilan hak asasi manusia dalam sistem peradilan umum.</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F64620" w:rsidR="00F64620">
        <w:rPr>
          <w:rStyle w:val="shorttext"/>
          <w:rFonts w:ascii="Calibri Light" w:hAnsi="Calibri Light" w:cs="Calibri Light"/>
          <w:i/>
          <w:iCs/>
          <w:sz w:val="24"/>
          <w:szCs w:val="24"/>
        </w:rPr>
        <w:t>Military Court, Human Rights Violations, TNI Personnel.</w:t>
      </w: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EE3E1E" w:rsidRP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The presence of an independent and impartial judiciary characterizes the concept of the rule of law. There are four types of independent and impartial tribunal within the Judiciary Bodies, all of which lead to one judiciary, namely that which is under the Supreme Court of the Republic of Indonesia, such as the general court, religious court, administrative court, and military court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{"citationItems":[{"id":"ITEM-1","itemData":{"DOI":"10.26623/julr.v7i2.7917","author":[{"dropping-particle":"","family":"Valdanito","given":"Muammar","non-dropping-particle":"","parse-names":false,"suffix":""}],"container-title":"Jurnal USM Law Review","id":"ITEM-1","issue":"2","issued":{"date-parts":[["2024","6","15"]]},"page":"634-657","title":"Quo Vadis Penelitian Hukum: Sebuah Jalan Meluruskan Miskonsepsi Kecenderungan Arah Penelitian Hukum","type":"article-journal","volume":"7"},"uris":["http://www.mendeley.com/documents/?uuid=93fa7ec8-37ba-4829-a89b-7f0947c809b3"]}],"mendeley":{"formattedCitation":"(Valdanito, 2024)","plainTextFormattedCitation":"(Valdanito, 2024)","previouslyFormattedCitation":"(Valdanito, 2024)"},"properties":{"noteIndex":0},"schema":"https://github.com/citation-style-language/schema/raw/master/csl-citation.json"}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(Valdanito, 2024)</w:t>
      </w:r>
      <w:r w:rsidR="007B4339">
        <w:rPr>
          <w:rFonts w:ascii="Calibri Light" w:hAnsi="Calibri Light" w:cs="Calibri Light"/>
          <w:sz w:val="24"/>
          <w:szCs w:val="24"/>
        </w:rPr>
        <w:fldChar w:fldCharType="end"/>
      </w:r>
      <w:r w:rsidRPr="00EE3E1E">
        <w:rPr>
          <w:rFonts w:ascii="Calibri Light" w:hAnsi="Calibri Light" w:cs="Calibri Light"/>
          <w:sz w:val="24"/>
          <w:szCs w:val="24"/>
        </w:rPr>
        <w:t>. Each court has different objects and subjects, and they have different specialities. The competence of the general court in criminal cases involves the judicial system, which starts with the investigation process,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{"citationItems":[{"id":"ITEM-1","itemData":{"DOI":"10.55681/seikat.v3i1.1194","author":[{"dropping-particle":"","family":"Pebrianto","given":"Roli","non-dropping-particle":"","parse-names":false,"suffix":""}],"container-title":"SEIKAT: Jurnal Ilmu Sosial, Politik dan Hukum","id":"ITEM-1","issue":"1","issued":{"date-parts":[["2024","2","9"]]},"page":"71-80","title":"Kebijakan Hukum Pidana Tentang Pemeriksaan Prajurit TNI yang Melakukan Tindak Pidana Umum","type":"article-journal","volume":"3"},"uris":["http://www.mendeley.com/documents/?uuid=36ea79a9-30dc-4c0c-8d01-381fddbd01cb"]}],"mendeley":{"formattedCitation":"(Pebrianto, 2024)","plainTextFormattedCitation":"(Pebrianto, 2024)","previouslyFormattedCitation":"(Pebrianto, 2024)"},"properties":{"noteIndex":0},"schema":"https://github.com/citation-style-language/schema/raw/master/csl-citation.json"}</w:instrText>
      </w:r>
      <w:r w:rsidR="00C16F54">
        <w:rPr>
          <w:rFonts w:ascii="Calibri Light" w:hAnsi="Calibri Light" w:cs="Calibri Light"/>
          <w:sz w:val="24"/>
          <w:szCs w:val="24"/>
        </w:rPr>
        <w:fldChar w:fldCharType="separate"/>
      </w:r>
      <w:r w:rsidRPr="00C16F54" w:rsidR="00C16F54">
        <w:rPr>
          <w:rFonts w:ascii="Calibri Light" w:hAnsi="Calibri Light" w:cs="Calibri Light"/>
          <w:noProof/>
          <w:sz w:val="24"/>
          <w:szCs w:val="24"/>
        </w:rPr>
        <w:t>(Pebrianto, 2024)</w:t>
      </w:r>
      <w:r w:rsidR="00C16F54">
        <w:rPr>
          <w:rFonts w:ascii="Calibri Light" w:hAnsi="Calibri Light" w:cs="Calibri Light"/>
          <w:sz w:val="24"/>
          <w:szCs w:val="24"/>
        </w:rPr>
        <w:fldChar w:fldCharType="end"/>
      </w:r>
      <w:r w:rsidRPr="00EE3E1E">
        <w:rPr>
          <w:rFonts w:ascii="Calibri Light" w:hAnsi="Calibri Light" w:cs="Calibri Light"/>
          <w:sz w:val="24"/>
          <w:szCs w:val="24"/>
        </w:rPr>
        <w:t>.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Law is carried out by the National Police and Civil Servants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{"citationItems":[{"id":"ITEM-1","itemData":{"author":[{"dropping-particle":"","family":"Purwoleksono","given":"Didik Endro","non-dropping-particle":"","parse-names":false,"suffix":""}],"id":"ITEM-1","issued":{"date-parts":[["2015"]]},"publisher":"Surabaya: Airlangga University Press","title":"Hukum Acara Pidana","type":"book"},"uris":["http://www.mendeley.com/documents/?uuid=f694e71f-0b5f-46c2-954f-b3eebcf4a54b"]}],"mendeley":{"formattedCitation":"(Purwoleksono, 2015)","plainTextFormattedCitation":"(Purwoleksono, 2015)","previouslyFormattedCitation":"(Purwoleksono, 2015)"},"properties":{"noteIndex":0},"schema":"https://github.com/citation-style-language/schema/raw/master/csl-citation.json"}</w:instrText>
      </w:r>
      <w:r w:rsidR="00C16F54">
        <w:rPr>
          <w:rFonts w:ascii="Calibri Light" w:hAnsi="Calibri Light" w:cs="Calibri Light"/>
          <w:sz w:val="24"/>
          <w:szCs w:val="24"/>
        </w:rPr>
        <w:fldChar w:fldCharType="separate"/>
      </w:r>
      <w:r w:rsidRPr="00C16F54" w:rsidR="00C16F54">
        <w:rPr>
          <w:rFonts w:ascii="Calibri Light" w:hAnsi="Calibri Light" w:cs="Calibri Light"/>
          <w:noProof/>
          <w:sz w:val="24"/>
          <w:szCs w:val="24"/>
        </w:rPr>
        <w:t>(Purwoleksono, 2015)</w:t>
      </w:r>
      <w:r w:rsidR="00C16F54">
        <w:rPr>
          <w:rFonts w:ascii="Calibri Light" w:hAnsi="Calibri Light" w:cs="Calibri Light"/>
          <w:sz w:val="24"/>
          <w:szCs w:val="24"/>
        </w:rPr>
        <w:fldChar w:fldCharType="end"/>
      </w:r>
      <w:r w:rsidRPr="00EE3E1E">
        <w:rPr>
          <w:rFonts w:ascii="Calibri Light" w:hAnsi="Calibri Light" w:cs="Calibri Light"/>
          <w:sz w:val="24"/>
          <w:szCs w:val="24"/>
        </w:rPr>
        <w:t>. There is a need for clarity regarding one of the issues above related to the authority of investigators to examine military members who commit general crimes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Pr="00D81983" w:rsid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9 of the Military Judiciary Law, it states that the military judiciary environment has the authority to:</w:t>
      </w:r>
    </w:p>
    <w:p w:rsidR="00EE3E1E" w:rsidRPr="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Adjudicate criminal acts committed by individuals who, at the time of committing the criminal act, are:</w:t>
      </w:r>
    </w:p>
    <w:p w:rsidR="00EE3E1E" w:rsidRPr="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Soldiers;</w:t>
      </w:r>
    </w:p>
    <w:p w:rsidR="00EE3E1E" w:rsidRPr="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Those who, according to the law, are equated with Soldiers;</w:t>
      </w:r>
    </w:p>
    <w:p w:rsidR="00EE3E1E" w:rsidRPr="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Members of a group, position, or body, or those equated or considered as Soldiers according to the law;</w:t>
      </w:r>
    </w:p>
    <w:p w:rsidR="00EE3E1E" w:rsidRPr="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Individuals who do not fall under the categories in points a, b, and c must be tried by a Court within the military judiciary environment upon the decision of the Commander with the approval of the Minister of Justice.</w:t>
      </w:r>
    </w:p>
    <w:p w:rsidR="00EE3E1E" w:rsidRPr="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Examine, decide, and resolve disputes within the Armed Forces Administration.</w:t>
      </w:r>
    </w:p>
    <w:p w:rsidR="00EE3E1E" w:rsidRPr="00EE3E1E" w:rsidP="00EE3E1E">
      <w:pPr>
        <w:pStyle w:val="ListParagraph"/>
        <w:numPr>
          <w:ilvl w:val="0"/>
          <w:numId w:val="31"/>
        </w:numPr>
        <w:spacing w:before="120" w:after="120"/>
        <w:jc w:val="both"/>
        <w:rPr>
          <w:rFonts w:ascii="Calibri Light" w:hAnsi="Calibri Light" w:cs="Calibri Light"/>
          <w:sz w:val="24"/>
          <w:szCs w:val="24"/>
        </w:rPr>
      </w:pPr>
      <w:r w:rsidRPr="00EE3E1E">
        <w:rPr>
          <w:rFonts w:ascii="Calibri Light" w:hAnsi="Calibri Light" w:cs="Calibri Light"/>
          <w:sz w:val="24"/>
          <w:szCs w:val="24"/>
        </w:rPr>
        <w:t>Merge claims for compensation in the criminal case concerned at the request of the aggrieved party as a result of the criminal act which forms the basis of the accusation, and simultaneously decide both cases in one ruling.</w:t>
      </w:r>
    </w:p>
    <w:p w:rsidR="00EE3E1E" w:rsidRP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 xml:space="preserve">Based on the above, there have been numerous cases of severe violations of human rights committed by members of the military towards civilians. These violations generally occurred during President Suharto's administration, when the armed forces (later </w:t>
      </w:r>
      <w:r w:rsidRPr="00EE3E1E">
        <w:rPr>
          <w:rFonts w:ascii="Calibri Light" w:hAnsi="Calibri Light" w:cs="Calibri Light"/>
          <w:sz w:val="24"/>
          <w:szCs w:val="24"/>
        </w:rPr>
        <w:t>transformed into the TNI and Polri) were used to maintain power</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URL":"https://nasional.kompas.com/read/2016/05/25/07220041/Kontras","accessed":{"date-parts":[["2016","6","25"]]},"author":[{"dropping-particle":"","family":"Erdianto","given":"Kristian","non-dropping-particle":"","parse-names":false,"suffix":""}],"container-title":"Kompas.com","id":"ITEM-1","issued":{"date-parts":[["2016"]]},"title":"Kontras Paparkan 10 Kasus Pelanggaran Ham Yang Diduga Melibatkan TNI Era Soeharto","type":"webpage"},"uris":["http://www.mendeley.com/documents/?uuid=b0bc53d3-8156-4fab-b33f-702ddee7b602"]}],"mendeley":{"formattedCitation":"(Erdianto, 2016)","plainTextFormattedCitation":"(Erdianto, 2016)","previouslyFormattedCitation":"(Erdianto, 2016)"},"properties":{"noteIndex":0},"schema":"https://github.com/citation-style-language/schema/raw/master/csl-citation.json"}</w:instrText>
      </w:r>
      <w:r w:rsidR="00B264D5">
        <w:rPr>
          <w:rFonts w:ascii="Calibri Light" w:hAnsi="Calibri Light" w:cs="Calibri Light"/>
          <w:sz w:val="24"/>
          <w:szCs w:val="24"/>
        </w:rPr>
        <w:fldChar w:fldCharType="separate"/>
      </w:r>
      <w:r w:rsidRPr="00B264D5" w:rsidR="00B264D5">
        <w:rPr>
          <w:rFonts w:ascii="Calibri Light" w:hAnsi="Calibri Light" w:cs="Calibri Light"/>
          <w:noProof/>
          <w:sz w:val="24"/>
          <w:szCs w:val="24"/>
        </w:rPr>
        <w:t>(Erdianto, 2016)</w:t>
      </w:r>
      <w:r w:rsidR="00B264D5">
        <w:rPr>
          <w:rFonts w:ascii="Calibri Light" w:hAnsi="Calibri Light" w:cs="Calibri Light"/>
          <w:sz w:val="24"/>
          <w:szCs w:val="24"/>
        </w:rPr>
        <w:fldChar w:fldCharType="end"/>
      </w:r>
      <w:r w:rsidRPr="00EE3E1E">
        <w:rPr>
          <w:rFonts w:ascii="Calibri Light" w:hAnsi="Calibri Light" w:cs="Calibri Light"/>
          <w:sz w:val="24"/>
          <w:szCs w:val="24"/>
        </w:rPr>
        <w:t>. Human rights violations by the TNI reached their peak at the end of the New Order regime when popular resistance grew stronger. The first case was the Trisakti tragedy, which occurred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 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front of the Koramil Kedaton headquarters in Lampung. Dozens of other students were injured and had to be treated at a hospital. Several days later, Saidatul Fitriah, a student at Lampung University who was also a victim of police violence, sadly passed away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{"citationItems":[{"id":"ITEM-1","itemData":{"author":[{"dropping-particle":"","family":"Hadjon","given":"Philipus M.","non-dropping-particle":"","parse-names":false,"suffix":""},{"dropping-particle":"","family":"Djatmiati","given":"Tatiek","non-dropping-particle":"","parse-names":false,"suffix":""}],"id":"ITEM-1","issued":{"date-parts":[["2017"]]},"publisher":"Surabaya: Gadjah Mada University Press","title":"Argumentasi Hukum","type":"book"},"uris":["http://www.mendeley.com/documents/?uuid=8bf87133-38ec-47b8-83d4-938445722f0a"]}],"mendeley":{"formattedCitation":"(Hadjon &amp; Djatmiati, 2017)","plainTextFormattedCitation":"(Hadjon &amp; Djatmiati, 2017)","previouslyFormattedCitation":"(Hadjon &amp; Djatmiati, 2017)"},"properties":{"noteIndex":0},"schema":"https://github.com/citation-style-language/schema/raw/master/csl-citation.json"}</w:instrText>
      </w:r>
      <w:r w:rsidR="00C16F54">
        <w:rPr>
          <w:rFonts w:ascii="Calibri Light" w:hAnsi="Calibri Light" w:cs="Calibri Light"/>
          <w:sz w:val="24"/>
          <w:szCs w:val="24"/>
        </w:rPr>
        <w:fldChar w:fldCharType="separate"/>
      </w:r>
      <w:r w:rsidRPr="00C16F54" w:rsidR="00C16F54">
        <w:rPr>
          <w:rFonts w:ascii="Calibri Light" w:hAnsi="Calibri Light" w:cs="Calibri Light"/>
          <w:noProof/>
          <w:sz w:val="24"/>
          <w:szCs w:val="24"/>
        </w:rPr>
        <w:t>(Hadjon &amp; Djatmiati, 2017)</w:t>
      </w:r>
      <w:r w:rsidR="00C16F54">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In its development of eradication, it is regulated in a special court under Law No. 26 of 2000 concerning Human Rights Courts (State Gazette of the Republic of Indonesia Year 2000 No. 208, Supplementary State Gazette of the Republic of Indonesia No. 4026, hereinafter referred to as the "Human Rights Court Law") as a special court within the general judiciary system</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No.26","given":"","non-dropping-particle":"","parse-names":false,"suffix":""}],"id":"ITEM-1","issued":{"date-parts":[["2000"]]},"title":"Undang-Undang Nomor 26 Tahun 2000 tentang Pengadilan HAM (Lembaran Negara Republik Indonesia Tahun 2000 Nomor 208, Tambahan Lembaran Negara Republik Indonesia Nomor 4026).","type":"book"},"uris":["http://www.mendeley.com/documents/?uuid=f3e5dc12-9a30-4abf-afe5-2b21c36cdb2e"]}],"mendeley":{"formattedCitation":"(UU No.26, 2000)","plainTextFormattedCitation":"(UU No.26, 2000)","previouslyFormattedCitation":"(UU No.26, 2000)"},"properties":{"noteIndex":0},"schema":"https://github.com/citation-style-language/schema/raw/master/csl-citation.json"}</w:instrText>
      </w:r>
      <w:r w:rsidR="00D81983">
        <w:rPr>
          <w:rFonts w:ascii="Calibri Light" w:hAnsi="Calibri Light" w:cs="Calibri Light"/>
          <w:sz w:val="24"/>
          <w:szCs w:val="24"/>
        </w:rPr>
        <w:fldChar w:fldCharType="separate"/>
      </w:r>
      <w:r w:rsidRPr="00D81983" w:rsidR="00D81983">
        <w:rPr>
          <w:rFonts w:ascii="Calibri Light" w:hAnsi="Calibri Light" w:cs="Calibri Light"/>
          <w:noProof/>
          <w:sz w:val="24"/>
          <w:szCs w:val="24"/>
        </w:rPr>
        <w:t>(UU No.26, 2000)</w:t>
      </w:r>
      <w:r w:rsidR="00D81983">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No.49","given":"","non-dropping-particle":"","parse-names":false,"suffix":""}],"id":"ITEM-1","issued":{"date-parts":[["2009"]]},"title":"Undang-Undang Nomor 49 Tahun 2009 Tentang Peradilan Umum (Lembaran Negara Republik Indonesia Tahun 2009 Nomor 158, Tambahan Lembaran Negara Republik Indonesia Nomor 5077).","type":"book"},"uris":["http://www.mendeley.com/documents/?uuid=fd622560-6952-4cbf-a01e-c82df9d64612"]}],"mendeley":{"formattedCitation":"(UU No.49, 2009)","plainTextFormattedCitation":"(UU No.49, 2009)","previouslyFormattedCitation":"(UU No.49, 2009)"},"properties":{"noteIndex":0},"schema":"https://github.com/citation-style-language/schema/raw/master/csl-citation.json"}</w:instrText>
      </w:r>
      <w:r w:rsidR="00D81983">
        <w:rPr>
          <w:rFonts w:ascii="Calibri Light" w:hAnsi="Calibri Light" w:cs="Calibri Light"/>
          <w:sz w:val="24"/>
          <w:szCs w:val="24"/>
        </w:rPr>
        <w:fldChar w:fldCharType="separate"/>
      </w:r>
      <w:r w:rsidRPr="00D81983" w:rsidR="00D81983">
        <w:rPr>
          <w:rFonts w:ascii="Calibri Light" w:hAnsi="Calibri Light" w:cs="Calibri Light"/>
          <w:noProof/>
          <w:sz w:val="24"/>
          <w:szCs w:val="24"/>
        </w:rPr>
        <w:t>(UU No.49, 2009)</w:t>
      </w:r>
      <w:r w:rsidR="00D81983">
        <w:rPr>
          <w:rFonts w:ascii="Calibri Light" w:hAnsi="Calibri Light" w:cs="Calibri Light"/>
          <w:sz w:val="24"/>
          <w:szCs w:val="24"/>
        </w:rPr>
        <w:fldChar w:fldCharType="end"/>
      </w:r>
      <w:r w:rsidRPr="00EE3E1E">
        <w:rPr>
          <w:rFonts w:ascii="Calibri Light" w:hAnsi="Calibri Light" w:cs="Calibri Light"/>
          <w:sz w:val="24"/>
          <w:szCs w:val="24"/>
        </w:rPr>
        <w:t xml:space="preserve">. Referring to the authority regarding cases of criminal violations of human rights in Article 1 paragraph 3 and Article 4 of Law No. 20 of 2000 concerning Human Rights Courts, human rights courts are the only special courts within the general </w:t>
      </w:r>
      <w:r w:rsidRPr="00EE3E1E">
        <w:rPr>
          <w:rFonts w:ascii="Calibri Light" w:hAnsi="Calibri Light" w:cs="Calibri Light"/>
          <w:sz w:val="24"/>
          <w:szCs w:val="24"/>
        </w:rPr>
        <w:t>court system authorized to adjudicate and decide on cases of serious human rights violations, including genocide and crimes against humanity.</w:t>
      </w:r>
    </w:p>
    <w:p w:rsidR="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P="008C3DC2">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Legal research is aimed at discovering the coherence of truth, namely the alignment between legal rules and legal norms, the alignment between legal norms and legal principles, and whether an individual's actions are in accordance with legal norms or principles</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{"citationItems":[{"id":"ITEM-1","itemData":{"DOI":"10.24252/qadauna.v2i2.16278","author":[{"dropping-particle":"","family":"Ruslan","given":"Ruslan","non-dropping-particle":"","parse-names":false,"suffix":""},{"dropping-particle":"","family":"Gassing","given":"H T","non-dropping-particle":"","parse-names":false,"suffix":""}],"container-title":"Qadauna: Jurnal Ilmiah Mahasiswa Hukum Keluarga Islam","id":"ITEM-1","issue":"2","issued":{"date-parts":[["2021","4","18"]]},"page":"241-256","title":"Penerapan Asas Equality Before The Law Pada Sistem Peradilan Militer di Pengadilan Militer III-16 Makassar","type":"article-journal","volume":"2"},"uris":["http://www.mendeley.com/documents/?uuid=b729343b-e5b8-4ea0-8f4b-0a50ddf3705d"]}],"mendeley":{"formattedCitation":"(Ruslan &amp; Gassing, 2021)","plainTextFormattedCitation":"(Ruslan &amp; Gassing, 2021)","previouslyFormattedCitation":"(Ruslan &amp; Gassing, 2021)"},"properties":{"noteIndex":0},"schema":"https://github.com/citation-style-language/schema/raw/master/csl-citation.json"}</w:instrText>
      </w:r>
      <w:r w:rsidR="00B264D5">
        <w:rPr>
          <w:rFonts w:ascii="Calibri Light" w:hAnsi="Calibri Light" w:cs="Calibri Light"/>
          <w:sz w:val="24"/>
          <w:szCs w:val="24"/>
        </w:rPr>
        <w:fldChar w:fldCharType="separate"/>
      </w:r>
      <w:r w:rsidRPr="00B264D5" w:rsidR="00B264D5">
        <w:rPr>
          <w:rFonts w:ascii="Calibri Light" w:hAnsi="Calibri Light" w:cs="Calibri Light"/>
          <w:noProof/>
          <w:sz w:val="24"/>
          <w:szCs w:val="24"/>
        </w:rPr>
        <w:t>(Ruslan &amp; Gassing, 2021)</w:t>
      </w:r>
      <w:r w:rsidR="00B264D5">
        <w:rPr>
          <w:rFonts w:ascii="Calibri Light" w:hAnsi="Calibri Light" w:cs="Calibri Light"/>
          <w:sz w:val="24"/>
          <w:szCs w:val="24"/>
        </w:rPr>
        <w:fldChar w:fldCharType="end"/>
      </w:r>
      <w:r w:rsidRPr="00EE3E1E">
        <w:rPr>
          <w:rFonts w:ascii="Calibri Light" w:hAnsi="Calibri Light" w:cs="Calibri Light"/>
          <w:sz w:val="24"/>
          <w:szCs w:val="24"/>
        </w:rPr>
        <w:t>.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EE3E1E" w:rsidRPr="00EE3E1E" w:rsidP="00B25EDF">
      <w:pPr>
        <w:spacing w:before="120" w:after="120"/>
        <w:ind w:left="440" w:right="-1" w:hanging="14"/>
        <w:jc w:val="both"/>
        <w:rPr>
          <w:rFonts w:ascii="Calibri Light" w:hAnsi="Calibri Light" w:cs="Calibri Light"/>
          <w:b/>
          <w:bCs/>
          <w:sz w:val="24"/>
          <w:szCs w:val="24"/>
        </w:rPr>
      </w:pPr>
      <w:r w:rsidRPr="00EE3E1E">
        <w:rPr>
          <w:rFonts w:ascii="Calibri Light" w:hAnsi="Calibri Light" w:cs="Calibri Light"/>
          <w:b/>
          <w:bCs/>
          <w:sz w:val="24"/>
          <w:szCs w:val="24"/>
        </w:rPr>
        <w:t>Basis of Law Preferences in Determining Jurisdiction</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{"citationItems":[{"id":"ITEM-1","itemData":{"DOI":"10.22437/ujh.3.2.441-476","author":[{"dropping-particle":"","family":"Shidarta","given":"Shidarta","non-dropping-particle":"","parse-names":false,"suffix":""}],"container-title":"Undang Jurnal Hukum","id":"ITEM-1","issue":"2","issued":{"date-parts":[["2020","12","1"]]},"page":"441-476","title":"Bernard Arief Sidharta: Dari Pengembanan Hukum Teoretis ke Pembentukan Ilmu Hukum Nasional Indonesia","type":"article-journal","volume":"3"},"uris":["http://www.mendeley.com/documents/?uuid=39e114a8-7231-464d-8156-356421d1735e"]},{"id":"ITEM-2","itemData":{"DOI":"10.59141/comserva.v3i09.1140","author":[{"dropping-particle":"","family":"Holili","given":"Holili","non-dropping-particle":"","parse-names":false,"suffix":""},{"dropping-particle":"","family":"Yunus","given":"M","non-dropping-particle":"","parse-names":false,"suffix":""},{"dropping-particle":"","family":"Winarto","given":"Winarto","non-dropping-particle":"","parse-names":false,"suffix":""}],"container-title":"COMSERVA : Jurnal Penelitian dan Pengabdian Masyarakat","id":"ITEM-2","issue":"9","issued":{"date-parts":[["2024","1","23"]]},"page":"3718-3726","title":"Kedudukan Yurisprudensi sebagai Sumber Hukum di Indonesia sebagai Penganut Sistem Civil Law","type":"article-journal","volume":"3"},"uris":["http://www.mendeley.com/documents/?uuid=ecaabf18-c335-4ba3-9527-a358ad2629e9"]}],"mendeley":{"formattedCitation":"(Holili et al., 2024; Shidarta, 2020)","plainTextFormattedCitation":"(Holili et al., 2024; Shidarta, 2020)","previouslyFormattedCitation":"(Holili et al., 2024; Shidarta, 2020)"},"properties":{"noteIndex":0},"schema":"https://github.com/citation-style-language/schema/raw/master/csl-citation.json"}</w:instrText>
      </w:r>
      <w:r w:rsidR="005D377C">
        <w:rPr>
          <w:rFonts w:ascii="Calibri Light" w:hAnsi="Calibri Light" w:cs="Calibri Light"/>
          <w:sz w:val="24"/>
          <w:szCs w:val="24"/>
        </w:rPr>
        <w:fldChar w:fldCharType="separate"/>
      </w:r>
      <w:r w:rsidRPr="005D377C" w:rsidR="005D377C">
        <w:rPr>
          <w:rFonts w:ascii="Calibri Light" w:hAnsi="Calibri Light" w:cs="Calibri Light"/>
          <w:noProof/>
          <w:sz w:val="24"/>
          <w:szCs w:val="24"/>
        </w:rPr>
        <w:t>(Holili et al., 2024; Shidarta, 2020)</w:t>
      </w:r>
      <w:r w:rsidR="005D377C">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According to Van Eika Hoemes:</w:t>
      </w:r>
    </w:p>
    <w:p w:rsidR="00EE3E1E" w:rsidRPr="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The principles of Law should not be considered as specific legal norms, but rather as the foundations of law, or guidelines for existing laws. The formation of law, in practice, needs to be oriented towards these legal principles. In other words, legal principles are the foundations or guiding directions in the formation of positive law.</w:t>
      </w:r>
      <w:r>
        <w:rPr>
          <w:rFonts w:ascii="Calibri Light" w:hAnsi="Calibri Light" w:cs="Calibri Light"/>
          <w:sz w:val="24"/>
          <w:szCs w:val="24"/>
        </w:rPr>
        <w:t>”</w:t>
      </w:r>
    </w:p>
    <w:p w:rsid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Starting from the clear view, it is evident that fundamental principles as the foundation and critical evaluation play a role when there are conflicts in the legal system, where legal principles serve to resolve conflicts as will be discussed in this chapter on the </w:t>
      </w:r>
      <w:r w:rsidRPr="00EE3E1E">
        <w:rPr>
          <w:rFonts w:ascii="Calibri Light" w:hAnsi="Calibri Light" w:cs="Calibri Light"/>
          <w:sz w:val="24"/>
          <w:szCs w:val="24"/>
        </w:rPr>
        <w:t>jurisdiction of human rights courts within the general court system and military courts within the military justice system to investigate, prosecute, and decide on cases of serious human rights violations committed by military personnel (TNI)</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5D377C">
        <w:rPr>
          <w:rFonts w:ascii="Calibri Light" w:hAnsi="Calibri Light" w:cs="Calibri Light"/>
          <w:sz w:val="24"/>
          <w:szCs w:val="24"/>
        </w:rPr>
        <w:instrText>ADDIN CSL_CITATION {"citationItems":[{"id":"ITEM-1","itemData":{"DOI":"10.15408/jch.v1i2.2998","author":[{"dropping-particle":"","family":"Helmi","given":"Muhammad","non-dropping-particle":"","parse-names":false,"suffix":""}],"container-title":"JURNAL CITA HUKUM","id":"ITEM-1","issue":"2","issued":{"date-parts":[["2016","4","7"]]},"title":"Penerapan Azas “Equality Before The Law” Dalam Sistem Peradilan Militer","type":"article-journal","volume":"1"},"uris":["http://www.mendeley.com/documents/?uuid=c7561545-042f-4f21-bf1c-e2be784c1792"]}],"mendeley":{"formattedCitation":"(Helmi, 2016)","plainTextFormattedCitation":"(Helmi, 2016)","previouslyFormattedCitation":"(Helmi, 2016)"},"properties":{"noteIndex":0},"schema":"https://github.com/citation-style-language/schema/raw/master/csl-citation.json"}</w:instrText>
      </w:r>
      <w:r w:rsidR="005D377C">
        <w:rPr>
          <w:rFonts w:ascii="Calibri Light" w:hAnsi="Calibri Light" w:cs="Calibri Light"/>
          <w:sz w:val="24"/>
          <w:szCs w:val="24"/>
        </w:rPr>
        <w:fldChar w:fldCharType="separate"/>
      </w:r>
      <w:r w:rsidRPr="00B264D5" w:rsidR="005D377C">
        <w:rPr>
          <w:rFonts w:ascii="Calibri Light" w:hAnsi="Calibri Light" w:cs="Calibri Light"/>
          <w:noProof/>
          <w:sz w:val="24"/>
          <w:szCs w:val="24"/>
        </w:rPr>
        <w:t>(Helmi, 2016)</w:t>
      </w:r>
      <w:r w:rsidR="005D377C">
        <w:rPr>
          <w:rFonts w:ascii="Calibri Light" w:hAnsi="Calibri Light" w:cs="Calibri Light"/>
          <w:sz w:val="24"/>
          <w:szCs w:val="24"/>
        </w:rPr>
        <w:fldChar w:fldCharType="end"/>
      </w:r>
      <w:r w:rsidRPr="00EE3E1E">
        <w:rPr>
          <w:rFonts w:ascii="Calibri Light" w:hAnsi="Calibri Light" w:cs="Calibri Light"/>
          <w:sz w:val="24"/>
          <w:szCs w:val="24"/>
        </w:rPr>
        <w:t>. Based on the aforementioned conflicts, it is necessary to explain the aspects of the preference principle which include the principles of lex posterior derogat legi priori, lex superior derogat legi inferior, and lex specialis derogat legi generalis, as follows:</w:t>
      </w:r>
    </w:p>
    <w:p w:rsidR="00EE3E1E" w:rsidRPr="00EE3E1E" w:rsidP="00EE3E1E">
      <w:pPr>
        <w:pStyle w:val="ListParagraph"/>
        <w:numPr>
          <w:ilvl w:val="0"/>
          <w:numId w:val="33"/>
        </w:numPr>
        <w:spacing w:before="120" w:after="120"/>
        <w:ind w:right="-1"/>
        <w:jc w:val="both"/>
        <w:rPr>
          <w:rFonts w:ascii="Calibri Light" w:hAnsi="Calibri Light" w:cs="Calibri Light"/>
          <w:sz w:val="24"/>
          <w:szCs w:val="24"/>
        </w:rPr>
      </w:pPr>
      <w:r w:rsidRPr="00EE3E1E">
        <w:rPr>
          <w:rFonts w:ascii="Calibri Light" w:hAnsi="Calibri Light" w:cs="Calibri Light"/>
          <w:sz w:val="24"/>
          <w:szCs w:val="24"/>
        </w:rPr>
        <w:t>Lex Posterior derogat legi priori</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Peter Mahmud Marzuki stated that the principle of lex posterior derogat legi priori means that:</w:t>
      </w:r>
    </w:p>
    <w:p w:rsidR="00EE3E1E" w:rsidRPr="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New legislation supersedes old legislation and the limitation of using this principle arises when faced with 2 (two) regulations of the same hierarchy.</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Bagir Manan also provides a definition of the principle of lex posterior by emphasizing a principle that the new legislation must be equal to or at least higher than the old legislation and the old legislation regulates the same aspects. </w:t>
      </w:r>
    </w:p>
    <w:p w:rsidR="00EE3E1E" w:rsidRP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Peter Mahmud Marzuki clarifies the philosophical foundation of the principle of lex posterior derogat legi priori that: </w:t>
      </w:r>
    </w:p>
    <w:p w:rsidR="00EE3E1E" w:rsidRPr="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If the form of legislation contained in the old legislation is not contrary to the philosophical foundation of the new legislation, then the legislation remains valid in accordance with the transitional provisions of the new legislation.</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rsidR="00EE3E1E" w:rsidRPr="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Lex superior derogat legi inferiori</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According to Bagir Manan, the principle of lex superior derogat legi inferiori means that:</w:t>
      </w:r>
    </w:p>
    <w:p w:rsidR="00327ACE" w:rsidRPr="00327ACE"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327ACE">
        <w:rPr>
          <w:rFonts w:ascii="Calibri Light" w:hAnsi="Calibri Light" w:cs="Calibri Light"/>
          <w:sz w:val="24"/>
          <w:szCs w:val="24"/>
        </w:rPr>
        <w:t>Regulations of higher legal authority override regulations of lower legal authority, unless the content of the higher legal regulations govern matters that are within the jurisdiction of lower legal regulations as stipulated by the law.</w:t>
      </w:r>
      <w:r>
        <w:rPr>
          <w:rFonts w:ascii="Calibri Light" w:hAnsi="Calibri Light" w:cs="Calibri Light"/>
          <w:sz w:val="24"/>
          <w:szCs w:val="24"/>
        </w:rPr>
        <w:t>”</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rsidR="00327ACE" w:rsidRPr="00327ACE"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327ACE">
        <w:rPr>
          <w:rFonts w:ascii="Calibri Light" w:hAnsi="Calibri Light" w:cs="Calibri Light"/>
          <w:sz w:val="24"/>
          <w:szCs w:val="24"/>
        </w:rPr>
        <w:t xml:space="preserve">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 </w:t>
      </w:r>
      <w:r>
        <w:rPr>
          <w:rFonts w:ascii="Calibri Light" w:hAnsi="Calibri Light" w:cs="Calibri Light"/>
          <w:sz w:val="24"/>
          <w:szCs w:val="24"/>
        </w:rPr>
        <w:t>“</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Kusnu Goesniadhie stated that:</w:t>
      </w:r>
    </w:p>
    <w:p w:rsidR="00327ACE" w:rsidRPr="00327ACE"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327ACE">
        <w:rPr>
          <w:rFonts w:ascii="Calibri Light" w:hAnsi="Calibri Light" w:cs="Calibri Light"/>
          <w:sz w:val="24"/>
          <w:szCs w:val="24"/>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r>
        <w:rPr>
          <w:rFonts w:ascii="Calibri Light" w:hAnsi="Calibri Light" w:cs="Calibri Light"/>
          <w:sz w:val="24"/>
          <w:szCs w:val="24"/>
        </w:rPr>
        <w:t>”</w:t>
      </w:r>
    </w:p>
    <w:p w:rsidR="00EE3E1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p>
    <w:p w:rsidR="00327ACE" w:rsidRPr="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 xml:space="preserve">Lex specialis </w:t>
      </w:r>
      <w:r w:rsidRPr="00327ACE">
        <w:rPr>
          <w:rFonts w:ascii="Calibri Light" w:hAnsi="Calibri Light" w:cs="Calibri Light"/>
          <w:sz w:val="24"/>
          <w:szCs w:val="24"/>
        </w:rPr>
        <w:t>derogat legi generalis</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Lex specialis derogat legi generalis means that specific laws are given priority over general laws, so that provisions that are general in nature can be overruled by regulations that specifically regulate the same matter. </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Soejono Sukanto stated that for specific events, the law that mentions the specific event must be applied, although the law that mentions a more general event that can include the specific event can also be applied. </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 </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According to Peter Mahmud Marzuki: </w:t>
      </w:r>
    </w:p>
    <w:p w:rsidR="00327ACE" w:rsidRPr="00327ACE"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327ACE">
        <w:rPr>
          <w:rFonts w:ascii="Calibri Light" w:hAnsi="Calibri Light" w:cs="Calibri Light"/>
          <w:sz w:val="24"/>
          <w:szCs w:val="24"/>
        </w:rPr>
        <w:t>The principle of lex specialis derogat legi generalis refers to two legal regulations that have the same hierarchical position but differ in substance, with one being a specific regulation of the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Pr>
          <w:rFonts w:ascii="Calibri Light" w:hAnsi="Calibri Light" w:cs="Calibri Light"/>
          <w:sz w:val="24"/>
          <w:szCs w:val="24"/>
        </w:rPr>
        <w:fldChar w:fldCharType="separate"/>
      </w:r>
      <w:r w:rsidRPr="007B4339">
        <w:rPr>
          <w:rFonts w:ascii="Calibri Light" w:hAnsi="Calibri Light" w:cs="Calibri Light"/>
          <w:noProof/>
          <w:sz w:val="24"/>
          <w:szCs w:val="24"/>
        </w:rPr>
        <w:t>(Marzuki, 2013)</w:t>
      </w:r>
      <w:r>
        <w:rPr>
          <w:rFonts w:ascii="Calibri Light" w:hAnsi="Calibri Light" w:cs="Calibri Light"/>
          <w:sz w:val="24"/>
          <w:szCs w:val="24"/>
        </w:rPr>
        <w:fldChar w:fldCharType="end"/>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According to Bagir Manan, there are several principles that must be considered in the principle of lex specialis derogat legi generalis, including:</w:t>
      </w:r>
    </w:p>
    <w:p w:rsidR="00327ACE" w:rsidRPr="00327ACE"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327ACE">
        <w:rPr>
          <w:rFonts w:ascii="Calibri Light" w:hAnsi="Calibri Light" w:cs="Calibri Light"/>
          <w:sz w:val="24"/>
          <w:szCs w:val="24"/>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r>
        <w:rPr>
          <w:rFonts w:ascii="Calibri Light" w:hAnsi="Calibri Light" w:cs="Calibri Light"/>
          <w:sz w:val="24"/>
          <w:szCs w:val="24"/>
        </w:rPr>
        <w:t>”</w:t>
      </w:r>
    </w:p>
    <w:p w:rsidR="00EE3E1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Therefore, the principle of lex specialis derogat legi generalis is important for law enforcement officials when applying criminal laws to cases they are handling.</w:t>
      </w:r>
    </w:p>
    <w:p w:rsidR="00327ACE" w:rsidRPr="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 xml:space="preserve">Lex </w:t>
      </w:r>
      <w:r w:rsidRPr="00327ACE">
        <w:rPr>
          <w:rFonts w:ascii="Calibri Light" w:hAnsi="Calibri Light" w:cs="Calibri Light"/>
          <w:sz w:val="24"/>
          <w:szCs w:val="24"/>
        </w:rPr>
        <w:t>specialis sistematica</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Pr="00D81983" w:rsid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In the development of legal science, including criminal law, 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Pr="007B4339" w:rsid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{"citationItems":[{"id":"ITEM-1","itemData":{"DOI":"10.59435/jurdikum.v1i1.100","author":[{"dropping-particle":"","family":"Kristiyadi","given":"","non-dropping-particle":"","parse-names":false,"suffix":""}],"container-title":"Jurnal Dunia Ilmu Hukum (JURDIKUM)","id":"ITEM-1","issue":"1","issued":{"date-parts":[["2023","6","13"]]},"page":"25-27","title":"Pergeseran Asas Legalitas Dalam Pembaruan Hukum Pidana Indonesia","type":"article-journal","volume":"1"},"uris":["http://www.mendeley.com/documents/?uuid=3323c031-b005-4b1d-a5dc-59130bfea59a"]}],"mendeley":{"formattedCitation":"(Kristiyadi, 2023)","plainTextFormattedCitation":"(Kristiyadi, 2023)","previouslyFormattedCitation":"(Kristiyadi, 2023)"},"properties":{"noteIndex":0},"schema":"https://github.com/citation-style-language/schema/raw/master/csl-citation.json"}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(Kristiyadi, 2023)</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{"citationItems":[{"id":"ITEM-1","itemData":{"author":[{"dropping-particle":"","family":"Remmelink","given":"Jan","non-dropping-particle":"","parse-names":false,"suffix":""}],"id":"ITEM-1","issued":{"date-parts":[["2017"]]},"publisher":"Jakarta: Gramedia Pustaka Utama","title":"Hukum Pidana: Komentar Atas Pasal-Pasal Terpenting Dalam Kitab Undang-Undang Hukum Pidana Belanda dan Padanannya Dalam Kitab Undang-Undang Hukum Pidana Indonesia","type":"book"},"uris":["http://www.mendeley.com/documents/?uuid=b02df199-ebf6-4909-913c-17de9d578b15"]}],"mendeley":{"formattedCitation":"(Remmelink, 2017)","manualFormatting":"Remmelink (2017)","plainTextFormattedCitation":"(Remmelink, 2017)","previouslyFormattedCitation":"(Remmelink, 2017)"},"properties":{"noteIndex":0},"schema":"https://github.com/citation-style-language/schema/raw/master/csl-citation.json"}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 xml:space="preserve">Remmelink </w:t>
      </w:r>
      <w:r w:rsidR="007B4339">
        <w:rPr>
          <w:rFonts w:ascii="Calibri Light" w:hAnsi="Calibri Light" w:cs="Calibri Light"/>
          <w:noProof/>
          <w:sz w:val="24"/>
          <w:szCs w:val="24"/>
        </w:rPr>
        <w:t>(</w:t>
      </w:r>
      <w:r w:rsidRPr="007B4339" w:rsidR="007B4339">
        <w:rPr>
          <w:rFonts w:ascii="Calibri Light" w:hAnsi="Calibri Light" w:cs="Calibri Light"/>
          <w:noProof/>
          <w:sz w:val="24"/>
          <w:szCs w:val="24"/>
        </w:rPr>
        <w:t>2017)</w:t>
      </w:r>
      <w:r w:rsidR="007B4339">
        <w:rPr>
          <w:rFonts w:ascii="Calibri Light" w:hAnsi="Calibri Light" w:cs="Calibri Light"/>
          <w:sz w:val="24"/>
          <w:szCs w:val="24"/>
        </w:rPr>
        <w:fldChar w:fldCharType="end"/>
      </w:r>
      <w:r w:rsidRPr="00327ACE">
        <w:rPr>
          <w:rFonts w:ascii="Calibri Light" w:hAnsi="Calibri Light" w:cs="Calibri Light"/>
          <w:sz w:val="24"/>
          <w:szCs w:val="24"/>
        </w:rPr>
        <w:t>,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10.32734/mah.v1i1.8311","author":[{"dropping-particle":"","family":"Hafizah","given":"Annisa","non-dropping-particle":"","parse-names":false,"suffix":""},{"dropping-particle":"","family":"Ablisar","given":"Madiasa","non-dropping-particle":"","parse-names":false,"suffix":""},{"dropping-particle":"","family":"Lubis","given":"Rafiqoh","non-dropping-particle":"","parse-names":false,"suffix":""}],"container-title":"Mahadi: Indonesia Journal of Law","id":"ITEM-1","issue":"1","issued":{"date-parts":[["2022","2","10"]]},"page":"1-10","title":"Asas Legalitas dalam Hukum Pidana Indonesia dan Hukum Pidana Islam","type":"article-journal","volume":"1"},"uris":["http://www.mendeley.com/documents/?uuid=7daae683-b834-4b0b-9eaa-5f8afa567c2b"]}],"mendeley":{"formattedCitation":"(Hafizah et al., 2022)","plainTextFormattedCitation":"(Hafizah et al., 2022)","previouslyFormattedCitation":"(Hafizah et al., 2022)"},"properties":{"noteIndex":0},"schema":"https://github.com/citation-style-language/schema/raw/master/csl-citation.json"}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(Hafizah et al., 2022)</w:t>
      </w:r>
      <w:r w:rsidR="007B4339">
        <w:rPr>
          <w:rFonts w:ascii="Calibri Light" w:hAnsi="Calibri Light" w:cs="Calibri Light"/>
          <w:sz w:val="24"/>
          <w:szCs w:val="24"/>
        </w:rPr>
        <w:fldChar w:fldCharType="end"/>
      </w:r>
      <w:r w:rsidRPr="00327ACE">
        <w:rPr>
          <w:rFonts w:ascii="Calibri Light" w:hAnsi="Calibri Light" w:cs="Calibri Light"/>
          <w:sz w:val="24"/>
          <w:szCs w:val="24"/>
        </w:rPr>
        <w:t>.</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Pr="007B4339" w:rsid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Pr="007B4339" w:rsid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the criteria for systematic speciality are the object of a general definition that is more fully regulated within a specific corridor framework, while logical speciality has detailed criteria for defining crimes within the limits of a general definition. For example:</w:t>
      </w:r>
    </w:p>
    <w:p w:rsidR="00327ACE" w:rsidRPr="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 xml:space="preserve">An individual illegally cuts down trees in a protected forest area, resulting in environmental damage. This act violates environmental management laws on one hand, and forestry laws on the other hand. However, upon further examination, the case should be based on the regulations in forestry laws because they are more complete and </w:t>
      </w:r>
      <w:r w:rsidRPr="00327ACE">
        <w:rPr>
          <w:rFonts w:ascii="Calibri Light" w:hAnsi="Calibri Light" w:cs="Calibri Light"/>
          <w:sz w:val="24"/>
          <w:szCs w:val="24"/>
        </w:rPr>
        <w:t xml:space="preserve">detailed within the specific criminal provisions framework. Therefore, forestry laws are lex specialis systematica. </w:t>
      </w:r>
    </w:p>
    <w:p w:rsidR="00EE3E1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Moving from the two legal regulations described above, in the Republic of Indonesia Law Number 31 of 1997 Regarding Military Courts and Republic of Indonesia Law Number 26 of 2000 Regarding Human Rights Courts, both of which are lex specialis systematica regulations that are both lex specialis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No.31","given":"","non-dropping-particle":"","parse-names":false,"suffix":""}],"id":"ITEM-1","issued":{"date-parts":[["1997"]]},"title":"Undang-Undang Nomor 31 Tahun 1997 tentang Peradilan Militer (Lembaran Negara Republik Indonesia Tahun 1997 Nomor 84, Tambahan Lembaran Negara Republik Indonesia Nomor 3713).","type":"book"},"uris":["http://www.mendeley.com/documents/?uuid=9b7539c8-6829-440f-9874-771102b9b7ca"]}],"mendeley":{"formattedCitation":"(UU No.31, 1997)","plainTextFormattedCitation":"(UU No.31, 1997)","previouslyFormattedCitation":"(UU No.31, 1997)"},"properties":{"noteIndex":0},"schema":"https://github.com/citation-style-language/schema/raw/master/csl-citation.json"}</w:instrText>
      </w:r>
      <w:r w:rsidR="00D81983">
        <w:rPr>
          <w:rFonts w:ascii="Calibri Light" w:hAnsi="Calibri Light" w:cs="Calibri Light"/>
          <w:sz w:val="24"/>
          <w:szCs w:val="24"/>
        </w:rPr>
        <w:fldChar w:fldCharType="separate"/>
      </w:r>
      <w:r w:rsidRPr="00D81983" w:rsidR="00D81983">
        <w:rPr>
          <w:rFonts w:ascii="Calibri Light" w:hAnsi="Calibri Light" w:cs="Calibri Light"/>
          <w:noProof/>
          <w:sz w:val="24"/>
          <w:szCs w:val="24"/>
        </w:rPr>
        <w:t>(UU No.31, 1997)</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This subordination is carried out and occurs in various legal contexts. </w:t>
      </w:r>
      <w:r w:rsidRPr="00C16F54">
        <w:rPr>
          <w:rFonts w:ascii="Calibri Light" w:hAnsi="Calibri Light" w:cs="Calibri Light"/>
          <w:i/>
          <w:iCs/>
          <w:sz w:val="24"/>
          <w:szCs w:val="24"/>
        </w:rPr>
        <w:t>First</w:t>
      </w:r>
      <w:r w:rsidRPr="00327ACE">
        <w:rPr>
          <w:rFonts w:ascii="Calibri Light" w:hAnsi="Calibri Light" w:cs="Calibri Light"/>
          <w:sz w:val="24"/>
          <w:szCs w:val="24"/>
        </w:rPr>
        <w:t xml:space="preserve">, there is a material law specification that applies sui generis to the military, namely military law and general criminal law. And in the military, there is a unique way of treating its members, as long as the treatment is still within reasonable limits. </w:t>
      </w:r>
      <w:r w:rsidRPr="00C16F54">
        <w:rPr>
          <w:rFonts w:ascii="Calibri Light" w:hAnsi="Calibri Light" w:cs="Calibri Light"/>
          <w:i/>
          <w:iCs/>
          <w:sz w:val="24"/>
          <w:szCs w:val="24"/>
        </w:rPr>
        <w:t>Second</w:t>
      </w:r>
      <w:r w:rsidRPr="00327ACE">
        <w:rPr>
          <w:rFonts w:ascii="Calibri Light" w:hAnsi="Calibri Light" w:cs="Calibri Light"/>
          <w:sz w:val="24"/>
          <w:szCs w:val="24"/>
        </w:rPr>
        <w:t xml:space="preserve">, a soldier must set a good example and not act arbitrarily towards the community because essentially the TNI is also ordinary humans. </w:t>
      </w:r>
      <w:r w:rsidRPr="00C16F54">
        <w:rPr>
          <w:rFonts w:ascii="Calibri Light" w:hAnsi="Calibri Light" w:cs="Calibri Light"/>
          <w:i/>
          <w:iCs/>
          <w:sz w:val="24"/>
          <w:szCs w:val="24"/>
        </w:rPr>
        <w:t>Third</w:t>
      </w:r>
      <w:r w:rsidRPr="00327ACE">
        <w:rPr>
          <w:rFonts w:ascii="Calibri Light" w:hAnsi="Calibri Light" w:cs="Calibri Light"/>
          <w:sz w:val="24"/>
          <w:szCs w:val="24"/>
        </w:rPr>
        <w:t xml:space="preserve">, a soldier is prepared to face very dangerous situations, namely threats to national security from both domestic and foreign sources. </w:t>
      </w:r>
      <w:r w:rsidRPr="00C16F54">
        <w:rPr>
          <w:rFonts w:ascii="Calibri Light" w:hAnsi="Calibri Light" w:cs="Calibri Light"/>
          <w:i/>
          <w:iCs/>
          <w:sz w:val="24"/>
          <w:szCs w:val="24"/>
        </w:rPr>
        <w:t>Fourth</w:t>
      </w:r>
      <w:r w:rsidRPr="00327ACE">
        <w:rPr>
          <w:rFonts w:ascii="Calibri Light" w:hAnsi="Calibri Light" w:cs="Calibri Light"/>
          <w:sz w:val="24"/>
          <w:szCs w:val="24"/>
        </w:rPr>
        <w:t>, a soldier must be accustomed to obeying their commanders because they are bound by a command system that greatly restricts their movements. This is necessary so that soldiers do not easily disobey their superiors and act arbitrarily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5953A6">
        <w:rPr>
          <w:rFonts w:ascii="Calibri Light" w:hAnsi="Calibri Light" w:cs="Calibri Light"/>
          <w:sz w:val="24"/>
          <w:szCs w:val="24"/>
        </w:rPr>
        <w:instrText>ADDIN CSL_CITATION {"citationItems":[{"id":"ITEM-1","itemData":{"DOI":"10.29313/bcsls.v2i2.3261","author":[{"dropping-particle":"","family":"Ramadhan","given":"Indra","non-dropping-particle":"","parse-names":false,"suffix":""},{"dropping-particle":"","family":"Heniarti","given":"Dini","non-dropping-particle":"","parse-names":false,"suffix":""}],"container-title":"Bandung Conference Series: Law Studies","id":"ITEM-1","issue":"2","issued":{"date-parts":[["2022","8","20"]]},"title":"Pertanggungjawaban Hukum Pidana terhadap Anggota TNI yang Melakukan Tindak Pidana Insurbordinasi Dihubungkan dengan Displin Militer","type":"article-journal","volume":"2"},"uris":["http://www.mendeley.com/documents/?uuid=3c1ad6e1-3273-411b-b371-63c70f04a507"]}],"mendeley":{"formattedCitation":"(Ramadhan &amp; Heniarti, 2022)","plainTextFormattedCitation":"(Ramadhan &amp; Heniarti, 2022)","previouslyFormattedCitation":"(Ramadhan &amp; Heniarti, 2022)"},"properties":{"noteIndex":0},"schema":"https://github.com/citation-style-language/schema/raw/master/csl-citation.json"}</w:instrText>
      </w:r>
      <w:r w:rsidR="00C16F54">
        <w:rPr>
          <w:rFonts w:ascii="Calibri Light" w:hAnsi="Calibri Light" w:cs="Calibri Light"/>
          <w:sz w:val="24"/>
          <w:szCs w:val="24"/>
        </w:rPr>
        <w:fldChar w:fldCharType="separate"/>
      </w:r>
      <w:r w:rsidRPr="00C16F54" w:rsidR="00C16F54">
        <w:rPr>
          <w:rFonts w:ascii="Calibri Light" w:hAnsi="Calibri Light" w:cs="Calibri Light"/>
          <w:noProof/>
          <w:sz w:val="24"/>
          <w:szCs w:val="24"/>
        </w:rPr>
        <w:t>(Ramadhan &amp; Heniarti, 2022)</w:t>
      </w:r>
      <w:r w:rsidR="00C16F54">
        <w:rPr>
          <w:rFonts w:ascii="Calibri Light" w:hAnsi="Calibri Light" w:cs="Calibri Light"/>
          <w:sz w:val="24"/>
          <w:szCs w:val="24"/>
        </w:rPr>
        <w:fldChar w:fldCharType="end"/>
      </w:r>
      <w:r w:rsidRPr="00327ACE">
        <w:rPr>
          <w:rFonts w:ascii="Calibri Light" w:hAnsi="Calibri Light" w:cs="Calibri Light"/>
          <w:sz w:val="24"/>
          <w:szCs w:val="24"/>
        </w:rPr>
        <w:t>.</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327ACE">
        <w:rPr>
          <w:rFonts w:ascii="Calibri Light" w:hAnsi="Calibri Light" w:cs="Calibri Light"/>
          <w:sz w:val="24"/>
          <w:szCs w:val="24"/>
        </w:rPr>
        <w:t>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Systematica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rsidR="00741058" w:rsidRPr="00122F5F"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P="00327ACE">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953A6">
        <w:rPr>
          <w:rFonts w:ascii="Calibri Light" w:hAnsi="Calibri Light" w:cs="Calibri Light"/>
          <w:noProof/>
          <w:sz w:val="24"/>
          <w:szCs w:val="24"/>
        </w:rPr>
        <w:t xml:space="preserve">Erdianto, K. (2016). </w:t>
      </w:r>
      <w:r w:rsidRPr="005953A6">
        <w:rPr>
          <w:rFonts w:ascii="Calibri Light" w:hAnsi="Calibri Light" w:cs="Calibri Light"/>
          <w:i/>
          <w:iCs/>
          <w:noProof/>
          <w:sz w:val="24"/>
          <w:szCs w:val="24"/>
        </w:rPr>
        <w:t>Kontras Paparkan 10 Kasus Pelanggaran Ham Yang Diduga Melibatkan TNI Era Soeharto</w:t>
      </w:r>
      <w:r w:rsidRPr="005953A6">
        <w:rPr>
          <w:rFonts w:ascii="Calibri Light" w:hAnsi="Calibri Light" w:cs="Calibri Light"/>
          <w:noProof/>
          <w:sz w:val="24"/>
          <w:szCs w:val="24"/>
        </w:rPr>
        <w:t xml:space="preserve">. Kompas.Com. </w:t>
      </w:r>
      <w:hyperlink r:id="rId8" w:history="1">
        <w:r w:rsidRPr="005A53A8">
          <w:rPr>
            <w:rStyle w:val="Hyperlink"/>
            <w:rFonts w:ascii="Calibri Light" w:hAnsi="Calibri Light" w:cs="Calibri Light"/>
            <w:noProof/>
            <w:sz w:val="24"/>
            <w:szCs w:val="24"/>
          </w:rPr>
          <w:t>https://nasional.kompas.com/read/2016/05/25/07220041/Kontras</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Hadjon, P. M., &amp; Djatmiati, T. (2017). </w:t>
      </w:r>
      <w:r w:rsidRPr="005953A6">
        <w:rPr>
          <w:rFonts w:ascii="Calibri Light" w:hAnsi="Calibri Light" w:cs="Calibri Light"/>
          <w:i/>
          <w:iCs/>
          <w:noProof/>
          <w:sz w:val="24"/>
          <w:szCs w:val="24"/>
        </w:rPr>
        <w:t>Argumentasi Hukum</w:t>
      </w:r>
      <w:r w:rsidRPr="005953A6">
        <w:rPr>
          <w:rFonts w:ascii="Calibri Light" w:hAnsi="Calibri Light" w:cs="Calibri Light"/>
          <w:noProof/>
          <w:sz w:val="24"/>
          <w:szCs w:val="24"/>
        </w:rPr>
        <w:t>. Surabaya: Gadjah Mada University Press.</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Hafizah, A., Ablisar, M., &amp; Lubis, R. (2022). Asas Legalitas dalam Hukum Pidana Indonesia dan Hukum Pidana Islam. </w:t>
      </w:r>
      <w:r w:rsidRPr="005953A6">
        <w:rPr>
          <w:rFonts w:ascii="Calibri Light" w:hAnsi="Calibri Light" w:cs="Calibri Light"/>
          <w:i/>
          <w:iCs/>
          <w:noProof/>
          <w:sz w:val="24"/>
          <w:szCs w:val="24"/>
        </w:rPr>
        <w:t>Mahadi: Indonesia Journal of Law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1–10. </w:t>
      </w:r>
      <w:hyperlink r:id="rId9" w:history="1">
        <w:r w:rsidRPr="005A53A8">
          <w:rPr>
            <w:rStyle w:val="Hyperlink"/>
            <w:rFonts w:ascii="Calibri Light" w:hAnsi="Calibri Light" w:cs="Calibri Light"/>
            <w:noProof/>
            <w:sz w:val="24"/>
            <w:szCs w:val="24"/>
          </w:rPr>
          <w:t>https://doi.org/10.32734/mah.v1i1.8311</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Helmi, M. (2016). Penerapan Azas “Equality Before The Law” Dalam Sistem Peradilan Militer. </w:t>
      </w:r>
      <w:r w:rsidRPr="005953A6">
        <w:rPr>
          <w:rFonts w:ascii="Calibri Light" w:hAnsi="Calibri Light" w:cs="Calibri Light"/>
          <w:i/>
          <w:iCs/>
          <w:noProof/>
          <w:sz w:val="24"/>
          <w:szCs w:val="24"/>
        </w:rPr>
        <w:t>JURNAL CITA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(2). </w:t>
      </w:r>
      <w:hyperlink r:id="rId10" w:history="1">
        <w:r w:rsidRPr="005A53A8">
          <w:rPr>
            <w:rStyle w:val="Hyperlink"/>
            <w:rFonts w:ascii="Calibri Light" w:hAnsi="Calibri Light" w:cs="Calibri Light"/>
            <w:noProof/>
            <w:sz w:val="24"/>
            <w:szCs w:val="24"/>
          </w:rPr>
          <w:t>https://doi.org/10.15408/jch.v1i2.2998</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Hiariej, E. O. S. (2018). </w:t>
      </w:r>
      <w:r w:rsidRPr="005953A6">
        <w:rPr>
          <w:rFonts w:ascii="Calibri Light" w:hAnsi="Calibri Light" w:cs="Calibri Light"/>
          <w:i/>
          <w:iCs/>
          <w:noProof/>
          <w:sz w:val="24"/>
          <w:szCs w:val="24"/>
        </w:rPr>
        <w:t>Prinsip-Prinsip Hukum Pidana</w:t>
      </w:r>
      <w:r w:rsidRPr="005953A6">
        <w:rPr>
          <w:rFonts w:ascii="Calibri Light" w:hAnsi="Calibri Light" w:cs="Calibri Light"/>
          <w:noProof/>
          <w:sz w:val="24"/>
          <w:szCs w:val="24"/>
        </w:rPr>
        <w:t>. Jakarta: Cahaya Atma Pustaka.</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Holili, H., Yunus, M., &amp; Winarto, W. (2024). Kedudukan Yurisprudensi sebagai Sumber Hukum di Indonesia sebagai Penganut Sistem Civil Law. </w:t>
      </w:r>
      <w:r w:rsidRPr="005953A6">
        <w:rPr>
          <w:rFonts w:ascii="Calibri Light" w:hAnsi="Calibri Light" w:cs="Calibri Light"/>
          <w:i/>
          <w:iCs/>
          <w:noProof/>
          <w:sz w:val="24"/>
          <w:szCs w:val="24"/>
        </w:rPr>
        <w:t>COMSERVA : Jurnal Penelitian Dan Pengabdian Masyarakat</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(9), 3718–3726. </w:t>
      </w:r>
      <w:hyperlink r:id="rId11" w:history="1">
        <w:r w:rsidRPr="005A53A8">
          <w:rPr>
            <w:rStyle w:val="Hyperlink"/>
            <w:rFonts w:ascii="Calibri Light" w:hAnsi="Calibri Light" w:cs="Calibri Light"/>
            <w:noProof/>
            <w:sz w:val="24"/>
            <w:szCs w:val="24"/>
          </w:rPr>
          <w:t>https://doi.org/10.59141/comserva.v3i09.1140</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Kristiyadi. (2023). Pergeseran Asas Legalitas Dalam Pembaruan Hukum Pidana Indonesia. </w:t>
      </w:r>
      <w:r w:rsidRPr="005953A6">
        <w:rPr>
          <w:rFonts w:ascii="Calibri Light" w:hAnsi="Calibri Light" w:cs="Calibri Light"/>
          <w:i/>
          <w:iCs/>
          <w:noProof/>
          <w:sz w:val="24"/>
          <w:szCs w:val="24"/>
        </w:rPr>
        <w:t>Jurnal Dunia Ilmu Hukum (JURDIKUM)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25–27. </w:t>
      </w:r>
      <w:hyperlink r:id="rId12" w:history="1">
        <w:r w:rsidRPr="005A53A8">
          <w:rPr>
            <w:rStyle w:val="Hyperlink"/>
            <w:rFonts w:ascii="Calibri Light" w:hAnsi="Calibri Light" w:cs="Calibri Light"/>
            <w:noProof/>
            <w:sz w:val="24"/>
            <w:szCs w:val="24"/>
          </w:rPr>
          <w:t>https://doi.org/10.59435/jurdikum.v1i1.100</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Marzuki, P. M. (2013). </w:t>
      </w:r>
      <w:r w:rsidRPr="005953A6">
        <w:rPr>
          <w:rFonts w:ascii="Calibri Light" w:hAnsi="Calibri Light" w:cs="Calibri Light"/>
          <w:i/>
          <w:iCs/>
          <w:noProof/>
          <w:sz w:val="24"/>
          <w:szCs w:val="24"/>
        </w:rPr>
        <w:t>Pengantar Ilmu Hukum</w:t>
      </w:r>
      <w:r w:rsidRPr="005953A6">
        <w:rPr>
          <w:rFonts w:ascii="Calibri Light" w:hAnsi="Calibri Light" w:cs="Calibri Light"/>
          <w:noProof/>
          <w:sz w:val="24"/>
          <w:szCs w:val="24"/>
        </w:rPr>
        <w:t>. Jakarta: Penerbit Kencana Prenada.</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Pebrianto, R. (2024). Kebijakan Hukum Pidana Tentang Pemeriksaan Prajurit TNI yang Melakukan Tindak Pidana Umum. </w:t>
      </w:r>
      <w:r w:rsidRPr="005953A6">
        <w:rPr>
          <w:rFonts w:ascii="Calibri Light" w:hAnsi="Calibri Light" w:cs="Calibri Light"/>
          <w:i/>
          <w:iCs/>
          <w:noProof/>
          <w:sz w:val="24"/>
          <w:szCs w:val="24"/>
        </w:rPr>
        <w:t>SEIKAT: Jurnal Ilmu Sosial, Politik Dan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(1), 71–80. </w:t>
      </w:r>
      <w:hyperlink r:id="rId13" w:history="1">
        <w:r w:rsidRPr="005A53A8">
          <w:rPr>
            <w:rStyle w:val="Hyperlink"/>
            <w:rFonts w:ascii="Calibri Light" w:hAnsi="Calibri Light" w:cs="Calibri Light"/>
            <w:noProof/>
            <w:sz w:val="24"/>
            <w:szCs w:val="24"/>
          </w:rPr>
          <w:t>https://doi.org/10.55681/seikat.v3i1.1194</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Purwoleksono, D. E. (2015). </w:t>
      </w:r>
      <w:r w:rsidRPr="005953A6">
        <w:rPr>
          <w:rFonts w:ascii="Calibri Light" w:hAnsi="Calibri Light" w:cs="Calibri Light"/>
          <w:i/>
          <w:iCs/>
          <w:noProof/>
          <w:sz w:val="24"/>
          <w:szCs w:val="24"/>
        </w:rPr>
        <w:t>Hukum Acara Pidana</w:t>
      </w:r>
      <w:r w:rsidRPr="005953A6">
        <w:rPr>
          <w:rFonts w:ascii="Calibri Light" w:hAnsi="Calibri Light" w:cs="Calibri Light"/>
          <w:noProof/>
          <w:sz w:val="24"/>
          <w:szCs w:val="24"/>
        </w:rPr>
        <w:t>. Surabaya: Airlangga University Press.</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Ramadhan, I., &amp; Heniarti, D. (2022). Pertanggungjawaban Hukum Pidana terhadap Anggota TNI yang Melakukan Tindak Pidana Insurbordinasi Dihubungkan dengan Displin Militer. </w:t>
      </w:r>
      <w:r w:rsidRPr="005953A6">
        <w:rPr>
          <w:rFonts w:ascii="Calibri Light" w:hAnsi="Calibri Light" w:cs="Calibri Light"/>
          <w:i/>
          <w:iCs/>
          <w:noProof/>
          <w:sz w:val="24"/>
          <w:szCs w:val="24"/>
        </w:rPr>
        <w:t>Bandung Conference Series: Law Studies</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w:t>
      </w:r>
      <w:hyperlink r:id="rId14" w:history="1">
        <w:r w:rsidRPr="005A53A8">
          <w:rPr>
            <w:rStyle w:val="Hyperlink"/>
            <w:rFonts w:ascii="Calibri Light" w:hAnsi="Calibri Light" w:cs="Calibri Light"/>
            <w:noProof/>
            <w:sz w:val="24"/>
            <w:szCs w:val="24"/>
          </w:rPr>
          <w:t>https://doi.org/10.29313/bcsls.v2i2.3261</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Remmelink, J. (2017). </w:t>
      </w:r>
      <w:r w:rsidRPr="005953A6">
        <w:rPr>
          <w:rFonts w:ascii="Calibri Light" w:hAnsi="Calibri Light" w:cs="Calibri Light"/>
          <w:i/>
          <w:iCs/>
          <w:noProof/>
          <w:sz w:val="24"/>
          <w:szCs w:val="24"/>
        </w:rPr>
        <w:t>Hukum Pidana: Komentar Atas Pasal-Pasal Terpenting Dalam Kitab Undang-Undang Hukum Pidana Belanda dan Padanannya Dalam Kitab Undang-Undang Hukum Pidana Indonesia</w:t>
      </w:r>
      <w:r w:rsidRPr="005953A6">
        <w:rPr>
          <w:rFonts w:ascii="Calibri Light" w:hAnsi="Calibri Light" w:cs="Calibri Light"/>
          <w:noProof/>
          <w:sz w:val="24"/>
          <w:szCs w:val="24"/>
        </w:rPr>
        <w:t>. Jakarta: Gramedia Pustaka Utama.</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Ruslan, R., &amp; Gassing, H. T. (2021). Penerapan Asas Equality Before The Law Pada Sistem Peradilan Militer di Pengadilan Militer III-16 Makassar. </w:t>
      </w:r>
      <w:r w:rsidRPr="005953A6">
        <w:rPr>
          <w:rFonts w:ascii="Calibri Light" w:hAnsi="Calibri Light" w:cs="Calibri Light"/>
          <w:i/>
          <w:iCs/>
          <w:noProof/>
          <w:sz w:val="24"/>
          <w:szCs w:val="24"/>
        </w:rPr>
        <w:t>Qadauna: Jurnal Ilmiah Mahasiswa Hukum Keluarga Islam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241–256. </w:t>
      </w:r>
      <w:hyperlink r:id="rId15" w:history="1">
        <w:r w:rsidRPr="005A53A8">
          <w:rPr>
            <w:rStyle w:val="Hyperlink"/>
            <w:rFonts w:ascii="Calibri Light" w:hAnsi="Calibri Light" w:cs="Calibri Light"/>
            <w:noProof/>
            <w:sz w:val="24"/>
            <w:szCs w:val="24"/>
          </w:rPr>
          <w:t>https://doi.org/10.24252/qadauna.v2i2.16278</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Shidarta, S. (2020). Bernard Arief Sidharta: Dari Pengembanan Hukum Teoretis ke Pembentukan Ilmu Hukum Nasional Indonesia. </w:t>
      </w:r>
      <w:r w:rsidRPr="005953A6">
        <w:rPr>
          <w:rFonts w:ascii="Calibri Light" w:hAnsi="Calibri Light" w:cs="Calibri Light"/>
          <w:i/>
          <w:iCs/>
          <w:noProof/>
          <w:sz w:val="24"/>
          <w:szCs w:val="24"/>
        </w:rPr>
        <w:t>Undang Jurnal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(2), 441–476. </w:t>
      </w:r>
      <w:hyperlink r:id="rId16" w:history="1">
        <w:r w:rsidRPr="005A53A8">
          <w:rPr>
            <w:rStyle w:val="Hyperlink"/>
            <w:rFonts w:ascii="Calibri Light" w:hAnsi="Calibri Light" w:cs="Calibri Light"/>
            <w:noProof/>
            <w:sz w:val="24"/>
            <w:szCs w:val="24"/>
          </w:rPr>
          <w:t>https://doi.org/10.22437/ujh.3.2.441-476</w:t>
        </w:r>
      </w:hyperlink>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No.26. (2000). </w:t>
      </w:r>
      <w:r w:rsidRPr="005953A6">
        <w:rPr>
          <w:rFonts w:ascii="Calibri Light" w:hAnsi="Calibri Light" w:cs="Calibri Light"/>
          <w:i/>
          <w:iCs/>
          <w:noProof/>
          <w:sz w:val="24"/>
          <w:szCs w:val="24"/>
        </w:rPr>
        <w:t>Undang-Undang Nomor 26 Tahun 2000 tentang Pengadilan HAM (Lembaran Negara Republik Indonesia Tahun 2000 Nomor 208, Tambahan Lembaran Negara Republik Indonesia Nomor 4026).</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No.31. (1997). </w:t>
      </w:r>
      <w:r w:rsidRPr="005953A6">
        <w:rPr>
          <w:rFonts w:ascii="Calibri Light" w:hAnsi="Calibri Light" w:cs="Calibri Light"/>
          <w:i/>
          <w:iCs/>
          <w:noProof/>
          <w:sz w:val="24"/>
          <w:szCs w:val="24"/>
        </w:rPr>
        <w:t>Undang-Undang Nomor 31 Tahun 1997 tentang Peradilan Militer (Lembaran Negara Republik Indonesia Tahun 1997 Nomor 84, Tambahan Lembaran Negara Republik Indonesia Nomor 3713).</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No.49. (2009). </w:t>
      </w:r>
      <w:r w:rsidRPr="005953A6">
        <w:rPr>
          <w:rFonts w:ascii="Calibri Light" w:hAnsi="Calibri Light" w:cs="Calibri Light"/>
          <w:i/>
          <w:iCs/>
          <w:noProof/>
          <w:sz w:val="24"/>
          <w:szCs w:val="24"/>
        </w:rPr>
        <w:t xml:space="preserve">Undang-Undang Nomor 49 Tahun 2009 Tentang Peradilan Umum </w:t>
      </w:r>
      <w:r w:rsidRPr="005953A6">
        <w:rPr>
          <w:rFonts w:ascii="Calibri Light" w:hAnsi="Calibri Light" w:cs="Calibri Light"/>
          <w:i/>
          <w:iCs/>
          <w:noProof/>
          <w:sz w:val="24"/>
          <w:szCs w:val="24"/>
        </w:rPr>
        <w:t>(Lembaran Negara Republik Indonesia Tahun 2009 Nomor 158, Tambahan Lembaran Negara Republik Indonesia Nomor 5077).</w:t>
      </w:r>
    </w:p>
    <w:p w:rsidR="005953A6" w:rsidRPr="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No.8. (1981). </w:t>
      </w:r>
      <w:r w:rsidRPr="005953A6">
        <w:rPr>
          <w:rFonts w:ascii="Calibri Light" w:hAnsi="Calibri Light" w:cs="Calibri Light"/>
          <w:i/>
          <w:iCs/>
          <w:noProof/>
          <w:sz w:val="24"/>
          <w:szCs w:val="24"/>
        </w:rPr>
        <w:t>Undang-Undang Nomor 8 Tahun 1981 Tentang Kitab Undang-Undang Hukum Acara Pidana (Lembaran Negara Republik Indonesia Tahun 1981 Nomor 76, Tambahan Lembaran Negara Republik Indonesia Nomor 3209)</w:t>
      </w:r>
      <w:r w:rsidRPr="005953A6">
        <w:rPr>
          <w:rFonts w:ascii="Calibri Light" w:hAnsi="Calibri Light" w:cs="Calibri Light"/>
          <w:noProof/>
          <w:sz w:val="24"/>
          <w:szCs w:val="24"/>
        </w:rPr>
        <w:t>.</w:t>
      </w:r>
    </w:p>
    <w:p w:rsidR="005953A6" w:rsidRPr="005953A6" w:rsidP="005953A6">
      <w:pPr>
        <w:widowControl w:val="0"/>
        <w:adjustRightInd w:val="0"/>
        <w:spacing w:before="120" w:after="120"/>
        <w:ind w:left="851" w:hanging="567"/>
        <w:jc w:val="both"/>
        <w:rPr>
          <w:rFonts w:ascii="Calibri Light" w:hAnsi="Calibri Light" w:cs="Calibri Light"/>
          <w:noProof/>
          <w:sz w:val="24"/>
        </w:rPr>
      </w:pPr>
      <w:r w:rsidRPr="005953A6">
        <w:rPr>
          <w:rFonts w:ascii="Calibri Light" w:hAnsi="Calibri Light" w:cs="Calibri Light"/>
          <w:noProof/>
          <w:sz w:val="24"/>
          <w:szCs w:val="24"/>
        </w:rPr>
        <w:t xml:space="preserve">Valdanito, M. (2024). Quo Vadis Penelitian Hukum: Sebuah Jalan Meluruskan Miskonsepsi Kecenderungan Arah Penelitian Hukum. </w:t>
      </w:r>
      <w:r w:rsidRPr="005953A6">
        <w:rPr>
          <w:rFonts w:ascii="Calibri Light" w:hAnsi="Calibri Light" w:cs="Calibri Light"/>
          <w:i/>
          <w:iCs/>
          <w:noProof/>
          <w:sz w:val="24"/>
          <w:szCs w:val="24"/>
        </w:rPr>
        <w:t>Jurnal USM Law Review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7</w:t>
      </w:r>
      <w:r w:rsidRPr="005953A6">
        <w:rPr>
          <w:rFonts w:ascii="Calibri Light" w:hAnsi="Calibri Light" w:cs="Calibri Light"/>
          <w:noProof/>
          <w:sz w:val="24"/>
          <w:szCs w:val="24"/>
        </w:rPr>
        <w:t xml:space="preserve">(2), 634–657. </w:t>
      </w:r>
      <w:hyperlink r:id="rId17" w:history="1">
        <w:r w:rsidRPr="005A53A8">
          <w:rPr>
            <w:rStyle w:val="Hyperlink"/>
            <w:rFonts w:ascii="Calibri Light" w:hAnsi="Calibri Light" w:cs="Calibri Light"/>
            <w:noProof/>
            <w:sz w:val="24"/>
            <w:szCs w:val="24"/>
          </w:rPr>
          <w:t>https://doi.org/10.26623/julr.v7i2.7917</w:t>
        </w:r>
      </w:hyperlink>
    </w:p>
    <w:p w:rsidR="00327ACE" w:rsidRPr="00540F02" w:rsidP="005953A6">
      <w:pPr>
        <w:pStyle w:val="ListParagraph"/>
        <w:tabs>
          <w:tab w:val="left" w:pos="1134"/>
        </w:tabs>
        <w:spacing w:before="120" w:after="120" w:line="240" w:lineRule="auto"/>
        <w:ind w:left="851" w:right="-1" w:hanging="56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5F526E">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34"/>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3pt;height:21.9pt;margin-top:-5.3pt;margin-left:361.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2.95pt;height:21.9pt;margin-top:-5.3pt;margin-left:361.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5.65pt;height:21.9pt;margin-top:-5.3pt;margin-left:358.8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sid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sidR="004B01FC">
                      <w:rPr>
                        <w:rFonts w:ascii="Calibri Light" w:hAnsi="Calibri Light" w:cs="Calibri Light"/>
                        <w:i/>
                        <w:sz w:val="18"/>
                      </w:rPr>
                      <w:t>Military Court Authority to Adjudicate Serious Human Rights Violations Committed by TNI Personnel</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5C95CB3"/>
    <w:multiLevelType w:val="hybridMultilevel"/>
    <w:tmpl w:val="10BA0334"/>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5">
    <w:nsid w:val="2AB06B63"/>
    <w:multiLevelType w:val="hybridMultilevel"/>
    <w:tmpl w:val="78A49A0E"/>
    <w:lvl w:ilvl="0">
      <w:start w:val="1"/>
      <w:numFmt w:val="lowerLetter"/>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6">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8">
    <w:nsid w:val="38A43637"/>
    <w:multiLevelType w:val="hybridMultilevel"/>
    <w:tmpl w:val="93442EBC"/>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9">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1">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2">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559E4693"/>
    <w:multiLevelType w:val="hybridMultilevel"/>
    <w:tmpl w:val="1D1AD1D4"/>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5">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6">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9">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1">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2">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180200056">
    <w:abstractNumId w:val="16"/>
  </w:num>
  <w:num w:numId="2" w16cid:durableId="1537892093">
    <w:abstractNumId w:val="8"/>
  </w:num>
  <w:num w:numId="3" w16cid:durableId="612522489">
    <w:abstractNumId w:val="9"/>
  </w:num>
  <w:num w:numId="4" w16cid:durableId="1558662887">
    <w:abstractNumId w:val="26"/>
  </w:num>
  <w:num w:numId="5" w16cid:durableId="92013854">
    <w:abstractNumId w:val="25"/>
  </w:num>
  <w:num w:numId="6" w16cid:durableId="1175418985">
    <w:abstractNumId w:val="23"/>
  </w:num>
  <w:num w:numId="7" w16cid:durableId="1773085138">
    <w:abstractNumId w:val="31"/>
  </w:num>
  <w:num w:numId="8" w16cid:durableId="1525630166">
    <w:abstractNumId w:val="17"/>
  </w:num>
  <w:num w:numId="9" w16cid:durableId="2036493169">
    <w:abstractNumId w:val="27"/>
  </w:num>
  <w:num w:numId="10" w16cid:durableId="147211974">
    <w:abstractNumId w:val="28"/>
  </w:num>
  <w:num w:numId="11" w16cid:durableId="817261977">
    <w:abstractNumId w:val="11"/>
  </w:num>
  <w:num w:numId="12" w16cid:durableId="2127456360">
    <w:abstractNumId w:val="21"/>
  </w:num>
  <w:num w:numId="13" w16cid:durableId="1659113750">
    <w:abstractNumId w:val="7"/>
  </w:num>
  <w:num w:numId="14" w16cid:durableId="817184149">
    <w:abstractNumId w:val="0"/>
  </w:num>
  <w:num w:numId="15" w16cid:durableId="1816491169">
    <w:abstractNumId w:val="32"/>
  </w:num>
  <w:num w:numId="16" w16cid:durableId="207995">
    <w:abstractNumId w:val="22"/>
  </w:num>
  <w:num w:numId="17" w16cid:durableId="1422944272">
    <w:abstractNumId w:val="30"/>
  </w:num>
  <w:num w:numId="18" w16cid:durableId="1189685800">
    <w:abstractNumId w:val="29"/>
  </w:num>
  <w:num w:numId="19" w16cid:durableId="51586631">
    <w:abstractNumId w:val="20"/>
  </w:num>
  <w:num w:numId="20" w16cid:durableId="184363826">
    <w:abstractNumId w:val="5"/>
  </w:num>
  <w:num w:numId="21" w16cid:durableId="2138135939">
    <w:abstractNumId w:val="1"/>
  </w:num>
  <w:num w:numId="22" w16cid:durableId="1228346796">
    <w:abstractNumId w:val="12"/>
  </w:num>
  <w:num w:numId="23" w16cid:durableId="489446660">
    <w:abstractNumId w:val="2"/>
  </w:num>
  <w:num w:numId="24" w16cid:durableId="1826434357">
    <w:abstractNumId w:val="3"/>
  </w:num>
  <w:num w:numId="25" w16cid:durableId="1520511859">
    <w:abstractNumId w:val="4"/>
  </w:num>
  <w:num w:numId="26" w16cid:durableId="2066640456">
    <w:abstractNumId w:val="10"/>
  </w:num>
  <w:num w:numId="27" w16cid:durableId="14580053">
    <w:abstractNumId w:val="13"/>
  </w:num>
  <w:num w:numId="28" w16cid:durableId="1245644063">
    <w:abstractNumId w:val="6"/>
  </w:num>
  <w:num w:numId="29" w16cid:durableId="1324237841">
    <w:abstractNumId w:val="19"/>
  </w:num>
  <w:num w:numId="30" w16cid:durableId="1754355504">
    <w:abstractNumId w:val="14"/>
  </w:num>
  <w:num w:numId="31" w16cid:durableId="267273884">
    <w:abstractNumId w:val="18"/>
  </w:num>
  <w:num w:numId="32" w16cid:durableId="888759400">
    <w:abstractNumId w:val="15"/>
  </w:num>
  <w:num w:numId="33" w16cid:durableId="78573252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6065"/>
    <w:rsid w:val="000475BE"/>
    <w:rsid w:val="00055FC4"/>
    <w:rsid w:val="0006191D"/>
    <w:rsid w:val="00066AC1"/>
    <w:rsid w:val="00076F8C"/>
    <w:rsid w:val="0008198D"/>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077A9"/>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E79BD"/>
    <w:rsid w:val="002F4D18"/>
    <w:rsid w:val="00301FEB"/>
    <w:rsid w:val="00303D42"/>
    <w:rsid w:val="0030640D"/>
    <w:rsid w:val="00312D76"/>
    <w:rsid w:val="00327ACE"/>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1FC"/>
    <w:rsid w:val="004B08D8"/>
    <w:rsid w:val="004B0E60"/>
    <w:rsid w:val="004C15A0"/>
    <w:rsid w:val="004D00AE"/>
    <w:rsid w:val="004D0872"/>
    <w:rsid w:val="004D5A18"/>
    <w:rsid w:val="004D67B0"/>
    <w:rsid w:val="004D7EF4"/>
    <w:rsid w:val="004E6EE9"/>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248"/>
    <w:rsid w:val="005635B4"/>
    <w:rsid w:val="0056705C"/>
    <w:rsid w:val="00571CFE"/>
    <w:rsid w:val="00591DE5"/>
    <w:rsid w:val="0059236C"/>
    <w:rsid w:val="005953A6"/>
    <w:rsid w:val="005A4F69"/>
    <w:rsid w:val="005A53A8"/>
    <w:rsid w:val="005C14AA"/>
    <w:rsid w:val="005C643D"/>
    <w:rsid w:val="005D377C"/>
    <w:rsid w:val="005D4A0D"/>
    <w:rsid w:val="005E7673"/>
    <w:rsid w:val="005F526E"/>
    <w:rsid w:val="006035FA"/>
    <w:rsid w:val="00603691"/>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4339"/>
    <w:rsid w:val="007B496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078DF"/>
    <w:rsid w:val="00911A24"/>
    <w:rsid w:val="009206DD"/>
    <w:rsid w:val="009276FB"/>
    <w:rsid w:val="00936811"/>
    <w:rsid w:val="00940F83"/>
    <w:rsid w:val="0094187E"/>
    <w:rsid w:val="00945575"/>
    <w:rsid w:val="0095288D"/>
    <w:rsid w:val="00954BA8"/>
    <w:rsid w:val="009568BC"/>
    <w:rsid w:val="00965E3F"/>
    <w:rsid w:val="00965F50"/>
    <w:rsid w:val="0098193E"/>
    <w:rsid w:val="00987772"/>
    <w:rsid w:val="0099291C"/>
    <w:rsid w:val="009929B4"/>
    <w:rsid w:val="009A1281"/>
    <w:rsid w:val="009B6344"/>
    <w:rsid w:val="009B764B"/>
    <w:rsid w:val="009D7AA9"/>
    <w:rsid w:val="009E2468"/>
    <w:rsid w:val="009E24C6"/>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01CC"/>
    <w:rsid w:val="00A91CAD"/>
    <w:rsid w:val="00A92D0F"/>
    <w:rsid w:val="00A95B23"/>
    <w:rsid w:val="00AA4AE4"/>
    <w:rsid w:val="00AA4E7D"/>
    <w:rsid w:val="00AA6636"/>
    <w:rsid w:val="00AC6628"/>
    <w:rsid w:val="00AC702B"/>
    <w:rsid w:val="00AD2E20"/>
    <w:rsid w:val="00AD3EFD"/>
    <w:rsid w:val="00AD559D"/>
    <w:rsid w:val="00AF35CC"/>
    <w:rsid w:val="00AF73DF"/>
    <w:rsid w:val="00B02CE0"/>
    <w:rsid w:val="00B17324"/>
    <w:rsid w:val="00B25EDF"/>
    <w:rsid w:val="00B264D5"/>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6F54"/>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4875"/>
    <w:rsid w:val="00D26ADD"/>
    <w:rsid w:val="00D44083"/>
    <w:rsid w:val="00D57022"/>
    <w:rsid w:val="00D57A56"/>
    <w:rsid w:val="00D63088"/>
    <w:rsid w:val="00D67104"/>
    <w:rsid w:val="00D73826"/>
    <w:rsid w:val="00D775DE"/>
    <w:rsid w:val="00D81983"/>
    <w:rsid w:val="00D90FE5"/>
    <w:rsid w:val="00D92BF8"/>
    <w:rsid w:val="00D93BCB"/>
    <w:rsid w:val="00D94113"/>
    <w:rsid w:val="00D96860"/>
    <w:rsid w:val="00DC3AF3"/>
    <w:rsid w:val="00DC4FE5"/>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3E1E"/>
    <w:rsid w:val="00F01DBC"/>
    <w:rsid w:val="00F06CD1"/>
    <w:rsid w:val="00F06FB4"/>
    <w:rsid w:val="00F1027C"/>
    <w:rsid w:val="00F12364"/>
    <w:rsid w:val="00F1612A"/>
    <w:rsid w:val="00F20642"/>
    <w:rsid w:val="00F23791"/>
    <w:rsid w:val="00F3381A"/>
    <w:rsid w:val="00F369EC"/>
    <w:rsid w:val="00F52E83"/>
    <w:rsid w:val="00F64620"/>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13C7"/>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79481FC5"/>
  <w15:docId w15:val="{33092601-9B23-459D-8210-6906459D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5A53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doi.org/10.15408/jch.v1i2.2998" TargetMode="External" /><Relationship Id="rId11" Type="http://schemas.openxmlformats.org/officeDocument/2006/relationships/hyperlink" Target="https://doi.org/10.59141/comserva.v3i09.1140" TargetMode="External" /><Relationship Id="rId12" Type="http://schemas.openxmlformats.org/officeDocument/2006/relationships/hyperlink" Target="https://doi.org/10.59435/jurdikum.v1i1.100" TargetMode="External" /><Relationship Id="rId13" Type="http://schemas.openxmlformats.org/officeDocument/2006/relationships/hyperlink" Target="https://doi.org/10.55681/seikat.v3i1.1194" TargetMode="External" /><Relationship Id="rId14" Type="http://schemas.openxmlformats.org/officeDocument/2006/relationships/hyperlink" Target="https://doi.org/10.29313/bcsls.v2i2.3261" TargetMode="External" /><Relationship Id="rId15" Type="http://schemas.openxmlformats.org/officeDocument/2006/relationships/hyperlink" Target="https://doi.org/10.24252/qadauna.v2i2.16278" TargetMode="External" /><Relationship Id="rId16" Type="http://schemas.openxmlformats.org/officeDocument/2006/relationships/hyperlink" Target="https://doi.org/10.22437/ujh.3.2.441-476" TargetMode="External" /><Relationship Id="rId17" Type="http://schemas.openxmlformats.org/officeDocument/2006/relationships/hyperlink" Target="https://doi.org/10.26623/julr.v7i2.7917" TargetMode="External"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3.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hyperlink" Target="https://nasional.kompas.com/read/2016/05/25/07220041/Kontras" TargetMode="External" /><Relationship Id="rId9" Type="http://schemas.openxmlformats.org/officeDocument/2006/relationships/hyperlink" Target="https://doi.org/10.32734/mah.v1i1.8311" TargetMode="Externa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7DD54-E1D4-4984-BDED-CF213994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10</Pages>
  <Words>7063</Words>
  <Characters>40265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cp:lastModifiedBy>
  <cp:revision>33</cp:revision>
  <cp:lastPrinted>2008-11-01T04:52:00Z</cp:lastPrinted>
  <dcterms:created xsi:type="dcterms:W3CDTF">2023-02-02T21:36:00Z</dcterms:created>
  <dcterms:modified xsi:type="dcterms:W3CDTF">2024-08-15T12:57:00Z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http://www.zotero.org/styles/apa-6th-edition</vt:lpwstr>
  </property>
  <property fmtid="{D5CDD505-2E9C-101B-9397-08002B2CF9AE}" pid="6" name="Mendeley Recent Style Id 2_1">
    <vt:lpwstr>https://csl.mendeley.com/styles/475823531/apa</vt:lpwstr>
  </property>
  <property fmtid="{D5CDD505-2E9C-101B-9397-08002B2CF9AE}" pid="7" name="Mendeley Recent Style Id 3_1">
    <vt:lpwstr>http://www.zotero.org/styles/apa</vt:lpwstr>
  </property>
  <property fmtid="{D5CDD505-2E9C-101B-9397-08002B2CF9AE}" pid="8" name="Mendeley Recent Style Id 4_1">
    <vt:lpwstr>http://www.zotero.org/styles/american-sociological-association</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http://www.zotero.org/styles/harvard1</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http://www.zotero.org/styles/turabian-fullnote-bibliography</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6th edition - Mincho Slavov</vt:lpwstr>
  </property>
  <property fmtid="{D5CDD505-2E9C-101B-9397-08002B2CF9AE}" pid="17" name="Mendeley Recent Style Name 3_1">
    <vt:lpwstr>American Psychological Association 7th edition</vt:lpwstr>
  </property>
  <property fmtid="{D5CDD505-2E9C-101B-9397-08002B2CF9AE}" pid="18" name="Mendeley Recent Style Name 4_1">
    <vt:lpwstr>American Sociological Association 6th edition</vt:lpwstr>
  </property>
  <property fmtid="{D5CDD505-2E9C-101B-9397-08002B2CF9AE}" pid="19" name="Mendeley Recent Style Name 5_1">
    <vt:lpwstr>Cite Them Right 11th edition - Harvard</vt:lpwstr>
  </property>
  <property fmtid="{D5CDD505-2E9C-101B-9397-08002B2CF9AE}" pid="20" name="Mendeley Recent Style Name 6_1">
    <vt:lpwstr>Harvard reference format 1 (deprecated)</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9th edition</vt:lpwstr>
  </property>
  <property fmtid="{D5CDD505-2E9C-101B-9397-08002B2CF9AE}" pid="23" name="Mendeley Recent Style Name 9_1">
    <vt:lpwstr>Turabian 8th edition (full note)</vt:lpwstr>
  </property>
  <property fmtid="{D5CDD505-2E9C-101B-9397-08002B2CF9AE}" pid="24" name="Mendeley Unique User Id_1">
    <vt:lpwstr>f285d1e5-942b-34af-b2d8-037c9d4fd42c</vt:lpwstr>
  </property>
</Properties>
</file>