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85AA3" w14:textId="77777777" w:rsidR="006932F6" w:rsidRDefault="00CE07D8">
      <w:pPr>
        <w:shd w:val="clear" w:color="auto" w:fill="FAFAFA"/>
        <w:divId w:val="682437228"/>
        <w:rPr>
          <w:rFonts w:ascii="Google Sans" w:eastAsia="Times New Roman" w:hAnsi="Google Sans"/>
          <w:vanish/>
        </w:rPr>
      </w:pPr>
      <w:r>
        <w:rPr>
          <w:rFonts w:ascii="Google Sans" w:eastAsia="Times New Roman" w:hAnsi="Google Sans"/>
          <w:vanish/>
        </w:rPr>
        <w:t>Buka Drive</w:t>
      </w:r>
    </w:p>
    <w:p w14:paraId="7829CD25" w14:textId="77777777" w:rsidR="006932F6" w:rsidRDefault="006932F6">
      <w:pPr>
        <w:shd w:val="clear" w:color="auto" w:fill="FAFAFA"/>
        <w:divId w:val="4400617"/>
        <w:rPr>
          <w:rStyle w:val="Hyperlink"/>
        </w:rPr>
      </w:pPr>
    </w:p>
    <w:p w14:paraId="76AFEB8A" w14:textId="77777777" w:rsidR="006932F6" w:rsidRDefault="00CE07D8">
      <w:pPr>
        <w:shd w:val="clear" w:color="auto" w:fill="FAFAFA"/>
        <w:divId w:val="212352878"/>
        <w:rPr>
          <w:sz w:val="30"/>
          <w:szCs w:val="30"/>
        </w:rPr>
      </w:pPr>
      <w:r>
        <w:rPr>
          <w:rFonts w:ascii="Google Sans" w:eastAsia="Times New Roman" w:hAnsi="Google Sans"/>
          <w:sz w:val="30"/>
          <w:szCs w:val="30"/>
        </w:rPr>
        <w:t>TEMPLATE IJLS NEW 2022.rtf</w:t>
      </w:r>
    </w:p>
    <w:p w14:paraId="55EC0AF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https://najahaofficial.id/najahajournal/index.php/IJLS/</w:t>
      </w:r>
    </w:p>
    <w:p w14:paraId="5B6C7220" w14:textId="77777777" w:rsidR="006932F6" w:rsidRDefault="00CE07D8">
      <w:pPr>
        <w:pStyle w:val="NormalWeb"/>
        <w:shd w:val="clear" w:color="auto" w:fill="FFFFFF"/>
        <w:spacing w:before="0" w:beforeAutospacing="0" w:after="0" w:afterAutospacing="0"/>
        <w:divId w:val="1667629909"/>
        <w:rPr>
          <w:color w:val="000000"/>
          <w:sz w:val="20"/>
          <w:szCs w:val="20"/>
        </w:rPr>
      </w:pPr>
      <w:r>
        <w:rPr>
          <w:rFonts w:ascii="Calibri" w:hAnsi="Calibri"/>
          <w:color w:val="000000"/>
          <w:sz w:val="12"/>
          <w:szCs w:val="12"/>
        </w:rPr>
        <w:t>Volume 1, Issue 1, 2022</w:t>
      </w:r>
    </w:p>
    <w:p w14:paraId="6A6326C4" w14:textId="77777777" w:rsidR="006932F6" w:rsidRDefault="00CE07D8">
      <w:pPr>
        <w:pStyle w:val="NormalWeb"/>
        <w:shd w:val="clear" w:color="auto" w:fill="FFFFFF"/>
        <w:spacing w:before="0" w:beforeAutospacing="0" w:after="0" w:afterAutospacing="0"/>
        <w:ind w:left="22"/>
        <w:jc w:val="both"/>
        <w:divId w:val="1667629909"/>
        <w:rPr>
          <w:color w:val="000000"/>
          <w:sz w:val="20"/>
          <w:szCs w:val="20"/>
        </w:rPr>
      </w:pPr>
      <w:r>
        <w:rPr>
          <w:rFonts w:ascii="Calibri" w:hAnsi="Calibri"/>
          <w:color w:val="000000"/>
          <w:sz w:val="18"/>
          <w:szCs w:val="18"/>
        </w:rPr>
        <w:t xml:space="preserve">Anwar, S. &amp; Aljambaky. H.A.M., </w:t>
      </w:r>
      <w:r>
        <w:rPr>
          <w:rFonts w:ascii="Calibri" w:hAnsi="Calibri"/>
          <w:i/>
          <w:iCs/>
          <w:color w:val="000000"/>
          <w:sz w:val="18"/>
          <w:szCs w:val="18"/>
        </w:rPr>
        <w:t>Systematic Versus Informal Law of Culturally Relevant Pedagogy: Are Performance Outcomes Different?</w:t>
      </w:r>
    </w:p>
    <w:p w14:paraId="78D311AE" w14:textId="77777777" w:rsidR="006932F6" w:rsidRDefault="00CE07D8">
      <w:pPr>
        <w:pStyle w:val="NormalWeb"/>
        <w:shd w:val="clear" w:color="auto" w:fill="FFFFFF"/>
        <w:spacing w:before="0" w:beforeAutospacing="0" w:after="0" w:afterAutospacing="0"/>
        <w:divId w:val="1667629909"/>
        <w:rPr>
          <w:color w:val="000000"/>
          <w:sz w:val="20"/>
          <w:szCs w:val="20"/>
        </w:rPr>
      </w:pPr>
      <w:r>
        <w:rPr>
          <w:noProof/>
          <w:color w:val="000000"/>
          <w:sz w:val="20"/>
          <w:szCs w:val="20"/>
          <w:lang w:eastAsia="ko-KR"/>
        </w:rPr>
        <w:drawing>
          <wp:inline distT="0" distB="0" distL="0" distR="0" wp14:anchorId="1B62FBA0" wp14:editId="3F5BDCC0">
            <wp:extent cx="304800" cy="304800"/>
            <wp:effectExtent l="0" t="0" r="0" b="0"/>
            <wp:docPr id="8" name="Picture 8"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A304E" w14:textId="77777777"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b/>
          <w:bCs/>
          <w:color w:val="000000"/>
          <w:sz w:val="28"/>
          <w:szCs w:val="28"/>
        </w:rPr>
        <w:t xml:space="preserve">Pengaturan Hukum Terhadap Kekerasan dalam Pernikahan : Analisis Yuridis Implementasi Undang-Undang Perlindungan Perempuan dan Anak </w:t>
      </w:r>
    </w:p>
    <w:p w14:paraId="22FBEFFD" w14:textId="158C6411"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b/>
          <w:bCs/>
          <w:color w:val="000000"/>
        </w:rPr>
        <w:t>Ferry Irawan Febriansyah</w:t>
      </w:r>
      <w:r>
        <w:rPr>
          <w:rFonts w:ascii="Calibri" w:hAnsi="Calibri"/>
          <w:b/>
          <w:bCs/>
          <w:color w:val="000000"/>
          <w:vertAlign w:val="superscript"/>
        </w:rPr>
        <w:t>1</w:t>
      </w:r>
      <w:r>
        <w:rPr>
          <w:rFonts w:ascii="Calibri" w:hAnsi="Calibri"/>
          <w:b/>
          <w:bCs/>
          <w:color w:val="000000"/>
        </w:rPr>
        <w:t>,</w:t>
      </w:r>
      <w:r w:rsidR="00D77E38">
        <w:rPr>
          <w:rFonts w:ascii="Calibri" w:hAnsi="Calibri"/>
          <w:b/>
          <w:bCs/>
          <w:color w:val="000000"/>
        </w:rPr>
        <w:t xml:space="preserve"> </w:t>
      </w:r>
      <w:r>
        <w:rPr>
          <w:rFonts w:ascii="Calibri" w:hAnsi="Calibri"/>
          <w:b/>
          <w:bCs/>
          <w:color w:val="000000"/>
        </w:rPr>
        <w:t>Ucuk Agiyanto</w:t>
      </w:r>
      <w:r>
        <w:rPr>
          <w:rFonts w:ascii="Calibri" w:hAnsi="Calibri"/>
          <w:b/>
          <w:bCs/>
          <w:color w:val="000000"/>
          <w:vertAlign w:val="superscript"/>
        </w:rPr>
        <w:t>2</w:t>
      </w:r>
      <w:r>
        <w:rPr>
          <w:rFonts w:ascii="Calibri" w:hAnsi="Calibri"/>
          <w:b/>
          <w:bCs/>
          <w:color w:val="000000"/>
        </w:rPr>
        <w:t>, Afiful Ikhwan</w:t>
      </w:r>
      <w:r>
        <w:rPr>
          <w:rFonts w:ascii="Calibri" w:hAnsi="Calibri"/>
          <w:b/>
          <w:bCs/>
          <w:color w:val="000000"/>
          <w:vertAlign w:val="superscript"/>
        </w:rPr>
        <w:t>3</w:t>
      </w:r>
      <w:r>
        <w:rPr>
          <w:rFonts w:ascii="Calibri" w:hAnsi="Calibri"/>
          <w:b/>
          <w:bCs/>
          <w:color w:val="000000"/>
        </w:rPr>
        <w:t>, Nurul Tri Utami</w:t>
      </w:r>
      <w:r>
        <w:rPr>
          <w:rFonts w:ascii="Calibri" w:hAnsi="Calibri"/>
          <w:b/>
          <w:bCs/>
          <w:color w:val="000000"/>
          <w:vertAlign w:val="superscript"/>
        </w:rPr>
        <w:t>4</w:t>
      </w:r>
      <w:r>
        <w:rPr>
          <w:rFonts w:ascii="Calibri" w:hAnsi="Calibri"/>
          <w:b/>
          <w:bCs/>
          <w:color w:val="000000"/>
        </w:rPr>
        <w:t> </w:t>
      </w:r>
    </w:p>
    <w:p w14:paraId="3632739C" w14:textId="77777777"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color w:val="000000"/>
          <w:vertAlign w:val="superscript"/>
        </w:rPr>
        <w:t>1</w:t>
      </w:r>
      <w:r w:rsidR="004F3F32">
        <w:rPr>
          <w:rFonts w:ascii="Calibri" w:hAnsi="Calibri"/>
          <w:color w:val="000000"/>
        </w:rPr>
        <w:t>(Hukum</w:t>
      </w:r>
      <w:r>
        <w:rPr>
          <w:rFonts w:ascii="Calibri" w:hAnsi="Calibri"/>
          <w:color w:val="000000"/>
        </w:rPr>
        <w:t xml:space="preserve">, Universitas Muhammadiyah Ponorogo, Ponorogo, Indonesia, </w:t>
      </w:r>
      <w:hyperlink r:id="rId6" w:history="1">
        <w:r w:rsidR="004F3F32" w:rsidRPr="00006EE8">
          <w:rPr>
            <w:rStyle w:val="Hyperlink"/>
            <w:rFonts w:ascii="Calibri" w:hAnsi="Calibri"/>
          </w:rPr>
          <w:t>ferryirawanfebriansyah@gmail.com</w:t>
        </w:r>
      </w:hyperlink>
      <w:r>
        <w:rPr>
          <w:rFonts w:ascii="Calibri" w:hAnsi="Calibri"/>
          <w:color w:val="000000"/>
        </w:rPr>
        <w:t xml:space="preserve">) </w:t>
      </w:r>
    </w:p>
    <w:p w14:paraId="4889F213" w14:textId="77777777" w:rsidR="006932F6" w:rsidRDefault="00CE07D8">
      <w:pPr>
        <w:pStyle w:val="NormalWeb"/>
        <w:shd w:val="clear" w:color="auto" w:fill="FFFFFF"/>
        <w:spacing w:before="0" w:beforeAutospacing="0" w:after="0" w:afterAutospacing="0"/>
        <w:divId w:val="1928615425"/>
        <w:rPr>
          <w:rFonts w:ascii="Calibri" w:hAnsi="Calibri"/>
          <w:color w:val="000000"/>
        </w:rPr>
      </w:pPr>
      <w:r>
        <w:rPr>
          <w:rFonts w:ascii="Calibri" w:hAnsi="Calibri"/>
          <w:color w:val="000000"/>
          <w:vertAlign w:val="superscript"/>
        </w:rPr>
        <w:t>2</w:t>
      </w:r>
      <w:r>
        <w:rPr>
          <w:rFonts w:ascii="Calibri" w:hAnsi="Calibri"/>
          <w:color w:val="000000"/>
        </w:rPr>
        <w:t xml:space="preserve">(Hukum, Universitas Muhammadiyah Ponorogo, Ponorogo, Indonesia, </w:t>
      </w:r>
      <w:hyperlink r:id="rId7" w:history="1">
        <w:r>
          <w:rPr>
            <w:rStyle w:val="Hyperlink"/>
            <w:rFonts w:ascii="Calibri" w:hAnsi="Calibri"/>
          </w:rPr>
          <w:t>ucukagiyanto@gmail.com</w:t>
        </w:r>
      </w:hyperlink>
      <w:r>
        <w:rPr>
          <w:rFonts w:ascii="Calibri" w:hAnsi="Calibri"/>
          <w:color w:val="000000"/>
        </w:rPr>
        <w:t xml:space="preserve">) </w:t>
      </w:r>
    </w:p>
    <w:p w14:paraId="6F18AAE6" w14:textId="77777777" w:rsidR="006932F6" w:rsidRDefault="00CE07D8">
      <w:pPr>
        <w:pStyle w:val="NormalWeb"/>
        <w:shd w:val="clear" w:color="auto" w:fill="FFFFFF"/>
        <w:spacing w:before="0" w:beforeAutospacing="0" w:after="0" w:afterAutospacing="0"/>
        <w:divId w:val="1928615425"/>
        <w:rPr>
          <w:rFonts w:ascii="Calibri" w:hAnsi="Calibri"/>
          <w:color w:val="000000"/>
        </w:rPr>
      </w:pPr>
      <w:r>
        <w:rPr>
          <w:rFonts w:ascii="Calibri" w:hAnsi="Calibri"/>
          <w:color w:val="000000"/>
          <w:vertAlign w:val="superscript"/>
        </w:rPr>
        <w:t>3</w:t>
      </w:r>
      <w:r w:rsidR="004F3F32">
        <w:rPr>
          <w:rFonts w:ascii="Calibri" w:hAnsi="Calibri"/>
          <w:color w:val="000000"/>
        </w:rPr>
        <w:t>(Pendidikan Agama Islam</w:t>
      </w:r>
      <w:r>
        <w:rPr>
          <w:rFonts w:ascii="Calibri" w:hAnsi="Calibri"/>
          <w:color w:val="000000"/>
        </w:rPr>
        <w:t xml:space="preserve">, Universitas Muhammadiyah Ponorogo, Ponorogo, Indonesia, </w:t>
      </w:r>
      <w:hyperlink r:id="rId8" w:history="1">
        <w:r>
          <w:rPr>
            <w:rStyle w:val="Hyperlink"/>
            <w:rFonts w:ascii="Calibri" w:hAnsi="Calibri"/>
          </w:rPr>
          <w:t>afifulikhwan@gmail.com</w:t>
        </w:r>
      </w:hyperlink>
      <w:r>
        <w:rPr>
          <w:rFonts w:ascii="Calibri" w:hAnsi="Calibri"/>
          <w:color w:val="000000"/>
        </w:rPr>
        <w:t>)</w:t>
      </w:r>
    </w:p>
    <w:p w14:paraId="20613E41" w14:textId="77777777" w:rsidR="006932F6" w:rsidRDefault="00CE07D8">
      <w:pPr>
        <w:pStyle w:val="NormalWeb"/>
        <w:shd w:val="clear" w:color="auto" w:fill="FFFFFF"/>
        <w:spacing w:before="0" w:beforeAutospacing="0" w:after="0" w:afterAutospacing="0"/>
        <w:divId w:val="1928615425"/>
        <w:rPr>
          <w:color w:val="000000"/>
          <w:sz w:val="20"/>
          <w:szCs w:val="20"/>
        </w:rPr>
      </w:pPr>
      <w:r>
        <w:rPr>
          <w:rFonts w:ascii="Calibri" w:hAnsi="Calibri"/>
          <w:color w:val="000000"/>
          <w:vertAlign w:val="superscript"/>
        </w:rPr>
        <w:t>4</w:t>
      </w:r>
      <w:r>
        <w:rPr>
          <w:rFonts w:ascii="Calibri" w:hAnsi="Calibri"/>
          <w:color w:val="000000"/>
        </w:rPr>
        <w:t xml:space="preserve">(Hukum, Universitas Muhammadiyah Ponorogo, Ponorogo, Indonesia, </w:t>
      </w:r>
      <w:hyperlink r:id="rId9" w:history="1">
        <w:r>
          <w:rPr>
            <w:rStyle w:val="Hyperlink"/>
            <w:rFonts w:ascii="Calibri" w:hAnsi="Calibri"/>
          </w:rPr>
          <w:t>nurultri500@gmail.com</w:t>
        </w:r>
      </w:hyperlink>
      <w:r>
        <w:rPr>
          <w:rFonts w:ascii="Calibri" w:hAnsi="Calibri"/>
          <w:color w:val="000000"/>
        </w:rPr>
        <w:t>)</w:t>
      </w:r>
    </w:p>
    <w:p w14:paraId="4D9E1177" w14:textId="77777777" w:rsidR="006932F6" w:rsidRDefault="006932F6">
      <w:pPr>
        <w:pStyle w:val="NormalWeb"/>
        <w:shd w:val="clear" w:color="auto" w:fill="FFFFFF"/>
        <w:spacing w:before="0" w:beforeAutospacing="0" w:after="0" w:afterAutospacing="0"/>
        <w:divId w:val="1928615425"/>
        <w:rPr>
          <w:color w:val="000000"/>
          <w:sz w:val="20"/>
          <w:szCs w:val="20"/>
        </w:rPr>
      </w:pPr>
    </w:p>
    <w:p w14:paraId="4410D181"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Received: 2021-October-15 </w:t>
      </w:r>
    </w:p>
    <w:p w14:paraId="54422272"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 xml:space="preserve">Rev. Req: 2022-January-09 </w:t>
      </w:r>
    </w:p>
    <w:p w14:paraId="08304E6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rFonts w:ascii="Calibri" w:hAnsi="Calibri"/>
          <w:color w:val="000000"/>
          <w:sz w:val="20"/>
          <w:szCs w:val="20"/>
        </w:rPr>
        <w:t>Accepted: 2022-January-22</w:t>
      </w:r>
    </w:p>
    <w:p w14:paraId="403D6B5D" w14:textId="77777777" w:rsidR="006932F6" w:rsidRDefault="00CE07D8">
      <w:pPr>
        <w:pStyle w:val="NormalWeb"/>
        <w:shd w:val="clear" w:color="auto" w:fill="FFFFFF"/>
        <w:spacing w:before="0" w:beforeAutospacing="0" w:after="0" w:afterAutospacing="0"/>
        <w:ind w:right="738"/>
        <w:divId w:val="1928615425"/>
        <w:rPr>
          <w:color w:val="000000"/>
          <w:sz w:val="20"/>
          <w:szCs w:val="20"/>
        </w:rPr>
      </w:pPr>
      <w:r>
        <w:rPr>
          <w:noProof/>
          <w:color w:val="000000"/>
          <w:sz w:val="20"/>
          <w:szCs w:val="20"/>
          <w:lang w:eastAsia="ko-KR"/>
        </w:rPr>
        <w:drawing>
          <wp:inline distT="0" distB="0" distL="0" distR="0" wp14:anchorId="4230915C" wp14:editId="5C454791">
            <wp:extent cx="304800" cy="304800"/>
            <wp:effectExtent l="0" t="0" r="0" b="0"/>
            <wp:docPr id="7" name="Picture 7" descr="C:\Users\cctvu\OneDrive\문서\TEMPLATE IJLS NEW 2022.rtf.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ctvu\OneDrive\문서\TEMPLATE IJLS NEW 2022.rtf.html"/>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Calibri" w:hAnsi="Calibri"/>
          <w:color w:val="000000"/>
          <w:sz w:val="20"/>
          <w:szCs w:val="20"/>
        </w:rPr>
        <w:t xml:space="preserve"> 10.5758/ijls.2022.1 </w:t>
      </w:r>
    </w:p>
    <w:tbl>
      <w:tblPr>
        <w:tblW w:w="0" w:type="auto"/>
        <w:tblLook w:val="04A0" w:firstRow="1" w:lastRow="0" w:firstColumn="1" w:lastColumn="0" w:noHBand="0" w:noVBand="1"/>
      </w:tblPr>
      <w:tblGrid>
        <w:gridCol w:w="9004"/>
      </w:tblGrid>
      <w:tr w:rsidR="006932F6" w14:paraId="67335039" w14:textId="77777777">
        <w:trPr>
          <w:divId w:val="1928615425"/>
        </w:trPr>
        <w:tc>
          <w:tcPr>
            <w:tcW w:w="9004" w:type="dxa"/>
            <w:tcBorders>
              <w:top w:val="single" w:sz="8" w:space="0" w:color="000000"/>
              <w:left w:val="single" w:sz="8" w:space="0" w:color="000000"/>
              <w:bottom w:val="single" w:sz="8" w:space="0" w:color="000000"/>
              <w:right w:val="single" w:sz="8" w:space="0" w:color="000000"/>
            </w:tcBorders>
            <w:hideMark/>
          </w:tcPr>
          <w:p w14:paraId="0F4C985E"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 xml:space="preserve">How to cite this paper: Pilotti, M. &amp; Almubarak. H. A. M. (2021). Systematic Versus Informal Application of Culturally Relevant Pedagogy: Are Performance Outcomes Different? A Study of College Students. </w:t>
            </w:r>
            <w:r>
              <w:rPr>
                <w:rFonts w:ascii="Calibri" w:hAnsi="Calibri"/>
                <w:i/>
                <w:iCs/>
                <w:color w:val="000000"/>
                <w:sz w:val="20"/>
                <w:szCs w:val="20"/>
              </w:rPr>
              <w:t>Journal of Culture and Values in Education</w:t>
            </w:r>
            <w:r>
              <w:rPr>
                <w:rFonts w:ascii="Calibri" w:hAnsi="Calibri"/>
                <w:color w:val="000000"/>
                <w:sz w:val="20"/>
                <w:szCs w:val="20"/>
              </w:rPr>
              <w:t xml:space="preserve">, </w:t>
            </w:r>
            <w:r>
              <w:rPr>
                <w:rFonts w:ascii="Calibri" w:hAnsi="Calibri"/>
                <w:i/>
                <w:iCs/>
                <w:color w:val="000000"/>
                <w:sz w:val="20"/>
                <w:szCs w:val="20"/>
              </w:rPr>
              <w:t>4</w:t>
            </w:r>
            <w:r>
              <w:rPr>
                <w:rFonts w:ascii="Calibri" w:hAnsi="Calibri"/>
                <w:color w:val="000000"/>
                <w:sz w:val="20"/>
                <w:szCs w:val="20"/>
              </w:rPr>
              <w:t xml:space="preserve">(2), 14-26. </w:t>
            </w:r>
            <w:hyperlink r:id="rId10" w:history="1">
              <w:r>
                <w:rPr>
                  <w:rStyle w:val="Hyperlink"/>
                  <w:rFonts w:ascii="Calibri" w:hAnsi="Calibri"/>
                  <w:sz w:val="20"/>
                  <w:szCs w:val="20"/>
                </w:rPr>
                <w:t>https://doi.org/10.5758/ijls.2022.1</w:t>
              </w:r>
            </w:hyperlink>
          </w:p>
          <w:p w14:paraId="087E0FDD" w14:textId="77777777" w:rsidR="006932F6" w:rsidRDefault="00CE07D8">
            <w:pPr>
              <w:pStyle w:val="NormalWeb"/>
              <w:spacing w:before="0" w:beforeAutospacing="0" w:after="0" w:afterAutospacing="0"/>
              <w:ind w:right="2"/>
              <w:jc w:val="both"/>
              <w:rPr>
                <w:color w:val="000000"/>
                <w:sz w:val="20"/>
                <w:szCs w:val="20"/>
              </w:rPr>
            </w:pPr>
            <w:r>
              <w:rPr>
                <w:rFonts w:ascii="Calibri" w:hAnsi="Calibri"/>
                <w:color w:val="000000"/>
                <w:sz w:val="20"/>
                <w:szCs w:val="20"/>
              </w:rPr>
              <w:t>This is an Open Access article distributed under the terms of the Creative Commons Attribution 4.0 International license (</w:t>
            </w:r>
            <w:r>
              <w:rPr>
                <w:rFonts w:ascii="Calibri" w:hAnsi="Calibri"/>
                <w:color w:val="0462C1"/>
                <w:sz w:val="20"/>
                <w:szCs w:val="20"/>
                <w:u w:val="single"/>
              </w:rPr>
              <w:t>https://creativecommons.org/licenses/by/4.0/</w:t>
            </w:r>
            <w:r>
              <w:rPr>
                <w:rFonts w:ascii="Calibri" w:hAnsi="Calibri"/>
                <w:color w:val="000000"/>
                <w:sz w:val="20"/>
                <w:szCs w:val="20"/>
              </w:rPr>
              <w:t>)</w:t>
            </w:r>
          </w:p>
        </w:tc>
      </w:tr>
    </w:tbl>
    <w:p w14:paraId="36998ABA" w14:textId="77777777" w:rsidR="006932F6" w:rsidRDefault="00CE07D8">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r>
        <w:rPr>
          <w:rStyle w:val="s1"/>
          <w:rFonts w:asciiTheme="majorHAnsi" w:hAnsiTheme="majorHAnsi"/>
          <w:sz w:val="24"/>
          <w:szCs w:val="24"/>
        </w:rPr>
        <w:t>Penelitian ini bertujuan untuk menganalisis pengaturan hukum terhadap kekerasan dalam pernikahan dengan fokus pada implementasi Undang-Undang Perlindungan Perempuan dan Anak. Metode penelitian yang digunakan adalah metode penelitian hukum normatif, dengan menganalisis berbagai peraturan perundang-undangan, dokumen resmi, dan putusan pengadilan terkait. Analisis masalah menyoroti kekurangan dalam implementasi undang-undang yang mengakibatkan kurangnya perlindungan bagi korban kekerasan dalam rumah tangga. Selain itu, juga dibahas tantangan dalam penegakan hukum terhadap pelaku kekerasan dalam pernikahan. Kesimpulannya, meskipun sudah ada undang-undang yang mengatur perlindungan perempuan dan anak, implementasinya masih belum optimal. Diperlukan upaya lebih lanjut untuk memperkuat penegakan hukum dan meningkatkan kesadaran masyarakat tentang hak-hak perempuan dan anak dalam konteks pernikahan.</w:t>
      </w:r>
    </w:p>
    <w:p w14:paraId="3B6BCA40" w14:textId="77777777" w:rsidR="006932F6" w:rsidRDefault="006932F6">
      <w:pPr>
        <w:pStyle w:val="NormalWeb"/>
        <w:shd w:val="clear" w:color="auto" w:fill="FFFFFF"/>
        <w:spacing w:before="0" w:beforeAutospacing="0" w:after="0" w:afterAutospacing="0"/>
        <w:ind w:right="-2"/>
        <w:jc w:val="both"/>
        <w:divId w:val="1928615425"/>
        <w:rPr>
          <w:color w:val="000000"/>
          <w:sz w:val="20"/>
          <w:szCs w:val="20"/>
        </w:rPr>
      </w:pPr>
    </w:p>
    <w:p w14:paraId="313ADA6F" w14:textId="77777777" w:rsidR="006932F6" w:rsidRDefault="00CE07D8">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Pr>
          <w:rFonts w:ascii="Calibri" w:hAnsi="Calibri"/>
          <w:i/>
          <w:iCs/>
          <w:color w:val="000000"/>
        </w:rPr>
        <w:t>Kekerasan dalam pernikahan, Perlindungan perempuan dan anak, Implementasi hukum.</w:t>
      </w:r>
      <w:r>
        <w:rPr>
          <w:rFonts w:ascii="Calibri" w:hAnsi="Calibri"/>
          <w:color w:val="A6A6A6"/>
        </w:rPr>
        <w:t> </w:t>
      </w:r>
    </w:p>
    <w:p w14:paraId="39DA9E5B" w14:textId="77777777" w:rsidR="00700AD5" w:rsidRDefault="00700AD5">
      <w:pPr>
        <w:pStyle w:val="NormalWeb"/>
        <w:shd w:val="clear" w:color="auto" w:fill="FFFFFF"/>
        <w:spacing w:before="0" w:beforeAutospacing="0" w:after="0" w:afterAutospacing="0"/>
        <w:ind w:right="738"/>
        <w:jc w:val="both"/>
        <w:divId w:val="1928615425"/>
        <w:rPr>
          <w:rFonts w:ascii="Calibri" w:hAnsi="Calibri"/>
          <w:color w:val="A6A6A6"/>
        </w:rPr>
      </w:pPr>
    </w:p>
    <w:p w14:paraId="12F9CE38" w14:textId="77777777" w:rsidR="00700AD5" w:rsidRDefault="00700AD5">
      <w:pPr>
        <w:pStyle w:val="NormalWeb"/>
        <w:shd w:val="clear" w:color="auto" w:fill="FFFFFF"/>
        <w:spacing w:before="0" w:beforeAutospacing="0" w:after="0" w:afterAutospacing="0"/>
        <w:ind w:right="738"/>
        <w:jc w:val="both"/>
        <w:divId w:val="1928615425"/>
        <w:rPr>
          <w:color w:val="000000"/>
          <w:sz w:val="20"/>
          <w:szCs w:val="20"/>
        </w:rPr>
      </w:pPr>
    </w:p>
    <w:p w14:paraId="146906EC" w14:textId="77777777" w:rsidR="006932F6" w:rsidRDefault="00CE07D8">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C3B57A4"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lastRenderedPageBreak/>
        <w:t>Pengaturan hukum terhadap kekerasan dalam pernikahan yang menganalisa secara yuridis implementasi Undang-Undang Perlindungan Perempuan dan Anak mencakup pemahaman mendalam tentang konteks filosofis, yuridis, dan sosiologis yang mendasari perlunya pengaturan hukum terhadap kekerasan dalam rumah tangga, khususnya dalam konteks implementasi Undang-Undang Perlindungan Perempuan dan Anak.</w:t>
      </w:r>
    </w:p>
    <w:p w14:paraId="2B9DE221"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Secara filosofis, perlindungan terhadap individu, terutama perempuan dan anak-anak, merupakan prinsip yang mendasar dalam setiap sistem hukum yang berdasarkan pada nilai-nilai kemanusiaan dan keadilan. Filosofi ini menegaskan bahwa setiap individu memiliki hak untuk hidup bebas dari kekerasan, termasuk dalam konteks hubungan pernikahan. Dengan demikian, pengaturan hukum terhadap kekerasan dalam pernikahan dapat dipahami sebagai wujud dari upaya untuk mewujudkan nilai-nilai kemanusiaan dan keadilan dalam masyarakat.</w:t>
      </w:r>
    </w:p>
    <w:p w14:paraId="62F8E4A0"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perspektif yuridis, penting untuk memahami bahwa kekerasan dalam pernikahan melanggar hak asasi manusia dan merupakan pelanggaran terhadap hukum yang harus ditindaklanjuti secara serius. Undang-Undang Perlindungan Perempuan dan Anak merupakan instrumen hukum yang dirancang untuk memberikan perlindungan hukum kepada perempuan dan anak-anak yang menjadi korban kekerasan, termasuk kekerasan dalam rumah tangga. Implementasi undang-undang ini membutuhkan pemahaman yang mendalam tentang ketentuan hukum yang ada, proses hukum yang berlaku, serta peran berbagai lembaga penegak hukum dalam menangani kasus-kasus kekerasan dalam pernikahan.</w:t>
      </w:r>
    </w:p>
    <w:p w14:paraId="0167C9C3"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Dari sudut pandang sosiologis, kekerasan dalam pernikahan merupakan fenomena kompleks yang dipengaruhi oleh berbagai faktor sosial, ekonomi, budaya, dan struktural. Faktor-faktor seperti ketidaksetaraan gender, ketimpangan kekuasaan dalam hubungan intim, stereotip gender yang merugikan, dan ketidakmampuan sistem penegakan hukum dalam menangani kasus kekerasan dapat memperburuk masalah ini. Oleh karena itu, dalam menganalisis pengaturan hukum terhadap kekerasan dalam pernikahan, penting untuk memperhatikan faktor-faktor sosial dan struktural yang mempengaruhi terjadinya kekerasan serta upaya-upaya untuk mengatasi akar masalah tersebut.</w:t>
      </w:r>
    </w:p>
    <w:p w14:paraId="05B3E615" w14:textId="77777777" w:rsidR="006932F6" w:rsidRDefault="00CE07D8" w:rsidP="00700AD5">
      <w:pPr>
        <w:pStyle w:val="p1"/>
        <w:ind w:left="426" w:firstLine="294"/>
        <w:jc w:val="both"/>
        <w:divId w:val="1928615425"/>
        <w:rPr>
          <w:rFonts w:asciiTheme="majorHAnsi" w:hAnsiTheme="majorHAnsi"/>
          <w:sz w:val="24"/>
          <w:szCs w:val="24"/>
        </w:rPr>
      </w:pPr>
      <w:r>
        <w:rPr>
          <w:rStyle w:val="s1"/>
          <w:rFonts w:asciiTheme="majorHAnsi" w:hAnsiTheme="majorHAnsi"/>
          <w:sz w:val="24"/>
          <w:szCs w:val="24"/>
        </w:rPr>
        <w:t>Alasan yang tepat dalam mengambil dan meneliti judul ini adalah karena kekerasan dalam pernikahan merupakan masalah yang serius yang mempengaruhi banyak individu dan keluarga di seluruh dunia. Dalam konteks Indonesia, meskipun telah ada Undang-Undang Perlindungan Perempuan dan Anak, masih terdapat tantangan dalam implementasi dan penegakan hukum terhadap kasus kekerasan dalam pernikahan. Oleh karena itu, analisis yang mendalam tentang pengaturan hukum terhadap kekerasan dalam pernikahan dan implementasi Undang-Undang Perlindungan Perempuan dan Anak sangat relevan untuk memahami tantangan dan peluang dalam menangani masalah ini secara efektif.</w:t>
      </w:r>
      <w:r>
        <w:rPr>
          <w:rFonts w:ascii="Calibri" w:hAnsi="Calibri"/>
          <w:color w:val="000000"/>
        </w:rPr>
        <w:t xml:space="preserve"> </w:t>
      </w:r>
    </w:p>
    <w:p w14:paraId="618E557F" w14:textId="77777777" w:rsidR="006932F6" w:rsidRDefault="00CE07D8">
      <w:pPr>
        <w:numPr>
          <w:ilvl w:val="0"/>
          <w:numId w:val="4"/>
        </w:numPr>
        <w:shd w:val="clear" w:color="auto" w:fill="FFFFFF"/>
        <w:ind w:left="426" w:hanging="218"/>
        <w:divId w:val="1928615425"/>
        <w:rPr>
          <w:rFonts w:eastAsia="Times New Roman"/>
          <w:color w:val="000000"/>
          <w:sz w:val="20"/>
          <w:szCs w:val="20"/>
        </w:rPr>
      </w:pPr>
      <w:r>
        <w:rPr>
          <w:rFonts w:ascii="Calibri" w:eastAsia="Times New Roman" w:hAnsi="Calibri"/>
          <w:b/>
          <w:bCs/>
          <w:color w:val="000000"/>
        </w:rPr>
        <w:t xml:space="preserve">METHOD </w:t>
      </w:r>
    </w:p>
    <w:p w14:paraId="2C72D260"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Metode yang digunakan dalam penelitian ini adalah metode penelitian hukum normatif yaitu pendekatan yang berfokus pada analisis terhadap norma-norma hukum yang terdapat dalam peraturan perundang-undangan, putusan pengadilan, doktrin hukum, dan literatur hukum lainnya. Dalam konteks pengaturan hukum terhadap kekerasan dalam pernikahan, metode ini akan memeriksa secara seksama Undang-Undang Perlindungan Perempuan dan Anak serta ketentuan hukum lain yang relevan. Hal ini dilakukan dengan tujuan untuk memahami secara mendalam substansi, ruang lingkup, dan efektivitas instrumen hukum yang ada dalam melindungi korban kekerasan dalam rumah tangga.</w:t>
      </w:r>
      <w:r>
        <w:rPr>
          <w:rFonts w:asciiTheme="majorHAnsi" w:hAnsiTheme="majorHAnsi"/>
          <w:sz w:val="24"/>
          <w:szCs w:val="24"/>
          <w:lang w:val="id-ID"/>
        </w:rPr>
        <w:t xml:space="preserve"> </w:t>
      </w:r>
      <w:r>
        <w:rPr>
          <w:rStyle w:val="s1"/>
          <w:rFonts w:asciiTheme="majorHAnsi" w:hAnsiTheme="majorHAnsi"/>
          <w:sz w:val="24"/>
          <w:szCs w:val="24"/>
        </w:rPr>
        <w:lastRenderedPageBreak/>
        <w:t>Proses pengambilan data dalam metode penelitian hukum normatif melibatkan studi dokumen-dokumen hukum seperti undang-undang, peraturan pemerintah, putusan pengadilan, dan literatur hukum lainnya yang relevan dengan topik yang diteliti. Dalam konteks ini, peneliti akan mengumpulkan data-data berupa teks hukum yang berkaitan dengan perlindungan terhadap korban kekerasan dalam pernikahan. Pengumpulan data dilakukan dengan cermat dan sistematis untuk memastikan bahwa semua informasi yang relevan dapat dianalisis dengan baik.</w:t>
      </w:r>
    </w:p>
    <w:p w14:paraId="4BFD77F4" w14:textId="77777777" w:rsidR="006932F6" w:rsidRDefault="00CE07D8" w:rsidP="00700AD5">
      <w:pPr>
        <w:pStyle w:val="p1"/>
        <w:ind w:left="360" w:firstLine="360"/>
        <w:jc w:val="both"/>
        <w:divId w:val="1928615425"/>
        <w:rPr>
          <w:rFonts w:asciiTheme="majorHAnsi" w:hAnsiTheme="majorHAnsi"/>
          <w:sz w:val="24"/>
          <w:szCs w:val="24"/>
        </w:rPr>
      </w:pPr>
      <w:r>
        <w:rPr>
          <w:rStyle w:val="s1"/>
          <w:rFonts w:asciiTheme="majorHAnsi" w:hAnsiTheme="majorHAnsi"/>
          <w:sz w:val="24"/>
          <w:szCs w:val="24"/>
        </w:rPr>
        <w:t>Setelah data terkumpul, langkah selanjutnya adalah melakukan analisis data. Analisis ini dilakukan dengan memeriksa dan menafsirkan isi dari dokumen-dokumen hukum yang telah dikumpulkan. Fokus analisis adalah pada pemahaman terhadap substansi norma hukum yang ada, identifikasi kelemahan atau celah dalam regulasi yang dapat dieksploitasi untuk meningkatkan perlindungan terhadap korban kekerasan dalam pernikahan, serta evaluasi terhadap implementasi undang-undang yang ada dalam prakteknya.</w:t>
      </w:r>
    </w:p>
    <w:p w14:paraId="55EFA5A1" w14:textId="77777777" w:rsidR="006932F6" w:rsidRDefault="00CE07D8" w:rsidP="008B1A5A">
      <w:pPr>
        <w:pStyle w:val="NormalWeb"/>
        <w:shd w:val="clear" w:color="auto" w:fill="FFFFFF"/>
        <w:spacing w:before="0" w:beforeAutospacing="0" w:after="0" w:afterAutospacing="0"/>
        <w:jc w:val="both"/>
        <w:divId w:val="1928615425"/>
        <w:rPr>
          <w:color w:val="000000"/>
          <w:sz w:val="20"/>
          <w:szCs w:val="20"/>
        </w:rPr>
      </w:pPr>
      <w:r>
        <w:rPr>
          <w:rFonts w:ascii="Calibri" w:hAnsi="Calibri"/>
          <w:color w:val="A6A6A6"/>
          <w:lang w:val="en-ID"/>
        </w:rPr>
        <w:t xml:space="preserve"> </w:t>
      </w:r>
    </w:p>
    <w:p w14:paraId="65B1F118" w14:textId="77777777" w:rsidR="006932F6" w:rsidRDefault="0028774F">
      <w:pPr>
        <w:pStyle w:val="NormalWeb"/>
        <w:shd w:val="clear" w:color="auto" w:fill="FFFFFF"/>
        <w:spacing w:before="0" w:beforeAutospacing="0" w:after="0" w:afterAutospacing="0"/>
        <w:ind w:left="284"/>
        <w:divId w:val="1928615425"/>
        <w:rPr>
          <w:color w:val="000000"/>
          <w:sz w:val="20"/>
          <w:szCs w:val="20"/>
        </w:rPr>
      </w:pPr>
      <w:r>
        <w:rPr>
          <w:rFonts w:ascii="Calibri" w:hAnsi="Calibri"/>
          <w:b/>
          <w:bCs/>
          <w:color w:val="000000"/>
        </w:rPr>
        <w:t>III.  RESULT AND DISCUSSION</w:t>
      </w:r>
    </w:p>
    <w:p w14:paraId="767B1D3A"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lang w:val="id-ID"/>
        </w:rPr>
        <w:t xml:space="preserve"> </w:t>
      </w:r>
      <w:r>
        <w:rPr>
          <w:rStyle w:val="s1"/>
          <w:rFonts w:asciiTheme="majorHAnsi" w:hAnsiTheme="majorHAnsi"/>
          <w:sz w:val="24"/>
          <w:szCs w:val="24"/>
        </w:rPr>
        <w:t xml:space="preserve">Implementasi Undang-Undang Perlindungan Perempuan dan Anak merupakan upaya </w:t>
      </w:r>
      <w:r>
        <w:rPr>
          <w:rStyle w:val="s1"/>
          <w:rFonts w:asciiTheme="majorHAnsi" w:hAnsiTheme="majorHAnsi"/>
          <w:sz w:val="24"/>
          <w:szCs w:val="24"/>
          <w:lang w:val="id-ID"/>
        </w:rPr>
        <w:t xml:space="preserve">  </w:t>
      </w:r>
      <w:r>
        <w:rPr>
          <w:rStyle w:val="s1"/>
          <w:rFonts w:asciiTheme="majorHAnsi" w:hAnsiTheme="majorHAnsi"/>
          <w:sz w:val="24"/>
          <w:szCs w:val="24"/>
        </w:rPr>
        <w:t>serius dalam melindungi dua kelompok yang rentan terhadap berbagai bentuk kekerasan dan diskriminasi. Praktik dan teori di balik implementasi undang-undang ini membentuk landasan yang kokoh untuk menciptakan lingkungan yang aman dan adil bagi perempuan dan anak-anak.</w:t>
      </w:r>
    </w:p>
    <w:p w14:paraId="6C1D2F6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praktik, implementasi undang-undang ini melibatkan berbagai langkah konkret. Salah satunya adalah penegakan hukum yang kuat. Hal ini mencakup penegakan hukuman yang tegas bagi pelaku kekerasan terhadap perempuan dan anak-anak. Sistem peradilan yang efektif dan adil sangat penting untuk memastikan bahwa pelaku kekerasan dihukum sesuai dengan hukum dan korban mendapatkan keadilan.</w:t>
      </w:r>
    </w:p>
    <w:p w14:paraId="36B093D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pendidikan dan kesadaran masyarakat juga merupakan bagian penting dari implementasi undang-undang ini. Masyarakat perlu diberi pemahaman tentang hak-hak perempuan dan anak-anak serta pentingnya menghormati dan melindungi mereka. Kampanye kesetaraan gender dan penolakan terhadap kekerasan dalam segala bentuknya dapat membantu mengubah budaya dan perilaku yang merugikan.</w:t>
      </w:r>
    </w:p>
    <w:p w14:paraId="2F2501C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Layanan dukungan dan perlindungan juga harus disediakan bagi korban kekerasan. Tempat perlindungan, konseling, bantuan hukum, dan layanan lainnya dapat membantu korban untuk pulih dan mendapatkan perlindungan yang mereka butuhkan. Pemerintah, LSM, sektor swasta, dan masyarakat sipil juga perlu bekerja sama secara lintas sektoral untuk mengatasi masalah kekerasan terhadap perempuan dan anak-anak secara holistik.</w:t>
      </w:r>
    </w:p>
    <w:p w14:paraId="39C18170" w14:textId="77777777" w:rsidR="00700AD5" w:rsidRDefault="00CE07D8">
      <w:pPr>
        <w:pStyle w:val="p1"/>
        <w:ind w:left="284"/>
        <w:jc w:val="both"/>
        <w:divId w:val="1928615425"/>
        <w:rPr>
          <w:rStyle w:val="s1"/>
          <w:rFonts w:asciiTheme="majorHAnsi" w:hAnsiTheme="majorHAnsi"/>
          <w:sz w:val="24"/>
          <w:szCs w:val="24"/>
        </w:rPr>
      </w:pPr>
      <w:r>
        <w:rPr>
          <w:rStyle w:val="s1"/>
          <w:rFonts w:asciiTheme="majorHAnsi" w:hAnsiTheme="majorHAnsi"/>
          <w:sz w:val="24"/>
          <w:szCs w:val="24"/>
        </w:rPr>
        <w:t xml:space="preserve">Di sisi teori, implementasi undang-undang ini didasarkan pada konsep hak asasi manusia, kesetaraan gender, dan perlindungan terhadap anak-anak. Hak asasi manusia menyatakan bahwa setiap individu, termasuk perempuan dan anak-anak, memiliki hak untuk hidup bebas dari kekerasan dan diskriminasi. Kesetaraan gender menuntut perlakuan yang adil dan setara bagi perempuan dan laki-laki, serta pengakuan terhadap kontribusi dan nilai yang mereka berikan kepada masyarakat. </w:t>
      </w:r>
    </w:p>
    <w:p w14:paraId="4F8F793B" w14:textId="77777777" w:rsidR="00700AD5" w:rsidRDefault="00CE07D8" w:rsidP="00700AD5">
      <w:pPr>
        <w:pStyle w:val="p1"/>
        <w:ind w:left="284" w:firstLine="436"/>
        <w:jc w:val="both"/>
        <w:divId w:val="1928615425"/>
        <w:rPr>
          <w:rStyle w:val="s1"/>
          <w:rFonts w:asciiTheme="majorHAnsi" w:hAnsiTheme="majorHAnsi"/>
          <w:sz w:val="24"/>
          <w:szCs w:val="24"/>
        </w:rPr>
      </w:pPr>
      <w:r>
        <w:rPr>
          <w:rStyle w:val="s1"/>
          <w:rFonts w:asciiTheme="majorHAnsi" w:hAnsiTheme="majorHAnsi"/>
          <w:sz w:val="24"/>
          <w:szCs w:val="24"/>
        </w:rPr>
        <w:t>Perlindungan terhadap anak-anak menggarisbawahi pentingnya melindungi anak-anak dari segala bentuk eksploitasi, kekerasan, dan penelantaran.</w:t>
      </w:r>
      <w:r>
        <w:rPr>
          <w:rFonts w:asciiTheme="majorHAnsi" w:hAnsiTheme="majorHAnsi"/>
          <w:sz w:val="24"/>
          <w:szCs w:val="24"/>
          <w:lang w:val="id-ID"/>
        </w:rPr>
        <w:t xml:space="preserve"> </w:t>
      </w:r>
      <w:r>
        <w:rPr>
          <w:rStyle w:val="s1"/>
          <w:rFonts w:asciiTheme="majorHAnsi" w:hAnsiTheme="majorHAnsi"/>
          <w:sz w:val="24"/>
          <w:szCs w:val="24"/>
        </w:rPr>
        <w:t xml:space="preserve">Aspek teori terkait Hak Asasi Manusia (HAM) dalam implementasi Undang-Undang Perlindungan Perempuan dan Anak mengacu pada prinsip bahwa setiap individu memiliki hak-hak yang tidak dapat dilanggar, termasuk hak untuk hidup bebas dari kekerasan dan diskriminasi. Hak asasi manusia menekankan bahwa semua individu, tanpa memandang jenis kelamin, usia, atau latar </w:t>
      </w:r>
      <w:r>
        <w:rPr>
          <w:rStyle w:val="s1"/>
          <w:rFonts w:asciiTheme="majorHAnsi" w:hAnsiTheme="majorHAnsi"/>
          <w:sz w:val="24"/>
          <w:szCs w:val="24"/>
        </w:rPr>
        <w:lastRenderedPageBreak/>
        <w:t>belakang lainnya, memiliki nilai inheren dan layak untuk dihormati dan dilindungi.</w:t>
      </w:r>
      <w:r>
        <w:rPr>
          <w:rFonts w:asciiTheme="majorHAnsi" w:hAnsiTheme="majorHAnsi"/>
          <w:sz w:val="24"/>
          <w:szCs w:val="24"/>
          <w:lang w:val="id-ID"/>
        </w:rPr>
        <w:t xml:space="preserve"> </w:t>
      </w:r>
      <w:r w:rsidRPr="0028774F">
        <w:rPr>
          <w:rStyle w:val="s1"/>
          <w:rFonts w:asciiTheme="majorHAnsi" w:hAnsiTheme="majorHAnsi"/>
          <w:sz w:val="24"/>
          <w:szCs w:val="24"/>
          <w:lang w:val="id-ID"/>
        </w:rPr>
        <w:t xml:space="preserve">Pentingnya Hak Asasi Manusia dalam konteks perlindungan perempuan dan anak-anak adalah menegaskan bahwa mereka memiliki hak untuk hidup tanpa takut akan kekerasan fisik, psikologis, atau seksual. </w:t>
      </w:r>
      <w:r>
        <w:rPr>
          <w:rStyle w:val="s1"/>
          <w:rFonts w:asciiTheme="majorHAnsi" w:hAnsiTheme="majorHAnsi"/>
          <w:sz w:val="24"/>
          <w:szCs w:val="24"/>
        </w:rPr>
        <w:t>Ini berarti bahwa setiap tindakan kekerasan atau diskriminasi terhadap perempuan dan anak-anak merupakan pelanggaran terhadap hak asasi manusia yang mendasar.</w:t>
      </w:r>
      <w:r>
        <w:rPr>
          <w:rFonts w:asciiTheme="majorHAnsi" w:hAnsiTheme="majorHAnsi"/>
          <w:sz w:val="24"/>
          <w:szCs w:val="24"/>
          <w:lang w:val="id-ID"/>
        </w:rPr>
        <w:t xml:space="preserve"> </w:t>
      </w:r>
      <w:r>
        <w:rPr>
          <w:rStyle w:val="s1"/>
          <w:rFonts w:asciiTheme="majorHAnsi" w:hAnsiTheme="majorHAnsi"/>
          <w:sz w:val="24"/>
          <w:szCs w:val="24"/>
        </w:rPr>
        <w:t xml:space="preserve">Selanjutnya, kesetaraan gender adalah aspek teori yang menekankan perlunya perlakuan yang adil dan setara bagi perempuan dan laki-laki dalam segala aspek kehidupan. </w:t>
      </w:r>
    </w:p>
    <w:p w14:paraId="4E2ABA9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ini harus menciptakan lingkungan di mana perempuan dan anak-anak memiliki akses yang sama dengan laki-laki terhadap pendidikan, pekerjaan, layanan kesehatan, dan berbagai peluang lainnya. Ini juga mencakup pengakuan atas kontribusi dan nilai yang perempuan dan anak-anak bawa dalam masyarakat, serta penghapusan stereotip gender yang merugikan.</w:t>
      </w:r>
      <w:r>
        <w:rPr>
          <w:rFonts w:asciiTheme="majorHAnsi" w:hAnsiTheme="majorHAnsi"/>
          <w:sz w:val="24"/>
          <w:szCs w:val="24"/>
          <w:lang w:val="id-ID"/>
        </w:rPr>
        <w:t xml:space="preserve"> </w:t>
      </w:r>
      <w:r>
        <w:rPr>
          <w:rStyle w:val="s1"/>
          <w:rFonts w:asciiTheme="majorHAnsi" w:hAnsiTheme="majorHAnsi"/>
          <w:sz w:val="24"/>
          <w:szCs w:val="24"/>
        </w:rPr>
        <w:t>Perlindungan terhadap anak-anak adalah aspek teori lain yang penting dalam implementasi undang-undang ini. Ini melibatkan pengakuan bahwa anak-anak adalah individu yang rentan dan perlu dilindungi dari segala bentuk eksploitasi, kekerasan, dan penelantaran. Hak anak-anak meliputi hak untuk berkembang secara fisik, mental, emosional, dan sosial tanpa gangguan atau bahaya.</w:t>
      </w:r>
    </w:p>
    <w:p w14:paraId="58449A0E" w14:textId="77777777" w:rsidR="006932F6" w:rsidRDefault="006932F6">
      <w:pPr>
        <w:pStyle w:val="p1"/>
        <w:jc w:val="both"/>
        <w:divId w:val="1928615425"/>
        <w:rPr>
          <w:rStyle w:val="s1"/>
          <w:rFonts w:asciiTheme="majorHAnsi" w:hAnsiTheme="majorHAnsi"/>
          <w:sz w:val="24"/>
          <w:szCs w:val="24"/>
        </w:rPr>
      </w:pPr>
    </w:p>
    <w:p w14:paraId="5AD6E034" w14:textId="77777777" w:rsidR="006932F6" w:rsidRDefault="00CE07D8">
      <w:pPr>
        <w:pStyle w:val="p1"/>
        <w:ind w:left="284"/>
        <w:jc w:val="both"/>
        <w:divId w:val="1928615425"/>
        <w:rPr>
          <w:rFonts w:hint="eastAsia"/>
          <w:b/>
          <w:bCs/>
        </w:rPr>
      </w:pPr>
      <w:r>
        <w:rPr>
          <w:rStyle w:val="s1"/>
          <w:rFonts w:asciiTheme="majorHAnsi" w:hAnsiTheme="majorHAnsi"/>
          <w:b/>
          <w:bCs/>
          <w:sz w:val="24"/>
          <w:szCs w:val="24"/>
        </w:rPr>
        <w:t>Pengaturan Hukum terhadap Kekerasan dalam Pernikahan di Indonesia.</w:t>
      </w:r>
    </w:p>
    <w:p w14:paraId="006411EC"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di Indonesia adalah institusi yang diatur oleh berbagai peraturan hukum, termasuk Undang-Undang Perlindungan Perempuan dan Anak. Dalam konteks ini, penting untuk menganalisis bagaimana undang-undang tersebut diimplementasikan dalam menangani kasus kekerasan dalam rumah tangga, termasuk kekerasan dalam pernikahan. Analisis yuridis terhadap pengaturan hukum terhadap kekerasan dalam pernikahan di Indonesia memerlukan pemahaman mendalam tentang kerangka hukum yang ada, tantangan dalam implementasinya, serta upaya yang dapat dilakukan untuk memperbaiki perlindungan terhadap perempuan dan anak yang menjadi korban.</w:t>
      </w:r>
    </w:p>
    <w:p w14:paraId="1A1034D9"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Pertama-tama, kita perlu memahami konteks hukum terkait pernikahan dan kekerasan dalam rumah tangga di Indonesia. Undang-Undang Nomor 23 Tahun 2004 tentang Penghapusan Kekerasan dalam Rumah Tangga (PKDRT) merupakan landasan hukum utama yang mengatur perlindungan terhadap korban kekerasan dalam rumah tangga, termasuk dalam konteks pernikahan. Namun demikian, implementasi undang-undang ini masih menghadapi berbagai kendala, terutama dalam hal penegakan hukum yang efektif dan akses korban terhadap perlindungan serta keadilan.</w:t>
      </w:r>
    </w:p>
    <w:p w14:paraId="7AC81F7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Undang-Undang PKDRT, terdapat juga beberapa peraturan lain yang relevan dalam konteks perlindungan terhadap perempuan dan anak, seperti Undang-Undang Nomor 16 Tahun 2019 tentang Perlindungan Anak. Namun, meskipun kerangka hukum tersebut ada, kekerasan dalam pernikahan masih sering kali terjadi dan korban sering mengalami kesulitan dalam mendapatkan bantuan serta keadilan.</w:t>
      </w:r>
    </w:p>
    <w:p w14:paraId="6A6B9D4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tantangan utama dalam implementasi undang-undang perlindungan perempuan dan anak adalah kurangnya kesadaran akan hak-hak mereka serta stigma terkait pengaduan kekerasan dalam rumah tangga. Banyak korban yang tidak melaporkan kekerasan yang mereka alami karena takut akan stigma dan ketidakyakinan terhadap sistem hukum yang ada. Hal ini menunjukkan perlunya upaya lebih lanjut dalam meningkatkan kesadaran masyarakat tentang hak-hak perempuan dan anak serta pentingnya melaporkan kekerasan yang terjadi.</w:t>
      </w:r>
    </w:p>
    <w:p w14:paraId="3D7EA874" w14:textId="77777777" w:rsidR="006932F6" w:rsidRDefault="00CE07D8">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Selain itu, masih ada kekurangan dalam infrastruktur pendukung bagi korban kekerasan dalam rumah tangga, seperti pusat-pusat perlindungan dan layanan kesehatan yang memadai. Banyak daerah di Indonesia yang masih kekurangan fasilitas ini, sehingga menghambat akses korban terhadap bantuan dan perlindungan yang mereka butuhkan. Pemerintah perlu melakukan investasi lebih lanjut dalam memperkuat infrastruktur pendukung bagi korban kekerasan dalam rumah tangga, termasuk dalam konteks kekerasan dalam pernikahan.</w:t>
      </w:r>
    </w:p>
    <w:p w14:paraId="3F11524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tersebut, perlu juga diperhatikan peran aparat penegak hukum dalam menangani kasus kekerasan dalam pernikahan. Penegakan hukum yang efektif sangat penting untuk memberikan sinyal bahwa kekerasan dalam pernikahan tidak akan ditoleransi dan pelakunya akan dihukum sesuai dengan hukum yang berlaku. Namun, masih banyak kasus di mana penegakan hukum terhadap kekerasan dalam pernikahan kurang efektif, baik karena kurangnya bukti yang cukup maupun karena faktor lain seperti korupsi dan ketidakmampuan aparat penegak hukum dalam menangani kasus tersebut.</w:t>
      </w:r>
    </w:p>
    <w:p w14:paraId="168ECD2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7F613D10"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50707E3B"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implementasi Undang-Undang Perlindungan Perempuan dan Anak dalam pengaturan hukum terhadap kekerasan dalam pernikahan di Indonesia masih menghadapi berbagai tantangan, mulai dari kurangnya kesadaran masyarakat akan hak-hak perempuan dan anak, hingga kurangnya infrastruktur pendukung bagi korban kekerasan dalam rumah tangga. Namun, dengan upaya bersama dari berbagai pihak, termasuk pemerintah, lembaga swadaya masyarakat, dan masyarakat sipil, diharapkan dapat tercipta lingkungan yang lebih aman dan adil bagi semua individu, tanpa terkecuali.</w:t>
      </w:r>
    </w:p>
    <w:p w14:paraId="06A77B2C" w14:textId="77777777" w:rsidR="006932F6" w:rsidRDefault="006932F6">
      <w:pPr>
        <w:pStyle w:val="p2"/>
        <w:ind w:left="284"/>
        <w:jc w:val="both"/>
        <w:divId w:val="1928615425"/>
        <w:rPr>
          <w:rFonts w:asciiTheme="majorHAnsi" w:hAnsiTheme="majorHAnsi"/>
          <w:b/>
          <w:bCs/>
          <w:sz w:val="24"/>
          <w:szCs w:val="24"/>
        </w:rPr>
      </w:pPr>
    </w:p>
    <w:p w14:paraId="622D0360" w14:textId="77777777" w:rsidR="006932F6" w:rsidRDefault="00CE07D8">
      <w:pPr>
        <w:pStyle w:val="p1"/>
        <w:ind w:left="284"/>
        <w:jc w:val="both"/>
        <w:divId w:val="1928615425"/>
        <w:rPr>
          <w:rFonts w:asciiTheme="majorHAnsi" w:hAnsiTheme="majorHAnsi"/>
          <w:b/>
          <w:bCs/>
          <w:sz w:val="24"/>
          <w:szCs w:val="24"/>
        </w:rPr>
      </w:pPr>
      <w:r>
        <w:rPr>
          <w:rStyle w:val="s1"/>
          <w:rFonts w:asciiTheme="majorHAnsi" w:hAnsiTheme="majorHAnsi"/>
          <w:b/>
          <w:bCs/>
          <w:sz w:val="24"/>
          <w:szCs w:val="24"/>
        </w:rPr>
        <w:t>Analisis Yuridis Implementasi Undang-Undang Perlindungan Perempuan dan</w:t>
      </w:r>
      <w:r>
        <w:rPr>
          <w:rFonts w:asciiTheme="majorHAnsi" w:hAnsiTheme="majorHAnsi"/>
          <w:b/>
          <w:bCs/>
          <w:sz w:val="24"/>
          <w:szCs w:val="24"/>
          <w:lang w:val="id-ID"/>
        </w:rPr>
        <w:t xml:space="preserve"> </w:t>
      </w:r>
      <w:r>
        <w:rPr>
          <w:rStyle w:val="s1"/>
          <w:rFonts w:asciiTheme="majorHAnsi" w:hAnsiTheme="majorHAnsi"/>
          <w:b/>
          <w:bCs/>
          <w:sz w:val="24"/>
          <w:szCs w:val="24"/>
        </w:rPr>
        <w:t>Anak.</w:t>
      </w:r>
      <w:r>
        <w:rPr>
          <w:rStyle w:val="apple-converted-space"/>
          <w:rFonts w:asciiTheme="majorHAnsi" w:hAnsiTheme="majorHAnsi"/>
          <w:b/>
          <w:bCs/>
          <w:sz w:val="24"/>
          <w:szCs w:val="24"/>
        </w:rPr>
        <w:t> </w:t>
      </w:r>
    </w:p>
    <w:p w14:paraId="73E76325"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Pernikahan, sebagai institusi sosial dan hukum, memiliki implikasi yang kompleks terhadap kehidupan individu, terutama terkait dengan isu kekerasan dalam rumah tangga. Dalam konteks Indonesia, Undang-Undang Perlindungan Perempuan dan Anak memiliki peran penting dalam menangani kasus-kasus kekerasan, termasuk yang terjadi dalam pernikahan. Oleh karena itu, penting untuk melakukan analisis yuridis terhadap implementasi undang-undang tersebut dalam menangani kekerasan dalam pernikahan di Indonesia.</w:t>
      </w:r>
    </w:p>
    <w:p w14:paraId="0ED38A84"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 xml:space="preserve">Pertama-tama, perlu dipahami bahwa kekerasan dalam pernikahan adalah masalah serius yang mempengaruhi banyak individu dan keluarga di Indonesia. Kekerasan dalam pernikahan dapat berupa fisik, psikologis, seksual, dan ekonomi, dan sering kali menimbulkan dampak yang merusak bagi korban, termasuk perempuan dan anak-anak. Implementasi Undang-Undang Perlindungan Perempuan dan Anak dalam konteks ini harus </w:t>
      </w:r>
      <w:r>
        <w:rPr>
          <w:rStyle w:val="s1"/>
          <w:rFonts w:asciiTheme="majorHAnsi" w:hAnsiTheme="majorHAnsi"/>
          <w:sz w:val="24"/>
          <w:szCs w:val="24"/>
        </w:rPr>
        <w:lastRenderedPageBreak/>
        <w:t>mampu memberikan perlindungan yang efektif bagi korban kekerasan dalam pernikahan dan menegakkan keadilan.</w:t>
      </w:r>
    </w:p>
    <w:p w14:paraId="64759808"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Namun, meskipun kerangka hukum yang ada menyediakan dasar bagi perlindungan terhadap korban kekerasan dalam pernikahan, implementasinya masih menghadapi berbagai tantangan. Salah satu tantangan utama adalah kurangnya kesadaran dan pemahaman tentang hak-hak perempuan dan anak serta tentang kekerasan dalam rumah tangga secara umum. Banyak korban kekerasan dalam pernikahan yang tidak menyadari bahwa mereka memiliki hak untuk melindungi diri dari kekerasan dan untuk mendapatkan bantuan hukum serta perlindungan dari negara.</w:t>
      </w:r>
    </w:p>
    <w:p w14:paraId="0E565FF3"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masih ada stigma dan hambatan budaya yang menghalangi korban kekerasan dalam pernikahan untuk melaporkan kasus yang mereka alami. Budaya patriarki yang masih kuat di beberapa wilayah Indonesia dapat membuat korban merasa malu atau takut untuk melaporkan kekerasan yang mereka alami, terutama jika pelakunya adalah pasangan mereka sendiri. Hal ini menyulitkan upaya penegakan hukum dan memberikan perlindungan kepada korban.</w:t>
      </w:r>
    </w:p>
    <w:p w14:paraId="22AB961E" w14:textId="77777777" w:rsidR="006932F6" w:rsidRDefault="00CE07D8" w:rsidP="00700AD5">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juga terkendala oleh kurangnya sumber daya dan infrastruktur pendukung yang memadai. Misalnya, terdapat kekurangan pusat perlindungan bagi korban kekerasan dalam rumah tangga di banyak daerah di Indonesia. Hal ini menyebabkan korban sulit untuk mendapatkan perlindungan serta bantuan yang mereka butuhkan dalam mengatasi dampak kekerasan yang mereka alami.</w:t>
      </w:r>
    </w:p>
    <w:p w14:paraId="2BAAB02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faktor-faktor internal, terdapat juga faktor eksternal yang mempengaruhi implementasi Undang-Undang Perlindungan Perempuan dan Anak dalam menangani kekerasan dalam pernikahan. Salah satunya adalah kurangnya koordinasi antara lembaga-lembaga yang terlibat dalam penegakan hukum dan pemberian perlindungan kepada korban. Koordinasi yang kurang baik ini dapat menyebabkan tumpang tindih dalam upaya penanganan kasus kekerasan dalam pernikahan serta menghambat akses korban terhadap bantuan yang mereka butuhkan.</w:t>
      </w:r>
    </w:p>
    <w:p w14:paraId="4E3484E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menganalisis implementasi Undang-Undang Perlindungan Perempuan dan Anak, penting untuk memperhatikan peran aparat penegak hukum dalam menangani kasus kekerasan dalam pernikahan. Penegakan hukum yang efektif merupakan prasyarat untuk memberikan keadilan kepada korban dan memberikan sinyal bahwa kekerasan dalam pernikahan tidak akan ditoleransi oleh negara. Namun, masih ada banyak kendala dalam penegakan hukum terhadap kekerasan dalam pernikahan, termasuk kurangnya bukti yang cukup, lambatnya proses hukum, dan rendahnya hukuman bagi pelaku kekerasan.</w:t>
      </w:r>
    </w:p>
    <w:p w14:paraId="4FDCAA94"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penegakan hukum, pendekatan preventif juga penting dalam menangani kekerasan dalam pernikahan. Pendidikan tentang kesetaraan gender dan hak-hak perempuan serta anak perlu ditingkatkan di semua tingkatan masyarakat, mulai dari pendidikan formal hingga pendidikan informal di masyarakat. Dengan meningkatkan kesadaran tentang hak-hak tersebut, diharapkan masyarakat akan lebih terbuka untuk melaporkan kekerasan yang terjadi dan lebih aktif dalam mencegahnya.</w:t>
      </w:r>
    </w:p>
    <w:p w14:paraId="5F88BCD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dalam pengaturan hukum terhadap kekerasan dalam pernikahan di Indonesia, perlu juga diperhatikan peran lembaga swadaya masyarakat dan organisasi non-pemerintah lainnya. Organisasi-organisasi ini dapat memberikan dukungan psikologis, sosial, dan hukum kepada korban kekerasan dalam pernikahan, serta melakukan advokasi untuk perubahan kebijakan yang lebih baik dalam perlindungan terhadap perempuan dan anak.</w:t>
      </w:r>
    </w:p>
    <w:p w14:paraId="1BC266F8"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Secara kesimpulan, implementasi Undang-Undang Perlindungan Perempuan dan Anak dalam pengaturan hukum terhadap kekerasan dalam pernikahan di Indonesia masih menghadapi berbagai tantangan, baik dari segi kesadaran masyarakat, infrastruktur pendukung, koordinasi antarlembaga, maupun penegakan hukum. Namun, dengan upaya bersama dari berbagai pihak, termasuk pemerintah, lembaga swadaya masyarakat, dan masyarakat sipil, diharapkan dapat tercipta lingkungan yang lebih aman dan adil bagi semua individu, tanpa terkecuali.</w:t>
      </w:r>
    </w:p>
    <w:p w14:paraId="0BF4F52A" w14:textId="77777777" w:rsidR="006932F6" w:rsidRDefault="006932F6">
      <w:pPr>
        <w:pStyle w:val="p1"/>
        <w:jc w:val="both"/>
        <w:divId w:val="1928615425"/>
        <w:rPr>
          <w:rStyle w:val="s1"/>
          <w:rFonts w:asciiTheme="majorHAnsi" w:hAnsiTheme="majorHAnsi"/>
          <w:sz w:val="24"/>
          <w:szCs w:val="24"/>
        </w:rPr>
      </w:pPr>
    </w:p>
    <w:p w14:paraId="4F6E0128" w14:textId="77777777" w:rsidR="006932F6" w:rsidRDefault="00CE07D8" w:rsidP="008B1A5A">
      <w:pPr>
        <w:pStyle w:val="p1"/>
        <w:ind w:firstLine="284"/>
        <w:jc w:val="both"/>
        <w:divId w:val="1928615425"/>
        <w:rPr>
          <w:rFonts w:hint="eastAsia"/>
          <w:b/>
          <w:bCs/>
        </w:rPr>
      </w:pPr>
      <w:r>
        <w:rPr>
          <w:rStyle w:val="s1"/>
          <w:rFonts w:asciiTheme="majorHAnsi" w:hAnsiTheme="majorHAnsi"/>
          <w:sz w:val="24"/>
          <w:szCs w:val="24"/>
        </w:rPr>
        <w:t xml:space="preserve"> </w:t>
      </w:r>
      <w:r>
        <w:rPr>
          <w:rStyle w:val="s1"/>
          <w:rFonts w:asciiTheme="majorHAnsi" w:hAnsiTheme="majorHAnsi"/>
          <w:b/>
          <w:bCs/>
          <w:sz w:val="24"/>
          <w:szCs w:val="24"/>
        </w:rPr>
        <w:t>Faktor Budaya dan Sosial dalam Implementasi UU PPA.</w:t>
      </w:r>
      <w:r>
        <w:rPr>
          <w:rStyle w:val="apple-converted-space"/>
          <w:rFonts w:asciiTheme="majorHAnsi" w:hAnsiTheme="majorHAnsi"/>
          <w:b/>
          <w:bCs/>
          <w:sz w:val="24"/>
          <w:szCs w:val="24"/>
        </w:rPr>
        <w:t> </w:t>
      </w:r>
    </w:p>
    <w:p w14:paraId="4A2F3E83"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Implementasi Undang-Undang Perlindungan Perempuan dan Anak (UU PPA) dalam konteks pengaturan hukum terhadap kekerasan dalam pernikahan di Indonesia melibatkan pemahaman mendalam tentang faktor budaya dan sosial yang memengaruhi upaya perlindungan terhadap korban. Analisis yuridis terhadap implementasi UU PPA tidak hanya memerlukan tinjauan terhadap aspek hukum yang ada, tetapi juga perlunya mempertimbangkan faktor-faktor budaya dan sosial yang dapat mempengaruhi efektivitas kebijakan perlindungan.</w:t>
      </w:r>
    </w:p>
    <w:p w14:paraId="117DFF69"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Salah satu faktor budaya yang memengaruhi implementasi UU PPA adalah norma-norma patriarki yang masih kuat di masyarakat Indonesia. Budaya patriarki cenderung memposisikan perempuan sebagai objek yang harus patuh dan tunduk terhadap suami mereka. Dalam konteks pernikahan, hal ini dapat mengakibatkan perempuan yang menjadi korban kekerasan merasa sulit untuk melaporkan kasus kekerasan yang mereka alami karena takut akan stigma dan diskriminasi dalam masyarakat. Selain itu, budaya patriarki juga dapat membuat aparat penegak hukum kurang sensitif terhadap kasus kekerasan dalam pernikahan, karena mereka mungkin cenderung memandang kekerasan tersebut sebagai masalah domestik yang seharusnya diselesaikan secara internal oleh keluarga.</w:t>
      </w:r>
    </w:p>
    <w:p w14:paraId="29BC0E20"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budaya patriarki, faktor budaya lain yang memengaruhi implementasi UU PPA adalah stigma terhadap perceraian dan status perempuan yang bercerai di masyarakat Indonesia. Perceraian masih dianggap sebagai hal yang tabu dan memalukan bagi perempuan di beberapa lingkungan masyarakat. Hal ini dapat membuat perempuan yang menjadi korban kekerasan dalam pernikahan enggan untuk mencari bantuan atau melaporkan kekerasan yang mereka alami karena takut akan konsekuensi sosial dan ekonomi yang akan mereka hadapi jika bercerai.</w:t>
      </w:r>
    </w:p>
    <w:p w14:paraId="2E76B73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faktor budaya, faktor sosial juga memainkan peran penting dalam implementasi UU PPA terkait kekerasan dalam pernikahan. Salah satu faktor sosial yang memengaruhi adalah kondisi ekonomi keluarga. Kekerasan dalam pernikahan sering kali terkait dengan ketidakseimbangan kekuatan dalam hubungan dan kontrol ekonomi yang dimiliki oleh salah satu pasangan. Perempuan yang ekonominya tergantung pada suami mereka mungkin akan merasa sulit untuk melaporkan kekerasan yang mereka alami karena takut akan kehilangan dukungan ekonomi tersebut.</w:t>
      </w:r>
    </w:p>
    <w:p w14:paraId="1B5EBD47"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faktor sosial lain yang memengaruhi adalah akses terhadap layanan perlindungan dan keadilan. Di beberapa daerah di Indonesia, akses terhadap layanan kesehatan, bantuan hukum, dan pusat perlindungan bagi korban kekerasan dalam pernikahan masih terbatas. Hal ini dapat menghambat korban untuk mencari bantuan dan melaporkan kekerasan yang mereka alami. Selain itu, kurangnya akses terhadap pendidikan juga dapat memperburuk kondisi perempuan, membuat mereka lebih rentan terhadap kekerasan dan kurang mampu untuk melindungi diri mereka sendiri.</w:t>
      </w:r>
    </w:p>
    <w:p w14:paraId="1C90048B"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lastRenderedPageBreak/>
        <w:t>Dalam menghadapi tantangan faktor budaya dan sosial dalam implementasi UU PPA, langkah-langkah konkret perlu diambil untuk memperbaiki perlindungan terhadap perempuan dan anak yang menjadi korban kekerasan dalam pernikahan. Pertama-tama, penting untuk meningkatkan kesadaran masyarakat tentang hak-hak perempuan dan anak serta tentang kekerasan dalam rumah tangga. Pendidikan tentang kesetaraan gender dan hak-hak asasi manusia perlu ditingkatkan di semua tingkatan, mulai dari pendidikan formal hingga pendidikan informal di masyarakat.</w:t>
      </w:r>
    </w:p>
    <w:p w14:paraId="5C0B015E"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itu, upaya advokasi dan kampanye publik juga penting untuk mengubah norma-norma budaya yang merugikan perempuan dan anak. Organisasi-organisasi masyarakat sipil dan lembaga non-pemerintah perlu bekerja sama dengan pemerintah untuk menyebarkan informasi tentang hak-hak perempuan dan anak serta tentang cara mendapatkan bantuan jika menjadi korban kekerasan. Hal ini dapat membantu mengurangi stigma terhadap korban kekerasan dalam pernikahan dan meningkatkan akses mereka terhadap layanan perlindungan.</w:t>
      </w:r>
    </w:p>
    <w:p w14:paraId="2D4047D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penting juga untuk memperkuat infrastruktur pendukung bagi korban kekerasan dalam pernikahan. Ini termasuk meningkatkan jumlah dan kualitas pusat perlindungan, layanan kesehatan, dan bantuan hukum yang tersedia bagi korban. Pemerintah perlu mengalokasikan lebih banyak sumber daya untuk memperkuat infrastruktur pendukung ini dan memastikan bahwa layanan yang disediakan memenuhi kebutuhan korban kekerasan dalam pernikahan.</w:t>
      </w:r>
    </w:p>
    <w:p w14:paraId="16100082"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Selain upaya pencegahan dan perlindungan, penting juga untuk memperkuat penegakan hukum terhadap kekerasan dalam pernikahan. Penegakan hukum yang efektif merupakan elemen penting dalam memberikan keadilan kepada korban dan memberikan sinyal bahwa kekerasan dalam pernikahan tidak akan ditoleransi oleh negara. Untuk mencapai hal ini, aparat penegak hukum perlu dilatih secara khusus untuk menangani kasus kekerasan dalam pernikahan dengan sensitif dan profesional.</w:t>
      </w:r>
    </w:p>
    <w:p w14:paraId="7EF03E0F"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Dalam konteks implementasi UU PPA, penting juga untuk melibatkan berbagai pemangku kepentingan, termasuk pemerintah, lembaga swadaya masyarakat, dan masyarakat sipil secara keseluruhan. Kolaborasi antara berbagai pihak ini penting untuk mengidentifikasi tantangan dan menemukan solusi yang efektif dalam menangani masalah kekerasan dalam pernikahan.</w:t>
      </w:r>
    </w:p>
    <w:p w14:paraId="6189C68D" w14:textId="77777777" w:rsidR="006932F6" w:rsidRDefault="00CE07D8" w:rsidP="00914341">
      <w:pPr>
        <w:pStyle w:val="p1"/>
        <w:ind w:left="284" w:firstLine="436"/>
        <w:jc w:val="both"/>
        <w:divId w:val="1928615425"/>
        <w:rPr>
          <w:rFonts w:asciiTheme="majorHAnsi" w:hAnsiTheme="majorHAnsi"/>
          <w:sz w:val="24"/>
          <w:szCs w:val="24"/>
        </w:rPr>
      </w:pPr>
      <w:r>
        <w:rPr>
          <w:rStyle w:val="s1"/>
          <w:rFonts w:asciiTheme="majorHAnsi" w:hAnsiTheme="majorHAnsi"/>
          <w:sz w:val="24"/>
          <w:szCs w:val="24"/>
        </w:rPr>
        <w:t>Secara kesimpulan, faktor budaya dan sosial memainkan peran penting dalam implementasi UU PPA terkait kekerasan dalam pernikahan di Indonesia. Untuk memperbaiki perlindungan terhadap perempuan dan anak yang menjadi korban kekerasan, diperlukan upaya untuk mengatasi faktor-faktor ini secara menyeluruh. Hal ini memerlukan kerja sama antara pemerintah, lembaga swadaya masyarakat, dan masyarakat sipil untuk mengubah norma-norma budaya yang merugikan, meningkatkan akses terhadap layanan perlindungan, dan memperkuat penegakan hukum terhadap kekerasan dalam pernikahan.</w:t>
      </w:r>
    </w:p>
    <w:p w14:paraId="7D92E7DC" w14:textId="77777777" w:rsidR="006932F6" w:rsidRDefault="00CE07D8" w:rsidP="008B1A5A">
      <w:pPr>
        <w:pStyle w:val="p1"/>
        <w:ind w:left="284"/>
        <w:jc w:val="both"/>
        <w:divId w:val="1928615425"/>
        <w:rPr>
          <w:rFonts w:asciiTheme="majorHAnsi" w:hAnsiTheme="majorHAnsi"/>
          <w:sz w:val="24"/>
          <w:szCs w:val="24"/>
        </w:rPr>
      </w:pPr>
      <w:r>
        <w:rPr>
          <w:rStyle w:val="s1"/>
          <w:rFonts w:asciiTheme="majorHAnsi" w:hAnsiTheme="majorHAnsi"/>
          <w:sz w:val="24"/>
          <w:szCs w:val="24"/>
        </w:rPr>
        <w:t>Langkah konkret yang dapat diambil untuk mengatasi faktor budaya dan sosial dalam implementasi UU PPA termasuk:</w:t>
      </w:r>
    </w:p>
    <w:p w14:paraId="07D5DE8F"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Pendidikan dan kesadaran asyarakat yaitu dengan </w:t>
      </w:r>
      <w:r>
        <w:rPr>
          <w:rStyle w:val="s1"/>
          <w:rFonts w:asciiTheme="majorHAnsi" w:eastAsia="Times New Roman" w:hAnsiTheme="majorHAnsi"/>
          <w:sz w:val="24"/>
          <w:szCs w:val="24"/>
        </w:rPr>
        <w:t>melakukan program pendidikan dan kesadaran masyarakat yang bertujuan untuk meningkatkan pemahaman tentang hak-hak perempuan dan anak serta tentang kekerasan dalam rumah tangga. Program ini dapat dilakukan melalui kampanye publik, seminar, lokakarya, dan media sosial untuk mencapai berbagai kelompok masyarakat.</w:t>
      </w:r>
    </w:p>
    <w:p w14:paraId="32C7BC3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Advokasi dan kampanye publik yaitu </w:t>
      </w:r>
      <w:r>
        <w:rPr>
          <w:rStyle w:val="s1"/>
          <w:rFonts w:asciiTheme="majorHAnsi" w:eastAsia="Times New Roman" w:hAnsiTheme="majorHAnsi"/>
          <w:sz w:val="24"/>
          <w:szCs w:val="24"/>
        </w:rPr>
        <w:t xml:space="preserve">melakukan upaya advokasi dan kampanye publik untuk mengubah norma-norma budaya yang merugikan perempuan dan anak. Ini </w:t>
      </w:r>
      <w:r>
        <w:rPr>
          <w:rStyle w:val="s1"/>
          <w:rFonts w:asciiTheme="majorHAnsi" w:eastAsia="Times New Roman" w:hAnsiTheme="majorHAnsi"/>
          <w:sz w:val="24"/>
          <w:szCs w:val="24"/>
        </w:rPr>
        <w:lastRenderedPageBreak/>
        <w:t>dapat dilakukan dengan mengorganisir acara-acara publik, menulis artikel dan buku, serta menggunakan media massa untuk menyebarkan pesan-pesan tentang kesetaraan gender dan perlindungan terhadap korban kekerasan.</w:t>
      </w:r>
    </w:p>
    <w:p w14:paraId="338B45AB"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073853">
        <w:rPr>
          <w:rStyle w:val="s2"/>
          <w:rFonts w:asciiTheme="majorHAnsi" w:eastAsia="Times New Roman" w:hAnsiTheme="majorHAnsi"/>
          <w:b w:val="0"/>
          <w:bCs w:val="0"/>
          <w:sz w:val="24"/>
          <w:szCs w:val="24"/>
        </w:rPr>
        <w:t xml:space="preserve">Penguatan infrastruktur pendukung </w:t>
      </w:r>
      <w:r>
        <w:rPr>
          <w:rStyle w:val="s1"/>
          <w:rFonts w:asciiTheme="majorHAnsi" w:eastAsia="Times New Roman" w:hAnsiTheme="majorHAnsi"/>
          <w:sz w:val="24"/>
          <w:szCs w:val="24"/>
        </w:rPr>
        <w:t>yaitu meningkatkan jumlah dan kualitas pusat perlindungan, layanan kesehatan, dan bantuan hukum bagi korban kekerasan dalam pernikahan. Pemerintah perlu mengalokasikan lebih banyak sumber daya untuk memperkuat infrastruktur pendukung ini dan memastikan bahwa layanan yang disediakan memenuhi kebutuhan korban.</w:t>
      </w:r>
    </w:p>
    <w:p w14:paraId="00FC8EDC"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aparat penegak hukum dengan cara m</w:t>
      </w:r>
      <w:r>
        <w:rPr>
          <w:rStyle w:val="s1"/>
          <w:rFonts w:asciiTheme="majorHAnsi" w:eastAsia="Times New Roman" w:hAnsiTheme="majorHAnsi"/>
          <w:sz w:val="24"/>
          <w:szCs w:val="24"/>
        </w:rPr>
        <w:t>elakukan pelatihan khusus bagi aparat penegak hukum untuk menangani kasus kekerasan dalam pernikahan dengan sensitif dan profesional. Pelatihan ini harus mencakup pemahaman tentang isu-isu gender dan hak-hak perempuan serta keterampilan dalam memberikan bantuan kepada korban kekerasan.</w:t>
      </w:r>
    </w:p>
    <w:p w14:paraId="74014A50"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 xml:space="preserve">Kolaborasi antarlembaga dengan cara </w:t>
      </w:r>
      <w:r>
        <w:rPr>
          <w:rStyle w:val="s1"/>
          <w:rFonts w:asciiTheme="majorHAnsi" w:eastAsia="Times New Roman" w:hAnsiTheme="majorHAnsi"/>
          <w:sz w:val="24"/>
          <w:szCs w:val="24"/>
        </w:rPr>
        <w:t>endorong kolaborasi antara berbagai lembaga pemerintah, lembaga swadaya masyarakat, dan organisasi non-pemerintah untuk mengidentifikasi tantangan dan menemukan solusi yang efektif dalam menangani masalah kekerasan dalam pernikahan. Kolaborasi ini penting untuk memastikan bahwa upaya perlindungan terkoordinasi dan efektif.</w:t>
      </w:r>
    </w:p>
    <w:p w14:paraId="708CC856" w14:textId="77777777" w:rsidR="006932F6" w:rsidRDefault="00CE07D8">
      <w:pPr>
        <w:pStyle w:val="li1"/>
        <w:numPr>
          <w:ilvl w:val="0"/>
          <w:numId w:val="6"/>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Pemberdayaan perempuan dengan m</w:t>
      </w:r>
      <w:r>
        <w:rPr>
          <w:rStyle w:val="s1"/>
          <w:rFonts w:asciiTheme="majorHAnsi" w:eastAsia="Times New Roman" w:hAnsiTheme="majorHAnsi"/>
          <w:sz w:val="24"/>
          <w:szCs w:val="24"/>
        </w:rPr>
        <w:t>elakukan program pemberdayaan perempuan yang bertujuan untuk meningkatkan kemandirian dan keberdayaan ekonomi perempuan sehingga mereka lebih mampu untuk melindungi diri mereka sendiri dari kekerasan dalam pernikahan.</w:t>
      </w:r>
    </w:p>
    <w:p w14:paraId="63EE7869"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mengambil langkah-langkah ini secara bersama-sama, diharapkan dapat tercipta lingkungan yang lebih aman dan adil bagi semua individu, tanpa terkecuali. Implementasi UU PPA dalam pengaturan hukum terhadap kekerasan dalam pernikahan di Indonesia akan menjadi lebih efektif jika dapat mengatasi faktor budaya dan sosial yang memengaruhi upaya perlindungan terhadap korban.</w:t>
      </w:r>
    </w:p>
    <w:p w14:paraId="4E8E4702" w14:textId="77777777" w:rsidR="006932F6" w:rsidRDefault="006932F6">
      <w:pPr>
        <w:pStyle w:val="p2"/>
        <w:jc w:val="both"/>
        <w:divId w:val="1928615425"/>
        <w:rPr>
          <w:rFonts w:asciiTheme="majorHAnsi" w:hAnsiTheme="majorHAnsi"/>
          <w:b/>
          <w:bCs/>
          <w:sz w:val="24"/>
          <w:szCs w:val="24"/>
        </w:rPr>
      </w:pPr>
    </w:p>
    <w:p w14:paraId="43470306" w14:textId="77777777" w:rsidR="006932F6" w:rsidRDefault="00CE07D8">
      <w:pPr>
        <w:pStyle w:val="p1"/>
        <w:jc w:val="both"/>
        <w:divId w:val="1928615425"/>
        <w:rPr>
          <w:rFonts w:asciiTheme="majorHAnsi" w:hAnsiTheme="majorHAnsi"/>
          <w:b/>
          <w:bCs/>
          <w:sz w:val="24"/>
          <w:szCs w:val="24"/>
        </w:rPr>
      </w:pPr>
      <w:r>
        <w:rPr>
          <w:rStyle w:val="s1"/>
          <w:rFonts w:asciiTheme="majorHAnsi" w:hAnsiTheme="majorHAnsi"/>
          <w:b/>
          <w:bCs/>
          <w:sz w:val="24"/>
          <w:szCs w:val="24"/>
        </w:rPr>
        <w:t>Evaluasi Terhadap Upaya Meningkatkan Efektivitas Penegakan Hukum.</w:t>
      </w:r>
    </w:p>
    <w:p w14:paraId="164BDB38"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Evaluasi terhadap upaya meningkatkan efektivitas penegakan hukum terhadap kekerasan dalam pernikahan merupakan aspek penting dalam konteks implementasi Undang-Undang Perlindungan Perempuan dan Anak (UU PPA) di Indonesia. Dalam analisis yuridis terhadap pengaturan hukum terhadap kekerasan dalam pernikahan, perlu dipertimbangkan sejauh mana upaya-upaya yang dilakukan telah berhasil dalam menegakkan keadilan dan memberikan perlindungan kepada korban.</w:t>
      </w:r>
    </w:p>
    <w:p w14:paraId="7725A53E"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Pertama-tama, perlu dipahami bahwa penegakan hukum terhadap kekerasan dalam pernikahan melibatkan berbagai aspek, mulai dari identifikasi kasus, penanganan laporan, proses penyidikan, hingga penuntutan pelaku kekerasan. Evaluasi terhadap efektivitas penegakan hukum dalam konteks ini memerlukan tinjauan menyeluruh terhadap seluruh tahapan proses penegakan hukum tersebut.</w:t>
      </w:r>
    </w:p>
    <w:p w14:paraId="7A413AA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Salah satu aspek yang perlu dievaluasi adalah respons aparat penegak hukum terhadap laporan kekerasan dalam pernikahan. Berdasarkan UU PPA, aparat penegak hukum memiliki kewajiban untuk menindaklanjuti setiap laporan kekerasan dalam rumah tangga, termasuk dalam konteks pernikahan. Namun, dalam praktiknya, respons terhadap laporan kekerasan sering kali lambat atau tidak memadai, terutama di daerah-daerah yang terpencil atau kurang terlayani.</w:t>
      </w:r>
    </w:p>
    <w:p w14:paraId="3374E22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lastRenderedPageBreak/>
        <w:t>Penanganan penyidikan juga merupakan aspek penting dalam evaluasi efektivitas penegakan hukum terhadap kekerasan dalam pernikahan. Proses penyidikan yang efektif memerlukan pengumpulan bukti yang cukup untuk menindaklanjuti kasus kekerasan, termasuk mendengarkan kesaksian korban dan mencari bukti-bukti fisik atau elektronik yang mendukung. Namun, sering kali terjadi hambatan dalam proses penyidikan, seperti kurangnya dukungan dari korban atau kurangnya sumber daya yang tersedia bagi aparat penegak hukum.</w:t>
      </w:r>
    </w:p>
    <w:p w14:paraId="2613D964"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Selain itu, penuntutan pelaku kekerasan juga merupakan tahapan penting dalam proses penegakan hukum. Pelaku kekerasan dalam pernikahan harus diadili secara adil dan tegas sesuai dengan hukum yang berlaku. Namun, dalam praktiknya, masih terdapat kendala-kendala dalam penuntutan pelaku kekerasan, seperti minimnya bukti yang cukup atau tekanan dari pihak tertentu untuk menutupi kasus kekerasan.</w:t>
      </w:r>
    </w:p>
    <w:p w14:paraId="62879D2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evaluasi efektivitas penegakan hukum terhadap kekerasan dalam pernikahan, perlu juga diperhatikan faktor-faktor yang mempengaruhi keterbatasan dalam proses penegakan hukum tersebut. Salah satu faktor utama adalah kurangnya sumber daya, baik dalam hal personel maupun peralatan, yang dimiliki oleh aparat penegak hukum. Banyak daerah di Indonesia masih kekurangan jumlah polisi dan jaksa yang memadai untuk menangani kasus kekerasan dalam pernikahan dengan efektif.</w:t>
      </w:r>
    </w:p>
    <w:p w14:paraId="07A4DA7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kurangnya sumber daya, faktor lain yang mempengaruhi efektivitas penegakan hukum adalah kurangnya pelatihan dan pemahaman yang dimiliki oleh aparat penegak hukum tentang isu kekerasan dalam pernikahan. Penanganan kasus kekerasan dalam pernikahan memerlukan sensitivitas terhadap isu-isu gender dan kebutuhan khusus korban, yang sering kali tidak dimiliki oleh aparat penegak hukum yang tidak terlatih.</w:t>
      </w:r>
    </w:p>
    <w:p w14:paraId="5A5E5715"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menghadapi tantangan-tantangan ini, perlu dilakukan langkah-langkah konkret untuk meningkatkan efektivitas penegakan hukum terhadap kekerasan dalam pernikahan. Beberapa langkah yang dapat diambil antara lain:</w:t>
      </w:r>
    </w:p>
    <w:p w14:paraId="703F9585" w14:textId="51A7365F"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Sumber Daya</w:t>
      </w:r>
      <w:r w:rsidR="00EB34BB">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mengalokasikan lebih banyak sumber daya, baik dalam hal personel maupun peralatan, bagi aparat penegak hukum untuk menangani kasus kekerasan dalam pernikahan dengan lebih efektif. Ini termasuk peningkatan jumlah polisi, jaksa, dan petugas lainnya yang terlatih dalam menangani kasus kekerasan dalam pernikahan.</w:t>
      </w:r>
    </w:p>
    <w:p w14:paraId="525807CD" w14:textId="55A6EC79"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Pelatihan dan Pendidikan</w:t>
      </w:r>
      <w:r w:rsidR="00EB34BB">
        <w:rPr>
          <w:rStyle w:val="s2"/>
          <w:rFonts w:asciiTheme="majorHAnsi" w:eastAsia="Times New Roman" w:hAnsiTheme="majorHAnsi"/>
          <w:b w:val="0"/>
          <w:bCs w:val="0"/>
          <w:sz w:val="24"/>
          <w:szCs w:val="24"/>
        </w:rPr>
        <w:t>.</w:t>
      </w:r>
      <w:r w:rsidRPr="00EB34BB">
        <w:rPr>
          <w:rStyle w:val="s1"/>
          <w:rFonts w:asciiTheme="majorHAnsi" w:eastAsia="Times New Roman" w:hAnsiTheme="majorHAnsi"/>
          <w:b/>
          <w:bCs/>
          <w:sz w:val="24"/>
          <w:szCs w:val="24"/>
        </w:rPr>
        <w:t xml:space="preserve"> </w:t>
      </w:r>
      <w:r>
        <w:rPr>
          <w:rStyle w:val="s1"/>
          <w:rFonts w:asciiTheme="majorHAnsi" w:eastAsia="Times New Roman" w:hAnsiTheme="majorHAnsi"/>
          <w:sz w:val="24"/>
          <w:szCs w:val="24"/>
        </w:rPr>
        <w:t>Pelatihan khusus tentang isu kekerasan dalam pernikahan dan sensitivitas gender perlu diberikan kepada aparat penegak hukum di semua tingkatan. Pelatihan ini harus mencakup pemahaman tentang tanda-tanda kekerasan dalam pernikahan, prosedur penanganan kasus, dan cara berinteraksi dengan korban dengan sensitif.</w:t>
      </w:r>
    </w:p>
    <w:p w14:paraId="16302050" w14:textId="21EDDCC5"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Peningkatan Koordinasi</w:t>
      </w:r>
      <w:r w:rsidR="00EB34BB">
        <w:rPr>
          <w:rStyle w:val="s2"/>
          <w:rFonts w:asciiTheme="majorHAnsi" w:eastAsia="Times New Roman" w:hAnsiTheme="majorHAnsi"/>
          <w:b w:val="0"/>
          <w:bCs w:val="0"/>
          <w:sz w:val="24"/>
          <w:szCs w:val="24"/>
        </w:rPr>
        <w:t>.</w:t>
      </w:r>
      <w:r>
        <w:rPr>
          <w:rStyle w:val="s1"/>
          <w:rFonts w:asciiTheme="majorHAnsi" w:eastAsia="Times New Roman" w:hAnsiTheme="majorHAnsi"/>
          <w:sz w:val="24"/>
          <w:szCs w:val="24"/>
        </w:rPr>
        <w:t xml:space="preserve"> Koordinasi antara berbagai lembaga penegak hukum dan pihak terkait lainnya perlu ditingkatkan untuk memastikan bahwa penanganan kasus kekerasan dalam pernikahan dilakukan secara terkoordinasi dan efektif. Ini termasuk kolaborasi antara kepolisian, kejaksaan, pengadilan, dan lembaga perlindungan sosial lainnya.</w:t>
      </w:r>
    </w:p>
    <w:p w14:paraId="4F545290" w14:textId="2804F976" w:rsidR="006932F6" w:rsidRDefault="00CE07D8">
      <w:pPr>
        <w:pStyle w:val="li1"/>
        <w:numPr>
          <w:ilvl w:val="0"/>
          <w:numId w:val="8"/>
        </w:numPr>
        <w:jc w:val="both"/>
        <w:divId w:val="1928615425"/>
        <w:rPr>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Advokasi dan Kesadaran Masyarakat</w:t>
      </w:r>
      <w:r w:rsidR="00EB34BB">
        <w:rPr>
          <w:rStyle w:val="s2"/>
          <w:rFonts w:asciiTheme="majorHAnsi" w:eastAsia="Times New Roman" w:hAnsiTheme="majorHAnsi"/>
          <w:b w:val="0"/>
          <w:bCs w:val="0"/>
          <w:sz w:val="24"/>
          <w:szCs w:val="24"/>
        </w:rPr>
        <w:t xml:space="preserve">. </w:t>
      </w:r>
      <w:r>
        <w:rPr>
          <w:rStyle w:val="s1"/>
          <w:rFonts w:asciiTheme="majorHAnsi" w:eastAsia="Times New Roman" w:hAnsiTheme="majorHAnsi"/>
          <w:sz w:val="24"/>
          <w:szCs w:val="24"/>
        </w:rPr>
        <w:t>Upaya advokasi dan kampanye publik perlu dilakukan untuk meningkatkan kesadaran masyarakat tentang pentingnya penegakan hukum terhadap kekerasan dalam pernikahan. Masyarakat perlu diberitahu tentang hak-hak mereka sebagai korban kekerasan dan cara melaporkan kasus kekerasan yang mereka alami.</w:t>
      </w:r>
    </w:p>
    <w:p w14:paraId="70F02C4F" w14:textId="77777777" w:rsidR="00914341" w:rsidRDefault="00CE07D8">
      <w:pPr>
        <w:pStyle w:val="li1"/>
        <w:numPr>
          <w:ilvl w:val="0"/>
          <w:numId w:val="8"/>
        </w:numPr>
        <w:jc w:val="both"/>
        <w:divId w:val="1928615425"/>
        <w:rPr>
          <w:rStyle w:val="s1"/>
          <w:rFonts w:asciiTheme="majorHAnsi" w:eastAsia="Times New Roman" w:hAnsiTheme="majorHAnsi"/>
          <w:sz w:val="24"/>
          <w:szCs w:val="24"/>
        </w:rPr>
      </w:pPr>
      <w:r w:rsidRPr="00EB34BB">
        <w:rPr>
          <w:rStyle w:val="s2"/>
          <w:rFonts w:asciiTheme="majorHAnsi" w:eastAsia="Times New Roman" w:hAnsiTheme="majorHAnsi"/>
          <w:b w:val="0"/>
          <w:bCs w:val="0"/>
          <w:sz w:val="24"/>
          <w:szCs w:val="24"/>
        </w:rPr>
        <w:t>Penguatan Hukum</w:t>
      </w:r>
      <w:r>
        <w:rPr>
          <w:rStyle w:val="s2"/>
          <w:rFonts w:asciiTheme="majorHAnsi" w:eastAsia="Times New Roman" w:hAnsiTheme="majorHAnsi"/>
          <w:sz w:val="24"/>
          <w:szCs w:val="24"/>
        </w:rPr>
        <w:t>:</w:t>
      </w:r>
      <w:r>
        <w:rPr>
          <w:rStyle w:val="s1"/>
          <w:rFonts w:asciiTheme="majorHAnsi" w:eastAsia="Times New Roman" w:hAnsiTheme="majorHAnsi"/>
          <w:sz w:val="24"/>
          <w:szCs w:val="24"/>
        </w:rPr>
        <w:t xml:space="preserve"> Pemerintah perlu memperkuat kerangka hukum yang ada untuk memberikan perlindungan yang lebih baik bagi korban kekerasan dalam pernikahan.</w:t>
      </w:r>
      <w:r w:rsidR="00914341">
        <w:rPr>
          <w:rStyle w:val="s1"/>
          <w:rFonts w:asciiTheme="majorHAnsi" w:eastAsia="Times New Roman" w:hAnsiTheme="majorHAnsi"/>
          <w:sz w:val="24"/>
          <w:szCs w:val="24"/>
        </w:rPr>
        <w:t xml:space="preserve"> </w:t>
      </w:r>
    </w:p>
    <w:p w14:paraId="48E0D646" w14:textId="77777777" w:rsidR="006932F6" w:rsidRPr="00914341" w:rsidRDefault="00914341" w:rsidP="00914341">
      <w:pPr>
        <w:pStyle w:val="li1"/>
        <w:jc w:val="both"/>
        <w:divId w:val="1928615425"/>
        <w:rPr>
          <w:rFonts w:asciiTheme="majorHAnsi" w:eastAsia="Times New Roman" w:hAnsiTheme="majorHAnsi"/>
          <w:sz w:val="24"/>
          <w:szCs w:val="24"/>
        </w:rPr>
      </w:pPr>
      <w:r>
        <w:rPr>
          <w:rStyle w:val="s1"/>
          <w:rFonts w:asciiTheme="majorHAnsi" w:eastAsia="Times New Roman" w:hAnsiTheme="majorHAnsi"/>
          <w:sz w:val="24"/>
          <w:szCs w:val="24"/>
          <w:lang w:val="id-ID"/>
        </w:rPr>
        <w:lastRenderedPageBreak/>
        <w:t xml:space="preserve">Ini </w:t>
      </w:r>
      <w:r w:rsidR="00CE07D8">
        <w:rPr>
          <w:rStyle w:val="s1"/>
          <w:rFonts w:asciiTheme="majorHAnsi" w:eastAsia="Times New Roman" w:hAnsiTheme="majorHAnsi"/>
          <w:sz w:val="24"/>
          <w:szCs w:val="24"/>
        </w:rPr>
        <w:t>termasuk mengkaji dan memperbarui Undang-Undang Perlindungan Perempuan dan Anak serta melaksanakan undang-undang yang ada dengan lebih tegas.</w:t>
      </w:r>
      <w:r>
        <w:rPr>
          <w:rStyle w:val="s1"/>
          <w:rFonts w:asciiTheme="majorHAnsi" w:eastAsia="Times New Roman" w:hAnsiTheme="majorHAnsi"/>
          <w:sz w:val="24"/>
          <w:szCs w:val="24"/>
          <w:lang w:val="id-ID"/>
        </w:rPr>
        <w:t xml:space="preserve"> </w:t>
      </w:r>
      <w:r w:rsidR="00CE07D8">
        <w:rPr>
          <w:rStyle w:val="s1"/>
          <w:rFonts w:asciiTheme="majorHAnsi" w:hAnsiTheme="majorHAnsi"/>
          <w:sz w:val="24"/>
          <w:szCs w:val="24"/>
        </w:rPr>
        <w:t>Dengan mengambil langkah-langkah ini, diharapkan dapat terjadi peningkatan efektivitas penegakan hukum terhadap kekerasan dalam pernikahan di Indonesia. Evaluasi terhadap upaya meningkatkan efektivitas penegakan hukum merupakan langkah yang krusial untuk mengevaluasi pencapaian serta mengidentifikasi area-area yang masih perlu diperbaiki dalam sistem penegakan hukum terhadap kekerasan dalam pernikahan.</w:t>
      </w:r>
    </w:p>
    <w:p w14:paraId="748913C4"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langkah-langkah konkret yang telah disebutkan sebelumnya, penting juga untuk melibatkan berbagai pemangku kepentingan dalam upaya meningkatkan efektivitas penegakan hukum. Hal ini termasuk pemerintah, lembaga penegak hukum, lembaga swadaya masyarakat, organisasi non-pemerintah, dan masyarakat sipil secara keseluruhan. Kolaborasi antara berbagai pihak ini penting untuk menciptakan sistem penegakan hukum yang lebih efektif dan responsif terhadap kekerasan dalam pernikahan.</w:t>
      </w:r>
      <w:r w:rsidR="00914341">
        <w:rPr>
          <w:rFonts w:asciiTheme="majorHAnsi" w:hAnsiTheme="majorHAnsi"/>
          <w:sz w:val="24"/>
          <w:szCs w:val="24"/>
          <w:lang w:val="id-ID"/>
        </w:rPr>
        <w:t xml:space="preserve"> </w:t>
      </w:r>
      <w:r>
        <w:rPr>
          <w:rStyle w:val="s1"/>
          <w:rFonts w:asciiTheme="majorHAnsi" w:hAnsiTheme="majorHAnsi"/>
          <w:sz w:val="24"/>
          <w:szCs w:val="24"/>
        </w:rPr>
        <w:t>Selain itu, evaluasi terhadap efektivitas penegakan hukum terhadap kekerasan dalam pernikahan juga memerlukan pemantauan dan evaluasi secara berkala terhadap implementasi kebijakan dan program-program yang telah dilakukan. Dengan melakukan pemantauan dan evaluasi yang terus-menerus, dapat diidentifikasi tren-tren dalam penegakan hukum, area-area yang masih memerlukan perbaikan, serta faktor-faktor yang mempengaruhi keberhasilan atau kegagalan upaya-upaya yang dilakukan.</w:t>
      </w:r>
    </w:p>
    <w:p w14:paraId="49C84C53"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penting juga untuk melibatkan korban kekerasan dalam pernikahan serta kelompok-kelompok advokasi dalam proses evaluasi ini. Pendapat dan pengalaman mereka dalam menghadapi sistem penegakan hukum dapat memberikan wawasan yang berharga tentang kelemahan dan kekuatan dari sistem yang ada. Dengan melibatkan korban dan kelompok advokasi dalam proses evaluasi, dapat dihasilkan rekomendasi-rekomendasi yang lebih relevan dan berdampak dalam upaya meningkatkan efektivitas penegakan hukum.</w:t>
      </w:r>
    </w:p>
    <w:p w14:paraId="2424EB3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Dalam menghadapi tantangan dalam penegakan hukum terhadap kekerasan dalam pernikahan, penting juga untuk memperhatikan peran teknologi dan inovasi dalam meningkatkan efektivitas penegakan hukum. Penggunaan teknologi informasi dan komunikasi dapat membantu dalam proses identifikasi, pelaporan, dan penanganan kasus kekerasan dalam pernikahan secara lebih efisien dan responsif. Misalnya, aplikasi seluler atau platform online dapat digunakan untuk memfasilitasi pelaporan kasus kekerasan dan memberikan informasi tentang layanan-layanan yang tersedia bagi korban.</w:t>
      </w:r>
    </w:p>
    <w:p w14:paraId="376149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forensik dan analisis data juga dapat membantu dalam penyelidikan dan penyidikan kasus kekerasan dalam pernikahan. Teknologi ini dapat digunakan untuk mengumpulkan bukti digital, menganalisis jejak digital pelaku kekerasan, dan mendukung proses penyidikan secara lebih efektif. Dengan memanfaatkan teknologi dan inovasi, diharapkan dapat tercipta sistem penegakan hukum yang lebih adaptif dan efisien dalam menangani kasus kekerasan dalam pernikahan.</w:t>
      </w:r>
    </w:p>
    <w:p w14:paraId="2A5C9BA7"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teknologi, penting juga untuk memperhatikan perlindungan terhadap korban kekerasan dalam pernikahan dalam konteks penegakan hukum. Korban kekerasan perlu diberikan perlindungan yang memadai selama proses penyidikan dan penuntutan, termasuk perlindungan terhadap ancaman atau intimidasi dari pelaku kekerasan. Pemerintah dan lembaga penegak hukum perlu memastikan bahwa korban kekerasan mendapatkan perlindungan yang memadai dan dukungan yang mereka butuhkan selama proses penegakan hukum.</w:t>
      </w:r>
    </w:p>
    <w:p w14:paraId="3DCC17C1"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 xml:space="preserve">Secara kesimpulan, evaluasi terhadap upaya meningkatkan efektivitas penegakan hukum terhadap kekerasan dalam pernikahan merupakan langkah penting dalam konteks </w:t>
      </w:r>
      <w:r>
        <w:rPr>
          <w:rStyle w:val="s1"/>
          <w:rFonts w:asciiTheme="majorHAnsi" w:hAnsiTheme="majorHAnsi"/>
          <w:sz w:val="24"/>
          <w:szCs w:val="24"/>
        </w:rPr>
        <w:lastRenderedPageBreak/>
        <w:t>implementasi Undang-Undang Perlindungan Perempuan dan Anak di Indonesia. Evaluasi ini memerlukan tinjauan menyeluruh terhadap berbagai aspek penegakan hukum, termasuk respons terhadap laporan kekerasan, penanganan penyidikan, penuntutan pelaku kekerasan, serta faktor-faktor yang mempengaruhi efektivitas penegakan hukum tersebut. Dengan melakukan evaluasi terhadap berbagai aspek ini secara terus-menerus dan melibatkan berbagai pemangku kepentingan, diharapkan dapat diidentifikasi area-area yang masih memerlukan perbaikan dalam sistem penegakan hukum terhadap kekerasan dalam pernikahan.</w:t>
      </w:r>
    </w:p>
    <w:p w14:paraId="59B828E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Langkah-langkah konkret dapat diambil untuk meningkatkan efektivitas penegakan hukum terhadap kekerasan dalam pernikahan, termasuk peningkatan sumber daya, pelatihan dan pendidikan bagi aparat penegak hukum, peningkatan koordinasi antarlembaga, advokasi dan kesadaran masyarakat, serta penguatan kerangka hukum yang ada. Dengan melakukan langkah-langkah ini secara terkoordinasi dan berkesinambungan, diharapkan dapat tercipta sistem penegakan hukum yang lebih efektif dalam menangani kasus kekerasan dalam pernikahan di Indonesia.</w:t>
      </w:r>
    </w:p>
    <w:p w14:paraId="0905B49C"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Penting untuk diingat bahwa penegakan hukum terhadap kekerasan dalam pernikahan bukanlah tugas yang mudah dan memerlukan komitmen yang kuat dari berbagai pihak. Selain upaya penegakan hukum, juga perlu ada upaya preventif dan perlindungan yang lebih luas untuk mencegah terjadinya kekerasan dalam pernikahan dan memberikan perlindungan kepada korban. Hal ini mencakup pendidikan tentang kesetaraan gender dan hak-hak perempuan, pemberdayaan ekonomi perempuan, dukungan psikologis dan sosial bagi korban, serta upaya untuk mengubah norma-norma budaya yang merugikan.</w:t>
      </w:r>
    </w:p>
    <w:p w14:paraId="3AEE68DD"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t>Dengan menjalin kerjasama antara pemerintah, lembaga penegak hukum, lembaga swadaya masyarakat, organisasi non-pemerintah, dan masyarakat sipil secara keseluruhan, diharapkan dapat tercipta lingkungan yang lebih aman dan adil bagi semua individu, tanpa terkecuali. Setiap orang memiliki hak untuk hidup bebas dari kekerasan dan diskriminasi, dan penegakan hukum yang efektif terhadap kekerasan dalam pernikahan merupakan langkah penting dalam mewujudkan hak tersebut.</w:t>
      </w:r>
    </w:p>
    <w:p w14:paraId="6739B5D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Dalam konteks implementasi Undang-Undang Perlindungan Perempuan dan Anak, evaluasi terhadap upaya meningkatkan efektivitas penegakan hukum terhadap kekerasan dalam pernikahan juga merupakan bagian dari komitmen untuk melindungi hak-hak perempuan dan anak di Indonesia. Dengan terus melakukan evaluasi, pemantauan, dan perbaikan terhadap sistem penegakan hukum, diharapkan dapat tercipta lingkungan yang lebih aman dan adil bagi semua individu, terutama bagi mereka yang rentan terhadap kekerasan dalam pernikahan.</w:t>
      </w:r>
    </w:p>
    <w:p w14:paraId="2C028F04"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Dalam mengakhiri, penting untuk diingat bahwa penegakan hukum terhadap kekerasan dalam pernikahan bukanlah tujuan akhir, tetapi merupakan bagian dari upaya yang lebih luas untuk mewujudkan kesetaraan gender, perlindungan hak asasi manusia, dan keadilan sosial. Melalui kerja sama dan komitmen dari berbagai pihak, diharapkan kita dapat menciptakan masyarakat yang lebih aman, adil, dan inklusif bagi semua individu.</w:t>
      </w:r>
    </w:p>
    <w:p w14:paraId="79355AFA" w14:textId="77777777" w:rsidR="006932F6" w:rsidRDefault="00CE07D8">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0EF01073" w14:textId="77777777" w:rsidR="006932F6" w:rsidRDefault="00CE07D8">
      <w:pPr>
        <w:numPr>
          <w:ilvl w:val="0"/>
          <w:numId w:val="10"/>
        </w:numPr>
        <w:shd w:val="clear" w:color="auto" w:fill="FFFFFF"/>
        <w:ind w:left="360"/>
        <w:divId w:val="1928615425"/>
        <w:rPr>
          <w:rFonts w:eastAsia="Times New Roman"/>
          <w:color w:val="000000"/>
          <w:sz w:val="20"/>
          <w:szCs w:val="20"/>
        </w:rPr>
      </w:pPr>
      <w:r>
        <w:rPr>
          <w:rFonts w:ascii="Calibri" w:eastAsia="Times New Roman" w:hAnsi="Calibri"/>
          <w:b/>
          <w:bCs/>
          <w:color w:val="000000"/>
        </w:rPr>
        <w:t>CONCLUSION</w:t>
      </w:r>
      <w:r>
        <w:rPr>
          <w:rFonts w:ascii="Calibri" w:eastAsia="Times New Roman" w:hAnsi="Calibri"/>
          <w:b/>
          <w:bCs/>
          <w:color w:val="7030A0"/>
          <w:sz w:val="23"/>
          <w:szCs w:val="23"/>
        </w:rPr>
        <w:t> </w:t>
      </w:r>
    </w:p>
    <w:p w14:paraId="2AB3C759" w14:textId="77777777" w:rsidR="006932F6" w:rsidRDefault="00CE07D8" w:rsidP="00914341">
      <w:pPr>
        <w:pStyle w:val="p1"/>
        <w:ind w:firstLine="360"/>
        <w:jc w:val="both"/>
        <w:divId w:val="1928615425"/>
        <w:rPr>
          <w:rFonts w:asciiTheme="majorHAnsi" w:hAnsiTheme="majorHAnsi"/>
          <w:sz w:val="24"/>
          <w:szCs w:val="24"/>
        </w:rPr>
      </w:pPr>
      <w:r>
        <w:rPr>
          <w:rStyle w:val="s1"/>
          <w:rFonts w:asciiTheme="majorHAnsi" w:hAnsiTheme="majorHAnsi"/>
          <w:sz w:val="24"/>
          <w:szCs w:val="24"/>
        </w:rPr>
        <w:t>Pengaturan hukum terhadap kekerasan dalam pernikahan merupakan suatu aspek yang penting dalam menegakkan perlindungan terhadap perempuan dan anak di Indonesia. Analisis yuridis terhadap implementasi Undang-Undang Perlindungan Perempuan dan Anak (UU PPA) menjadi landasan utama untuk memahami bagaimana pengaturan hukum ini diterapkan dalam konteks kekerasan domestik.</w:t>
      </w:r>
    </w:p>
    <w:p w14:paraId="4DF36451" w14:textId="77777777" w:rsidR="006932F6" w:rsidRDefault="00CE07D8">
      <w:pPr>
        <w:pStyle w:val="p1"/>
        <w:jc w:val="both"/>
        <w:divId w:val="1928615425"/>
        <w:rPr>
          <w:rFonts w:asciiTheme="majorHAnsi" w:hAnsiTheme="majorHAnsi"/>
          <w:sz w:val="24"/>
          <w:szCs w:val="24"/>
        </w:rPr>
      </w:pPr>
      <w:r>
        <w:rPr>
          <w:rStyle w:val="s1"/>
          <w:rFonts w:asciiTheme="majorHAnsi" w:hAnsiTheme="majorHAnsi"/>
          <w:sz w:val="24"/>
          <w:szCs w:val="24"/>
        </w:rPr>
        <w:lastRenderedPageBreak/>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 Namun, meskipun ada upaya yang dilakukan, masih terdapat tantangan-tantangan dalam penegakan hukum terhadap kekerasan dalam pernikahan.</w:t>
      </w:r>
    </w:p>
    <w:p w14:paraId="0D5C601B"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Faktor-faktor budaya dan sosial memainkan peran penting dalam menghambat efektivitas penegakan hukum. Norma-norma patriarki, stigma terhadap perceraian, serta akses terbatas terhadap layanan perlindungan dan keadilan menjadi hambatan dalam melindungi korban kekerasan. Dalam mengatasi tantangan ini, diperlukan langkah-langkah yang komprehensif, termasuk meningkatkan kesadaran masyarakat, memperkuat infrastruktur pendukung, dan memperbaiki sistem penegakan hukum.</w:t>
      </w:r>
      <w:r>
        <w:rPr>
          <w:rFonts w:asciiTheme="majorHAnsi" w:hAnsiTheme="majorHAnsi"/>
          <w:sz w:val="24"/>
          <w:szCs w:val="24"/>
          <w:lang w:val="id-ID"/>
        </w:rPr>
        <w:t xml:space="preserve"> </w:t>
      </w:r>
      <w:r>
        <w:rPr>
          <w:rStyle w:val="s1"/>
          <w:rFonts w:asciiTheme="majorHAnsi" w:hAnsiTheme="majorHAnsi"/>
          <w:sz w:val="24"/>
          <w:szCs w:val="24"/>
        </w:rPr>
        <w:t>Evaluasi terhadap upaya meningkatkan efektivitas penegakan hukum menjadi langkah penting dalam memperbaiki sistem yang ada. Hal ini memerlukan kolaborasi antara pemerintah, lembaga penegak hukum, lembaga swadaya masyarakat, dan masyarakat sipil untuk mengidentifikasi area-area yang masih memerlukan perbaikan dan mengimplementasikan langkah-langkah perbaikan yang diperlukan.</w:t>
      </w:r>
    </w:p>
    <w:p w14:paraId="2BDF95C5" w14:textId="77777777" w:rsidR="006932F6" w:rsidRDefault="00CE07D8" w:rsidP="00914341">
      <w:pPr>
        <w:pStyle w:val="p1"/>
        <w:ind w:firstLine="720"/>
        <w:jc w:val="both"/>
        <w:divId w:val="1928615425"/>
        <w:rPr>
          <w:rFonts w:asciiTheme="majorHAnsi" w:hAnsiTheme="majorHAnsi"/>
          <w:sz w:val="24"/>
          <w:szCs w:val="24"/>
        </w:rPr>
      </w:pPr>
      <w:r>
        <w:rPr>
          <w:rStyle w:val="s1"/>
          <w:rFonts w:asciiTheme="majorHAnsi" w:hAnsiTheme="majorHAnsi"/>
          <w:sz w:val="24"/>
          <w:szCs w:val="24"/>
        </w:rPr>
        <w:t>Selain itu, penggunaan teknologi dan inovasi juga dapat membantu dalam meningkatkan efektivitas penegakan hukum terhadap kekerasan dalam pernikahan. Pendekatan ini melibatkan pemanfaatan teknologi informasi dan komunikasi untuk memfasilitasi pelaporan kasus, pengumpulan bukti, dan penyidikan kasus kekerasan. Dengan demikian, diharapkan dapat tercipta sistem penegakan hukum yang lebih adaptif dan responsif terhadap kekerasan dalam pernikahan.</w:t>
      </w:r>
      <w:r>
        <w:rPr>
          <w:rFonts w:asciiTheme="majorHAnsi" w:hAnsiTheme="majorHAnsi"/>
          <w:sz w:val="24"/>
          <w:szCs w:val="24"/>
          <w:lang w:val="id-ID"/>
        </w:rPr>
        <w:t xml:space="preserve"> </w:t>
      </w:r>
      <w:r>
        <w:rPr>
          <w:rStyle w:val="s1"/>
          <w:rFonts w:asciiTheme="majorHAnsi" w:hAnsiTheme="majorHAnsi"/>
          <w:sz w:val="24"/>
          <w:szCs w:val="24"/>
        </w:rPr>
        <w:t>Kesimpulannya, pengaturan hukum terhadap kekerasan dalam pernikahan perlu terus diperbaiki untuk memastikan perlindungan yang lebih baik bagi perempuan dan anak di Indonesia. Dengan melibatkan berbagai pemangku kepentingan, melakukan evaluasi terus-menerus, dan mengadopsi pendekatan yang komprehensif, diharapkan dapat tercipta lingkungan yang lebih aman dan adil bagi semua.</w:t>
      </w:r>
    </w:p>
    <w:p w14:paraId="3B81759E" w14:textId="77777777" w:rsidR="006932F6" w:rsidRDefault="00CE07D8" w:rsidP="002F1060">
      <w:pPr>
        <w:pStyle w:val="NormalWeb"/>
        <w:shd w:val="clear" w:color="auto" w:fill="FFFFFF"/>
        <w:spacing w:before="0" w:beforeAutospacing="0" w:after="0" w:afterAutospacing="0"/>
        <w:ind w:left="440" w:right="-2" w:hanging="14"/>
        <w:jc w:val="both"/>
        <w:divId w:val="1928615425"/>
        <w:rPr>
          <w:color w:val="000000"/>
          <w:sz w:val="20"/>
          <w:szCs w:val="20"/>
        </w:rPr>
      </w:pPr>
      <w:r>
        <w:rPr>
          <w:rFonts w:ascii="Calibri" w:hAnsi="Calibri"/>
          <w:color w:val="000000"/>
          <w:lang w:val="en-ID"/>
        </w:rPr>
        <w:t xml:space="preserve"> </w:t>
      </w:r>
    </w:p>
    <w:p w14:paraId="7089FA13" w14:textId="77777777" w:rsidR="006932F6" w:rsidRDefault="006932F6">
      <w:pPr>
        <w:pStyle w:val="NormalWeb"/>
        <w:shd w:val="clear" w:color="auto" w:fill="FFFFFF"/>
        <w:spacing w:before="0" w:beforeAutospacing="0" w:after="0" w:afterAutospacing="0"/>
        <w:jc w:val="both"/>
        <w:divId w:val="1928615425"/>
        <w:rPr>
          <w:rFonts w:ascii="Calibri" w:hAnsi="Calibri"/>
          <w:b/>
          <w:bCs/>
          <w:color w:val="000000"/>
        </w:rPr>
      </w:pPr>
    </w:p>
    <w:p w14:paraId="784B9645" w14:textId="77777777" w:rsidR="000A3E7E" w:rsidRDefault="00CE07D8">
      <w:pPr>
        <w:pStyle w:val="NormalWeb"/>
        <w:shd w:val="clear" w:color="auto" w:fill="FFFFFF"/>
        <w:spacing w:before="0" w:beforeAutospacing="0" w:after="0" w:afterAutospacing="0"/>
        <w:jc w:val="both"/>
        <w:divId w:val="1928615425"/>
        <w:rPr>
          <w:rFonts w:ascii="Calibri" w:hAnsi="Calibri"/>
          <w:b/>
          <w:bCs/>
          <w:color w:val="7030A0"/>
        </w:rPr>
      </w:pPr>
      <w:r>
        <w:rPr>
          <w:rFonts w:ascii="Calibri" w:hAnsi="Calibri"/>
          <w:b/>
          <w:bCs/>
          <w:color w:val="000000"/>
        </w:rPr>
        <w:t>VI. REFERENCES</w:t>
      </w:r>
      <w:r>
        <w:rPr>
          <w:rFonts w:ascii="Calibri" w:hAnsi="Calibri"/>
          <w:b/>
          <w:bCs/>
          <w:color w:val="7030A0"/>
        </w:rPr>
        <w:t> </w:t>
      </w:r>
    </w:p>
    <w:p w14:paraId="06D0E083"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rPr>
      </w:pPr>
      <w:r>
        <w:rPr>
          <w:rFonts w:asciiTheme="majorHAnsi" w:hAnsiTheme="majorHAnsi"/>
        </w:rPr>
        <w:t xml:space="preserve">Fajar, A. (2021). "Implementasi Undang-Undang Perlindungan Perempuan dan Anak dalam </w:t>
      </w:r>
      <w:r w:rsidR="000A3E7E">
        <w:rPr>
          <w:rFonts w:asciiTheme="majorHAnsi" w:hAnsiTheme="majorHAnsi"/>
        </w:rPr>
        <w:t xml:space="preserve">   </w:t>
      </w:r>
      <w:r>
        <w:rPr>
          <w:rFonts w:asciiTheme="majorHAnsi" w:hAnsiTheme="majorHAnsi"/>
        </w:rPr>
        <w:t>Penanganan Kasus Kekerasan dalam Pernikahan." Jakarta: Penerbit Kencana.</w:t>
      </w:r>
    </w:p>
    <w:p w14:paraId="1641B66B" w14:textId="77777777" w:rsidR="006932F6" w:rsidRDefault="00CE07D8" w:rsidP="00EB34BB">
      <w:pPr>
        <w:pStyle w:val="NormalWeb"/>
        <w:shd w:val="clear" w:color="auto" w:fill="FFFFFF"/>
        <w:spacing w:before="0" w:beforeAutospacing="0" w:after="0" w:afterAutospacing="0"/>
        <w:jc w:val="both"/>
        <w:divId w:val="1928615425"/>
        <w:rPr>
          <w:rFonts w:asciiTheme="majorHAnsi" w:hAnsiTheme="majorHAnsi"/>
          <w:b/>
          <w:bCs/>
          <w:color w:val="7030A0"/>
        </w:rPr>
      </w:pPr>
      <w:r>
        <w:rPr>
          <w:rFonts w:asciiTheme="majorHAnsi" w:hAnsiTheme="majorHAnsi"/>
        </w:rPr>
        <w:t>Riyanto, B. (2020). "Perlindungan Hukum bagi Korban Kekerasan dalam Pernikahan:</w:t>
      </w:r>
    </w:p>
    <w:p w14:paraId="71FFDC84" w14:textId="77777777" w:rsidR="006932F6" w:rsidRDefault="00CE07D8" w:rsidP="00EB34BB">
      <w:pPr>
        <w:ind w:firstLine="567"/>
        <w:jc w:val="both"/>
        <w:divId w:val="1928615425"/>
        <w:rPr>
          <w:rFonts w:asciiTheme="majorHAnsi" w:hAnsiTheme="majorHAnsi"/>
        </w:rPr>
      </w:pPr>
      <w:r>
        <w:rPr>
          <w:rFonts w:asciiTheme="majorHAnsi" w:hAnsiTheme="majorHAnsi"/>
        </w:rPr>
        <w:t>Perspektif Yuridis." Surabaya: Penerbit Pustaka Eureka.</w:t>
      </w:r>
    </w:p>
    <w:p w14:paraId="7FBBB640" w14:textId="77777777" w:rsidR="006932F6" w:rsidRDefault="00CE07D8" w:rsidP="00EB34BB">
      <w:pPr>
        <w:ind w:left="567" w:hanging="567"/>
        <w:jc w:val="both"/>
        <w:divId w:val="1928615425"/>
        <w:rPr>
          <w:rFonts w:asciiTheme="majorHAnsi" w:hAnsiTheme="majorHAnsi"/>
        </w:rPr>
      </w:pPr>
      <w:r>
        <w:rPr>
          <w:rFonts w:asciiTheme="majorHAnsi" w:hAnsiTheme="majorHAnsi"/>
        </w:rPr>
        <w:t>Surya, C. (2019). "Penegakan Hukum terhadap Kekerasan dalam Pernikahan: Tinjauan</w:t>
      </w:r>
    </w:p>
    <w:p w14:paraId="5F4BB0A8"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Bandung:</w:t>
      </w:r>
    </w:p>
    <w:p w14:paraId="75C4FD29" w14:textId="77777777" w:rsidR="006932F6" w:rsidRDefault="00CE07D8" w:rsidP="00EB34BB">
      <w:pPr>
        <w:ind w:left="567"/>
        <w:jc w:val="both"/>
        <w:divId w:val="1928615425"/>
        <w:rPr>
          <w:rFonts w:asciiTheme="majorHAnsi" w:hAnsiTheme="majorHAnsi"/>
        </w:rPr>
      </w:pPr>
      <w:r>
        <w:rPr>
          <w:rFonts w:asciiTheme="majorHAnsi" w:hAnsiTheme="majorHAnsi"/>
        </w:rPr>
        <w:t>Penerbit Remaja Rosdakarya.</w:t>
      </w:r>
    </w:p>
    <w:p w14:paraId="21310FD3" w14:textId="77777777" w:rsidR="006932F6" w:rsidRDefault="00CE07D8" w:rsidP="00EB34BB">
      <w:pPr>
        <w:ind w:left="567" w:hanging="567"/>
        <w:jc w:val="both"/>
        <w:divId w:val="1928615425"/>
        <w:rPr>
          <w:rFonts w:asciiTheme="majorHAnsi" w:hAnsiTheme="majorHAnsi"/>
        </w:rPr>
      </w:pPr>
      <w:r>
        <w:rPr>
          <w:rFonts w:asciiTheme="majorHAnsi" w:hAnsiTheme="majorHAnsi"/>
        </w:rPr>
        <w:t>Wijaya, D. (2018). "Pengaturan Hukum terhadap Kasus Kekerasan dalam Pernikahan:</w:t>
      </w:r>
    </w:p>
    <w:p w14:paraId="7238C3C7" w14:textId="77777777" w:rsidR="006932F6" w:rsidRDefault="00CE07D8" w:rsidP="00EB34BB">
      <w:pPr>
        <w:ind w:left="567"/>
        <w:jc w:val="both"/>
        <w:divId w:val="1928615425"/>
        <w:rPr>
          <w:rFonts w:asciiTheme="majorHAnsi" w:hAnsiTheme="majorHAnsi"/>
        </w:rPr>
      </w:pPr>
      <w:r>
        <w:rPr>
          <w:rFonts w:asciiTheme="majorHAnsi" w:hAnsiTheme="majorHAnsi"/>
        </w:rPr>
        <w:t>Analisis Yuridis." Yogyakarta: Penerbit Genta Press.</w:t>
      </w:r>
    </w:p>
    <w:p w14:paraId="06BB96FE" w14:textId="77777777" w:rsidR="006932F6" w:rsidRDefault="00CE07D8" w:rsidP="00EB34BB">
      <w:pPr>
        <w:ind w:left="567" w:hanging="567"/>
        <w:jc w:val="both"/>
        <w:divId w:val="1928615425"/>
        <w:rPr>
          <w:rFonts w:asciiTheme="majorHAnsi" w:hAnsiTheme="majorHAnsi"/>
        </w:rPr>
      </w:pPr>
      <w:r>
        <w:rPr>
          <w:rFonts w:asciiTheme="majorHAnsi" w:hAnsiTheme="majorHAnsi"/>
        </w:rPr>
        <w:t>Santoso, E. (2017). "Tantangan Penegakan Hukum dalam Kasus Kekerasan dalam</w:t>
      </w:r>
    </w:p>
    <w:p w14:paraId="659C3EC0" w14:textId="77777777" w:rsidR="006932F6" w:rsidRDefault="00CE07D8" w:rsidP="00EB34BB">
      <w:pPr>
        <w:ind w:left="567"/>
        <w:jc w:val="both"/>
        <w:divId w:val="1928615425"/>
        <w:rPr>
          <w:rFonts w:asciiTheme="majorHAnsi" w:hAnsiTheme="majorHAnsi"/>
        </w:rPr>
      </w:pPr>
      <w:r>
        <w:rPr>
          <w:rFonts w:asciiTheme="majorHAnsi" w:hAnsiTheme="majorHAnsi"/>
        </w:rPr>
        <w:t>Pernikahan: Perspektif Undang-Undang Perlindungan Perempuan dan Anak."</w:t>
      </w:r>
    </w:p>
    <w:p w14:paraId="36203999" w14:textId="77777777" w:rsidR="006932F6" w:rsidRDefault="00CE07D8" w:rsidP="00EB34BB">
      <w:pPr>
        <w:ind w:left="567"/>
        <w:jc w:val="both"/>
        <w:divId w:val="1928615425"/>
        <w:rPr>
          <w:rFonts w:asciiTheme="majorHAnsi" w:hAnsiTheme="majorHAnsi"/>
        </w:rPr>
      </w:pPr>
      <w:r>
        <w:rPr>
          <w:rFonts w:asciiTheme="majorHAnsi" w:hAnsiTheme="majorHAnsi"/>
        </w:rPr>
        <w:t>Surakarta: Penerbit Indah Jaya.</w:t>
      </w:r>
    </w:p>
    <w:p w14:paraId="0D4E6100" w14:textId="77777777" w:rsidR="006932F6" w:rsidRDefault="00CE07D8" w:rsidP="00EB34BB">
      <w:pPr>
        <w:ind w:left="567" w:hanging="567"/>
        <w:jc w:val="both"/>
        <w:divId w:val="1928615425"/>
        <w:rPr>
          <w:rFonts w:asciiTheme="majorHAnsi" w:hAnsiTheme="majorHAnsi"/>
        </w:rPr>
      </w:pPr>
      <w:r>
        <w:rPr>
          <w:rFonts w:asciiTheme="majorHAnsi" w:hAnsiTheme="majorHAnsi"/>
        </w:rPr>
        <w:t>Gunawan, F. (2016). "Perlindungan Korban Kekerasan dalam Pernikahan: Studi Kasus</w:t>
      </w:r>
    </w:p>
    <w:p w14:paraId="12EBFC3E" w14:textId="77777777" w:rsidR="006932F6" w:rsidRDefault="00CE07D8" w:rsidP="00EB34BB">
      <w:pPr>
        <w:ind w:left="567"/>
        <w:jc w:val="both"/>
        <w:divId w:val="1928615425"/>
        <w:rPr>
          <w:rFonts w:asciiTheme="majorHAnsi" w:hAnsiTheme="majorHAnsi"/>
        </w:rPr>
      </w:pPr>
      <w:r>
        <w:rPr>
          <w:rFonts w:asciiTheme="majorHAnsi" w:hAnsiTheme="majorHAnsi"/>
        </w:rPr>
        <w:t>Implementasi Hukum." Jakarta: Penerbit Prenada Media.</w:t>
      </w:r>
    </w:p>
    <w:p w14:paraId="023895B1" w14:textId="77777777" w:rsidR="006932F6" w:rsidRDefault="00CE07D8" w:rsidP="00EB34BB">
      <w:pPr>
        <w:ind w:left="567" w:hanging="567"/>
        <w:jc w:val="both"/>
        <w:divId w:val="1928615425"/>
        <w:rPr>
          <w:rFonts w:asciiTheme="majorHAnsi" w:hAnsiTheme="majorHAnsi"/>
        </w:rPr>
      </w:pPr>
      <w:r>
        <w:rPr>
          <w:rFonts w:asciiTheme="majorHAnsi" w:hAnsiTheme="majorHAnsi"/>
        </w:rPr>
        <w:t>Hasan, G. (2015). "Kajian Yuridis tentang Penanggulangan Kekerasan dalam Pernikahan</w:t>
      </w:r>
    </w:p>
    <w:p w14:paraId="4FD35F7F"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Bandung: Penerbit</w:t>
      </w:r>
    </w:p>
    <w:p w14:paraId="7B036DD1" w14:textId="77777777" w:rsidR="006932F6" w:rsidRDefault="00CE07D8" w:rsidP="00EB34BB">
      <w:pPr>
        <w:ind w:left="567"/>
        <w:jc w:val="both"/>
        <w:divId w:val="1928615425"/>
        <w:rPr>
          <w:rFonts w:asciiTheme="majorHAnsi" w:hAnsiTheme="majorHAnsi"/>
        </w:rPr>
      </w:pPr>
      <w:r>
        <w:rPr>
          <w:rFonts w:asciiTheme="majorHAnsi" w:hAnsiTheme="majorHAnsi"/>
        </w:rPr>
        <w:t>Alfabeta.</w:t>
      </w:r>
    </w:p>
    <w:p w14:paraId="4D98E43C" w14:textId="77777777" w:rsidR="006932F6" w:rsidRDefault="00CE07D8" w:rsidP="00EB34BB">
      <w:pPr>
        <w:ind w:left="567" w:hanging="567"/>
        <w:jc w:val="both"/>
        <w:divId w:val="1928615425"/>
        <w:rPr>
          <w:rFonts w:asciiTheme="majorHAnsi" w:hAnsiTheme="majorHAnsi"/>
        </w:rPr>
      </w:pPr>
      <w:r>
        <w:rPr>
          <w:rFonts w:asciiTheme="majorHAnsi" w:hAnsiTheme="majorHAnsi"/>
        </w:rPr>
        <w:lastRenderedPageBreak/>
        <w:t>Indah, H. (2014). "Dampak Implementasi Undang-Undang Perlindungan Perempuan dan</w:t>
      </w:r>
    </w:p>
    <w:p w14:paraId="7D78AEA1"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Tinjauan Hukum." Yogyakarta:</w:t>
      </w:r>
    </w:p>
    <w:p w14:paraId="19D058B7" w14:textId="77777777" w:rsidR="006932F6" w:rsidRDefault="00CE07D8" w:rsidP="00EB34BB">
      <w:pPr>
        <w:ind w:left="567"/>
        <w:jc w:val="both"/>
        <w:divId w:val="1928615425"/>
        <w:rPr>
          <w:rFonts w:asciiTheme="majorHAnsi" w:hAnsiTheme="majorHAnsi"/>
        </w:rPr>
      </w:pPr>
      <w:r>
        <w:rPr>
          <w:rFonts w:asciiTheme="majorHAnsi" w:hAnsiTheme="majorHAnsi"/>
        </w:rPr>
        <w:t>Penerbit Bentang Pustaka.</w:t>
      </w:r>
    </w:p>
    <w:p w14:paraId="68E8327B" w14:textId="77777777" w:rsidR="006932F6" w:rsidRDefault="00CE07D8" w:rsidP="00EB34BB">
      <w:pPr>
        <w:ind w:left="567" w:hanging="567"/>
        <w:jc w:val="both"/>
        <w:divId w:val="1928615425"/>
        <w:rPr>
          <w:rFonts w:asciiTheme="majorHAnsi" w:hAnsiTheme="majorHAnsi"/>
        </w:rPr>
      </w:pPr>
      <w:r>
        <w:rPr>
          <w:rFonts w:asciiTheme="majorHAnsi" w:hAnsiTheme="majorHAnsi"/>
        </w:rPr>
        <w:t>Jaya, I. (2013). "Penerapan Hukum terhadap Kekerasan dalam Pernikahan: Studi Kasus</w:t>
      </w:r>
    </w:p>
    <w:p w14:paraId="2EE575E5"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Jakarta: Penerbit Rajawali Pers.</w:t>
      </w:r>
    </w:p>
    <w:p w14:paraId="33E8AA88" w14:textId="77777777" w:rsidR="006932F6" w:rsidRDefault="00CE07D8" w:rsidP="00EB34BB">
      <w:pPr>
        <w:ind w:left="567" w:hanging="567"/>
        <w:jc w:val="both"/>
        <w:divId w:val="1928615425"/>
        <w:rPr>
          <w:rFonts w:asciiTheme="majorHAnsi" w:hAnsiTheme="majorHAnsi"/>
        </w:rPr>
      </w:pPr>
      <w:r>
        <w:rPr>
          <w:rFonts w:asciiTheme="majorHAnsi" w:hAnsiTheme="majorHAnsi"/>
        </w:rPr>
        <w:t>Kusuma, J. (2012). "Peran Hukum dalam Mengatasi Kasus Kekerasan dalam Pernikahan:</w:t>
      </w:r>
    </w:p>
    <w:p w14:paraId="7FE30329" w14:textId="77777777" w:rsidR="006932F6" w:rsidRDefault="00CE07D8" w:rsidP="00EB34BB">
      <w:pPr>
        <w:ind w:left="567"/>
        <w:jc w:val="both"/>
        <w:divId w:val="1928615425"/>
        <w:rPr>
          <w:rFonts w:asciiTheme="majorHAnsi" w:hAnsiTheme="majorHAnsi"/>
        </w:rPr>
      </w:pPr>
      <w:r>
        <w:rPr>
          <w:rFonts w:asciiTheme="majorHAnsi" w:hAnsiTheme="majorHAnsi"/>
        </w:rPr>
        <w:t>Perspektif Undang-Undang Perlindungan Perempuan dan Anak." Surabaya: Penerbit</w:t>
      </w:r>
    </w:p>
    <w:p w14:paraId="42FD4158" w14:textId="77777777" w:rsidR="006932F6" w:rsidRDefault="00CE07D8" w:rsidP="00EB34BB">
      <w:pPr>
        <w:ind w:left="567"/>
        <w:jc w:val="both"/>
        <w:divId w:val="1928615425"/>
        <w:rPr>
          <w:rFonts w:asciiTheme="majorHAnsi" w:hAnsiTheme="majorHAnsi"/>
        </w:rPr>
      </w:pPr>
      <w:r>
        <w:rPr>
          <w:rFonts w:asciiTheme="majorHAnsi" w:hAnsiTheme="majorHAnsi"/>
        </w:rPr>
        <w:t>Mitra Wacana Media.</w:t>
      </w:r>
    </w:p>
    <w:p w14:paraId="08C093C8" w14:textId="77777777" w:rsidR="006932F6" w:rsidRDefault="00CE07D8" w:rsidP="00EB34BB">
      <w:pPr>
        <w:ind w:left="567" w:hanging="567"/>
        <w:jc w:val="both"/>
        <w:divId w:val="1928615425"/>
        <w:rPr>
          <w:rFonts w:asciiTheme="majorHAnsi" w:hAnsiTheme="majorHAnsi"/>
        </w:rPr>
      </w:pPr>
      <w:r>
        <w:rPr>
          <w:rFonts w:asciiTheme="majorHAnsi" w:hAnsiTheme="majorHAnsi"/>
        </w:rPr>
        <w:t>Lestari, K. (2011). "Analisis Implementasi Undang-Undang Perlindungan Perempuan dan</w:t>
      </w:r>
    </w:p>
    <w:p w14:paraId="5EF205B8" w14:textId="77777777" w:rsidR="006932F6" w:rsidRDefault="00CE07D8" w:rsidP="00EB34BB">
      <w:pPr>
        <w:ind w:left="567"/>
        <w:jc w:val="both"/>
        <w:divId w:val="1928615425"/>
        <w:rPr>
          <w:rFonts w:asciiTheme="majorHAnsi" w:hAnsiTheme="majorHAnsi"/>
        </w:rPr>
      </w:pPr>
      <w:r>
        <w:rPr>
          <w:rFonts w:asciiTheme="majorHAnsi" w:hAnsiTheme="majorHAnsi"/>
        </w:rPr>
        <w:t>Anak terhadap Kasus Kekerasan dalam Pernikahan." Bandung: Penerbit Refika</w:t>
      </w:r>
    </w:p>
    <w:p w14:paraId="05D2482D" w14:textId="77777777" w:rsidR="006932F6" w:rsidRDefault="00CE07D8" w:rsidP="00EB34BB">
      <w:pPr>
        <w:ind w:left="567"/>
        <w:jc w:val="both"/>
        <w:divId w:val="1928615425"/>
        <w:rPr>
          <w:rFonts w:asciiTheme="majorHAnsi" w:hAnsiTheme="majorHAnsi"/>
        </w:rPr>
      </w:pPr>
      <w:r>
        <w:rPr>
          <w:rFonts w:asciiTheme="majorHAnsi" w:hAnsiTheme="majorHAnsi"/>
        </w:rPr>
        <w:t>Aditama.</w:t>
      </w:r>
    </w:p>
    <w:p w14:paraId="6F27A223" w14:textId="77777777" w:rsidR="006932F6" w:rsidRDefault="00CE07D8" w:rsidP="00EB34BB">
      <w:pPr>
        <w:ind w:left="567" w:hanging="567"/>
        <w:jc w:val="both"/>
        <w:divId w:val="1928615425"/>
        <w:rPr>
          <w:rFonts w:asciiTheme="majorHAnsi" w:hAnsiTheme="majorHAnsi"/>
        </w:rPr>
      </w:pPr>
      <w:r>
        <w:rPr>
          <w:rFonts w:asciiTheme="majorHAnsi" w:hAnsiTheme="majorHAnsi"/>
        </w:rPr>
        <w:t>Daftar pustaka disusun dan ditulis berdasarkan si</w:t>
      </w:r>
      <w:r w:rsidR="00700AD5">
        <w:rPr>
          <w:rFonts w:asciiTheme="majorHAnsi" w:hAnsiTheme="majorHAnsi"/>
        </w:rPr>
        <w:t xml:space="preserve">stem nomor sesuai dengan urutan </w:t>
      </w:r>
      <w:r>
        <w:rPr>
          <w:rFonts w:asciiTheme="majorHAnsi" w:hAnsiTheme="majorHAnsi"/>
        </w:rPr>
        <w:t>pengutipan.</w:t>
      </w:r>
    </w:p>
    <w:p w14:paraId="5E8416F8" w14:textId="77777777" w:rsidR="000A3E7E" w:rsidRDefault="00CE07D8" w:rsidP="00EB34BB">
      <w:pPr>
        <w:ind w:left="567"/>
        <w:jc w:val="both"/>
        <w:divId w:val="1928615425"/>
        <w:rPr>
          <w:rFonts w:asciiTheme="majorHAnsi" w:hAnsiTheme="majorHAnsi"/>
        </w:rPr>
      </w:pPr>
      <w:r>
        <w:rPr>
          <w:rFonts w:asciiTheme="majorHAnsi" w:hAnsiTheme="majorHAnsi"/>
        </w:rPr>
        <w:t>Hanya pustaka yang disitasi pada usulan penelitian yang dicantumkan dalam Daftar Pustaka.</w:t>
      </w:r>
    </w:p>
    <w:p w14:paraId="0C72047C" w14:textId="77777777" w:rsidR="006932F6" w:rsidRDefault="00CE07D8" w:rsidP="00EB34BB">
      <w:pPr>
        <w:ind w:left="567" w:hanging="567"/>
        <w:jc w:val="both"/>
        <w:divId w:val="1928615425"/>
        <w:rPr>
          <w:rFonts w:asciiTheme="majorHAnsi" w:hAnsiTheme="majorHAnsi"/>
        </w:rPr>
      </w:pPr>
      <w:r>
        <w:rPr>
          <w:rFonts w:asciiTheme="majorHAnsi" w:hAnsiTheme="majorHAnsi"/>
        </w:rPr>
        <w:t>Mawar, L. (2010). "Tinjauan Hukum tentang Pengaturan Kekerasan dalam Pernikahan</w:t>
      </w:r>
    </w:p>
    <w:p w14:paraId="0D22BB1A" w14:textId="77777777" w:rsidR="006932F6" w:rsidRDefault="00CE07D8" w:rsidP="00EB34BB">
      <w:pPr>
        <w:ind w:left="567"/>
        <w:jc w:val="both"/>
        <w:divId w:val="1928615425"/>
        <w:rPr>
          <w:rFonts w:asciiTheme="majorHAnsi" w:hAnsiTheme="majorHAnsi"/>
        </w:rPr>
      </w:pPr>
      <w:r>
        <w:rPr>
          <w:rFonts w:asciiTheme="majorHAnsi" w:hAnsiTheme="majorHAnsi"/>
        </w:rPr>
        <w:t>berdasarkan Undang-Undang Perlindungan Perempuan dan Anak." Yogyakarta:</w:t>
      </w:r>
    </w:p>
    <w:p w14:paraId="087094D0" w14:textId="77777777" w:rsidR="006932F6" w:rsidRDefault="00CE07D8" w:rsidP="00EB34BB">
      <w:pPr>
        <w:ind w:left="567"/>
        <w:jc w:val="both"/>
        <w:divId w:val="1928615425"/>
        <w:rPr>
          <w:rFonts w:asciiTheme="majorHAnsi" w:hAnsiTheme="majorHAnsi"/>
        </w:rPr>
      </w:pPr>
      <w:r>
        <w:rPr>
          <w:rFonts w:asciiTheme="majorHAnsi" w:hAnsiTheme="majorHAnsi"/>
        </w:rPr>
        <w:t>Penerbit Pustaka Pelajar.</w:t>
      </w:r>
    </w:p>
    <w:p w14:paraId="6209A429" w14:textId="77777777" w:rsidR="006932F6" w:rsidRDefault="00CE07D8" w:rsidP="00EB34BB">
      <w:pPr>
        <w:ind w:left="567" w:hanging="567"/>
        <w:jc w:val="both"/>
        <w:divId w:val="1928615425"/>
        <w:rPr>
          <w:rFonts w:asciiTheme="majorHAnsi" w:hAnsiTheme="majorHAnsi"/>
        </w:rPr>
      </w:pPr>
      <w:r>
        <w:rPr>
          <w:rFonts w:asciiTheme="majorHAnsi" w:hAnsiTheme="majorHAnsi"/>
        </w:rPr>
        <w:t>Ningsih, M. (2009). "Yuridis Perlindungan Korban Kekerasan dalam Pernikahan: Analisis</w:t>
      </w:r>
    </w:p>
    <w:p w14:paraId="26EBA65E" w14:textId="77777777" w:rsidR="006932F6" w:rsidRDefault="00CE07D8" w:rsidP="00EB34BB">
      <w:pPr>
        <w:ind w:left="567"/>
        <w:jc w:val="both"/>
        <w:divId w:val="1928615425"/>
        <w:rPr>
          <w:rFonts w:asciiTheme="majorHAnsi" w:hAnsiTheme="majorHAnsi"/>
        </w:rPr>
      </w:pPr>
      <w:r>
        <w:rPr>
          <w:rFonts w:asciiTheme="majorHAnsi" w:hAnsiTheme="majorHAnsi"/>
        </w:rPr>
        <w:t>Implementasi Undang-Undang Perlindungan Perempuan dan Anak." Jakarta: Penerbit</w:t>
      </w:r>
    </w:p>
    <w:p w14:paraId="395A2616" w14:textId="77777777" w:rsidR="006932F6" w:rsidRDefault="00CE07D8" w:rsidP="00EB34BB">
      <w:pPr>
        <w:ind w:left="567"/>
        <w:jc w:val="both"/>
        <w:divId w:val="1928615425"/>
        <w:rPr>
          <w:rFonts w:asciiTheme="majorHAnsi" w:hAnsiTheme="majorHAnsi"/>
        </w:rPr>
      </w:pPr>
      <w:r>
        <w:rPr>
          <w:rFonts w:asciiTheme="majorHAnsi" w:hAnsiTheme="majorHAnsi"/>
        </w:rPr>
        <w:t>RajaGrafindo Persada.</w:t>
      </w:r>
    </w:p>
    <w:p w14:paraId="5273EDD6" w14:textId="77777777" w:rsidR="006932F6" w:rsidRDefault="00CE07D8" w:rsidP="00EB34BB">
      <w:pPr>
        <w:ind w:left="567" w:hanging="567"/>
        <w:jc w:val="both"/>
        <w:divId w:val="1928615425"/>
        <w:rPr>
          <w:rFonts w:asciiTheme="majorHAnsi" w:hAnsiTheme="majorHAnsi"/>
        </w:rPr>
      </w:pPr>
      <w:r>
        <w:rPr>
          <w:rFonts w:asciiTheme="majorHAnsi" w:hAnsiTheme="majorHAnsi"/>
        </w:rPr>
        <w:t>Oktavia, N. (2008). "Kasus Kekerasan dalam Pernikahan dan Implementasi Undang-Undang</w:t>
      </w:r>
    </w:p>
    <w:p w14:paraId="44780E66" w14:textId="77777777" w:rsidR="006932F6" w:rsidRDefault="00CE07D8" w:rsidP="00EB34BB">
      <w:pPr>
        <w:ind w:left="567"/>
        <w:jc w:val="both"/>
        <w:divId w:val="1928615425"/>
        <w:rPr>
          <w:rFonts w:asciiTheme="majorHAnsi" w:hAnsiTheme="majorHAnsi"/>
        </w:rPr>
      </w:pPr>
      <w:r>
        <w:rPr>
          <w:rFonts w:asciiTheme="majorHAnsi" w:hAnsiTheme="majorHAnsi"/>
        </w:rPr>
        <w:t>Perlindungan Perempuan dan Anak: Studi Kasus Hukum." Surakarta: Penerbit</w:t>
      </w:r>
    </w:p>
    <w:p w14:paraId="4CCD28DC" w14:textId="77777777" w:rsidR="006932F6" w:rsidRDefault="00CE07D8" w:rsidP="00EB34BB">
      <w:pPr>
        <w:ind w:left="567"/>
        <w:jc w:val="both"/>
        <w:divId w:val="1928615425"/>
        <w:rPr>
          <w:rFonts w:asciiTheme="majorHAnsi" w:hAnsiTheme="majorHAnsi"/>
        </w:rPr>
      </w:pPr>
      <w:r>
        <w:rPr>
          <w:rFonts w:asciiTheme="majorHAnsi" w:hAnsiTheme="majorHAnsi"/>
        </w:rPr>
        <w:t>Adiwacana.</w:t>
      </w:r>
    </w:p>
    <w:p w14:paraId="75A55689" w14:textId="77777777" w:rsidR="006932F6" w:rsidRDefault="00CE07D8" w:rsidP="00EB34BB">
      <w:pPr>
        <w:ind w:left="567" w:hanging="567"/>
        <w:jc w:val="both"/>
        <w:divId w:val="1928615425"/>
        <w:rPr>
          <w:rFonts w:asciiTheme="majorHAnsi" w:hAnsiTheme="majorHAnsi"/>
        </w:rPr>
      </w:pPr>
      <w:r>
        <w:rPr>
          <w:rFonts w:asciiTheme="majorHAnsi" w:hAnsiTheme="majorHAnsi"/>
        </w:rPr>
        <w:t>Pratama, P. (2007). "Pengaruh Hukum terhadap Penanggulangan Kekerasan dalam</w:t>
      </w:r>
    </w:p>
    <w:p w14:paraId="62F5C512" w14:textId="77777777" w:rsidR="006932F6" w:rsidRDefault="00CE07D8" w:rsidP="00EB34BB">
      <w:pPr>
        <w:ind w:left="567"/>
        <w:jc w:val="both"/>
        <w:divId w:val="1928615425"/>
        <w:rPr>
          <w:rFonts w:asciiTheme="majorHAnsi" w:hAnsiTheme="majorHAnsi"/>
        </w:rPr>
      </w:pPr>
      <w:r>
        <w:rPr>
          <w:rFonts w:asciiTheme="majorHAnsi" w:hAnsiTheme="majorHAnsi"/>
        </w:rPr>
        <w:t>Pernikahan: Tinjauan Implementasi Undang-Undang Perlindungan Perempuan dan</w:t>
      </w:r>
    </w:p>
    <w:p w14:paraId="099634C2" w14:textId="77777777" w:rsidR="006932F6" w:rsidRDefault="00CE07D8" w:rsidP="00EB34BB">
      <w:pPr>
        <w:ind w:left="567"/>
        <w:jc w:val="both"/>
        <w:divId w:val="1928615425"/>
        <w:rPr>
          <w:rFonts w:asciiTheme="majorHAnsi" w:hAnsiTheme="majorHAnsi"/>
        </w:rPr>
      </w:pPr>
      <w:r>
        <w:rPr>
          <w:rFonts w:asciiTheme="majorHAnsi" w:hAnsiTheme="majorHAnsi"/>
        </w:rPr>
        <w:t>Anak." Bandung: Penerbit Nuansa Cendikia.</w:t>
      </w:r>
    </w:p>
    <w:p w14:paraId="6272BB8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Basqian, R., &amp; Jaelani, E. (2024). Tinjauan Yuridis Terkait Child Protection Convention 1996 dan Perbandingannya dengan Undang-Undang No. 35 Tahun 2014 Tentang Perlindungan Anak di Indonesia. Causa: Jurnal Hukum dan Kewarganegaraan, 2(12), 99-110.</w:t>
      </w:r>
    </w:p>
    <w:p w14:paraId="669248EB"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Farkhie, A., Bariah, C., &amp; Sembiring, R. (2024). Analisis Yuridis terhadap Hak-hak Perempuan Korban Tindak Pidana Kekerasan dalam Rumah Tangga: Studi Putusan Nomor: 416/Pid/Sus/2015/PN/SGL. Jurnal Media Akademik, 2(3).</w:t>
      </w:r>
    </w:p>
    <w:p w14:paraId="150455C3"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Fibrianti, S. S. T. (2021). Pernikahan Dini dan Kekerasan dalam Rumah Tangga: Studi Kasus di Lombok Timur NTB. Ahlimedia Book.</w:t>
      </w:r>
    </w:p>
    <w:p w14:paraId="625ACD04"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Kumala Ningsih, F. (2024). Kekerasan dalam Rumah Tangga (KDRT) Perspektif Undang-Undang Nomor 23 Tahun 2004 dan Hukum Islam: Studi Putusan Nomor 40/Pid. B/2014/PN. Tais. QIYAS, 5(2).</w:t>
      </w:r>
    </w:p>
    <w:p w14:paraId="5077EE9D"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Mukrimah Yusuf, A., &amp; Khalid, H. (2024). Tinjauan Yuridis terhadap Perlindungan Anak dalam Perspektif Undang-Undang Perlindungan Anak. Journal of Lex Philosophy, 5(1), 161-175.</w:t>
      </w:r>
    </w:p>
    <w:p w14:paraId="2409E6E9"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Pinondang, P. (2021). Kajian Hukum Mengenai Tindak Pidana Kekerasan yang Dilakukan Oleh Isteri Terhadap Suami. JURNAL RECTUM: Tinjauan Yuridis Penanganan Tindak Pidana, 3(2), 426-436.</w:t>
      </w:r>
    </w:p>
    <w:p w14:paraId="2AEC45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Tamara, E., Marhayani, C., &amp; Gunawan, A. F. (2023). Tinjauan Yuridis Implementasi Peraturan Desa Nomor 3 Tahun 2022 Tentang Pernikahan Dini Di Wilayah Hukum Kecamatan Payung. Jurnal Legalitas, 1(01), 66-78.</w:t>
      </w:r>
    </w:p>
    <w:p w14:paraId="452E275A"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lastRenderedPageBreak/>
        <w:t>Wijaya, B. S. (2021). Analisis Yuridis Pembatalan Perkawinan Sedarah Dikaitkan dengan Upaya Perlindungan Hukum Terhadap Anak. Jurnal Ilmiah Mahasiswa Hukum [JIMHUM], 1(2).</w:t>
      </w:r>
    </w:p>
    <w:p w14:paraId="16A8795F" w14:textId="77777777" w:rsidR="006932F6" w:rsidRDefault="00CE07D8" w:rsidP="00EB34BB">
      <w:pPr>
        <w:pStyle w:val="p1"/>
        <w:ind w:left="567" w:hanging="567"/>
        <w:jc w:val="both"/>
        <w:divId w:val="1928615425"/>
        <w:rPr>
          <w:rFonts w:asciiTheme="majorHAnsi" w:hAnsiTheme="majorHAnsi"/>
          <w:sz w:val="24"/>
          <w:szCs w:val="24"/>
        </w:rPr>
      </w:pPr>
      <w:r>
        <w:rPr>
          <w:rStyle w:val="s1"/>
          <w:rFonts w:asciiTheme="majorHAnsi" w:hAnsiTheme="majorHAnsi"/>
          <w:sz w:val="24"/>
          <w:szCs w:val="24"/>
        </w:rPr>
        <w:t>Mushthofa, R. Z., &amp; Aminah, S. (2022). Tinjauan Hukum Pidana terhadap Kekerasan dalam Rumah Tangga. JOSH: Journal of Sharia, 1(02), 134-142.</w:t>
      </w:r>
    </w:p>
    <w:p w14:paraId="5844E489" w14:textId="77777777" w:rsidR="006932F6" w:rsidRDefault="006932F6" w:rsidP="00EB34BB">
      <w:pPr>
        <w:pStyle w:val="p2"/>
        <w:ind w:left="567" w:hanging="567"/>
        <w:jc w:val="both"/>
        <w:divId w:val="1928615425"/>
        <w:rPr>
          <w:rFonts w:asciiTheme="majorHAnsi" w:hAnsiTheme="majorHAnsi"/>
          <w:sz w:val="24"/>
          <w:szCs w:val="24"/>
        </w:rPr>
      </w:pPr>
    </w:p>
    <w:p w14:paraId="6600505B" w14:textId="77777777" w:rsidR="006932F6" w:rsidRDefault="006932F6" w:rsidP="00EB34BB">
      <w:pPr>
        <w:ind w:left="567" w:hanging="567"/>
        <w:jc w:val="both"/>
        <w:divId w:val="1928615425"/>
        <w:rPr>
          <w:sz w:val="16"/>
          <w:szCs w:val="16"/>
        </w:rPr>
      </w:pPr>
    </w:p>
    <w:p w14:paraId="3517A52D" w14:textId="77777777" w:rsidR="006932F6" w:rsidRDefault="006932F6" w:rsidP="00EB34BB">
      <w:pPr>
        <w:ind w:left="567" w:hanging="567"/>
        <w:jc w:val="both"/>
        <w:divId w:val="1928615425"/>
        <w:rPr>
          <w:sz w:val="16"/>
          <w:szCs w:val="16"/>
        </w:rPr>
      </w:pPr>
    </w:p>
    <w:p w14:paraId="67287B53" w14:textId="77777777" w:rsidR="006932F6" w:rsidRDefault="00CE07D8" w:rsidP="00EB34BB">
      <w:pPr>
        <w:pStyle w:val="NormalWeb"/>
        <w:shd w:val="clear" w:color="auto" w:fill="FFFFFF"/>
        <w:spacing w:before="0" w:beforeAutospacing="0" w:after="0" w:afterAutospacing="0"/>
        <w:jc w:val="both"/>
        <w:divId w:val="1928615425"/>
        <w:rPr>
          <w:color w:val="000000"/>
          <w:sz w:val="20"/>
          <w:szCs w:val="20"/>
        </w:rPr>
      </w:pPr>
      <w:r>
        <w:rPr>
          <w:rFonts w:ascii="Calibri" w:hAnsi="Calibri"/>
          <w:b/>
          <w:bCs/>
          <w:color w:val="A6A6A6"/>
        </w:rPr>
        <w:t xml:space="preserve"> </w:t>
      </w:r>
    </w:p>
    <w:p w14:paraId="1710000A" w14:textId="77777777" w:rsidR="006932F6" w:rsidRDefault="006932F6" w:rsidP="00EB34BB">
      <w:pPr>
        <w:pStyle w:val="NormalWeb"/>
        <w:shd w:val="clear" w:color="auto" w:fill="FFFFFF"/>
        <w:spacing w:before="0" w:beforeAutospacing="0" w:after="0" w:afterAutospacing="0"/>
        <w:jc w:val="both"/>
        <w:divId w:val="271128624"/>
        <w:rPr>
          <w:rFonts w:ascii="Calibri" w:hAnsi="Calibri"/>
          <w:color w:val="000000"/>
          <w:sz w:val="16"/>
          <w:szCs w:val="16"/>
        </w:rPr>
      </w:pPr>
    </w:p>
    <w:p w14:paraId="5BDE2DCA" w14:textId="77777777" w:rsidR="006932F6" w:rsidRDefault="006932F6" w:rsidP="00EB34BB">
      <w:pPr>
        <w:pStyle w:val="NormalWeb"/>
        <w:shd w:val="clear" w:color="auto" w:fill="FFFFFF"/>
        <w:spacing w:before="0" w:beforeAutospacing="0" w:after="0" w:afterAutospacing="0"/>
        <w:jc w:val="both"/>
        <w:divId w:val="271128624"/>
        <w:rPr>
          <w:color w:val="000000"/>
          <w:sz w:val="20"/>
          <w:szCs w:val="20"/>
        </w:rPr>
      </w:pPr>
    </w:p>
    <w:p w14:paraId="758F7406" w14:textId="77777777" w:rsidR="00CE07D8" w:rsidRDefault="00CE07D8" w:rsidP="00EB34BB">
      <w:pPr>
        <w:jc w:val="both"/>
        <w:rPr>
          <w:rFonts w:eastAsia="Times New Roman"/>
        </w:rPr>
      </w:pPr>
    </w:p>
    <w:sectPr w:rsidR="00CE0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UICTFontTextStyleEmphasizedBody">
    <w:altName w:val="Cambria"/>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A17B95"/>
    <w:multiLevelType w:val="multilevel"/>
    <w:tmpl w:val="C68C90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2D46284"/>
    <w:multiLevelType w:val="multilevel"/>
    <w:tmpl w:val="50D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83718133">
    <w:abstractNumId w:val="3"/>
  </w:num>
  <w:num w:numId="2" w16cid:durableId="10597843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646517">
    <w:abstractNumId w:val="2"/>
  </w:num>
  <w:num w:numId="4" w16cid:durableId="128025666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8762217">
    <w:abstractNumId w:val="4"/>
  </w:num>
  <w:num w:numId="6" w16cid:durableId="167464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56062">
    <w:abstractNumId w:val="0"/>
  </w:num>
  <w:num w:numId="8" w16cid:durableId="135807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1856448">
    <w:abstractNumId w:val="1"/>
  </w:num>
  <w:num w:numId="10" w16cid:durableId="121949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hideSpellingErrors/>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73853"/>
    <w:rsid w:val="000A3E7E"/>
    <w:rsid w:val="0028774F"/>
    <w:rsid w:val="002D575A"/>
    <w:rsid w:val="002F1060"/>
    <w:rsid w:val="002F5858"/>
    <w:rsid w:val="003639FE"/>
    <w:rsid w:val="004F3F32"/>
    <w:rsid w:val="006932F6"/>
    <w:rsid w:val="00700AD5"/>
    <w:rsid w:val="008B1A5A"/>
    <w:rsid w:val="00914341"/>
    <w:rsid w:val="00951C0F"/>
    <w:rsid w:val="00CE07D8"/>
    <w:rsid w:val="00D77E38"/>
    <w:rsid w:val="00E472CA"/>
    <w:rsid w:val="00EB34BB"/>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0CD64"/>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 w:id="21235287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1667629909">
                      <w:marLeft w:val="0"/>
                      <w:marRight w:val="0"/>
                      <w:marTop w:val="0"/>
                      <w:marBottom w:val="0"/>
                      <w:divBdr>
                        <w:top w:val="none" w:sz="0" w:space="0" w:color="auto"/>
                        <w:left w:val="none" w:sz="0" w:space="0" w:color="auto"/>
                        <w:bottom w:val="none" w:sz="0" w:space="0" w:color="auto"/>
                        <w:right w:val="none" w:sz="0" w:space="0" w:color="auto"/>
                      </w:divBdr>
                    </w:div>
                    <w:div w:id="2711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ifulikhwan@gmail.com" TargetMode="External"/><Relationship Id="rId3" Type="http://schemas.openxmlformats.org/officeDocument/2006/relationships/settings" Target="settings.xml"/><Relationship Id="rId7" Type="http://schemas.openxmlformats.org/officeDocument/2006/relationships/hyperlink" Target="mailto:ucukagiyanto@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erryirawanfebriansyah@gmail.com" TargetMode="External"/><Relationship Id="rId11" Type="http://schemas.openxmlformats.org/officeDocument/2006/relationships/fontTable" Target="fontTable.xml"/><Relationship Id="rId5" Type="http://schemas.openxmlformats.org/officeDocument/2006/relationships/image" Target="file:///C:\Users\cctvu\OneDrive\&#47928;&#49436;\TEMPLATE%20IJLS%20NEW%202022.rtf.html" TargetMode="External"/><Relationship Id="rId10" Type="http://schemas.openxmlformats.org/officeDocument/2006/relationships/hyperlink" Target="https://www.google.com/url?q=https://www.google.com/url?q%3Dhttps://doi.org/10.5758/ijls.2022.1%26amp;sa%3DD%26amp;source%3Deditors%26amp;ust%3D1722222401664825%26amp;usg%3DAOvVaw3UqLCBX7K_qVoE2_uIXdvd&amp;sa=D&amp;source=docs&amp;ust=1722222401708652&amp;usg=AOvVaw0aVnoiBep777UHMiwUjxI4" TargetMode="External"/><Relationship Id="rId4" Type="http://schemas.openxmlformats.org/officeDocument/2006/relationships/webSettings" Target="webSettings.xml"/><Relationship Id="rId9" Type="http://schemas.openxmlformats.org/officeDocument/2006/relationships/hyperlink" Target="mailto:nurultri50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5845</Words>
  <Characters>41988</Characters>
  <Application>Microsoft Office Word</Application>
  <DocSecurity>0</DocSecurity>
  <Lines>349</Lines>
  <Paragraphs>95</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Ferry 1980</cp:lastModifiedBy>
  <cp:revision>2</cp:revision>
  <dcterms:created xsi:type="dcterms:W3CDTF">2024-07-31T05:37:00Z</dcterms:created>
  <dcterms:modified xsi:type="dcterms:W3CDTF">2024-07-31T05:37:00Z</dcterms:modified>
</cp:coreProperties>
</file>