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F0CF2" w14:textId="77777777" w:rsidR="00EB035B" w:rsidRPr="00EC77AC" w:rsidRDefault="00EB035B" w:rsidP="001432A5">
      <w:pPr>
        <w:spacing w:after="0"/>
        <w:jc w:val="both"/>
        <w:rPr>
          <w:rFonts w:asciiTheme="majorHAnsi" w:hAnsiTheme="majorHAnsi" w:cstheme="majorHAnsi"/>
          <w:sz w:val="24"/>
          <w:szCs w:val="24"/>
        </w:rPr>
      </w:pPr>
    </w:p>
    <w:p w14:paraId="3FDD3CBA" w14:textId="77777777" w:rsidR="00EB035B" w:rsidRPr="00EC77AC" w:rsidRDefault="00EB035B" w:rsidP="001432A5">
      <w:pPr>
        <w:spacing w:after="0"/>
        <w:jc w:val="both"/>
        <w:rPr>
          <w:rFonts w:asciiTheme="majorHAnsi" w:hAnsiTheme="majorHAnsi" w:cstheme="majorHAnsi"/>
          <w:sz w:val="24"/>
          <w:szCs w:val="24"/>
        </w:rPr>
      </w:pPr>
    </w:p>
    <w:p w14:paraId="35B100A1" w14:textId="186CAB28" w:rsidR="00EB035B" w:rsidRPr="00EC77AC" w:rsidRDefault="00EB035B" w:rsidP="00705C82">
      <w:pPr>
        <w:spacing w:after="0"/>
        <w:jc w:val="both"/>
        <w:rPr>
          <w:rFonts w:asciiTheme="majorHAnsi" w:hAnsiTheme="majorHAnsi" w:cstheme="majorHAnsi"/>
          <w:b/>
          <w:bCs/>
          <w:sz w:val="28"/>
          <w:szCs w:val="28"/>
        </w:rPr>
      </w:pPr>
      <w:r w:rsidRPr="00EC77AC">
        <w:rPr>
          <w:rFonts w:asciiTheme="majorHAnsi" w:hAnsiTheme="majorHAnsi" w:cstheme="majorHAnsi"/>
          <w:b/>
          <w:bCs/>
          <w:sz w:val="28"/>
          <w:szCs w:val="28"/>
        </w:rPr>
        <w:t xml:space="preserve">From the Debate on the Legality of </w:t>
      </w:r>
      <w:r w:rsidR="00E7738B" w:rsidRPr="00EC77AC">
        <w:rPr>
          <w:rFonts w:asciiTheme="majorHAnsi" w:hAnsiTheme="majorHAnsi" w:cstheme="majorHAnsi"/>
          <w:b/>
          <w:bCs/>
          <w:i/>
          <w:iCs/>
          <w:sz w:val="28"/>
          <w:szCs w:val="28"/>
        </w:rPr>
        <w:t>Waqf al-</w:t>
      </w:r>
      <w:proofErr w:type="spellStart"/>
      <w:r w:rsidR="00C7578D" w:rsidRPr="00EC77AC">
        <w:rPr>
          <w:rFonts w:asciiTheme="majorHAnsi" w:hAnsiTheme="majorHAnsi" w:cstheme="majorHAnsi"/>
          <w:b/>
          <w:bCs/>
          <w:i/>
          <w:iCs/>
          <w:sz w:val="28"/>
          <w:szCs w:val="28"/>
        </w:rPr>
        <w:t>A</w:t>
      </w:r>
      <w:r w:rsidR="00E7738B" w:rsidRPr="00EC77AC">
        <w:rPr>
          <w:rFonts w:asciiTheme="majorHAnsi" w:hAnsiTheme="majorHAnsi" w:cstheme="majorHAnsi"/>
          <w:b/>
          <w:bCs/>
          <w:i/>
          <w:iCs/>
          <w:sz w:val="28"/>
          <w:szCs w:val="28"/>
        </w:rPr>
        <w:t>hlī</w:t>
      </w:r>
      <w:proofErr w:type="spellEnd"/>
      <w:r w:rsidR="00E7738B" w:rsidRPr="00EC77AC">
        <w:rPr>
          <w:rFonts w:asciiTheme="majorHAnsi" w:hAnsiTheme="majorHAnsi" w:cstheme="majorHAnsi"/>
          <w:b/>
          <w:bCs/>
          <w:sz w:val="28"/>
          <w:szCs w:val="28"/>
        </w:rPr>
        <w:t xml:space="preserve"> </w:t>
      </w:r>
      <w:r w:rsidRPr="00EC77AC">
        <w:rPr>
          <w:rFonts w:asciiTheme="majorHAnsi" w:hAnsiTheme="majorHAnsi" w:cstheme="majorHAnsi"/>
          <w:b/>
          <w:bCs/>
          <w:sz w:val="28"/>
          <w:szCs w:val="28"/>
        </w:rPr>
        <w:t xml:space="preserve">to </w:t>
      </w:r>
      <w:r w:rsidR="00050C68">
        <w:rPr>
          <w:rFonts w:asciiTheme="majorHAnsi" w:hAnsiTheme="majorHAnsi" w:cstheme="majorHAnsi"/>
          <w:b/>
          <w:bCs/>
          <w:sz w:val="28"/>
          <w:szCs w:val="28"/>
        </w:rPr>
        <w:t>i</w:t>
      </w:r>
      <w:r w:rsidRPr="00EC77AC">
        <w:rPr>
          <w:rFonts w:asciiTheme="majorHAnsi" w:hAnsiTheme="majorHAnsi" w:cstheme="majorHAnsi"/>
          <w:b/>
          <w:bCs/>
          <w:sz w:val="28"/>
          <w:szCs w:val="28"/>
        </w:rPr>
        <w:t>ts Implementation in Southeast Asia: Indonesia, Malaysia, and Singapore</w:t>
      </w:r>
    </w:p>
    <w:p w14:paraId="191ED6AC" w14:textId="77777777" w:rsidR="004F3C96" w:rsidRPr="00EC77AC" w:rsidRDefault="004F3C96" w:rsidP="001432A5">
      <w:pPr>
        <w:spacing w:after="0"/>
        <w:jc w:val="both"/>
        <w:rPr>
          <w:rFonts w:asciiTheme="majorHAnsi" w:hAnsiTheme="majorHAnsi" w:cstheme="majorHAnsi"/>
          <w:b/>
          <w:bCs/>
          <w:iCs/>
          <w:sz w:val="24"/>
          <w:szCs w:val="24"/>
          <w:lang w:val="id-ID"/>
        </w:rPr>
      </w:pPr>
    </w:p>
    <w:p w14:paraId="6271F801" w14:textId="5CAF53FA" w:rsidR="00EB035B" w:rsidRPr="00EC77AC" w:rsidRDefault="00EB035B" w:rsidP="001432A5">
      <w:pPr>
        <w:spacing w:after="0"/>
        <w:jc w:val="both"/>
        <w:rPr>
          <w:rFonts w:asciiTheme="majorHAnsi" w:hAnsiTheme="majorHAnsi" w:cstheme="majorHAnsi"/>
          <w:color w:val="A6A6A6"/>
          <w:sz w:val="24"/>
          <w:szCs w:val="24"/>
        </w:rPr>
      </w:pPr>
      <w:proofErr w:type="spellStart"/>
      <w:r w:rsidRPr="00EC77AC">
        <w:rPr>
          <w:rFonts w:asciiTheme="majorHAnsi" w:hAnsiTheme="majorHAnsi" w:cstheme="majorHAnsi"/>
          <w:b/>
          <w:bCs/>
          <w:sz w:val="24"/>
          <w:szCs w:val="24"/>
        </w:rPr>
        <w:t>Ulfa</w:t>
      </w:r>
      <w:proofErr w:type="spellEnd"/>
      <w:r w:rsidRPr="00EC77AC">
        <w:rPr>
          <w:rFonts w:asciiTheme="majorHAnsi" w:hAnsiTheme="majorHAnsi" w:cstheme="majorHAnsi"/>
          <w:b/>
          <w:bCs/>
          <w:sz w:val="24"/>
          <w:szCs w:val="24"/>
        </w:rPr>
        <w:t xml:space="preserve"> </w:t>
      </w:r>
      <w:proofErr w:type="spellStart"/>
      <w:r w:rsidRPr="00EC77AC">
        <w:rPr>
          <w:rFonts w:asciiTheme="majorHAnsi" w:hAnsiTheme="majorHAnsi" w:cstheme="majorHAnsi"/>
          <w:b/>
          <w:bCs/>
          <w:sz w:val="24"/>
          <w:szCs w:val="24"/>
        </w:rPr>
        <w:t>Pirmani</w:t>
      </w:r>
      <w:proofErr w:type="spellEnd"/>
      <w:r w:rsidRPr="00EC77AC">
        <w:rPr>
          <w:rFonts w:asciiTheme="majorHAnsi" w:hAnsiTheme="majorHAnsi" w:cstheme="majorHAnsi"/>
          <w:b/>
          <w:bCs/>
          <w:sz w:val="24"/>
          <w:szCs w:val="24"/>
          <w:lang w:val="id-ID"/>
        </w:rPr>
        <w:t>*</w:t>
      </w:r>
      <w:r w:rsidRPr="00EC77AC">
        <w:rPr>
          <w:rFonts w:asciiTheme="majorHAnsi" w:hAnsiTheme="majorHAnsi" w:cstheme="majorHAnsi"/>
          <w:b/>
          <w:bCs/>
          <w:sz w:val="24"/>
          <w:szCs w:val="24"/>
          <w:vertAlign w:val="superscript"/>
        </w:rPr>
        <w:t>1</w:t>
      </w:r>
      <w:r w:rsidRPr="00EC77AC">
        <w:rPr>
          <w:rFonts w:asciiTheme="majorHAnsi" w:hAnsiTheme="majorHAnsi" w:cstheme="majorHAnsi"/>
          <w:b/>
          <w:bCs/>
          <w:sz w:val="24"/>
          <w:szCs w:val="24"/>
        </w:rPr>
        <w:t>, Edi Kurniawan</w:t>
      </w:r>
      <w:r w:rsidR="00B72310" w:rsidRPr="00EC77AC">
        <w:rPr>
          <w:rFonts w:asciiTheme="majorHAnsi" w:hAnsiTheme="majorHAnsi" w:cstheme="majorHAnsi"/>
          <w:b/>
          <w:bCs/>
          <w:sz w:val="24"/>
          <w:szCs w:val="24"/>
        </w:rPr>
        <w:t>,</w:t>
      </w:r>
      <w:r w:rsidRPr="00EC77AC">
        <w:rPr>
          <w:rFonts w:asciiTheme="majorHAnsi" w:hAnsiTheme="majorHAnsi" w:cstheme="majorHAnsi"/>
          <w:b/>
          <w:bCs/>
          <w:sz w:val="24"/>
          <w:szCs w:val="24"/>
          <w:vertAlign w:val="superscript"/>
        </w:rPr>
        <w:t>2</w:t>
      </w:r>
      <w:r w:rsidR="00B72310" w:rsidRPr="00EC77AC">
        <w:rPr>
          <w:rFonts w:asciiTheme="majorHAnsi" w:hAnsiTheme="majorHAnsi" w:cstheme="majorHAnsi"/>
          <w:b/>
          <w:bCs/>
          <w:sz w:val="24"/>
          <w:szCs w:val="24"/>
          <w:vertAlign w:val="superscript"/>
        </w:rPr>
        <w:t xml:space="preserve"> </w:t>
      </w:r>
      <w:r w:rsidR="00B72310" w:rsidRPr="00EC77AC">
        <w:rPr>
          <w:rFonts w:asciiTheme="majorHAnsi" w:hAnsiTheme="majorHAnsi" w:cstheme="majorHAnsi"/>
          <w:b/>
          <w:bCs/>
          <w:sz w:val="24"/>
          <w:szCs w:val="24"/>
        </w:rPr>
        <w:t>Najmi</w:t>
      </w:r>
      <w:r w:rsidR="006241FE">
        <w:rPr>
          <w:rFonts w:asciiTheme="majorHAnsi" w:hAnsiTheme="majorHAnsi" w:cstheme="majorHAnsi"/>
          <w:b/>
          <w:bCs/>
          <w:sz w:val="24"/>
          <w:szCs w:val="24"/>
          <w:vertAlign w:val="superscript"/>
        </w:rPr>
        <w:t>3</w:t>
      </w:r>
    </w:p>
    <w:p w14:paraId="494429A9" w14:textId="77777777" w:rsidR="00EB035B" w:rsidRPr="00EC77AC" w:rsidRDefault="00EB035B" w:rsidP="001432A5">
      <w:pPr>
        <w:spacing w:after="0"/>
        <w:jc w:val="both"/>
        <w:rPr>
          <w:rFonts w:asciiTheme="majorHAnsi" w:hAnsiTheme="majorHAnsi" w:cstheme="majorHAnsi"/>
          <w:sz w:val="24"/>
          <w:szCs w:val="24"/>
        </w:rPr>
      </w:pPr>
      <w:r w:rsidRPr="00EC77AC">
        <w:rPr>
          <w:rFonts w:asciiTheme="majorHAnsi" w:hAnsiTheme="majorHAnsi" w:cstheme="majorHAnsi"/>
          <w:sz w:val="24"/>
          <w:szCs w:val="24"/>
          <w:vertAlign w:val="superscript"/>
        </w:rPr>
        <w:t>1</w:t>
      </w:r>
      <w:r w:rsidRPr="00EC77AC">
        <w:rPr>
          <w:rFonts w:asciiTheme="majorHAnsi" w:hAnsiTheme="majorHAnsi" w:cstheme="majorHAnsi"/>
          <w:sz w:val="24"/>
          <w:szCs w:val="24"/>
        </w:rPr>
        <w:t>(</w:t>
      </w:r>
      <w:proofErr w:type="spellStart"/>
      <w:r w:rsidRPr="00EC77AC">
        <w:rPr>
          <w:rFonts w:asciiTheme="majorHAnsi" w:hAnsiTheme="majorHAnsi" w:cstheme="majorHAnsi"/>
          <w:sz w:val="24"/>
          <w:szCs w:val="24"/>
        </w:rPr>
        <w:t>Institut</w:t>
      </w:r>
      <w:proofErr w:type="spellEnd"/>
      <w:r w:rsidRPr="00EC77AC">
        <w:rPr>
          <w:rFonts w:asciiTheme="majorHAnsi" w:hAnsiTheme="majorHAnsi" w:cstheme="majorHAnsi"/>
          <w:sz w:val="24"/>
          <w:szCs w:val="24"/>
        </w:rPr>
        <w:t xml:space="preserve"> Agama Islam Negeri </w:t>
      </w:r>
      <w:proofErr w:type="spellStart"/>
      <w:r w:rsidRPr="00EC77AC">
        <w:rPr>
          <w:rFonts w:asciiTheme="majorHAnsi" w:hAnsiTheme="majorHAnsi" w:cstheme="majorHAnsi"/>
          <w:sz w:val="24"/>
          <w:szCs w:val="24"/>
        </w:rPr>
        <w:t>Kerinci</w:t>
      </w:r>
      <w:proofErr w:type="spellEnd"/>
      <w:r w:rsidRPr="00EC77AC">
        <w:rPr>
          <w:rFonts w:asciiTheme="majorHAnsi" w:hAnsiTheme="majorHAnsi" w:cstheme="majorHAnsi"/>
          <w:sz w:val="24"/>
          <w:szCs w:val="24"/>
        </w:rPr>
        <w:t xml:space="preserve">, Indonesia, Jl. </w:t>
      </w:r>
      <w:proofErr w:type="spellStart"/>
      <w:r w:rsidRPr="00EC77AC">
        <w:rPr>
          <w:rFonts w:asciiTheme="majorHAnsi" w:hAnsiTheme="majorHAnsi" w:cstheme="majorHAnsi"/>
          <w:sz w:val="24"/>
          <w:szCs w:val="24"/>
        </w:rPr>
        <w:t>Kapten</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Muradi</w:t>
      </w:r>
      <w:proofErr w:type="spellEnd"/>
      <w:r w:rsidRPr="00EC77AC">
        <w:rPr>
          <w:rFonts w:asciiTheme="majorHAnsi" w:hAnsiTheme="majorHAnsi" w:cstheme="majorHAnsi"/>
          <w:sz w:val="24"/>
          <w:szCs w:val="24"/>
        </w:rPr>
        <w:t xml:space="preserve">, Sungai </w:t>
      </w:r>
      <w:proofErr w:type="spellStart"/>
      <w:r w:rsidRPr="00EC77AC">
        <w:rPr>
          <w:rFonts w:asciiTheme="majorHAnsi" w:hAnsiTheme="majorHAnsi" w:cstheme="majorHAnsi"/>
          <w:sz w:val="24"/>
          <w:szCs w:val="24"/>
        </w:rPr>
        <w:t>Liuk</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Kec</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Pesisir</w:t>
      </w:r>
      <w:proofErr w:type="spellEnd"/>
      <w:r w:rsidRPr="00EC77AC">
        <w:rPr>
          <w:rFonts w:asciiTheme="majorHAnsi" w:hAnsiTheme="majorHAnsi" w:cstheme="majorHAnsi"/>
          <w:sz w:val="24"/>
          <w:szCs w:val="24"/>
        </w:rPr>
        <w:t xml:space="preserve"> Bukit, Kota Sungai </w:t>
      </w:r>
      <w:proofErr w:type="spellStart"/>
      <w:r w:rsidRPr="00EC77AC">
        <w:rPr>
          <w:rFonts w:asciiTheme="majorHAnsi" w:hAnsiTheme="majorHAnsi" w:cstheme="majorHAnsi"/>
          <w:sz w:val="24"/>
          <w:szCs w:val="24"/>
        </w:rPr>
        <w:t>Penuh</w:t>
      </w:r>
      <w:proofErr w:type="spellEnd"/>
      <w:r w:rsidRPr="00EC77AC">
        <w:rPr>
          <w:rFonts w:asciiTheme="majorHAnsi" w:hAnsiTheme="majorHAnsi" w:cstheme="majorHAnsi"/>
          <w:sz w:val="24"/>
          <w:szCs w:val="24"/>
        </w:rPr>
        <w:t xml:space="preserve">, Jambi 37112) </w:t>
      </w:r>
    </w:p>
    <w:p w14:paraId="56FF166E" w14:textId="196CE6DA" w:rsidR="00EB035B" w:rsidRPr="00EC77AC" w:rsidRDefault="00EB035B" w:rsidP="001432A5">
      <w:pPr>
        <w:spacing w:after="0"/>
        <w:jc w:val="both"/>
        <w:rPr>
          <w:rFonts w:asciiTheme="majorHAnsi" w:hAnsiTheme="majorHAnsi" w:cstheme="majorHAnsi"/>
          <w:sz w:val="24"/>
          <w:szCs w:val="24"/>
          <w:lang w:val="id-ID"/>
        </w:rPr>
      </w:pPr>
      <w:r w:rsidRPr="00EC77AC">
        <w:rPr>
          <w:rFonts w:asciiTheme="majorHAnsi" w:hAnsiTheme="majorHAnsi" w:cstheme="majorHAnsi"/>
          <w:sz w:val="24"/>
          <w:szCs w:val="24"/>
          <w:vertAlign w:val="superscript"/>
        </w:rPr>
        <w:t>2</w:t>
      </w:r>
      <w:r w:rsidR="006241FE">
        <w:rPr>
          <w:rFonts w:asciiTheme="majorHAnsi" w:hAnsiTheme="majorHAnsi" w:cstheme="majorHAnsi"/>
          <w:sz w:val="24"/>
          <w:szCs w:val="24"/>
          <w:vertAlign w:val="superscript"/>
        </w:rPr>
        <w:t>,3</w:t>
      </w:r>
      <w:r w:rsidRPr="00EC77AC">
        <w:rPr>
          <w:rFonts w:asciiTheme="majorHAnsi" w:hAnsiTheme="majorHAnsi" w:cstheme="majorHAnsi"/>
          <w:sz w:val="24"/>
          <w:szCs w:val="24"/>
        </w:rPr>
        <w:t xml:space="preserve">(UIN </w:t>
      </w:r>
      <w:proofErr w:type="spellStart"/>
      <w:r w:rsidRPr="00EC77AC">
        <w:rPr>
          <w:rFonts w:asciiTheme="majorHAnsi" w:hAnsiTheme="majorHAnsi" w:cstheme="majorHAnsi"/>
          <w:sz w:val="24"/>
          <w:szCs w:val="24"/>
        </w:rPr>
        <w:t>Sulthan</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Thaha</w:t>
      </w:r>
      <w:proofErr w:type="spellEnd"/>
      <w:r w:rsidRPr="00EC77AC">
        <w:rPr>
          <w:rFonts w:asciiTheme="majorHAnsi" w:hAnsiTheme="majorHAnsi" w:cstheme="majorHAnsi"/>
          <w:sz w:val="24"/>
          <w:szCs w:val="24"/>
        </w:rPr>
        <w:t xml:space="preserve"> Saifuddin Jambi, Indonesia, Jl. Jambi - Muara </w:t>
      </w:r>
      <w:proofErr w:type="spellStart"/>
      <w:r w:rsidRPr="00EC77AC">
        <w:rPr>
          <w:rFonts w:asciiTheme="majorHAnsi" w:hAnsiTheme="majorHAnsi" w:cstheme="majorHAnsi"/>
          <w:sz w:val="24"/>
          <w:szCs w:val="24"/>
        </w:rPr>
        <w:t>Bulian</w:t>
      </w:r>
      <w:proofErr w:type="spellEnd"/>
      <w:r w:rsidRPr="00EC77AC">
        <w:rPr>
          <w:rFonts w:asciiTheme="majorHAnsi" w:hAnsiTheme="majorHAnsi" w:cstheme="majorHAnsi"/>
          <w:sz w:val="24"/>
          <w:szCs w:val="24"/>
        </w:rPr>
        <w:t xml:space="preserve"> No.KM. 16, </w:t>
      </w:r>
      <w:proofErr w:type="spellStart"/>
      <w:r w:rsidRPr="00EC77AC">
        <w:rPr>
          <w:rFonts w:asciiTheme="majorHAnsi" w:hAnsiTheme="majorHAnsi" w:cstheme="majorHAnsi"/>
          <w:sz w:val="24"/>
          <w:szCs w:val="24"/>
        </w:rPr>
        <w:t>Simpang</w:t>
      </w:r>
      <w:proofErr w:type="spellEnd"/>
      <w:r w:rsidRPr="00EC77AC">
        <w:rPr>
          <w:rFonts w:asciiTheme="majorHAnsi" w:hAnsiTheme="majorHAnsi" w:cstheme="majorHAnsi"/>
          <w:sz w:val="24"/>
          <w:szCs w:val="24"/>
        </w:rPr>
        <w:t xml:space="preserve"> Sungai Duren, </w:t>
      </w:r>
      <w:proofErr w:type="spellStart"/>
      <w:r w:rsidRPr="00EC77AC">
        <w:rPr>
          <w:rFonts w:asciiTheme="majorHAnsi" w:hAnsiTheme="majorHAnsi" w:cstheme="majorHAnsi"/>
          <w:sz w:val="24"/>
          <w:szCs w:val="24"/>
        </w:rPr>
        <w:t>Kec</w:t>
      </w:r>
      <w:proofErr w:type="spellEnd"/>
      <w:r w:rsidRPr="00EC77AC">
        <w:rPr>
          <w:rFonts w:asciiTheme="majorHAnsi" w:hAnsiTheme="majorHAnsi" w:cstheme="majorHAnsi"/>
          <w:sz w:val="24"/>
          <w:szCs w:val="24"/>
        </w:rPr>
        <w:t xml:space="preserve">. Jambi </w:t>
      </w:r>
      <w:proofErr w:type="spellStart"/>
      <w:r w:rsidRPr="00EC77AC">
        <w:rPr>
          <w:rFonts w:asciiTheme="majorHAnsi" w:hAnsiTheme="majorHAnsi" w:cstheme="majorHAnsi"/>
          <w:sz w:val="24"/>
          <w:szCs w:val="24"/>
        </w:rPr>
        <w:t>Luar</w:t>
      </w:r>
      <w:proofErr w:type="spellEnd"/>
      <w:r w:rsidRPr="00EC77AC">
        <w:rPr>
          <w:rFonts w:asciiTheme="majorHAnsi" w:hAnsiTheme="majorHAnsi" w:cstheme="majorHAnsi"/>
          <w:sz w:val="24"/>
          <w:szCs w:val="24"/>
        </w:rPr>
        <w:t xml:space="preserve"> Kota, </w:t>
      </w:r>
      <w:proofErr w:type="spellStart"/>
      <w:r w:rsidRPr="00EC77AC">
        <w:rPr>
          <w:rFonts w:asciiTheme="majorHAnsi" w:hAnsiTheme="majorHAnsi" w:cstheme="majorHAnsi"/>
          <w:sz w:val="24"/>
          <w:szCs w:val="24"/>
        </w:rPr>
        <w:t>Kabupaten</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Muaro</w:t>
      </w:r>
      <w:proofErr w:type="spellEnd"/>
      <w:r w:rsidRPr="00EC77AC">
        <w:rPr>
          <w:rFonts w:asciiTheme="majorHAnsi" w:hAnsiTheme="majorHAnsi" w:cstheme="majorHAnsi"/>
          <w:sz w:val="24"/>
          <w:szCs w:val="24"/>
        </w:rPr>
        <w:t xml:space="preserve"> Jambi, Jambi 36361)</w:t>
      </w:r>
    </w:p>
    <w:p w14:paraId="5ABB53DC" w14:textId="7D06D155" w:rsidR="00EB035B" w:rsidRPr="009D0080" w:rsidRDefault="00000000" w:rsidP="001432A5">
      <w:pPr>
        <w:spacing w:after="0"/>
        <w:jc w:val="both"/>
        <w:rPr>
          <w:rFonts w:asciiTheme="majorHAnsi" w:hAnsiTheme="majorHAnsi" w:cstheme="majorHAnsi"/>
          <w:sz w:val="24"/>
          <w:szCs w:val="24"/>
          <w:lang w:val="id-ID"/>
        </w:rPr>
      </w:pPr>
      <w:hyperlink r:id="rId8" w:history="1">
        <w:r w:rsidR="00EC77AC" w:rsidRPr="009D0080">
          <w:rPr>
            <w:rStyle w:val="Hyperlink"/>
            <w:rFonts w:asciiTheme="majorHAnsi" w:hAnsiTheme="majorHAnsi" w:cstheme="majorHAnsi"/>
            <w:color w:val="auto"/>
            <w:sz w:val="24"/>
            <w:szCs w:val="24"/>
            <w:u w:val="none"/>
            <w:lang w:val="id-ID"/>
          </w:rPr>
          <w:t>*ulfapirmaniaja@gmail.com</w:t>
        </w:r>
      </w:hyperlink>
    </w:p>
    <w:p w14:paraId="1D1D1C11" w14:textId="77777777" w:rsidR="00633173" w:rsidRPr="00EC77AC" w:rsidRDefault="00633173" w:rsidP="001432A5">
      <w:pPr>
        <w:spacing w:after="0"/>
        <w:jc w:val="both"/>
        <w:rPr>
          <w:rFonts w:asciiTheme="majorHAnsi" w:hAnsiTheme="majorHAnsi" w:cstheme="majorHAnsi"/>
          <w:sz w:val="24"/>
          <w:szCs w:val="24"/>
          <w:lang w:val="id-ID"/>
        </w:rPr>
      </w:pPr>
    </w:p>
    <w:p w14:paraId="5F8D0220" w14:textId="6A6BDD56" w:rsidR="00EB035B" w:rsidRPr="009D0080" w:rsidRDefault="00EB035B" w:rsidP="001432A5">
      <w:pPr>
        <w:spacing w:after="0"/>
        <w:ind w:right="737"/>
        <w:jc w:val="both"/>
        <w:rPr>
          <w:rFonts w:asciiTheme="majorHAnsi" w:hAnsiTheme="majorHAnsi" w:cstheme="majorHAnsi"/>
          <w:spacing w:val="1"/>
          <w:sz w:val="20"/>
          <w:szCs w:val="20"/>
        </w:rPr>
      </w:pPr>
      <w:r w:rsidRPr="009D0080">
        <w:rPr>
          <w:rFonts w:asciiTheme="majorHAnsi" w:hAnsiTheme="majorHAnsi" w:cstheme="majorHAnsi"/>
          <w:sz w:val="20"/>
          <w:szCs w:val="20"/>
        </w:rPr>
        <w:t>Received: 202</w:t>
      </w:r>
      <w:r w:rsidR="009D0080" w:rsidRPr="009D0080">
        <w:rPr>
          <w:rFonts w:asciiTheme="majorHAnsi" w:hAnsiTheme="majorHAnsi" w:cstheme="majorHAnsi"/>
          <w:sz w:val="20"/>
          <w:szCs w:val="20"/>
        </w:rPr>
        <w:t>4</w:t>
      </w:r>
      <w:r w:rsidRPr="009D0080">
        <w:rPr>
          <w:rFonts w:asciiTheme="majorHAnsi" w:hAnsiTheme="majorHAnsi" w:cstheme="majorHAnsi"/>
          <w:sz w:val="20"/>
          <w:szCs w:val="20"/>
        </w:rPr>
        <w:t>-</w:t>
      </w:r>
      <w:r w:rsidR="009D0080" w:rsidRPr="009D0080">
        <w:rPr>
          <w:rFonts w:asciiTheme="majorHAnsi" w:hAnsiTheme="majorHAnsi" w:cstheme="majorHAnsi"/>
          <w:sz w:val="20"/>
          <w:szCs w:val="20"/>
        </w:rPr>
        <w:t>May</w:t>
      </w:r>
      <w:r w:rsidRPr="009D0080">
        <w:rPr>
          <w:rFonts w:asciiTheme="majorHAnsi" w:hAnsiTheme="majorHAnsi" w:cstheme="majorHAnsi"/>
          <w:sz w:val="20"/>
          <w:szCs w:val="20"/>
        </w:rPr>
        <w:t>-</w:t>
      </w:r>
      <w:r w:rsidR="009D0080" w:rsidRPr="009D0080">
        <w:rPr>
          <w:rFonts w:asciiTheme="majorHAnsi" w:hAnsiTheme="majorHAnsi" w:cstheme="majorHAnsi"/>
          <w:sz w:val="20"/>
          <w:szCs w:val="20"/>
        </w:rPr>
        <w:t>20</w:t>
      </w:r>
    </w:p>
    <w:p w14:paraId="3F977259" w14:textId="193666B6" w:rsidR="00EB035B" w:rsidRPr="009D0080" w:rsidRDefault="00EB035B" w:rsidP="001432A5">
      <w:pPr>
        <w:spacing w:after="0"/>
        <w:ind w:right="737"/>
        <w:jc w:val="both"/>
        <w:rPr>
          <w:rFonts w:asciiTheme="majorHAnsi" w:hAnsiTheme="majorHAnsi" w:cstheme="majorHAnsi"/>
          <w:spacing w:val="1"/>
          <w:sz w:val="20"/>
          <w:szCs w:val="20"/>
        </w:rPr>
      </w:pPr>
      <w:r w:rsidRPr="009D0080">
        <w:rPr>
          <w:rFonts w:asciiTheme="majorHAnsi" w:hAnsiTheme="majorHAnsi" w:cstheme="majorHAnsi"/>
          <w:sz w:val="20"/>
          <w:szCs w:val="20"/>
        </w:rPr>
        <w:t xml:space="preserve">Rev. </w:t>
      </w:r>
      <w:proofErr w:type="spellStart"/>
      <w:r w:rsidRPr="009D0080">
        <w:rPr>
          <w:rFonts w:asciiTheme="majorHAnsi" w:hAnsiTheme="majorHAnsi" w:cstheme="majorHAnsi"/>
          <w:sz w:val="20"/>
          <w:szCs w:val="20"/>
        </w:rPr>
        <w:t>Req</w:t>
      </w:r>
      <w:proofErr w:type="spellEnd"/>
      <w:r w:rsidRPr="009D0080">
        <w:rPr>
          <w:rFonts w:asciiTheme="majorHAnsi" w:hAnsiTheme="majorHAnsi" w:cstheme="majorHAnsi"/>
          <w:sz w:val="20"/>
          <w:szCs w:val="20"/>
        </w:rPr>
        <w:t>:</w:t>
      </w:r>
      <w:r w:rsidRPr="009D0080">
        <w:rPr>
          <w:rFonts w:asciiTheme="majorHAnsi" w:hAnsiTheme="majorHAnsi" w:cstheme="majorHAnsi"/>
          <w:spacing w:val="1"/>
          <w:sz w:val="20"/>
          <w:szCs w:val="20"/>
        </w:rPr>
        <w:t xml:space="preserve"> </w:t>
      </w:r>
      <w:r w:rsidRPr="009D0080">
        <w:rPr>
          <w:rFonts w:asciiTheme="majorHAnsi" w:hAnsiTheme="majorHAnsi" w:cstheme="majorHAnsi"/>
          <w:sz w:val="20"/>
          <w:szCs w:val="20"/>
        </w:rPr>
        <w:t>202</w:t>
      </w:r>
      <w:r w:rsidR="009D0080" w:rsidRPr="009D0080">
        <w:rPr>
          <w:rFonts w:asciiTheme="majorHAnsi" w:hAnsiTheme="majorHAnsi" w:cstheme="majorHAnsi"/>
          <w:sz w:val="20"/>
          <w:szCs w:val="20"/>
        </w:rPr>
        <w:t>4</w:t>
      </w:r>
      <w:r w:rsidRPr="009D0080">
        <w:rPr>
          <w:rFonts w:asciiTheme="majorHAnsi" w:hAnsiTheme="majorHAnsi" w:cstheme="majorHAnsi"/>
          <w:sz w:val="20"/>
          <w:szCs w:val="20"/>
        </w:rPr>
        <w:t>-J</w:t>
      </w:r>
      <w:r w:rsidR="009D0080" w:rsidRPr="009D0080">
        <w:rPr>
          <w:rFonts w:asciiTheme="majorHAnsi" w:hAnsiTheme="majorHAnsi" w:cstheme="majorHAnsi"/>
          <w:sz w:val="20"/>
          <w:szCs w:val="20"/>
        </w:rPr>
        <w:t>uny</w:t>
      </w:r>
      <w:r w:rsidRPr="009D0080">
        <w:rPr>
          <w:rFonts w:asciiTheme="majorHAnsi" w:hAnsiTheme="majorHAnsi" w:cstheme="majorHAnsi"/>
          <w:sz w:val="20"/>
          <w:szCs w:val="20"/>
        </w:rPr>
        <w:t>-</w:t>
      </w:r>
      <w:r w:rsidR="009D0080" w:rsidRPr="009D0080">
        <w:rPr>
          <w:rFonts w:asciiTheme="majorHAnsi" w:hAnsiTheme="majorHAnsi" w:cstheme="majorHAnsi"/>
          <w:sz w:val="20"/>
          <w:szCs w:val="20"/>
        </w:rPr>
        <w:t>16</w:t>
      </w:r>
    </w:p>
    <w:p w14:paraId="1F4298C2" w14:textId="19782420" w:rsidR="00EB035B" w:rsidRPr="009D0080" w:rsidRDefault="00EB035B" w:rsidP="001432A5">
      <w:pPr>
        <w:spacing w:after="0"/>
        <w:ind w:right="737"/>
        <w:jc w:val="both"/>
        <w:rPr>
          <w:rFonts w:asciiTheme="majorHAnsi" w:hAnsiTheme="majorHAnsi" w:cstheme="majorHAnsi"/>
          <w:sz w:val="20"/>
          <w:szCs w:val="20"/>
        </w:rPr>
      </w:pPr>
      <w:r w:rsidRPr="009D0080">
        <w:rPr>
          <w:rFonts w:asciiTheme="majorHAnsi" w:hAnsiTheme="majorHAnsi" w:cstheme="majorHAnsi"/>
          <w:sz w:val="20"/>
          <w:szCs w:val="20"/>
        </w:rPr>
        <w:t>Accepted:</w:t>
      </w:r>
      <w:r w:rsidRPr="009D0080">
        <w:rPr>
          <w:rFonts w:asciiTheme="majorHAnsi" w:hAnsiTheme="majorHAnsi" w:cstheme="majorHAnsi"/>
          <w:spacing w:val="32"/>
          <w:sz w:val="20"/>
          <w:szCs w:val="20"/>
        </w:rPr>
        <w:t xml:space="preserve"> </w:t>
      </w:r>
      <w:r w:rsidRPr="009D0080">
        <w:rPr>
          <w:rFonts w:asciiTheme="majorHAnsi" w:hAnsiTheme="majorHAnsi" w:cstheme="majorHAnsi"/>
          <w:sz w:val="20"/>
          <w:szCs w:val="20"/>
        </w:rPr>
        <w:t>202</w:t>
      </w:r>
      <w:r w:rsidR="009D0080" w:rsidRPr="009D0080">
        <w:rPr>
          <w:rFonts w:asciiTheme="majorHAnsi" w:hAnsiTheme="majorHAnsi" w:cstheme="majorHAnsi"/>
          <w:sz w:val="20"/>
          <w:szCs w:val="20"/>
        </w:rPr>
        <w:t>4</w:t>
      </w:r>
      <w:r w:rsidRPr="009D0080">
        <w:rPr>
          <w:rFonts w:asciiTheme="majorHAnsi" w:hAnsiTheme="majorHAnsi" w:cstheme="majorHAnsi"/>
          <w:sz w:val="20"/>
          <w:szCs w:val="20"/>
        </w:rPr>
        <w:t>-J</w:t>
      </w:r>
      <w:r w:rsidR="009D0080" w:rsidRPr="009D0080">
        <w:rPr>
          <w:rFonts w:asciiTheme="majorHAnsi" w:hAnsiTheme="majorHAnsi" w:cstheme="majorHAnsi"/>
          <w:sz w:val="20"/>
          <w:szCs w:val="20"/>
        </w:rPr>
        <w:t>uly</w:t>
      </w:r>
      <w:r w:rsidRPr="009D0080">
        <w:rPr>
          <w:rFonts w:asciiTheme="majorHAnsi" w:hAnsiTheme="majorHAnsi" w:cstheme="majorHAnsi"/>
          <w:sz w:val="20"/>
          <w:szCs w:val="20"/>
        </w:rPr>
        <w:t>-</w:t>
      </w:r>
      <w:r w:rsidR="009D0080" w:rsidRPr="009D0080">
        <w:rPr>
          <w:rFonts w:asciiTheme="majorHAnsi" w:hAnsiTheme="majorHAnsi" w:cstheme="majorHAnsi"/>
          <w:sz w:val="20"/>
          <w:szCs w:val="20"/>
        </w:rPr>
        <w:t>27</w:t>
      </w:r>
    </w:p>
    <w:p w14:paraId="58EB0405" w14:textId="0E548C6B" w:rsidR="00EB035B" w:rsidRPr="00EC77AC" w:rsidRDefault="00EB035B" w:rsidP="001432A5">
      <w:pPr>
        <w:spacing w:after="0"/>
        <w:ind w:right="737"/>
        <w:jc w:val="both"/>
        <w:rPr>
          <w:rFonts w:asciiTheme="majorHAnsi" w:hAnsiTheme="majorHAnsi" w:cstheme="majorHAnsi"/>
          <w:b/>
          <w:bCs/>
          <w:sz w:val="24"/>
          <w:szCs w:val="24"/>
        </w:rPr>
      </w:pPr>
      <w:r w:rsidRPr="00893051">
        <w:rPr>
          <w:rFonts w:asciiTheme="majorHAnsi" w:hAnsiTheme="majorHAnsi" w:cstheme="majorHAnsi"/>
          <w:noProof/>
          <w:position w:val="-13"/>
          <w:sz w:val="24"/>
          <w:szCs w:val="24"/>
          <w:highlight w:val="yellow"/>
        </w:rPr>
        <w:drawing>
          <wp:inline distT="0" distB="0" distL="0" distR="0" wp14:anchorId="22BB277F" wp14:editId="3753363D">
            <wp:extent cx="262255" cy="257175"/>
            <wp:effectExtent l="0" t="0" r="4445" b="9525"/>
            <wp:docPr id="1632718269" name="Picture 3"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255" cy="257175"/>
                    </a:xfrm>
                    <a:prstGeom prst="rect">
                      <a:avLst/>
                    </a:prstGeom>
                    <a:noFill/>
                    <a:ln>
                      <a:noFill/>
                    </a:ln>
                  </pic:spPr>
                </pic:pic>
              </a:graphicData>
            </a:graphic>
          </wp:inline>
        </w:drawing>
      </w:r>
      <w:r w:rsidRPr="00893051">
        <w:rPr>
          <w:rFonts w:asciiTheme="majorHAnsi" w:hAnsiTheme="majorHAnsi" w:cstheme="majorHAnsi"/>
          <w:noProof/>
          <w:position w:val="-13"/>
          <w:sz w:val="24"/>
          <w:szCs w:val="24"/>
          <w:highlight w:val="yellow"/>
        </w:rPr>
        <w:t xml:space="preserve"> </w:t>
      </w:r>
      <w:r w:rsidRPr="00893051">
        <w:rPr>
          <w:rFonts w:asciiTheme="majorHAnsi" w:hAnsiTheme="majorHAnsi" w:cstheme="majorHAnsi"/>
          <w:sz w:val="24"/>
          <w:szCs w:val="24"/>
          <w:highlight w:val="yellow"/>
        </w:rPr>
        <w:t>10.5758/ijls.2022.1</w:t>
      </w:r>
      <w:r w:rsidRPr="00EC77AC">
        <w:rPr>
          <w:rFonts w:asciiTheme="majorHAnsi" w:hAnsiTheme="majorHAnsi" w:cstheme="majorHAnsi"/>
          <w:sz w:val="24"/>
          <w:szCs w:val="24"/>
        </w:rPr>
        <w:t xml:space="preserve"> </w:t>
      </w:r>
    </w:p>
    <w:p w14:paraId="4B0620D6" w14:textId="77777777" w:rsidR="00EB035B" w:rsidRPr="00EC77AC" w:rsidRDefault="00EB035B" w:rsidP="001432A5">
      <w:pPr>
        <w:spacing w:after="0"/>
        <w:ind w:right="737"/>
        <w:jc w:val="both"/>
        <w:rPr>
          <w:rFonts w:asciiTheme="majorHAnsi" w:hAnsiTheme="majorHAnsi" w:cstheme="majorHAns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EB035B" w:rsidRPr="00EC77AC" w14:paraId="778DE50F" w14:textId="77777777" w:rsidTr="00D42102">
        <w:tc>
          <w:tcPr>
            <w:tcW w:w="9004" w:type="dxa"/>
            <w:tcBorders>
              <w:left w:val="nil"/>
              <w:right w:val="nil"/>
            </w:tcBorders>
          </w:tcPr>
          <w:p w14:paraId="45269698" w14:textId="77777777" w:rsidR="00EB035B" w:rsidRPr="00EC77AC" w:rsidRDefault="00EB035B" w:rsidP="001432A5">
            <w:pPr>
              <w:spacing w:after="0"/>
              <w:ind w:right="2"/>
              <w:jc w:val="both"/>
              <w:rPr>
                <w:rFonts w:asciiTheme="majorHAnsi" w:hAnsiTheme="majorHAnsi" w:cstheme="majorHAnsi"/>
                <w:sz w:val="24"/>
                <w:szCs w:val="24"/>
              </w:rPr>
            </w:pPr>
          </w:p>
          <w:p w14:paraId="75BEF3C9" w14:textId="6D5F9912" w:rsidR="00EB035B" w:rsidRPr="00B73F7D" w:rsidRDefault="00EB035B" w:rsidP="001432A5">
            <w:pPr>
              <w:spacing w:after="0"/>
              <w:ind w:right="2"/>
              <w:jc w:val="both"/>
              <w:rPr>
                <w:rFonts w:asciiTheme="majorHAnsi" w:hAnsiTheme="majorHAnsi" w:cstheme="majorHAnsi"/>
                <w:color w:val="0462C1"/>
                <w:sz w:val="20"/>
                <w:szCs w:val="20"/>
                <w:u w:val="single" w:color="0462C1"/>
              </w:rPr>
            </w:pPr>
            <w:r w:rsidRPr="00B73F7D">
              <w:rPr>
                <w:rFonts w:asciiTheme="majorHAnsi" w:hAnsiTheme="majorHAnsi" w:cstheme="majorHAnsi"/>
                <w:sz w:val="20"/>
                <w:szCs w:val="20"/>
              </w:rPr>
              <w:t xml:space="preserve">How to cite this paper: </w:t>
            </w:r>
            <w:proofErr w:type="spellStart"/>
            <w:r w:rsidR="006241FE" w:rsidRPr="006241FE">
              <w:rPr>
                <w:rFonts w:asciiTheme="majorHAnsi" w:hAnsiTheme="majorHAnsi" w:cstheme="majorHAnsi"/>
                <w:sz w:val="20"/>
                <w:szCs w:val="20"/>
              </w:rPr>
              <w:t>Pirmani</w:t>
            </w:r>
            <w:proofErr w:type="spellEnd"/>
            <w:r w:rsidR="006241FE" w:rsidRPr="006241FE">
              <w:rPr>
                <w:rFonts w:asciiTheme="majorHAnsi" w:hAnsiTheme="majorHAnsi" w:cstheme="majorHAnsi"/>
                <w:sz w:val="20"/>
                <w:szCs w:val="20"/>
              </w:rPr>
              <w:t xml:space="preserve">,  U., Kurniawan, E. &amp;  </w:t>
            </w:r>
            <w:proofErr w:type="spellStart"/>
            <w:r w:rsidR="006241FE" w:rsidRPr="006241FE">
              <w:rPr>
                <w:rFonts w:asciiTheme="majorHAnsi" w:hAnsiTheme="majorHAnsi" w:cstheme="majorHAnsi"/>
                <w:sz w:val="20"/>
                <w:szCs w:val="20"/>
              </w:rPr>
              <w:t>Najmi</w:t>
            </w:r>
            <w:proofErr w:type="spellEnd"/>
            <w:r w:rsidR="006241FE" w:rsidRPr="006241FE">
              <w:rPr>
                <w:rFonts w:asciiTheme="majorHAnsi" w:hAnsiTheme="majorHAnsi" w:cstheme="majorHAnsi"/>
                <w:sz w:val="20"/>
                <w:szCs w:val="20"/>
              </w:rPr>
              <w:t>. (2024). From the Debate on the Legality of Waqf al-</w:t>
            </w:r>
            <w:proofErr w:type="spellStart"/>
            <w:r w:rsidR="006241FE" w:rsidRPr="006241FE">
              <w:rPr>
                <w:rFonts w:asciiTheme="majorHAnsi" w:hAnsiTheme="majorHAnsi" w:cstheme="majorHAnsi"/>
                <w:sz w:val="20"/>
                <w:szCs w:val="20"/>
              </w:rPr>
              <w:t>Ahlī</w:t>
            </w:r>
            <w:proofErr w:type="spellEnd"/>
            <w:r w:rsidR="006241FE" w:rsidRPr="006241FE">
              <w:rPr>
                <w:rFonts w:asciiTheme="majorHAnsi" w:hAnsiTheme="majorHAnsi" w:cstheme="majorHAnsi"/>
                <w:sz w:val="20"/>
                <w:szCs w:val="20"/>
              </w:rPr>
              <w:t xml:space="preserve"> to </w:t>
            </w:r>
            <w:proofErr w:type="spellStart"/>
            <w:r w:rsidR="006241FE" w:rsidRPr="006241FE">
              <w:rPr>
                <w:rFonts w:asciiTheme="majorHAnsi" w:hAnsiTheme="majorHAnsi" w:cstheme="majorHAnsi"/>
                <w:sz w:val="20"/>
                <w:szCs w:val="20"/>
              </w:rPr>
              <w:t>it’s</w:t>
            </w:r>
            <w:proofErr w:type="spellEnd"/>
            <w:r w:rsidR="006241FE" w:rsidRPr="006241FE">
              <w:rPr>
                <w:rFonts w:asciiTheme="majorHAnsi" w:hAnsiTheme="majorHAnsi" w:cstheme="majorHAnsi"/>
                <w:sz w:val="20"/>
                <w:szCs w:val="20"/>
              </w:rPr>
              <w:t xml:space="preserve"> Implementation in Southeast Asia: Indonesia, Malaysia, and Singapore. </w:t>
            </w:r>
            <w:r w:rsidR="006241FE" w:rsidRPr="006241FE">
              <w:rPr>
                <w:rFonts w:asciiTheme="majorHAnsi" w:hAnsiTheme="majorHAnsi" w:cstheme="majorHAnsi"/>
                <w:i/>
                <w:iCs/>
                <w:sz w:val="20"/>
                <w:szCs w:val="20"/>
              </w:rPr>
              <w:t>International Journal of Law and Society (IJLS), 3</w:t>
            </w:r>
            <w:r w:rsidR="006241FE" w:rsidRPr="006241FE">
              <w:rPr>
                <w:rFonts w:asciiTheme="majorHAnsi" w:hAnsiTheme="majorHAnsi" w:cstheme="majorHAnsi"/>
                <w:sz w:val="20"/>
                <w:szCs w:val="20"/>
              </w:rPr>
              <w:t>(2)</w:t>
            </w:r>
            <w:r w:rsidRPr="00B73F7D">
              <w:rPr>
                <w:rFonts w:asciiTheme="majorHAnsi" w:hAnsiTheme="majorHAnsi" w:cstheme="majorHAnsi"/>
                <w:sz w:val="20"/>
                <w:szCs w:val="20"/>
                <w:highlight w:val="yellow"/>
              </w:rPr>
              <w:t xml:space="preserve">, </w:t>
            </w:r>
            <w:r w:rsidR="006241FE">
              <w:rPr>
                <w:rFonts w:asciiTheme="majorHAnsi" w:hAnsiTheme="majorHAnsi" w:cstheme="majorHAnsi"/>
                <w:sz w:val="20"/>
                <w:szCs w:val="20"/>
                <w:highlight w:val="yellow"/>
              </w:rPr>
              <w:t>59</w:t>
            </w:r>
            <w:r w:rsidRPr="00B73F7D">
              <w:rPr>
                <w:rFonts w:asciiTheme="majorHAnsi" w:hAnsiTheme="majorHAnsi" w:cstheme="majorHAnsi"/>
                <w:sz w:val="20"/>
                <w:szCs w:val="20"/>
                <w:highlight w:val="yellow"/>
              </w:rPr>
              <w:t>-</w:t>
            </w:r>
            <w:r w:rsidR="006241FE">
              <w:rPr>
                <w:rFonts w:asciiTheme="majorHAnsi" w:hAnsiTheme="majorHAnsi" w:cstheme="majorHAnsi"/>
                <w:sz w:val="20"/>
                <w:szCs w:val="20"/>
                <w:highlight w:val="yellow"/>
              </w:rPr>
              <w:t>77</w:t>
            </w:r>
            <w:r w:rsidRPr="00B73F7D">
              <w:rPr>
                <w:rFonts w:asciiTheme="majorHAnsi" w:hAnsiTheme="majorHAnsi" w:cstheme="majorHAnsi"/>
                <w:sz w:val="20"/>
                <w:szCs w:val="20"/>
                <w:highlight w:val="yellow"/>
              </w:rPr>
              <w:t>.</w:t>
            </w:r>
            <w:r w:rsidRPr="00B73F7D">
              <w:rPr>
                <w:rFonts w:asciiTheme="majorHAnsi" w:hAnsiTheme="majorHAnsi" w:cstheme="majorHAnsi"/>
                <w:spacing w:val="1"/>
                <w:sz w:val="20"/>
                <w:szCs w:val="20"/>
                <w:highlight w:val="yellow"/>
              </w:rPr>
              <w:t xml:space="preserve"> </w:t>
            </w:r>
            <w:hyperlink r:id="rId10" w:history="1">
              <w:r w:rsidRPr="00B73F7D">
                <w:rPr>
                  <w:rStyle w:val="Hyperlink"/>
                  <w:rFonts w:asciiTheme="majorHAnsi" w:hAnsiTheme="majorHAnsi" w:cstheme="majorHAnsi"/>
                  <w:sz w:val="20"/>
                  <w:szCs w:val="20"/>
                  <w:highlight w:val="yellow"/>
                </w:rPr>
                <w:t>https://doi.org/10.5758/ijls.2022.1</w:t>
              </w:r>
            </w:hyperlink>
          </w:p>
          <w:p w14:paraId="399B6B51" w14:textId="77777777" w:rsidR="00EB035B" w:rsidRPr="00B73F7D" w:rsidRDefault="00EB035B" w:rsidP="001432A5">
            <w:pPr>
              <w:spacing w:after="0"/>
              <w:ind w:right="2"/>
              <w:jc w:val="both"/>
              <w:rPr>
                <w:rFonts w:asciiTheme="majorHAnsi" w:hAnsiTheme="majorHAnsi" w:cstheme="majorHAnsi"/>
                <w:sz w:val="20"/>
                <w:szCs w:val="20"/>
              </w:rPr>
            </w:pPr>
            <w:r w:rsidRPr="00B73F7D">
              <w:rPr>
                <w:rFonts w:asciiTheme="majorHAnsi" w:hAnsiTheme="majorHAnsi" w:cstheme="majorHAnsi"/>
                <w:sz w:val="20"/>
                <w:szCs w:val="20"/>
              </w:rPr>
              <w:t>This is an Open Access article distributed under the terms of the Creative Commons Attribution 4.0 International license</w:t>
            </w:r>
            <w:r w:rsidRPr="00B73F7D">
              <w:rPr>
                <w:rFonts w:asciiTheme="majorHAnsi" w:hAnsiTheme="majorHAnsi" w:cstheme="majorHAnsi"/>
                <w:spacing w:val="-34"/>
                <w:sz w:val="20"/>
                <w:szCs w:val="20"/>
              </w:rPr>
              <w:t xml:space="preserve"> </w:t>
            </w:r>
            <w:hyperlink r:id="rId11">
              <w:r w:rsidRPr="00B73F7D">
                <w:rPr>
                  <w:rFonts w:asciiTheme="majorHAnsi" w:hAnsiTheme="majorHAnsi" w:cstheme="majorHAnsi"/>
                  <w:sz w:val="20"/>
                  <w:szCs w:val="20"/>
                </w:rPr>
                <w:t>(</w:t>
              </w:r>
              <w:r w:rsidRPr="00B73F7D">
                <w:rPr>
                  <w:rFonts w:asciiTheme="majorHAnsi" w:hAnsiTheme="majorHAnsi" w:cstheme="majorHAnsi"/>
                  <w:color w:val="0462C1"/>
                  <w:sz w:val="20"/>
                  <w:szCs w:val="20"/>
                  <w:u w:val="single" w:color="0462C1"/>
                </w:rPr>
                <w:t>https://creativecommons.org/licenses/by/4.0/</w:t>
              </w:r>
              <w:r w:rsidRPr="00B73F7D">
                <w:rPr>
                  <w:rFonts w:asciiTheme="majorHAnsi" w:hAnsiTheme="majorHAnsi" w:cstheme="majorHAnsi"/>
                  <w:sz w:val="20"/>
                  <w:szCs w:val="20"/>
                </w:rPr>
                <w:t>)</w:t>
              </w:r>
            </w:hyperlink>
          </w:p>
          <w:p w14:paraId="1A70E1AA" w14:textId="77777777" w:rsidR="00EB035B" w:rsidRPr="00EC77AC" w:rsidRDefault="00EB035B" w:rsidP="001432A5">
            <w:pPr>
              <w:spacing w:after="0"/>
              <w:ind w:right="2"/>
              <w:jc w:val="both"/>
              <w:rPr>
                <w:rFonts w:asciiTheme="majorHAnsi" w:hAnsiTheme="majorHAnsi" w:cstheme="majorHAnsi"/>
                <w:b/>
                <w:bCs/>
                <w:sz w:val="24"/>
                <w:szCs w:val="24"/>
              </w:rPr>
            </w:pPr>
          </w:p>
        </w:tc>
      </w:tr>
    </w:tbl>
    <w:p w14:paraId="243DA793" w14:textId="77777777" w:rsidR="00EB035B" w:rsidRPr="00EC77AC" w:rsidRDefault="00EB035B" w:rsidP="001432A5">
      <w:pPr>
        <w:spacing w:after="0"/>
        <w:jc w:val="both"/>
        <w:rPr>
          <w:rFonts w:asciiTheme="majorHAnsi" w:hAnsiTheme="majorHAnsi" w:cstheme="majorHAnsi"/>
          <w:sz w:val="24"/>
          <w:szCs w:val="24"/>
        </w:rPr>
      </w:pPr>
    </w:p>
    <w:p w14:paraId="33851319" w14:textId="77777777" w:rsidR="00EB035B" w:rsidRPr="00EC77AC" w:rsidRDefault="00EB035B" w:rsidP="001432A5">
      <w:pPr>
        <w:spacing w:after="0"/>
        <w:jc w:val="both"/>
        <w:rPr>
          <w:rFonts w:asciiTheme="majorHAnsi" w:hAnsiTheme="majorHAnsi" w:cstheme="majorHAnsi"/>
          <w:sz w:val="24"/>
          <w:szCs w:val="24"/>
        </w:rPr>
      </w:pPr>
    </w:p>
    <w:p w14:paraId="32E0059E" w14:textId="77777777" w:rsidR="00EB035B" w:rsidRPr="00EC77AC" w:rsidRDefault="00EB035B" w:rsidP="001432A5">
      <w:pPr>
        <w:spacing w:after="0"/>
        <w:jc w:val="both"/>
        <w:rPr>
          <w:rFonts w:asciiTheme="majorHAnsi" w:hAnsiTheme="majorHAnsi" w:cstheme="majorHAnsi"/>
          <w:i/>
          <w:sz w:val="24"/>
          <w:szCs w:val="24"/>
        </w:rPr>
      </w:pPr>
      <w:r w:rsidRPr="00EC77AC">
        <w:rPr>
          <w:rFonts w:asciiTheme="majorHAnsi" w:hAnsiTheme="majorHAnsi" w:cstheme="majorHAnsi"/>
          <w:b/>
          <w:bCs/>
          <w:sz w:val="24"/>
          <w:szCs w:val="24"/>
        </w:rPr>
        <w:t>ABSTRACT:</w:t>
      </w:r>
      <w:r w:rsidRPr="00EC77AC">
        <w:rPr>
          <w:rFonts w:asciiTheme="majorHAnsi" w:hAnsiTheme="majorHAnsi" w:cstheme="majorHAnsi"/>
          <w:sz w:val="24"/>
          <w:szCs w:val="24"/>
        </w:rPr>
        <w:t xml:space="preserve"> </w:t>
      </w:r>
      <w:r w:rsidRPr="00EC77AC">
        <w:rPr>
          <w:rFonts w:asciiTheme="majorHAnsi" w:hAnsiTheme="majorHAnsi" w:cstheme="majorHAnsi"/>
          <w:i/>
          <w:sz w:val="24"/>
          <w:szCs w:val="24"/>
        </w:rPr>
        <w:t>The debate on the heresy of waqf al-</w:t>
      </w:r>
      <w:proofErr w:type="spellStart"/>
      <w:r w:rsidRPr="00EC77AC">
        <w:rPr>
          <w:rFonts w:asciiTheme="majorHAnsi" w:hAnsiTheme="majorHAnsi" w:cstheme="majorHAnsi"/>
          <w:i/>
          <w:sz w:val="24"/>
          <w:szCs w:val="24"/>
        </w:rPr>
        <w:t>ahlī</w:t>
      </w:r>
      <w:proofErr w:type="spellEnd"/>
      <w:r w:rsidRPr="00EC77AC">
        <w:rPr>
          <w:rFonts w:asciiTheme="majorHAnsi" w:hAnsiTheme="majorHAnsi" w:cstheme="majorHAnsi"/>
          <w:i/>
          <w:sz w:val="24"/>
          <w:szCs w:val="24"/>
        </w:rPr>
        <w:t xml:space="preserve"> (family endowment) in the early 20th century significantly impacted its legality in Muslim countries. In Southeast Asia, with samples from Indonesia, Malaysia, and Singapore, they followed the majority opinion of ulama and implemented it in the Law to improve the management of waqf al-</w:t>
      </w:r>
      <w:proofErr w:type="spellStart"/>
      <w:r w:rsidRPr="00EC77AC">
        <w:rPr>
          <w:rFonts w:asciiTheme="majorHAnsi" w:hAnsiTheme="majorHAnsi" w:cstheme="majorHAnsi"/>
          <w:i/>
          <w:sz w:val="24"/>
          <w:szCs w:val="24"/>
        </w:rPr>
        <w:t>ahlī</w:t>
      </w:r>
      <w:proofErr w:type="spellEnd"/>
      <w:r w:rsidRPr="00EC77AC">
        <w:rPr>
          <w:rFonts w:asciiTheme="majorHAnsi" w:hAnsiTheme="majorHAnsi" w:cstheme="majorHAnsi"/>
          <w:i/>
          <w:sz w:val="24"/>
          <w:szCs w:val="24"/>
        </w:rPr>
        <w:t>. This paper examines the legality of waqf al-</w:t>
      </w:r>
      <w:proofErr w:type="spellStart"/>
      <w:r w:rsidRPr="00EC77AC">
        <w:rPr>
          <w:rFonts w:asciiTheme="majorHAnsi" w:hAnsiTheme="majorHAnsi" w:cstheme="majorHAnsi"/>
          <w:i/>
          <w:sz w:val="24"/>
          <w:szCs w:val="24"/>
        </w:rPr>
        <w:t>ahlī</w:t>
      </w:r>
      <w:proofErr w:type="spellEnd"/>
      <w:r w:rsidRPr="00EC77AC">
        <w:rPr>
          <w:rFonts w:asciiTheme="majorHAnsi" w:hAnsiTheme="majorHAnsi" w:cstheme="majorHAnsi"/>
          <w:i/>
          <w:sz w:val="24"/>
          <w:szCs w:val="24"/>
        </w:rPr>
        <w:t xml:space="preserve"> from the perspective of </w:t>
      </w:r>
      <w:proofErr w:type="spellStart"/>
      <w:r w:rsidRPr="00EC77AC">
        <w:rPr>
          <w:rFonts w:asciiTheme="majorHAnsi" w:hAnsiTheme="majorHAnsi" w:cstheme="majorHAnsi"/>
          <w:i/>
          <w:sz w:val="24"/>
          <w:szCs w:val="24"/>
        </w:rPr>
        <w:t>fiqh</w:t>
      </w:r>
      <w:proofErr w:type="spellEnd"/>
      <w:r w:rsidRPr="00EC77AC">
        <w:rPr>
          <w:rFonts w:asciiTheme="majorHAnsi" w:hAnsiTheme="majorHAnsi" w:cstheme="majorHAnsi"/>
          <w:i/>
          <w:sz w:val="24"/>
          <w:szCs w:val="24"/>
        </w:rPr>
        <w:t xml:space="preserve"> and the Law and its implementation model in the three countries through extensive literature study. The results reveal that the debate on the legality of waqf al-</w:t>
      </w:r>
      <w:proofErr w:type="spellStart"/>
      <w:r w:rsidRPr="00EC77AC">
        <w:rPr>
          <w:rFonts w:asciiTheme="majorHAnsi" w:hAnsiTheme="majorHAnsi" w:cstheme="majorHAnsi"/>
          <w:i/>
          <w:sz w:val="24"/>
          <w:szCs w:val="24"/>
        </w:rPr>
        <w:t>ahlī</w:t>
      </w:r>
      <w:proofErr w:type="spellEnd"/>
      <w:r w:rsidRPr="00EC77AC">
        <w:rPr>
          <w:rFonts w:asciiTheme="majorHAnsi" w:hAnsiTheme="majorHAnsi" w:cstheme="majorHAnsi"/>
          <w:i/>
          <w:sz w:val="24"/>
          <w:szCs w:val="24"/>
        </w:rPr>
        <w:t xml:space="preserve"> is more influenced by socio-economic and political factors and misunderstandings about the purpose of waqf rather than theological considerations. Therefore, most Muslim scholars recognize this type of waqf, and it is implemented by most Muslim countries, including the three countries that are the objects of this study. Comparative analysis shows that Singapore achieves higher productivity and efficiency in managing waqf al-</w:t>
      </w:r>
      <w:proofErr w:type="spellStart"/>
      <w:r w:rsidRPr="00EC77AC">
        <w:rPr>
          <w:rFonts w:asciiTheme="majorHAnsi" w:hAnsiTheme="majorHAnsi" w:cstheme="majorHAnsi"/>
          <w:i/>
          <w:sz w:val="24"/>
          <w:szCs w:val="24"/>
        </w:rPr>
        <w:t>ahlī</w:t>
      </w:r>
      <w:proofErr w:type="spellEnd"/>
      <w:r w:rsidRPr="00EC77AC">
        <w:rPr>
          <w:rFonts w:asciiTheme="majorHAnsi" w:hAnsiTheme="majorHAnsi" w:cstheme="majorHAnsi"/>
          <w:i/>
          <w:sz w:val="24"/>
          <w:szCs w:val="24"/>
        </w:rPr>
        <w:t xml:space="preserve"> compared to Indonesia and Malaysia. These findings refute the view of waqf al-</w:t>
      </w:r>
      <w:proofErr w:type="spellStart"/>
      <w:r w:rsidRPr="00EC77AC">
        <w:rPr>
          <w:rFonts w:asciiTheme="majorHAnsi" w:hAnsiTheme="majorHAnsi" w:cstheme="majorHAnsi"/>
          <w:i/>
          <w:sz w:val="24"/>
          <w:szCs w:val="24"/>
        </w:rPr>
        <w:t>ahlī</w:t>
      </w:r>
      <w:proofErr w:type="spellEnd"/>
      <w:r w:rsidRPr="00EC77AC">
        <w:rPr>
          <w:rFonts w:asciiTheme="majorHAnsi" w:hAnsiTheme="majorHAnsi" w:cstheme="majorHAnsi"/>
          <w:i/>
          <w:sz w:val="24"/>
          <w:szCs w:val="24"/>
        </w:rPr>
        <w:t xml:space="preserve"> as heresy and emphasize the importance of good governance, a comprehensive legal framework, and efficient management to optimize the potential of waqf al-</w:t>
      </w:r>
      <w:proofErr w:type="spellStart"/>
      <w:r w:rsidRPr="00EC77AC">
        <w:rPr>
          <w:rFonts w:asciiTheme="majorHAnsi" w:hAnsiTheme="majorHAnsi" w:cstheme="majorHAnsi"/>
          <w:i/>
          <w:sz w:val="24"/>
          <w:szCs w:val="24"/>
        </w:rPr>
        <w:t>ahlī</w:t>
      </w:r>
      <w:proofErr w:type="spellEnd"/>
      <w:r w:rsidRPr="00EC77AC">
        <w:rPr>
          <w:rFonts w:asciiTheme="majorHAnsi" w:hAnsiTheme="majorHAnsi" w:cstheme="majorHAnsi"/>
          <w:i/>
          <w:sz w:val="24"/>
          <w:szCs w:val="24"/>
        </w:rPr>
        <w:t xml:space="preserve"> as an instrument of sustainable socio-economic development.</w:t>
      </w:r>
    </w:p>
    <w:p w14:paraId="4B66FEEA" w14:textId="77777777" w:rsidR="000901E4" w:rsidRPr="00EC77AC" w:rsidRDefault="000901E4" w:rsidP="001432A5">
      <w:pPr>
        <w:spacing w:after="0"/>
        <w:jc w:val="both"/>
        <w:rPr>
          <w:rFonts w:asciiTheme="majorHAnsi" w:hAnsiTheme="majorHAnsi" w:cstheme="majorHAnsi"/>
          <w:i/>
          <w:sz w:val="24"/>
          <w:szCs w:val="24"/>
        </w:rPr>
      </w:pPr>
    </w:p>
    <w:p w14:paraId="59800591" w14:textId="561C0F34" w:rsidR="000901E4" w:rsidRPr="00EC77AC" w:rsidRDefault="000901E4" w:rsidP="00043CA3">
      <w:pPr>
        <w:jc w:val="both"/>
        <w:rPr>
          <w:rFonts w:ascii="Calibri Light" w:hAnsi="Calibri Light" w:cs="Calibri Light"/>
          <w:iCs/>
          <w:sz w:val="24"/>
          <w:szCs w:val="24"/>
          <w:lang w:val="id-ID"/>
        </w:rPr>
      </w:pPr>
      <w:r w:rsidRPr="00EC77AC">
        <w:rPr>
          <w:rFonts w:ascii="Calibri Light" w:hAnsi="Calibri Light" w:cs="Calibri Light"/>
          <w:sz w:val="24"/>
          <w:szCs w:val="24"/>
          <w:lang w:val="id-ID"/>
        </w:rPr>
        <w:lastRenderedPageBreak/>
        <w:t xml:space="preserve">Perdebatan tentang bid’ah tidaknya </w:t>
      </w:r>
      <w:r w:rsidR="005C3094" w:rsidRPr="00EC77AC">
        <w:rPr>
          <w:rFonts w:ascii="Calibri Light" w:hAnsi="Calibri Light" w:cs="Calibri Light"/>
          <w:i/>
          <w:iCs/>
          <w:sz w:val="24"/>
          <w:szCs w:val="24"/>
          <w:lang w:val="id-ID"/>
        </w:rPr>
        <w:t>waqf al-ahlī</w:t>
      </w:r>
      <w:r w:rsidR="005C3094" w:rsidRPr="00EC77AC">
        <w:rPr>
          <w:rFonts w:ascii="Calibri Light" w:hAnsi="Calibri Light" w:cs="Calibri Light"/>
          <w:sz w:val="24"/>
          <w:szCs w:val="24"/>
          <w:lang w:val="id-ID"/>
        </w:rPr>
        <w:t xml:space="preserve"> </w:t>
      </w:r>
      <w:r w:rsidRPr="00EC77AC">
        <w:rPr>
          <w:rFonts w:ascii="Calibri Light" w:hAnsi="Calibri Light" w:cs="Calibri Light"/>
          <w:sz w:val="24"/>
          <w:szCs w:val="24"/>
          <w:lang w:val="id-ID"/>
        </w:rPr>
        <w:t xml:space="preserve"> pada awal abad ke-20 berdampak signifikan terhadap legalitasnya di negara-negara Muslim. Di Asia Tenggara, dengan sampel Indonesia, Malaysia, dan Singapura, memilih mengikuti pendapat mayoritas dan menerapkannya dalam undang-undang untuk meningkatkan manajemen </w:t>
      </w:r>
      <w:r w:rsidR="005C3094" w:rsidRPr="00EC77AC">
        <w:rPr>
          <w:rFonts w:ascii="Calibri Light" w:hAnsi="Calibri Light" w:cs="Calibri Light"/>
          <w:i/>
          <w:iCs/>
          <w:sz w:val="24"/>
          <w:szCs w:val="24"/>
          <w:lang w:val="id-ID"/>
        </w:rPr>
        <w:t>waqf al-ahlī</w:t>
      </w:r>
      <w:r w:rsidR="005C3094" w:rsidRPr="00EC77AC">
        <w:rPr>
          <w:rFonts w:ascii="Calibri Light" w:hAnsi="Calibri Light" w:cs="Calibri Light"/>
          <w:sz w:val="24"/>
          <w:szCs w:val="24"/>
          <w:lang w:val="id-ID"/>
        </w:rPr>
        <w:t xml:space="preserve"> </w:t>
      </w:r>
      <w:r w:rsidRPr="00EC77AC">
        <w:rPr>
          <w:rFonts w:ascii="Calibri Light" w:hAnsi="Calibri Light" w:cs="Calibri Light"/>
          <w:sz w:val="24"/>
          <w:szCs w:val="24"/>
          <w:lang w:val="id-ID"/>
        </w:rPr>
        <w:t xml:space="preserve">. Tulisan ini mengkaji legalitas </w:t>
      </w:r>
      <w:r w:rsidR="005C3094" w:rsidRPr="00EC77AC">
        <w:rPr>
          <w:rFonts w:ascii="Calibri Light" w:hAnsi="Calibri Light" w:cs="Calibri Light"/>
          <w:i/>
          <w:iCs/>
          <w:sz w:val="24"/>
          <w:szCs w:val="24"/>
          <w:lang w:val="id-ID"/>
        </w:rPr>
        <w:t>waqf al-ahlī</w:t>
      </w:r>
      <w:r w:rsidR="005C3094" w:rsidRPr="00EC77AC">
        <w:rPr>
          <w:rFonts w:ascii="Calibri Light" w:hAnsi="Calibri Light" w:cs="Calibri Light"/>
          <w:sz w:val="24"/>
          <w:szCs w:val="24"/>
          <w:lang w:val="id-ID"/>
        </w:rPr>
        <w:t xml:space="preserve"> </w:t>
      </w:r>
      <w:r w:rsidRPr="00EC77AC">
        <w:rPr>
          <w:rFonts w:ascii="Calibri Light" w:hAnsi="Calibri Light" w:cs="Calibri Light"/>
          <w:sz w:val="24"/>
          <w:szCs w:val="24"/>
          <w:lang w:val="id-ID"/>
        </w:rPr>
        <w:t xml:space="preserve"> perspektif fikih dan Undang-undang serta model implementasinya pada ketiga negara tersebut melalui studi pustaka ekstensif. Hasilnya mengungkapkan bahwa perdebatan legalitas </w:t>
      </w:r>
      <w:r w:rsidR="005C3094" w:rsidRPr="00EC77AC">
        <w:rPr>
          <w:rFonts w:ascii="Calibri Light" w:hAnsi="Calibri Light" w:cs="Calibri Light"/>
          <w:i/>
          <w:iCs/>
          <w:sz w:val="24"/>
          <w:szCs w:val="24"/>
          <w:lang w:val="id-ID"/>
        </w:rPr>
        <w:t>waqf al-ahlī</w:t>
      </w:r>
      <w:r w:rsidR="005C3094" w:rsidRPr="00EC77AC">
        <w:rPr>
          <w:rFonts w:ascii="Calibri Light" w:hAnsi="Calibri Light" w:cs="Calibri Light"/>
          <w:sz w:val="24"/>
          <w:szCs w:val="24"/>
          <w:lang w:val="id-ID"/>
        </w:rPr>
        <w:t xml:space="preserve"> </w:t>
      </w:r>
      <w:r w:rsidRPr="00EC77AC">
        <w:rPr>
          <w:rFonts w:ascii="Calibri Light" w:hAnsi="Calibri Light" w:cs="Calibri Light"/>
          <w:sz w:val="24"/>
          <w:szCs w:val="24"/>
          <w:lang w:val="id-ID"/>
        </w:rPr>
        <w:t xml:space="preserve"> lebih dipengaruhi oleh faktor sosio-ekonomi, politik, dan kesalahpahaman tentang tujuan wakaf, bukan pertimbangan teologis. Karena itu mayoritas ulama mengakui jenis wakaf ini dan diterapkan oleh mayoritas negara Muslim termasuk tiga negara yang menjadi objek penelitian ini. Analisis komparatif menunjukkan Singapura mencapai tingkat produktivitas dan efisiensi lebih tinggi dalam pengelolaan </w:t>
      </w:r>
      <w:r w:rsidR="005C3094" w:rsidRPr="00EC77AC">
        <w:rPr>
          <w:rFonts w:ascii="Calibri Light" w:hAnsi="Calibri Light" w:cs="Calibri Light"/>
          <w:i/>
          <w:iCs/>
          <w:sz w:val="24"/>
          <w:szCs w:val="24"/>
          <w:lang w:val="id-ID"/>
        </w:rPr>
        <w:t>waqf al-ahlī</w:t>
      </w:r>
      <w:r w:rsidR="005C3094" w:rsidRPr="00EC77AC">
        <w:rPr>
          <w:rFonts w:ascii="Calibri Light" w:hAnsi="Calibri Light" w:cs="Calibri Light"/>
          <w:sz w:val="24"/>
          <w:szCs w:val="24"/>
          <w:lang w:val="id-ID"/>
        </w:rPr>
        <w:t xml:space="preserve"> </w:t>
      </w:r>
      <w:r w:rsidRPr="00EC77AC">
        <w:rPr>
          <w:rFonts w:ascii="Calibri Light" w:hAnsi="Calibri Light" w:cs="Calibri Light"/>
          <w:sz w:val="24"/>
          <w:szCs w:val="24"/>
          <w:lang w:val="id-ID"/>
        </w:rPr>
        <w:t xml:space="preserve"> dibandingkan Indonesia dan Malaysia. Temuan ini membantah pandangan </w:t>
      </w:r>
      <w:r w:rsidR="005C3094" w:rsidRPr="00EC77AC">
        <w:rPr>
          <w:rFonts w:ascii="Calibri Light" w:hAnsi="Calibri Light" w:cs="Calibri Light"/>
          <w:i/>
          <w:iCs/>
          <w:sz w:val="24"/>
          <w:szCs w:val="24"/>
          <w:lang w:val="id-ID"/>
        </w:rPr>
        <w:t>waqf al-ahlī</w:t>
      </w:r>
      <w:r w:rsidR="005C3094" w:rsidRPr="00EC77AC">
        <w:rPr>
          <w:rFonts w:ascii="Calibri Light" w:hAnsi="Calibri Light" w:cs="Calibri Light"/>
          <w:sz w:val="24"/>
          <w:szCs w:val="24"/>
          <w:lang w:val="id-ID"/>
        </w:rPr>
        <w:t xml:space="preserve"> </w:t>
      </w:r>
      <w:r w:rsidRPr="00EC77AC">
        <w:rPr>
          <w:rFonts w:ascii="Calibri Light" w:hAnsi="Calibri Light" w:cs="Calibri Light"/>
          <w:sz w:val="24"/>
          <w:szCs w:val="24"/>
          <w:lang w:val="id-ID"/>
        </w:rPr>
        <w:t xml:space="preserve"> sebagai bid’ah dan menekankan pentingnya tata kelola yang baik, kerangka hukum komprehensif, dan manajemen efisien untuk mengoptimalkan potensi </w:t>
      </w:r>
      <w:r w:rsidR="005C3094" w:rsidRPr="00EC77AC">
        <w:rPr>
          <w:rFonts w:ascii="Calibri Light" w:hAnsi="Calibri Light" w:cs="Calibri Light"/>
          <w:i/>
          <w:iCs/>
          <w:sz w:val="24"/>
          <w:szCs w:val="24"/>
          <w:lang w:val="id-ID"/>
        </w:rPr>
        <w:t>waqf al-ahlī</w:t>
      </w:r>
      <w:r w:rsidR="005C3094" w:rsidRPr="00EC77AC">
        <w:rPr>
          <w:rFonts w:ascii="Calibri Light" w:hAnsi="Calibri Light" w:cs="Calibri Light"/>
          <w:sz w:val="24"/>
          <w:szCs w:val="24"/>
          <w:lang w:val="id-ID"/>
        </w:rPr>
        <w:t xml:space="preserve"> </w:t>
      </w:r>
      <w:r w:rsidRPr="00EC77AC">
        <w:rPr>
          <w:rFonts w:ascii="Calibri Light" w:hAnsi="Calibri Light" w:cs="Calibri Light"/>
          <w:sz w:val="24"/>
          <w:szCs w:val="24"/>
          <w:lang w:val="id-ID"/>
        </w:rPr>
        <w:t xml:space="preserve"> sebagai instrumen pembangunan sosial-ekonomi berkelanjutan.</w:t>
      </w:r>
    </w:p>
    <w:p w14:paraId="289588E1" w14:textId="7EC13BB2" w:rsidR="000901E4" w:rsidRDefault="006A4B4D" w:rsidP="00043CA3">
      <w:pPr>
        <w:spacing w:after="0"/>
        <w:jc w:val="both"/>
        <w:rPr>
          <w:rFonts w:asciiTheme="majorHAnsi" w:hAnsiTheme="majorHAnsi" w:cstheme="majorHAnsi"/>
          <w:iCs/>
          <w:sz w:val="24"/>
          <w:szCs w:val="24"/>
        </w:rPr>
      </w:pPr>
      <w:r w:rsidRPr="00EC77AC">
        <w:rPr>
          <w:rFonts w:asciiTheme="majorHAnsi" w:hAnsiTheme="majorHAnsi" w:cstheme="majorHAnsi"/>
          <w:b/>
          <w:bCs/>
          <w:iCs/>
          <w:sz w:val="24"/>
          <w:szCs w:val="24"/>
        </w:rPr>
        <w:t>Keywords:</w:t>
      </w:r>
      <w:r w:rsidRPr="00EC77AC">
        <w:rPr>
          <w:rFonts w:asciiTheme="majorHAnsi" w:hAnsiTheme="majorHAnsi" w:cstheme="majorHAnsi"/>
          <w:iCs/>
          <w:sz w:val="24"/>
          <w:szCs w:val="24"/>
        </w:rPr>
        <w:t xml:space="preserve"> Family Endowment, Heresy, Southeast Asia</w:t>
      </w:r>
      <w:r w:rsidRPr="00EC77AC">
        <w:rPr>
          <w:rFonts w:asciiTheme="majorHAnsi" w:hAnsiTheme="majorHAnsi" w:cstheme="majorHAnsi"/>
          <w:i/>
          <w:sz w:val="24"/>
          <w:szCs w:val="24"/>
        </w:rPr>
        <w:t xml:space="preserve">, </w:t>
      </w:r>
      <w:r w:rsidRPr="00EC77AC">
        <w:rPr>
          <w:rFonts w:asciiTheme="majorHAnsi" w:hAnsiTheme="majorHAnsi" w:cstheme="majorHAnsi"/>
          <w:iCs/>
          <w:sz w:val="24"/>
          <w:szCs w:val="24"/>
        </w:rPr>
        <w:t>Waqf Law</w:t>
      </w:r>
      <w:r w:rsidRPr="00EC77AC">
        <w:rPr>
          <w:rFonts w:asciiTheme="majorHAnsi" w:hAnsiTheme="majorHAnsi" w:cstheme="majorHAnsi"/>
          <w:i/>
          <w:sz w:val="24"/>
          <w:szCs w:val="24"/>
        </w:rPr>
        <w:t xml:space="preserve">, </w:t>
      </w:r>
      <w:r w:rsidRPr="00EC77AC">
        <w:rPr>
          <w:rFonts w:asciiTheme="majorHAnsi" w:hAnsiTheme="majorHAnsi" w:cstheme="majorHAnsi"/>
          <w:iCs/>
          <w:sz w:val="24"/>
          <w:szCs w:val="24"/>
        </w:rPr>
        <w:t>Model of Implementation</w:t>
      </w:r>
    </w:p>
    <w:p w14:paraId="08D3704C" w14:textId="77777777" w:rsidR="002764FF" w:rsidRPr="00EC77AC" w:rsidRDefault="002764FF" w:rsidP="00043CA3">
      <w:pPr>
        <w:spacing w:after="0"/>
        <w:jc w:val="both"/>
        <w:rPr>
          <w:rFonts w:asciiTheme="majorHAnsi" w:hAnsiTheme="majorHAnsi" w:cstheme="majorHAnsi"/>
          <w:iCs/>
          <w:sz w:val="24"/>
          <w:szCs w:val="24"/>
        </w:rPr>
      </w:pPr>
    </w:p>
    <w:p w14:paraId="08A9F185" w14:textId="1DB7B6A8" w:rsidR="002764FF" w:rsidRPr="002764FF" w:rsidRDefault="002764FF" w:rsidP="002764FF">
      <w:pPr>
        <w:numPr>
          <w:ilvl w:val="0"/>
          <w:numId w:val="6"/>
        </w:numPr>
        <w:autoSpaceDE w:val="0"/>
        <w:autoSpaceDN w:val="0"/>
        <w:spacing w:before="120" w:after="120" w:line="240" w:lineRule="auto"/>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53B32567" w14:textId="77777777" w:rsidR="002764FF" w:rsidRDefault="00D9741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The practice of </w:t>
      </w:r>
      <w:r w:rsidR="00E7738B" w:rsidRPr="00EC77AC">
        <w:rPr>
          <w:rFonts w:asciiTheme="majorHAnsi" w:hAnsiTheme="majorHAnsi" w:cstheme="majorHAnsi"/>
          <w:i/>
          <w:sz w:val="24"/>
          <w:szCs w:val="24"/>
        </w:rPr>
        <w:t>waqf al-</w:t>
      </w:r>
      <w:proofErr w:type="spellStart"/>
      <w:r w:rsidR="00E7738B" w:rsidRPr="00EC77AC">
        <w:rPr>
          <w:rFonts w:asciiTheme="majorHAnsi" w:hAnsiTheme="majorHAnsi" w:cstheme="majorHAnsi"/>
          <w:i/>
          <w:sz w:val="24"/>
          <w:szCs w:val="24"/>
        </w:rPr>
        <w:t>ahlī</w:t>
      </w:r>
      <w:proofErr w:type="spellEnd"/>
      <w:r w:rsidRPr="00EC77AC">
        <w:rPr>
          <w:rFonts w:asciiTheme="majorHAnsi" w:hAnsiTheme="majorHAnsi" w:cstheme="majorHAnsi"/>
          <w:sz w:val="24"/>
          <w:szCs w:val="24"/>
        </w:rPr>
        <w:t xml:space="preserve">, or waqf designated specifically for family members, sparked significant debates in the Islamic world during the first decade of the 20th century. These debates ultimately led to varied legal standings for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under national laws. Countries such as Egypt (1946), Syria (1930), Iraq (1955), Turkey (1926), Lebanon (1948), Libya (1974), and the United Arab Emirates (1980) do not recognize its legality. Conversely, the majority of countries, including Jordan (1976), Kuwait (1951), Algeria, Saudi Arabia, Singapore, Malaysia, Indonesia, Pakistan, Iran, and many others, have recognized it</w:t>
      </w:r>
      <w:r w:rsidR="00050C68">
        <w:rPr>
          <w:rFonts w:asciiTheme="majorHAnsi" w:hAnsiTheme="majorHAnsi" w:cstheme="majorHAnsi"/>
          <w:sz w:val="24"/>
          <w:szCs w:val="24"/>
        </w:rPr>
        <w:t xml:space="preserve"> </w:t>
      </w:r>
      <w:r w:rsidR="00050C68">
        <w:rPr>
          <w:rFonts w:asciiTheme="majorHAnsi" w:hAnsiTheme="majorHAnsi" w:cstheme="majorHAnsi"/>
          <w:sz w:val="24"/>
          <w:szCs w:val="24"/>
        </w:rPr>
        <w:fldChar w:fldCharType="begin" w:fldLock="1"/>
      </w:r>
      <w:r w:rsidR="006241FE">
        <w:rPr>
          <w:rFonts w:asciiTheme="majorHAnsi" w:hAnsiTheme="majorHAnsi" w:cstheme="majorHAnsi"/>
          <w:sz w:val="24"/>
          <w:szCs w:val="24"/>
        </w:rPr>
        <w:instrText>ADDIN CSL_CITATION {"citationItems":[{"id":"ITEM-1","itemData":{"author":[{"dropping-particle":"","family":"Abbasi","given":"M","non-dropping-particle":"","parse-names":false,"suffix":""},{"dropping-particle":"","family":"Abbasi","given":"M Z","non-dropping-particle":"","parse-names":false,"suffix":""}],"id":"ITEM-1","issued":{"date-parts":[["2013"]]},"publisher":"Oxford University","publisher-place":"Oxford","title":"Sharī'a under the English Legal System in British India: Awqāf (endowments) in the Making of Anglo-Muhammadan Law","type":"thesis"},"uris":["http://www.mendeley.com/documents/?uuid=5695103c-3b86-4bc0-8771-9ae292ac23e9"]}],"mendeley":{"formattedCitation":"(M. Abbasi &amp; Abbasi, 2013)","manualFormatting":"(M. Abbasi &amp; Abbasi, 2013","plainTextFormattedCitation":"(M. Abbasi &amp; Abbasi, 2013)","previouslyFormattedCitation":"(M. Abbasi &amp; Abbasi, 2013)"},"properties":{"noteIndex":0},"schema":"https://github.com/citation-style-language/schema/raw/master/csl-citation.json"}</w:instrText>
      </w:r>
      <w:r w:rsidR="00050C68">
        <w:rPr>
          <w:rFonts w:asciiTheme="majorHAnsi" w:hAnsiTheme="majorHAnsi" w:cstheme="majorHAnsi"/>
          <w:sz w:val="24"/>
          <w:szCs w:val="24"/>
        </w:rPr>
        <w:fldChar w:fldCharType="separate"/>
      </w:r>
      <w:r w:rsidR="003C4B3B" w:rsidRPr="003C4B3B">
        <w:rPr>
          <w:rFonts w:asciiTheme="majorHAnsi" w:hAnsiTheme="majorHAnsi" w:cstheme="majorHAnsi"/>
          <w:noProof/>
          <w:sz w:val="24"/>
          <w:szCs w:val="24"/>
        </w:rPr>
        <w:t>(M. Abbasi &amp; Abbasi, 2013</w:t>
      </w:r>
      <w:r w:rsidR="00050C68">
        <w:rPr>
          <w:rFonts w:asciiTheme="majorHAnsi" w:hAnsiTheme="majorHAnsi" w:cstheme="majorHAnsi"/>
          <w:sz w:val="24"/>
          <w:szCs w:val="24"/>
        </w:rPr>
        <w:fldChar w:fldCharType="end"/>
      </w:r>
      <w:r w:rsidR="00050C68">
        <w:rPr>
          <w:rFonts w:asciiTheme="majorHAnsi" w:hAnsiTheme="majorHAnsi" w:cstheme="majorHAnsi"/>
          <w:sz w:val="24"/>
          <w:szCs w:val="24"/>
        </w:rPr>
        <w:t xml:space="preserve">; </w:t>
      </w:r>
      <w:r w:rsidR="00050C68">
        <w:rPr>
          <w:rFonts w:asciiTheme="majorHAnsi" w:hAnsiTheme="majorHAnsi" w:cstheme="majorHAnsi"/>
          <w:sz w:val="24"/>
          <w:szCs w:val="24"/>
        </w:rPr>
        <w:fldChar w:fldCharType="begin" w:fldLock="1"/>
      </w:r>
      <w:r w:rsidR="006241FE">
        <w:rPr>
          <w:rFonts w:asciiTheme="majorHAnsi" w:hAnsiTheme="majorHAnsi" w:cstheme="majorHAnsi"/>
          <w:sz w:val="24"/>
          <w:szCs w:val="24"/>
        </w:rPr>
        <w:instrText>ADDIN CSL_CITATION {"citationItems":[{"id":"ITEM-1","itemData":{"author":[{"dropping-particle":"","family":"Abdul-Karim","given":"Shamsiah","non-dropping-particle":"","parse-names":false,"suffix":""}],"id":"ITEM-1","issued":{"date-parts":[["2010"]]},"publisher":"Durham University","title":"Contemporary Shari'ah Structuring for the Development and Management of Waqf assets in Singapore","type":"article"},"uris":["http://www.mendeley.com/documents/?uuid=6869fdd1-8fc7-4673-ada0-8c6fc6b3f242"]}],"mendeley":{"formattedCitation":"(Abdul-Karim, 2010)","manualFormatting":"Abdul-Karim, 2010","plainTextFormattedCitation":"(Abdul-Karim, 2010)","previouslyFormattedCitation":"(Abdul-Karim, 2010)"},"properties":{"noteIndex":0},"schema":"https://github.com/citation-style-language/schema/raw/master/csl-citation.json"}</w:instrText>
      </w:r>
      <w:r w:rsidR="00050C68">
        <w:rPr>
          <w:rFonts w:asciiTheme="majorHAnsi" w:hAnsiTheme="majorHAnsi" w:cstheme="majorHAnsi"/>
          <w:sz w:val="24"/>
          <w:szCs w:val="24"/>
        </w:rPr>
        <w:fldChar w:fldCharType="separate"/>
      </w:r>
      <w:r w:rsidR="00050C68" w:rsidRPr="00050C68">
        <w:rPr>
          <w:rFonts w:asciiTheme="majorHAnsi" w:hAnsiTheme="majorHAnsi" w:cstheme="majorHAnsi"/>
          <w:noProof/>
          <w:sz w:val="24"/>
          <w:szCs w:val="24"/>
        </w:rPr>
        <w:t>Abdul-Karim, 2010</w:t>
      </w:r>
      <w:r w:rsidR="00050C68">
        <w:rPr>
          <w:rFonts w:asciiTheme="majorHAnsi" w:hAnsiTheme="majorHAnsi" w:cstheme="majorHAnsi"/>
          <w:sz w:val="24"/>
          <w:szCs w:val="24"/>
        </w:rPr>
        <w:fldChar w:fldCharType="end"/>
      </w:r>
      <w:r w:rsidR="00050C68">
        <w:rPr>
          <w:rFonts w:asciiTheme="majorHAnsi" w:hAnsiTheme="majorHAnsi" w:cstheme="majorHAnsi"/>
          <w:sz w:val="24"/>
          <w:szCs w:val="24"/>
        </w:rPr>
        <w:t xml:space="preserve">; </w:t>
      </w:r>
      <w:r w:rsidR="00050C68">
        <w:rPr>
          <w:rFonts w:asciiTheme="majorHAnsi" w:hAnsiTheme="majorHAnsi" w:cstheme="majorHAnsi"/>
          <w:sz w:val="24"/>
          <w:szCs w:val="24"/>
        </w:rPr>
        <w:fldChar w:fldCharType="begin" w:fldLock="1"/>
      </w:r>
      <w:r w:rsidR="006241FE">
        <w:rPr>
          <w:rFonts w:asciiTheme="majorHAnsi" w:hAnsiTheme="majorHAnsi" w:cstheme="majorHAnsi"/>
          <w:sz w:val="24"/>
          <w:szCs w:val="24"/>
        </w:rPr>
        <w:instrText>ADDIN CSL_CITATION {"citationItems":[{"id":"ITEM-1","itemData":{"abstract":", , (Jordan: , 2011), h. 49.","author":[{"dropping-particle":"","family":"Al-‘Alāwayn","given":"Fadwā Arshīd","non-dropping-particle":"","parse-names":false,"suffix":""}],"id":"ITEM-1","issued":{"date-parts":[["2011"]]},"publisher":"Jāmiʻah al-‘Ulūm al-Islāmiyyah al-‘Ālamiyyah, Jordan","publisher-place":"Amman","title":"al-Waqf al-Dhurrī wa Taṭbīquhā al-Muʻāṣir: Dirāsah Fiqhiyyah Muqāranah","type":"thesis"},"uris":["http://www.mendeley.com/documents/?uuid=36cbda6a-7853-450a-b1e5-6fcf60f02bbb"]}],"mendeley":{"formattedCitation":"(Al-‘Alāwayn, 2011)","manualFormatting":"Al-‘Alāwayn, 2011","plainTextFormattedCitation":"(Al-‘Alāwayn, 2011)","previouslyFormattedCitation":"(Al-‘Alāwayn, 2011)"},"properties":{"noteIndex":0},"schema":"https://github.com/citation-style-language/schema/raw/master/csl-citation.json"}</w:instrText>
      </w:r>
      <w:r w:rsidR="00050C68">
        <w:rPr>
          <w:rFonts w:asciiTheme="majorHAnsi" w:hAnsiTheme="majorHAnsi" w:cstheme="majorHAnsi"/>
          <w:sz w:val="24"/>
          <w:szCs w:val="24"/>
        </w:rPr>
        <w:fldChar w:fldCharType="separate"/>
      </w:r>
      <w:r w:rsidR="00050C68" w:rsidRPr="00050C68">
        <w:rPr>
          <w:rFonts w:asciiTheme="majorHAnsi" w:hAnsiTheme="majorHAnsi" w:cstheme="majorHAnsi"/>
          <w:noProof/>
          <w:sz w:val="24"/>
          <w:szCs w:val="24"/>
        </w:rPr>
        <w:t>Al-‘Alāwayn, 2011</w:t>
      </w:r>
      <w:r w:rsidR="00050C68">
        <w:rPr>
          <w:rFonts w:asciiTheme="majorHAnsi" w:hAnsiTheme="majorHAnsi" w:cstheme="majorHAnsi"/>
          <w:sz w:val="24"/>
          <w:szCs w:val="24"/>
        </w:rPr>
        <w:fldChar w:fldCharType="end"/>
      </w:r>
      <w:r w:rsidR="00050C68">
        <w:rPr>
          <w:rFonts w:asciiTheme="majorHAnsi" w:hAnsiTheme="majorHAnsi" w:cstheme="majorHAnsi"/>
          <w:sz w:val="24"/>
          <w:szCs w:val="24"/>
        </w:rPr>
        <w:t xml:space="preserve">; </w:t>
      </w:r>
      <w:r w:rsidR="00050C68">
        <w:rPr>
          <w:rFonts w:asciiTheme="majorHAnsi" w:hAnsiTheme="majorHAnsi" w:cstheme="majorHAnsi"/>
          <w:sz w:val="24"/>
          <w:szCs w:val="24"/>
        </w:rPr>
        <w:fldChar w:fldCharType="begin" w:fldLock="1"/>
      </w:r>
      <w:r w:rsidR="006241FE">
        <w:rPr>
          <w:rFonts w:asciiTheme="majorHAnsi" w:hAnsiTheme="majorHAnsi" w:cstheme="majorHAnsi"/>
          <w:sz w:val="24"/>
          <w:szCs w:val="24"/>
        </w:rPr>
        <w:instrText>ADDIN CSL_CITATION {"citationItems":[{"id":"ITEM-1","itemData":{"author":[{"dropping-particle":"","family":"Fahrurroji","given":"","non-dropping-particle":"","parse-names":false,"suffix":""}],"id":"ITEM-1","issued":{"date-parts":[["2019"]]},"number-of-pages":"98","publisher":"Badan Wakaf Indonesia","publisher-place":"Jakarta","title":"Wakaf Kontemporer","type":"book"},"uris":["http://www.mendeley.com/documents/?uuid=3bdbc5b4-f453-447f-9658-ab7a2d310106"]}],"mendeley":{"formattedCitation":"(Fahrurroji, 2019)","manualFormatting":"Fahrurroji, 2019","plainTextFormattedCitation":"(Fahrurroji, 2019)","previouslyFormattedCitation":"(Fahrurroji, 2019)"},"properties":{"noteIndex":0},"schema":"https://github.com/citation-style-language/schema/raw/master/csl-citation.json"}</w:instrText>
      </w:r>
      <w:r w:rsidR="00050C68">
        <w:rPr>
          <w:rFonts w:asciiTheme="majorHAnsi" w:hAnsiTheme="majorHAnsi" w:cstheme="majorHAnsi"/>
          <w:sz w:val="24"/>
          <w:szCs w:val="24"/>
        </w:rPr>
        <w:fldChar w:fldCharType="separate"/>
      </w:r>
      <w:r w:rsidR="00050C68" w:rsidRPr="00050C68">
        <w:rPr>
          <w:rFonts w:asciiTheme="majorHAnsi" w:hAnsiTheme="majorHAnsi" w:cstheme="majorHAnsi"/>
          <w:noProof/>
          <w:sz w:val="24"/>
          <w:szCs w:val="24"/>
        </w:rPr>
        <w:t>Fahrurroji, 2019</w:t>
      </w:r>
      <w:r w:rsidR="00050C68">
        <w:rPr>
          <w:rFonts w:asciiTheme="majorHAnsi" w:hAnsiTheme="majorHAnsi" w:cstheme="majorHAnsi"/>
          <w:sz w:val="24"/>
          <w:szCs w:val="24"/>
        </w:rPr>
        <w:fldChar w:fldCharType="end"/>
      </w:r>
      <w:r w:rsidR="00050C68">
        <w:rPr>
          <w:rFonts w:asciiTheme="majorHAnsi" w:hAnsiTheme="majorHAnsi" w:cstheme="majorHAnsi"/>
          <w:sz w:val="24"/>
          <w:szCs w:val="24"/>
        </w:rPr>
        <w:t xml:space="preserve">; </w:t>
      </w:r>
      <w:r w:rsidR="00050C68">
        <w:rPr>
          <w:rFonts w:asciiTheme="majorHAnsi" w:hAnsiTheme="majorHAnsi" w:cstheme="majorHAnsi"/>
          <w:sz w:val="24"/>
          <w:szCs w:val="24"/>
        </w:rPr>
        <w:fldChar w:fldCharType="begin" w:fldLock="1"/>
      </w:r>
      <w:r w:rsidR="006241FE">
        <w:rPr>
          <w:rFonts w:asciiTheme="majorHAnsi" w:hAnsiTheme="majorHAnsi" w:cstheme="majorHAnsi"/>
          <w:sz w:val="24"/>
          <w:szCs w:val="24"/>
        </w:rPr>
        <w:instrText>ADDIN CSL_CITATION {"citationItems":[{"id":"ITEM-1","itemData":{"ISSN":"2502-3993","author":[{"dropping-particle":"","family":"Kamarubahrin","given":"Aimi Fadzirul","non-dropping-particle":"","parse-names":false,"suffix":""},{"dropping-particle":"","family":"Ayedh","given":"Abdullah Mohammed Ahmed","non-dropping-particle":"","parse-names":false,"suffix":""}],"container-title":"IQTISHADIA Journal of Islamic Economic and Business (IJEB)","id":"ITEM-1","issued":{"date-parts":[["2018"]]},"publisher":"Department of Islamic Economics, STAIN Kudus","title":"Critical Review on Waqf Experiences: Lessons from Muslim and Non-Muslim Countries","type":"article-journal"},"uris":["http://www.mendeley.com/documents/?uuid=728d2de2-f3a1-49d2-86aa-3d013bb3284c"]}],"mendeley":{"formattedCitation":"(Kamarubahrin &amp; Ayedh, 2018)","manualFormatting":"Kamarubahrin &amp; Ayedh, 2018)","plainTextFormattedCitation":"(Kamarubahrin &amp; Ayedh, 2018)","previouslyFormattedCitation":"(Kamarubahrin &amp; Ayedh, 2018)"},"properties":{"noteIndex":0},"schema":"https://github.com/citation-style-language/schema/raw/master/csl-citation.json"}</w:instrText>
      </w:r>
      <w:r w:rsidR="00050C68">
        <w:rPr>
          <w:rFonts w:asciiTheme="majorHAnsi" w:hAnsiTheme="majorHAnsi" w:cstheme="majorHAnsi"/>
          <w:sz w:val="24"/>
          <w:szCs w:val="24"/>
        </w:rPr>
        <w:fldChar w:fldCharType="separate"/>
      </w:r>
      <w:r w:rsidR="00050C68" w:rsidRPr="00050C68">
        <w:rPr>
          <w:rFonts w:asciiTheme="majorHAnsi" w:hAnsiTheme="majorHAnsi" w:cstheme="majorHAnsi"/>
          <w:noProof/>
          <w:sz w:val="24"/>
          <w:szCs w:val="24"/>
        </w:rPr>
        <w:t>Kamarubahrin &amp; Ayedh, 2018)</w:t>
      </w:r>
      <w:r w:rsidR="00050C68">
        <w:rPr>
          <w:rFonts w:asciiTheme="majorHAnsi" w:hAnsiTheme="majorHAnsi" w:cstheme="majorHAnsi"/>
          <w:sz w:val="24"/>
          <w:szCs w:val="24"/>
        </w:rPr>
        <w:fldChar w:fldCharType="end"/>
      </w:r>
      <w:r w:rsidRPr="00EC77AC">
        <w:rPr>
          <w:rFonts w:asciiTheme="majorHAnsi" w:hAnsiTheme="majorHAnsi" w:cstheme="majorHAnsi"/>
          <w:sz w:val="24"/>
          <w:szCs w:val="24"/>
        </w:rPr>
        <w:t xml:space="preserve"> </w:t>
      </w:r>
    </w:p>
    <w:p w14:paraId="3B4A1AB7" w14:textId="77777777" w:rsidR="002764FF" w:rsidRDefault="00D9741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In response to these opposing views, this paper argues that the diversity of legal interpretations opens up constructive discussions to reassess the legality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The discussion is framed from the perspective of Islamic jurisprudence </w:t>
      </w:r>
      <w:r w:rsidRPr="00F54E80">
        <w:rPr>
          <w:rFonts w:asciiTheme="majorHAnsi" w:hAnsiTheme="majorHAnsi" w:cstheme="majorHAnsi"/>
          <w:i/>
          <w:iCs/>
          <w:sz w:val="24"/>
          <w:szCs w:val="24"/>
        </w:rPr>
        <w:t>(</w:t>
      </w:r>
      <w:proofErr w:type="spellStart"/>
      <w:r w:rsidRPr="00F54E80">
        <w:rPr>
          <w:rFonts w:asciiTheme="majorHAnsi" w:hAnsiTheme="majorHAnsi" w:cstheme="majorHAnsi"/>
          <w:i/>
          <w:iCs/>
          <w:sz w:val="24"/>
          <w:szCs w:val="24"/>
        </w:rPr>
        <w:t>fiqh</w:t>
      </w:r>
      <w:proofErr w:type="spellEnd"/>
      <w:r w:rsidRPr="00F54E80">
        <w:rPr>
          <w:rFonts w:asciiTheme="majorHAnsi" w:hAnsiTheme="majorHAnsi" w:cstheme="majorHAnsi"/>
          <w:i/>
          <w:iCs/>
          <w:sz w:val="24"/>
          <w:szCs w:val="24"/>
        </w:rPr>
        <w:t>),</w:t>
      </w:r>
      <w:r w:rsidRPr="00EC77AC">
        <w:rPr>
          <w:rFonts w:asciiTheme="majorHAnsi" w:hAnsiTheme="majorHAnsi" w:cstheme="majorHAnsi"/>
          <w:sz w:val="24"/>
          <w:szCs w:val="24"/>
        </w:rPr>
        <w:t xml:space="preserve"> contextualized with practices, models, and implementations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in Indonesia, Malaysia, and Singapore. From the standpoint of </w:t>
      </w:r>
      <w:proofErr w:type="spellStart"/>
      <w:r w:rsidRPr="00F54E80">
        <w:rPr>
          <w:rFonts w:asciiTheme="majorHAnsi" w:hAnsiTheme="majorHAnsi" w:cstheme="majorHAnsi"/>
          <w:i/>
          <w:iCs/>
          <w:sz w:val="24"/>
          <w:szCs w:val="24"/>
        </w:rPr>
        <w:t>fiqh</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Muḥammad</w:t>
      </w:r>
      <w:proofErr w:type="spellEnd"/>
      <w:r w:rsidRPr="00EC77AC">
        <w:rPr>
          <w:rFonts w:asciiTheme="majorHAnsi" w:hAnsiTheme="majorHAnsi" w:cstheme="majorHAnsi"/>
          <w:sz w:val="24"/>
          <w:szCs w:val="24"/>
        </w:rPr>
        <w:t xml:space="preserve"> ibn ‘Abd al-</w:t>
      </w:r>
      <w:proofErr w:type="spellStart"/>
      <w:r w:rsidRPr="00EC77AC">
        <w:rPr>
          <w:rFonts w:asciiTheme="majorHAnsi" w:hAnsiTheme="majorHAnsi" w:cstheme="majorHAnsi"/>
          <w:sz w:val="24"/>
          <w:szCs w:val="24"/>
        </w:rPr>
        <w:t>Wahhāb</w:t>
      </w:r>
      <w:proofErr w:type="spellEnd"/>
      <w:r w:rsidRPr="00EC77AC">
        <w:rPr>
          <w:rFonts w:asciiTheme="majorHAnsi" w:hAnsiTheme="majorHAnsi" w:cstheme="majorHAnsi"/>
          <w:sz w:val="24"/>
          <w:szCs w:val="24"/>
        </w:rPr>
        <w:t xml:space="preserve"> (d. 1792 CE) issued a fatwa declaring </w:t>
      </w:r>
      <w:r w:rsidR="00E7738B" w:rsidRPr="00EC77AC">
        <w:rPr>
          <w:rFonts w:asciiTheme="majorHAnsi" w:hAnsiTheme="majorHAnsi" w:cstheme="majorHAnsi"/>
          <w:sz w:val="24"/>
          <w:szCs w:val="24"/>
        </w:rPr>
        <w:t>waqf al-</w:t>
      </w:r>
      <w:proofErr w:type="spellStart"/>
      <w:r w:rsidR="00E7738B" w:rsidRPr="00EC77AC">
        <w:rPr>
          <w:rFonts w:asciiTheme="majorHAnsi" w:hAnsiTheme="majorHAnsi" w:cstheme="majorHAnsi"/>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as </w:t>
      </w:r>
      <w:proofErr w:type="spellStart"/>
      <w:r w:rsidRPr="00EC77AC">
        <w:rPr>
          <w:rFonts w:asciiTheme="majorHAnsi" w:hAnsiTheme="majorHAnsi" w:cstheme="majorHAnsi"/>
          <w:i/>
          <w:iCs/>
          <w:sz w:val="24"/>
          <w:szCs w:val="24"/>
        </w:rPr>
        <w:t>bid’ah</w:t>
      </w:r>
      <w:proofErr w:type="spellEnd"/>
      <w:r w:rsidRPr="00EC77AC">
        <w:rPr>
          <w:rFonts w:asciiTheme="majorHAnsi" w:hAnsiTheme="majorHAnsi" w:cstheme="majorHAnsi"/>
          <w:sz w:val="24"/>
          <w:szCs w:val="24"/>
        </w:rPr>
        <w:t xml:space="preserve"> (unwarranted innovation)</w:t>
      </w:r>
      <w:r w:rsidR="00050C68" w:rsidRPr="00050C68">
        <w:rPr>
          <w:rFonts w:ascii="Calibri Light" w:hAnsi="Calibri Light" w:cs="Calibri Light"/>
          <w:sz w:val="24"/>
          <w:szCs w:val="24"/>
          <w:lang w:val="id-ID"/>
        </w:rPr>
        <w:t xml:space="preserve"> </w:t>
      </w:r>
      <w:r w:rsidR="00050C68" w:rsidRPr="00CE509C">
        <w:rPr>
          <w:rFonts w:ascii="Calibri Light" w:hAnsi="Calibri Light" w:cs="Calibri Light"/>
          <w:sz w:val="24"/>
          <w:szCs w:val="24"/>
          <w:lang w:val="id-ID"/>
        </w:rPr>
        <w:fldChar w:fldCharType="begin" w:fldLock="1"/>
      </w:r>
      <w:r w:rsidR="00050C68">
        <w:rPr>
          <w:rFonts w:ascii="Calibri Light" w:hAnsi="Calibri Light" w:cs="Calibri Light"/>
          <w:sz w:val="24"/>
          <w:szCs w:val="24"/>
          <w:lang w:val="id-ID"/>
        </w:rPr>
        <w:instrText>ADDIN CSL_CITATION {"citationItems":[{"id":"ITEM-1","itemData":{"DOI":"https://shamela.ws/book/6947/3854","author":[{"dropping-particle":"","family":"Al-Wahhāb","given":"Muḥammad ibn ‘Abd","non-dropping-particle":"","parse-names":false,"suffix":""}],"container-title":"Majallah al-Manār","editor":[{"dropping-particle":"","family":"Riḍā","given":"Muḥammad Rashīd","non-dropping-particle":"","parse-names":false,"suffix":""}],"id":"ITEM-1","issued":{"date-parts":[["0"]]},"page":"36","title":"Ibṭāl al-Waqf al-Ahlī","type":"article-journal","volume":"29"},"uris":["http://www.mendeley.com/documents/?uuid=91051f3c-e0a2-4e1b-bbef-47ee20891eb0","http://www.mendeley.com/documents/?uuid=2338116b-1d14-463c-96fe-e43dc0692d51"]}],"mendeley":{"formattedCitation":"(Al-Wahhāb, n.d.)","plainTextFormattedCitation":"(Al-Wahhāb, n.d.)","previouslyFormattedCitation":"(Al-Wahhāb, n.d.)"},"properties":{"noteIndex":0},"schema":"https://github.com/citation-style-language/schema/raw/master/csl-citation.json"}</w:instrText>
      </w:r>
      <w:r w:rsidR="00050C68" w:rsidRPr="00CE509C">
        <w:rPr>
          <w:rFonts w:ascii="Calibri Light" w:hAnsi="Calibri Light" w:cs="Calibri Light"/>
          <w:sz w:val="24"/>
          <w:szCs w:val="24"/>
          <w:lang w:val="id-ID"/>
        </w:rPr>
        <w:fldChar w:fldCharType="separate"/>
      </w:r>
      <w:r w:rsidR="00050C68" w:rsidRPr="00CE509C">
        <w:rPr>
          <w:rFonts w:ascii="Calibri Light" w:hAnsi="Calibri Light" w:cs="Calibri Light"/>
          <w:noProof/>
          <w:sz w:val="24"/>
          <w:szCs w:val="24"/>
          <w:lang w:val="id-ID"/>
        </w:rPr>
        <w:t>(Al-Wahhāb, n.d.)</w:t>
      </w:r>
      <w:r w:rsidR="00050C68"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xml:space="preserve">, a view later adopted by some of his followers </w:t>
      </w:r>
      <w:r w:rsidR="00050C68" w:rsidRPr="00CE509C">
        <w:rPr>
          <w:rFonts w:ascii="Calibri Light" w:hAnsi="Calibri Light" w:cs="Calibri Light"/>
          <w:sz w:val="24"/>
          <w:szCs w:val="24"/>
          <w:lang w:val="id-ID"/>
        </w:rPr>
        <w:fldChar w:fldCharType="begin" w:fldLock="1"/>
      </w:r>
      <w:r w:rsidR="00050C68">
        <w:rPr>
          <w:rFonts w:ascii="Calibri Light" w:hAnsi="Calibri Light" w:cs="Calibri Light"/>
          <w:sz w:val="24"/>
          <w:szCs w:val="24"/>
          <w:lang w:val="id-ID"/>
        </w:rPr>
        <w:instrText>ADDIN CSL_CITATION {"citationItems":[{"id":"ITEM-1","itemData":{"author":[{"dropping-particle":"","family":"Malak","given":"Rāmiz","non-dropping-particle":"","parse-names":false,"suffix":""}],"id":"ITEM-1","issued":{"date-parts":[["1939"]]},"publisher":"Maṭbaʿat al-Liwā’","publisher-place":"Tripoli","title":"Naẓrah fīmā Jā’a fī Naqḍ Jamʿiyyat al-ʿUlamā’ bi-Dimashq li-Bayān Mudīriyyat al-Awqāf Ḥawl Bayʿ al-Waqf al-Dhurrī","type":"book"},"uris":["http://www.mendeley.com/documents/?uuid=7a27bc59-336f-4946-a6e3-69e887f0b84a","http://www.mendeley.com/documents/?uuid=25aa1441-2f8f-45fd-ba5e-2ec750daf7c3"]},{"id":"ITEM-2","itemData":{"author":[{"dropping-particle":"","family":"Malak","given":"Rāmiz","non-dropping-particle":"","parse-names":false,"suffix":""}],"id":"ITEM-2","issued":{"date-parts":[["1939"]]},"publisher":"Maṭbaʿat al-Liwā’","publisher-place":"Tripoli","title":"Ra’y Faḍīlat Shaykh al-Azhar fī al-Awqāf al-Dhurriyyah","type":"book"},"uris":["http://www.mendeley.com/documents/?uuid=7a6c1850-c5d0-4073-a73e-a0ed09ccafa5","http://www.mendeley.com/documents/?uuid=291b0f11-6dca-4aa1-8240-dfee3dd1c282"]},{"id":"ITEM-3","itemData":{"author":[{"dropping-particle":"","family":"Malak","given":"Rāmiz","non-dropping-particle":"","parse-names":false,"suffix":""}],"id":"ITEM-3","issued":{"date-parts":[["1938"]]},"publisher":"Maṭbaʿat al-Liwā’","publisher-place":"Tripoli","title":"Risālah Ḥawl Irjāʿ al-Awqāf al-Dhurriyyah Milkan","type":"book"},"uris":["http://www.mendeley.com/documents/?uuid=fc7f8d9f-03b7-42e5-af51-e0a398892e8a","http://www.mendeley.com/documents/?uuid=b8e591f3-e1ac-4ccd-a7bb-e49e210ce0ea"]},{"id":"ITEM-4","itemData":{"ISSN":"0928-9380","author":[{"dropping-particle":"","family":"Moumtaz","given":"Nada","non-dropping-particle":"","parse-names":false,"suffix":""}],"container-title":"Islamic Law and Society","id":"ITEM-4","issue":"1-2","issued":{"date-parts":[["2018"]]},"page":"37-77","publisher":"Brill","title":"“Is the Family Waqf a Religious Institution?” Charity, Religion, and Economy in French Mandate Lebanon","type":"article-journal","volume":"25"},"uris":["http://www.mendeley.com/documents/?uuid=292db89c-c458-47c9-ba62-86ed327aebd5","http://www.mendeley.com/documents/?uuid=fa646e59-d266-4b1e-be96-df368e30e35c"]}],"mendeley":{"formattedCitation":"(Malak, 1938, 1939a, 1939b; Moumtaz, 2018)","plainTextFormattedCitation":"(Malak, 1938, 1939a, 1939b; Moumtaz, 2018)","previouslyFormattedCitation":"(Malak, 1938, 1939a, 1939b; Moumtaz, 2018)"},"properties":{"noteIndex":0},"schema":"https://github.com/citation-style-language/schema/raw/master/csl-citation.json"}</w:instrText>
      </w:r>
      <w:r w:rsidR="00050C68" w:rsidRPr="00CE509C">
        <w:rPr>
          <w:rFonts w:ascii="Calibri Light" w:hAnsi="Calibri Light" w:cs="Calibri Light"/>
          <w:sz w:val="24"/>
          <w:szCs w:val="24"/>
          <w:lang w:val="id-ID"/>
        </w:rPr>
        <w:fldChar w:fldCharType="separate"/>
      </w:r>
      <w:r w:rsidR="00050C68" w:rsidRPr="00CE509C">
        <w:rPr>
          <w:rFonts w:ascii="Calibri Light" w:hAnsi="Calibri Light" w:cs="Calibri Light"/>
          <w:noProof/>
          <w:sz w:val="24"/>
          <w:szCs w:val="24"/>
          <w:lang w:val="id-ID"/>
        </w:rPr>
        <w:t>(Malak, 1938, 1939a, 1939b; Moumtaz, 2018)</w:t>
      </w:r>
      <w:r w:rsidR="00050C68"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xml:space="preserve">. However, the majority of Islamic scholars have accepted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w:t>
      </w:r>
      <w:r w:rsidR="00050C68" w:rsidRPr="00CE509C">
        <w:rPr>
          <w:rFonts w:ascii="Calibri Light" w:hAnsi="Calibri Light" w:cs="Calibri Light"/>
          <w:sz w:val="24"/>
          <w:szCs w:val="24"/>
          <w:lang w:val="id-ID"/>
        </w:rPr>
        <w:fldChar w:fldCharType="begin" w:fldLock="1"/>
      </w:r>
      <w:r w:rsidR="00F54E80">
        <w:rPr>
          <w:rFonts w:ascii="Calibri Light" w:hAnsi="Calibri Light" w:cs="Calibri Light"/>
          <w:sz w:val="24"/>
          <w:szCs w:val="24"/>
          <w:lang w:val="id-ID"/>
        </w:rPr>
        <w:instrText>ADDIN CSL_CITATION {"citationItems":[{"id":"ITEM-1","itemData":{"author":[{"dropping-particle":"","family":"Zahrah","given":"Abū","non-dropping-particle":"","parse-names":false,"suffix":""}],"id":"ITEM-1","issued":{"date-parts":[["2004"]]},"number-of-pages":"10-11","publisher":"Dār al-Fikr al-‘Arabī","publisher-place":"Beirut","title":"Muḥāḍarāt fī al-Waqf","type":"book"},"uris":["http://www.mendeley.com/documents/?uuid=4f5a68f5-8d24-42c9-b1e4-6f0d67dc2aa0","http://www.mendeley.com/documents/?uuid=48607c5a-6c6a-47a6-88fc-7aa6e222e6f3"]},{"id":"ITEM-2","itemData":{"author":[{"dropping-particle":"","family":"Dimashq","given":"Jamʿiyyat al-ʿUlamā’ bi","non-dropping-particle":"","parse-names":false,"suffix":""}],"id":"ITEM-2","issued":{"date-parts":[["1938"]]},"publisher":"Maṭbaʿat al-Taraqqī","publisher-place":"Damaskus","title":"Risālah Jamʻiyyah al-‘Ulamā’ bi Dimashq fī Ibṭāl Risālah al-Ustādh al-Shaykh Rāmiz al-Malak fī Jawāz Ḥall Awqāf al-Dhurriyyah","type":"book"},"uris":["http://www.mendeley.com/documents/?uuid=17d6e74d-fe4a-40b6-b5e8-6168a61c762d","http://www.mendeley.com/documents/?uuid=5e3231e9-abf3-43bd-ad03-71a14f18759d"]},{"id":"ITEM-3","itemData":{"author":[{"dropping-particle":"","family":"Makhlūf","given":"Muḥammad Ḥasanain","non-dropping-particle":"","parse-names":false,"suffix":""}],"id":"ITEM-3","issued":{"date-parts":[["1951"]]},"publisher":"Muṣṭafā li Bābī al-Ḥalabī","publisher-place":"Kairo","title":"Manhaj al-Yaqīn fi Bayān anna al-Waqf al-Ahlī min al-Dīn","type":"book"},"uris":["http://www.mendeley.com/documents/?uuid=47ff366b-d4f3-4866-ab1a-29e862b9f012","http://www.mendeley.com/documents/?uuid=1a064a4c-5447-4464-b6f4-d14a703cb27a"]},{"id":"ITEM-4","itemData":{"abstract":", , (Aleppo: , 1344 H), h. 33.","author":[{"dropping-particle":"","family":"Al-Zarqā'","given":"Muṣṭafā Aḥmad","non-dropping-particle":"","parse-names":false,"suffix":""}],"id":"ITEM-4","issued":{"date-parts":[["1344"]]},"publisher":"al-Maṭbaʻah al- ʻIlmiyyah","publisher-place":"Aleppo","title":"al-Shams al-Jāliyyah fī al-Rad ‘alā Man Uftiyā bi Buṭlān Awqāf al-Dhurriyyah","type":"book"},"uris":["http://www.mendeley.com/documents/?uuid=384a3945-4fe2-4b8c-8a3e-964dd2bf59ce","http://www.mendeley.com/documents/?uuid=f22845b6-4762-4061-83ef-d50af7e1fed8"]},{"id":"ITEM-5","itemData":{"abstract":", , (Jordan: , 2011), h. 49.","author":[{"dropping-particle":"","family":"Al-‘Alāwayn","given":"Fadwā Arshīd","non-dropping-particle":"","parse-names":false,"suffix":""}],"id":"ITEM-5","issued":{"date-parts":[["2011"]]},"publisher":"Jāmiʻah al-‘Ulūm al-Islāmiyyah al-‘Ālamiyyah, Jordan","publisher-place":"Amman","title":"al-Waqf al-Dhurrī wa Taṭbīquhā al-Muʻāṣir: Dirāsah Fiqhiyyah Muqāranah","type":"thesis"},"uris":["http://www.mendeley.com/documents/?uuid=36cbda6a-7853-450a-b1e5-6fcf60f02bbb","http://www.mendeley.com/documents/?uuid=d10cb8d6-5f6e-4753-8a80-1ee569f5b4ed"]}],"mendeley":{"formattedCitation":"(Al-‘Alāwayn, 2011; Al-Zarqā’, 1344; Dimashq, 1938; Makhlūf, 1951; Zahrah, 2004)","plainTextFormattedCitation":"(Al-‘Alāwayn, 2011; Al-Zarqā’, 1344; Dimashq, 1938; Makhlūf, 1951; Zahrah, 2004)","previouslyFormattedCitation":"(Al-‘Alāwayn, 2011; Al-Zarqā’, 1344; Dimashq, 1938; Makhlūf, 1951; Zahrah, 2004)"},"properties":{"noteIndex":0},"schema":"https://github.com/citation-style-language/schema/raw/master/csl-citation.json"}</w:instrText>
      </w:r>
      <w:r w:rsidR="00050C68" w:rsidRPr="00CE509C">
        <w:rPr>
          <w:rFonts w:ascii="Calibri Light" w:hAnsi="Calibri Light" w:cs="Calibri Light"/>
          <w:sz w:val="24"/>
          <w:szCs w:val="24"/>
          <w:lang w:val="id-ID"/>
        </w:rPr>
        <w:fldChar w:fldCharType="separate"/>
      </w:r>
      <w:r w:rsidR="006241FE" w:rsidRPr="006241FE">
        <w:rPr>
          <w:rFonts w:ascii="Calibri Light" w:hAnsi="Calibri Light" w:cs="Calibri Light"/>
          <w:noProof/>
          <w:sz w:val="24"/>
          <w:szCs w:val="24"/>
          <w:lang w:val="id-ID"/>
        </w:rPr>
        <w:t>(Al-‘Alāwayn, 2011; Al-Zarqā’, 1344; Dimashq, 1938; Makhlūf, 1951; Zahrah, 2004)</w:t>
      </w:r>
      <w:r w:rsidR="00050C68" w:rsidRPr="00CE509C">
        <w:rPr>
          <w:rFonts w:ascii="Calibri Light" w:hAnsi="Calibri Light" w:cs="Calibri Light"/>
          <w:sz w:val="24"/>
          <w:szCs w:val="24"/>
          <w:lang w:val="id-ID"/>
        </w:rPr>
        <w:fldChar w:fldCharType="end"/>
      </w:r>
      <w:r w:rsidR="00043CA3" w:rsidRPr="00EC77AC">
        <w:rPr>
          <w:rFonts w:asciiTheme="majorHAnsi" w:hAnsiTheme="majorHAnsi" w:cstheme="majorHAnsi"/>
          <w:sz w:val="24"/>
          <w:szCs w:val="24"/>
        </w:rPr>
        <w:t>.</w:t>
      </w:r>
    </w:p>
    <w:p w14:paraId="0A3F8729" w14:textId="77777777" w:rsidR="002764FF" w:rsidRDefault="00D9741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This paper posits that differences in the legal recognition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across countries are primarily driven by economic, social, and political factors, as well as misconceptions about the purpose of waqf, rather than theological disagreements. As a result, countries like Indonesia, Malaysia, and Singapore have recognized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's legality and codified it into their legal systems over the past few decades.</w:t>
      </w:r>
    </w:p>
    <w:p w14:paraId="3BAE3FF2" w14:textId="77777777" w:rsidR="002764FF" w:rsidRDefault="00D9741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lastRenderedPageBreak/>
        <w:t xml:space="preserve">Previous studies on the legal status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waqf laws, and the models and implementations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in specific countries have often been conducted separately. One group of scholars focuses on its jurisprudential aspects </w:t>
      </w:r>
      <w:r w:rsidR="00050C68" w:rsidRPr="00CE509C">
        <w:rPr>
          <w:rFonts w:ascii="Calibri Light" w:hAnsi="Calibri Light" w:cs="Calibri Light"/>
          <w:sz w:val="24"/>
          <w:szCs w:val="24"/>
          <w:lang w:val="id-ID"/>
        </w:rPr>
        <w:fldChar w:fldCharType="begin" w:fldLock="1"/>
      </w:r>
      <w:r w:rsidR="00F54E80">
        <w:rPr>
          <w:rFonts w:ascii="Calibri Light" w:hAnsi="Calibri Light" w:cs="Calibri Light"/>
          <w:sz w:val="24"/>
          <w:szCs w:val="24"/>
          <w:lang w:val="id-ID"/>
        </w:rPr>
        <w:instrText>ADDIN CSL_CITATION {"citationItems":[{"id":"ITEM-1","itemData":{"ISSN":"0928-9380","author":[{"dropping-particle":"","family":"Reiter","given":"Yitzhak","non-dropping-particle":"","parse-names":false,"suffix":""}],"container-title":"Islamic Law and Society","id":"ITEM-1","issue":"2","issued":{"date-parts":[["1995"]]},"page":"174-193","publisher":"Brill","title":"Family Waqf Entitlements in British Palestine (1917-1948)","type":"article-journal","volume":"2"},"uris":["http://www.mendeley.com/documents/?uuid=01c750b0-98d2-4039-be7a-9ade735da4e0","http://www.mendeley.com/documents/?uuid=137a3db7-d2a3-4e19-94d8-359763f49023"]},{"id":"ITEM-2","itemData":{"ISSN":"1474-0699","author":[{"dropping-particle":"","family":"Layish","given":"Aharon","non-dropping-particle":"","parse-names":false,"suffix":""}],"container-title":"Bulletin of the School of Oriental and African Studies","id":"ITEM-2","issue":"1","issued":{"date-parts":[["1983"]]},"page":"1-32","publisher":"Cambridge University Press","title":"The Mālikī Family Waqf According to Wills and Waqfiyyāt","type":"article-journal","volume":"46"},"uris":["http://www.mendeley.com/documents/?uuid=83963162-d668-49ae-86df-07a17665bdd0","http://www.mendeley.com/documents/?uuid=cea1b2a1-8e0c-4bbc-824b-46757dbd0b25"]},{"id":"ITEM-3","itemData":{"abstract":", 7 No. 22 (2023) 99-132.","author":[{"dropping-particle":"","family":"Al-Farsī","given":"ʻĀṣim Ḥammād","non-dropping-particle":"","parse-names":false,"suffix":""}],"container-title":"al-Majallah al-ʻArabiyyah li al-Dirāsāt al-Islāmiyyah wa al-Sharʻiyyah","id":"ITEM-3","issue":"22","issued":{"date-parts":[["2023"]]},"page":"99-132","title":"Arkān al-Waqf al-Ahlī wa Shurūṭuhu: Dirāsah Fiqhiyyah Muqāranah","type":"article-journal","volume":"7"},"uris":["http://www.mendeley.com/documents/?uuid=905157e9-3998-45af-abc1-615258aff55a","http://www.mendeley.com/documents/?uuid=9308448e-8397-4d30-a49e-fabd7f1144e9"]},{"id":"ITEM-4","itemData":{"ISSN":"0928-9380","author":[{"dropping-particle":"","family":"Moumtaz","given":"Nada","non-dropping-particle":"","parse-names":false,"suffix":""}],"container-title":"Islamic Law and Society","id":"ITEM-4","issue":"1-2","issued":{"date-parts":[["2018"]]},"page":"37-77","publisher":"Brill","title":"“Is the Family Waqf a Religious Institution?” Charity, Religion, and Economy in French Mandate Lebanon","type":"article-journal","volume":"25"},"uris":["http://www.mendeley.com/documents/?uuid=fa646e59-d266-4b1e-be96-df368e30e35c","http://www.mendeley.com/documents/?uuid=292db89c-c458-47c9-ba62-86ed327aebd5"]},{"id":"ITEM-5","itemData":{"author":[{"dropping-particle":"","family":"Makhlūf","given":"Muḥammad Ḥasanain","non-dropping-particle":"","parse-names":false,"suffix":""}],"id":"ITEM-5","issued":{"date-parts":[["1951"]]},"publisher":"Muṣṭafā li Bābī al-Ḥalabī","publisher-place":"Kairo","title":"Manhaj al-Yaqīn fi Bayān anna al-Waqf al-Ahlī min al-Dīn","type":"book"},"uris":["http://www.mendeley.com/documents/?uuid=1a064a4c-5447-4464-b6f4-d14a703cb27a","http://www.mendeley.com/documents/?uuid=47ff366b-d4f3-4866-ab1a-29e862b9f012","http://www.mendeley.com/documents/?uuid=bcad6f5c-413c-43ce-9d52-c7d3af67923a"]},{"id":"ITEM-6","itemData":{"author":[{"dropping-particle":"","family":"Malak","given":"Rāmiz","non-dropping-particle":"","parse-names":false,"suffix":""}],"id":"ITEM-6","issued":{"date-parts":[["1938"]]},"publisher":"Maṭbaʿat al-Liwā’","publisher-place":"Tripoli","title":"Risālah Ḥawl Irjāʿ al-Awqāf al-Dhurriyyah Milkan","type":"book"},"uris":["http://www.mendeley.com/documents/?uuid=b8e591f3-e1ac-4ccd-a7bb-e49e210ce0ea","http://www.mendeley.com/documents/?uuid=fc7f8d9f-03b7-42e5-af51-e0a398892e8a","http://www.mendeley.com/documents/?uuid=cdca7f91-c82f-492e-94a3-51d35cb27113"]},{"id":"ITEM-7","itemData":{"author":[{"dropping-particle":"","family":"Malak","given":"Rāmiz","non-dropping-particle":"","parse-names":false,"suffix":""}],"id":"ITEM-7","issued":{"date-parts":[["1939"]]},"publisher":"Maṭbaʿat al-Liwā’","publisher-place":"Tripoli","title":"Naẓrah fīmā Jā’a fī Naqḍ Jamʿiyyat al-ʿUlamā’ bi-Dimashq li-Bayān Mudīriyyat al-Awqāf Ḥawl Bayʿ al-Waqf al-Dhurrī","type":"book"},"uris":["http://www.mendeley.com/documents/?uuid=25aa1441-2f8f-45fd-ba5e-2ec750daf7c3","http://www.mendeley.com/documents/?uuid=7a27bc59-336f-4946-a6e3-69e887f0b84a","http://www.mendeley.com/documents/?uuid=e69ae0c5-4acd-4712-b77f-38fe78ae2232"]},{"id":"ITEM-8","itemData":{"author":[{"dropping-particle":"","family":"Malak","given":"Rāmiz","non-dropping-particle":"","parse-names":false,"suffix":""}],"id":"ITEM-8","issued":{"date-parts":[["1939"]]},"publisher":"Maṭbaʿat al-Liwā’","publisher-place":"Tripoli","title":"Ra’y Faḍīlat Shaykh al-Azhar fī al-Awqāf al-Dhurriyyah","type":"book"},"uris":["http://www.mendeley.com/documents/?uuid=291b0f11-6dca-4aa1-8240-dfee3dd1c282","http://www.mendeley.com/documents/?uuid=7a6c1850-c5d0-4073-a73e-a0ed09ccafa5","http://www.mendeley.com/documents/?uuid=33702178-f98b-4eae-b435-22e81064202d"]},{"id":"ITEM-9","itemData":{"author":[{"dropping-particle":"","family":"Dimashq","given":"Jamʿiyyat al-ʿUlamā’ bi","non-dropping-particle":"","parse-names":false,"suffix":""}],"id":"ITEM-9","issued":{"date-parts":[["1938"]]},"publisher":"Maṭbaʿat al-Taraqqī","publisher-place":"Damaskus","title":"Risālah Jamʻiyyah al-‘Ulamā’ bi Dimashq fī Ibṭāl Risālah al-Ustādh al-Shaykh Rāmiz al-Malak fī Jawāz Ḥall Awqāf al-Dhurriyyah","type":"book"},"uris":["http://www.mendeley.com/documents/?uuid=5e3231e9-abf3-43bd-ad03-71a14f18759d","http://www.mendeley.com/documents/?uuid=17d6e74d-fe4a-40b6-b5e8-6168a61c762d","http://www.mendeley.com/documents/?uuid=476e67f3-b6ea-4850-b4fd-be9604e59ed4"]},{"id":"ITEM-10","itemData":{"abstract":", , (Aleppo: , 1344 H), h. 33.","author":[{"dropping-particle":"","family":"Al-Zarqā'","given":"Muṣṭafā Aḥmad","non-dropping-particle":"","parse-names":false,"suffix":""}],"id":"ITEM-10","issued":{"date-parts":[["1344"]]},"publisher":"al-Maṭbaʻah al- ʻIlmiyyah","publisher-place":"Aleppo","title":"al-Shams al-Jāliyyah fī al-Rad ‘alā Man Uftiyā bi Buṭlān Awqāf al-Dhurriyyah","type":"book"},"uris":["http://www.mendeley.com/documents/?uuid=f22845b6-4762-4061-83ef-d50af7e1fed8","http://www.mendeley.com/documents/?uuid=384a3945-4fe2-4b8c-8a3e-964dd2bf59ce","http://www.mendeley.com/documents/?uuid=4e8fb3f0-ab2f-4105-9560-608b20ac4abe"]},{"id":"ITEM-11","itemData":{"DOI":"https://shamela.ws/book/6947/3854","author":[{"dropping-particle":"","family":"Al-Wahhāb","given":"Muḥammad ibn ‘Abd","non-dropping-particle":"","parse-names":false,"suffix":""}],"container-title":"Majallah al-Manār","editor":[{"dropping-particle":"","family":"Riḍā","given":"Muḥammad Rashīd","non-dropping-particle":"","parse-names":false,"suffix":""}],"id":"ITEM-11","issued":{"date-parts":[["0"]]},"page":"36","title":"Ibṭāl al-Waqf al-Ahlī","type":"article-journal","volume":"29"},"uris":["http://www.mendeley.com/documents/?uuid=2338116b-1d14-463c-96fe-e43dc0692d51","http://www.mendeley.com/documents/?uuid=91051f3c-e0a2-4e1b-bbef-47ee20891eb0","http://www.mendeley.com/documents/?uuid=87dffd69-9568-4538-92e4-11c915f97dbd"]},{"id":"ITEM-12","itemData":{"abstract":", , (Jordan: , 2011), h. 49.","author":[{"dropping-particle":"","family":"Al-‘Alāwayn","given":"Fadwā Arshīd","non-dropping-particle":"","parse-names":false,"suffix":""}],"id":"ITEM-12","issued":{"date-parts":[["2011"]]},"publisher":"Jāmiʻah al-‘Ulūm al-Islāmiyyah al-‘Ālamiyyah, Jordan","publisher-place":"Amman","title":"al-Waqf al-Dhurrī wa Taṭbīquhā al-Muʻāṣir: Dirāsah Fiqhiyyah Muqāranah","type":"thesis"},"uris":["http://www.mendeley.com/documents/?uuid=36cbda6a-7853-450a-b1e5-6fcf60f02bbb","http://www.mendeley.com/documents/?uuid=d10cb8d6-5f6e-4753-8a80-1ee569f5b4ed","http://www.mendeley.com/documents/?uuid=f4a8bbdf-ee43-4c6f-920e-43920ce64ed9"]}],"mendeley":{"formattedCitation":"(Al-‘Alāwayn, 2011; Al-Farsī, 2023; Al-Wahhāb, n.d.; Al-Zarqā’, 1344; Dimashq, 1938; Layish, 1983; Makhlūf, 1951; Malak, 1938, 1939a, 1939b; Moumtaz, 2018; Reiter, 1995)","plainTextFormattedCitation":"(Al-‘Alāwayn, 2011; Al-Farsī, 2023; Al-Wahhāb, n.d.; Al-Zarqā’, 1344; Dimashq, 1938; Layish, 1983; Makhlūf, 1951; Malak, 1938, 1939a, 1939b; Moumtaz, 2018; Reiter, 1995)","previouslyFormattedCitation":"(Al-‘Alāwayn, 2011; Al-Farsī, 2023; Al-Wahhāb, n.d.; Al-Zarqā’, 1344; Dimashq, 1938; Layish, 1983; Makhlūf, 1951; Malak, 1938, 1939a, 1939b; Moumtaz, 2018; Reiter, 1995)"},"properties":{"noteIndex":0},"schema":"https://github.com/citation-style-language/schema/raw/master/csl-citation.json"}</w:instrText>
      </w:r>
      <w:r w:rsidR="00050C68" w:rsidRPr="00CE509C">
        <w:rPr>
          <w:rFonts w:ascii="Calibri Light" w:hAnsi="Calibri Light" w:cs="Calibri Light"/>
          <w:sz w:val="24"/>
          <w:szCs w:val="24"/>
          <w:lang w:val="id-ID"/>
        </w:rPr>
        <w:fldChar w:fldCharType="separate"/>
      </w:r>
      <w:r w:rsidR="006241FE" w:rsidRPr="006241FE">
        <w:rPr>
          <w:rFonts w:ascii="Calibri Light" w:hAnsi="Calibri Light" w:cs="Calibri Light"/>
          <w:noProof/>
          <w:sz w:val="24"/>
          <w:szCs w:val="24"/>
          <w:lang w:val="id-ID"/>
        </w:rPr>
        <w:t>(Al-‘Alāwayn, 2011; Al-Farsī, 2023; Al-Wahhāb, n.d.; Al-Zarqā’, 1344; Dimashq, 1938; Layish, 1983; Makhlūf, 1951; Malak, 1938, 1939a, 1939b; Moumtaz, 2018; Reiter, 1995)</w:t>
      </w:r>
      <w:r w:rsidR="00050C68" w:rsidRPr="00CE509C">
        <w:rPr>
          <w:rFonts w:ascii="Calibri Light" w:hAnsi="Calibri Light" w:cs="Calibri Light"/>
          <w:sz w:val="24"/>
          <w:szCs w:val="24"/>
          <w:lang w:val="id-ID"/>
        </w:rPr>
        <w:fldChar w:fldCharType="end"/>
      </w:r>
      <w:r w:rsidRPr="00050C68">
        <w:rPr>
          <w:rFonts w:asciiTheme="majorHAnsi" w:hAnsiTheme="majorHAnsi" w:cstheme="majorHAnsi"/>
          <w:sz w:val="24"/>
          <w:szCs w:val="24"/>
          <w:lang w:val="id-ID"/>
        </w:rPr>
        <w:t xml:space="preserve">. </w:t>
      </w:r>
      <w:r w:rsidRPr="00EC77AC">
        <w:rPr>
          <w:rFonts w:asciiTheme="majorHAnsi" w:hAnsiTheme="majorHAnsi" w:cstheme="majorHAnsi"/>
          <w:sz w:val="24"/>
          <w:szCs w:val="24"/>
        </w:rPr>
        <w:t xml:space="preserve">Another group examines waqf laws </w:t>
      </w:r>
      <w:r w:rsidR="00050C68" w:rsidRPr="00CE509C">
        <w:rPr>
          <w:rFonts w:ascii="Calibri Light" w:hAnsi="Calibri Light" w:cs="Calibri Light"/>
          <w:sz w:val="24"/>
          <w:szCs w:val="24"/>
          <w:lang w:val="id-ID"/>
        </w:rPr>
        <w:fldChar w:fldCharType="begin" w:fldLock="1"/>
      </w:r>
      <w:r w:rsidR="00050C68">
        <w:rPr>
          <w:rFonts w:ascii="Calibri Light" w:hAnsi="Calibri Light" w:cs="Calibri Light"/>
          <w:sz w:val="24"/>
          <w:szCs w:val="24"/>
          <w:lang w:val="id-ID"/>
        </w:rPr>
        <w:instrText>ADDIN CSL_CITATION {"citationItems":[{"id":"ITEM-1","itemData":{"author":[{"dropping-particle":"","family":"Mohsin","given":"Magda Ismail Abdel","non-dropping-particle":"","parse-names":false,"suffix":""}],"container-title":"US-China Law Review","id":"ITEM-1","issued":{"date-parts":[["2010"]]},"page":"57","publisher":"HeinOnline","title":"Revitalization of Waqf Administration &amp; Family Waqf Law","type":"article-journal","volume":"7"},"uris":["http://www.mendeley.com/documents/?uuid=a8f2911e-bb41-45a5-8205-535892f21651","http://www.mendeley.com/documents/?uuid=c7a686a4-645c-4ee0-ac64-b402f57c0427"]},{"id":"ITEM-2","itemData":{"author":[{"dropping-particle":"","family":"Sadique","given":"Muhammad Abdurrahman","non-dropping-particle":"","parse-names":false,"suffix":""},{"dropping-particle":"","family":"Ansari","given":"Abdul Haseeb","non-dropping-particle":"","parse-names":false,"suffix":""},{"dropping-particle":"","family":"Hingun","given":"Moshin","non-dropping-particle":"","parse-names":false,"suffix":""},{"dropping-particle":"","family":"Hasan","given":"Aznan","non-dropping-particle":"","parse-names":false,"suffix":""}],"container-title":"IIUMLJ","id":"ITEM-2","issued":{"date-parts":[["2016"]]},"page":"309","publisher":"HeinOnline","title":"Socio-Legal Significance of Family Waqf in Islamic Law: Its Degeneration and Revival","type":"article-journal","volume":"24"},"uris":["http://www.mendeley.com/documents/?uuid=68281124-0edd-4dae-b0b8-6d031dc5e605","http://www.mendeley.com/documents/?uuid=72f4ff28-1340-421e-ac43-32ed12c4997d"]}],"mendeley":{"formattedCitation":"(Mohsin, 2010; Sadique et al., 2016)","plainTextFormattedCitation":"(Mohsin, 2010; Sadique et al., 2016)","previouslyFormattedCitation":"(Mohsin, 2010; Sadique et al., 2016)"},"properties":{"noteIndex":0},"schema":"https://github.com/citation-style-language/schema/raw/master/csl-citation.json"}</w:instrText>
      </w:r>
      <w:r w:rsidR="00050C68" w:rsidRPr="00CE509C">
        <w:rPr>
          <w:rFonts w:ascii="Calibri Light" w:hAnsi="Calibri Light" w:cs="Calibri Light"/>
          <w:sz w:val="24"/>
          <w:szCs w:val="24"/>
          <w:lang w:val="id-ID"/>
        </w:rPr>
        <w:fldChar w:fldCharType="separate"/>
      </w:r>
      <w:r w:rsidR="00050C68" w:rsidRPr="00CE509C">
        <w:rPr>
          <w:rFonts w:ascii="Calibri Light" w:hAnsi="Calibri Light" w:cs="Calibri Light"/>
          <w:noProof/>
          <w:sz w:val="24"/>
          <w:szCs w:val="24"/>
          <w:lang w:val="id-ID"/>
        </w:rPr>
        <w:t>(Mohsin, 2010; Sadique et al., 2016)</w:t>
      </w:r>
      <w:r w:rsidR="00050C68"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xml:space="preserve">, while others emphasize its models and implementation </w:t>
      </w:r>
      <w:r w:rsidR="00050C68" w:rsidRPr="00CE509C">
        <w:rPr>
          <w:rFonts w:ascii="Calibri Light" w:hAnsi="Calibri Light" w:cs="Calibri Light"/>
          <w:sz w:val="24"/>
          <w:szCs w:val="24"/>
          <w:lang w:val="id-ID"/>
        </w:rPr>
        <w:fldChar w:fldCharType="begin" w:fldLock="1"/>
      </w:r>
      <w:r w:rsidR="00050C68">
        <w:rPr>
          <w:rFonts w:ascii="Calibri Light" w:hAnsi="Calibri Light" w:cs="Calibri Light"/>
          <w:sz w:val="24"/>
          <w:szCs w:val="24"/>
          <w:lang w:val="id-ID"/>
        </w:rPr>
        <w:instrText>ADDIN CSL_CITATION {"citationItems":[{"id":"ITEM-1","itemData":{"ISSN":"1759-0817","author":[{"dropping-particle":"","family":"Ab Rahman","given":"Muhamad Firdaus","non-dropping-particle":"","parse-names":false,"suffix":""},{"dropping-particle":"","family":"Abdullah Thaidi","given":"Hussein ‘Azeemi","non-dropping-particle":"","parse-names":false,"suffix":""},{"dropping-particle":"","family":"Mohamad Suhaimi","given":"Farhana","non-dropping-particle":"","parse-names":false,"suffix":""},{"dropping-particle":"","family":"Ab Rahim","given":"Siti Farahiyah","non-dropping-particle":"","parse-names":false,"suffix":""}],"container-title":"Journal of Islamic Accounting and Business Research","id":"ITEM-1","issue":"1","issued":{"date-parts":[["2024"]]},"page":"56-78","publisher":"Emerald Publishing Limited","title":"Proposed Temporary Waqf Model for Family Waqf Implementation in Malaysia","type":"article-journal","volume":"15"},"uris":["http://www.mendeley.com/documents/?uuid=8befd01d-c8a7-44c5-a5ae-e058ab31b5ff","http://www.mendeley.com/documents/?uuid=05898bec-74b9-40b0-8638-f8c2337821a4"]},{"id":"ITEM-2","itemData":{"ISSN":"2289-9944","author":[{"dropping-particle":"","family":"Ab Hamid","given":"Muhammad Hamizan","non-dropping-particle":"","parse-names":false,"suffix":""},{"dropping-particle":"","family":"Rani","given":"Mohd Afandi Mat","non-dropping-particle":"","parse-names":false,"suffix":""},{"dropping-particle":"","family":"Ahmad","given":"Ismail","non-dropping-particle":"","parse-names":false,"suffix":""},{"dropping-particle":"","family":"Adenan","given":"Faezy","non-dropping-particle":"","parse-names":false,"suffix":""},{"dropping-particle":"","family":"Arif","given":"Mohd Izzat Amsyar Mohd","non-dropping-particle":"","parse-names":false,"suffix":""}],"container-title":"al-Qanatir: International Journal of Islamic Studies","id":"ITEM-2","issue":"2","issued":{"date-parts":[["2023"]]},"page":"364-374","title":"The Development of Waqf Zurri through the Family Foundations Model","type":"article-journal","volume":"30"},"uris":["http://www.mendeley.com/documents/?uuid=7fe22006-3eb0-4ba0-b979-2cd73ce4dd2b","http://www.mendeley.com/documents/?uuid=7bdbdc9d-7040-4792-843c-5a2849902481"]},{"id":"ITEM-3","itemData":{"author":[{"dropping-particle":"","family":"Mohamad","given":"Nor Asiah","non-dropping-particle":"","parse-names":false,"suffix":""}],"container-title":"IIUMLJ","id":"ITEM-3","issued":{"date-parts":[["2018"]]},"page":"141","publisher":"HeinOnline","title":"A Study on the Socio-Economic Roles of Waqf Ahli (Family Waqf) in Promoting Family Security and a Sustainable Family Economy","type":"article-journal","volume":"26"},"uris":["http://www.mendeley.com/documents/?uuid=096831d2-b95f-4f83-bc5b-e0ce7cab50da","http://www.mendeley.com/documents/?uuid=9d7c44e6-4be0-47fa-bf9b-c9e3de5042b3"]},{"id":"ITEM-4","itemData":{"author":[{"dropping-particle":"","family":"Lienhardt","given":"Peter","non-dropping-particle":"","parse-names":false,"suffix":""}],"container-title":"Bulletin of the School of Oriental and African Studies, University of London","id":"ITEM-4","issue":"2","issued":{"date-parts":[["1996"]]},"page":"95-106","title":"Family waqf in Zanzibar","type":"article-journal","volume":"27"},"uris":["http://www.mendeley.com/documents/?uuid=9f27ef49-c123-4c6d-80f7-61b80eed742d","http://www.mendeley.com/documents/?uuid=e15e4d23-a048-4aa5-94e1-3b7d856def51"]}],"mendeley":{"formattedCitation":"(Ab Hamid et al., 2023; Ab Rahman et al., 2024; Lienhardt, 1996; Mohamad, 2018)","plainTextFormattedCitation":"(Ab Hamid et al., 2023; Ab Rahman et al., 2024; Lienhardt, 1996; Mohamad, 2018)","previouslyFormattedCitation":"(Ab Hamid et al., 2023; Ab Rahman et al., 2024; Lienhardt, 1996; Mohamad, 2018)"},"properties":{"noteIndex":0},"schema":"https://github.com/citation-style-language/schema/raw/master/csl-citation.json"}</w:instrText>
      </w:r>
      <w:r w:rsidR="00050C68" w:rsidRPr="00CE509C">
        <w:rPr>
          <w:rFonts w:ascii="Calibri Light" w:hAnsi="Calibri Light" w:cs="Calibri Light"/>
          <w:sz w:val="24"/>
          <w:szCs w:val="24"/>
          <w:lang w:val="id-ID"/>
        </w:rPr>
        <w:fldChar w:fldCharType="separate"/>
      </w:r>
      <w:r w:rsidR="00050C68" w:rsidRPr="00CE509C">
        <w:rPr>
          <w:rFonts w:ascii="Calibri Light" w:hAnsi="Calibri Light" w:cs="Calibri Light"/>
          <w:noProof/>
          <w:sz w:val="24"/>
          <w:szCs w:val="24"/>
          <w:lang w:val="id-ID"/>
        </w:rPr>
        <w:t>(Ab Hamid et al., 2023; Ab Rahman et al., 2024; Lienhardt, 1996; Mohamad, 2018)</w:t>
      </w:r>
      <w:r w:rsidR="00050C68"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294488A1" w14:textId="6819AA7C" w:rsidR="00D97419" w:rsidRDefault="00D9741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This paper integrates these three approaches, focusing on Indonesia, Malaysia, and Singapore as case studies. The aim is to discuss the debates surrounding the legality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as a cornerstone for assessing its significance within Islamic traditions. Additionally, this study evaluates how Indonesia, Malaysia, and Singapore have benefited from these debates.</w:t>
      </w:r>
      <w:r w:rsidR="00F54E80">
        <w:rPr>
          <w:rFonts w:asciiTheme="majorHAnsi" w:hAnsiTheme="majorHAnsi" w:cstheme="majorHAnsi"/>
          <w:sz w:val="24"/>
          <w:szCs w:val="24"/>
        </w:rPr>
        <w:t xml:space="preserve"> </w:t>
      </w:r>
      <w:r w:rsidRPr="00EC77AC">
        <w:rPr>
          <w:rFonts w:asciiTheme="majorHAnsi" w:hAnsiTheme="majorHAnsi" w:cstheme="majorHAnsi"/>
          <w:sz w:val="24"/>
          <w:szCs w:val="24"/>
        </w:rPr>
        <w:t xml:space="preserve">The paper is divided into three main sections. The first section discusses the legality and debates surrounding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in various countries. The second section reviews the general concept of waqf, including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Finally, before </w:t>
      </w:r>
      <w:r w:rsidR="00346BA7">
        <w:rPr>
          <w:rFonts w:asciiTheme="majorHAnsi" w:hAnsiTheme="majorHAnsi" w:cstheme="majorHAnsi"/>
          <w:sz w:val="24"/>
          <w:szCs w:val="24"/>
        </w:rPr>
        <w:t>concluding</w:t>
      </w:r>
      <w:r w:rsidRPr="00EC77AC">
        <w:rPr>
          <w:rFonts w:asciiTheme="majorHAnsi" w:hAnsiTheme="majorHAnsi" w:cstheme="majorHAnsi"/>
          <w:sz w:val="24"/>
          <w:szCs w:val="24"/>
        </w:rPr>
        <w:t xml:space="preserve">, the paper examines and compares the models and implementations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in Indonesia, Malaysia, and Singapore.</w:t>
      </w:r>
    </w:p>
    <w:p w14:paraId="3CFC3272" w14:textId="77777777" w:rsidR="002764FF" w:rsidRDefault="002764FF" w:rsidP="002764FF">
      <w:pPr>
        <w:spacing w:before="120" w:after="120" w:line="240" w:lineRule="auto"/>
        <w:ind w:left="426"/>
        <w:jc w:val="both"/>
        <w:rPr>
          <w:rFonts w:asciiTheme="majorHAnsi" w:hAnsiTheme="majorHAnsi" w:cstheme="majorHAnsi"/>
          <w:sz w:val="24"/>
          <w:szCs w:val="24"/>
        </w:rPr>
      </w:pPr>
    </w:p>
    <w:p w14:paraId="28BBA504" w14:textId="46A88C6F" w:rsidR="002764FF" w:rsidRPr="00122F5F" w:rsidRDefault="002764FF" w:rsidP="002764FF">
      <w:pPr>
        <w:numPr>
          <w:ilvl w:val="0"/>
          <w:numId w:val="6"/>
        </w:numPr>
        <w:spacing w:before="120" w:after="120" w:line="240" w:lineRule="auto"/>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1D1B7042" w14:textId="77777777" w:rsidR="002764FF" w:rsidRDefault="009F7348"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This research originates from the phenomena and events regarding the debates on whether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constitutes </w:t>
      </w:r>
      <w:proofErr w:type="spellStart"/>
      <w:r w:rsidRPr="00EC77AC">
        <w:rPr>
          <w:rFonts w:asciiTheme="majorHAnsi" w:hAnsiTheme="majorHAnsi" w:cstheme="majorHAnsi"/>
          <w:i/>
          <w:iCs/>
          <w:sz w:val="24"/>
          <w:szCs w:val="24"/>
        </w:rPr>
        <w:t>bid’ah</w:t>
      </w:r>
      <w:proofErr w:type="spellEnd"/>
      <w:r w:rsidRPr="00EC77AC">
        <w:rPr>
          <w:rFonts w:asciiTheme="majorHAnsi" w:hAnsiTheme="majorHAnsi" w:cstheme="majorHAnsi"/>
          <w:sz w:val="24"/>
          <w:szCs w:val="24"/>
        </w:rPr>
        <w:t xml:space="preserve"> in the early decades of the 20th century, which have implications for the legality of this type of waqf in several Muslim countries. Indonesia, Malaysia, and Singapore are among the countries that recognize this type of waqf. The main focus here is on how it is implemented. The data collected w</w:t>
      </w:r>
      <w:r w:rsidR="004B7937" w:rsidRPr="00EC77AC">
        <w:rPr>
          <w:rFonts w:asciiTheme="majorHAnsi" w:hAnsiTheme="majorHAnsi" w:cstheme="majorHAnsi"/>
          <w:sz w:val="24"/>
          <w:szCs w:val="24"/>
        </w:rPr>
        <w:t xml:space="preserve">as </w:t>
      </w:r>
      <w:proofErr w:type="spellStart"/>
      <w:r w:rsidRPr="00EC77AC">
        <w:rPr>
          <w:rFonts w:asciiTheme="majorHAnsi" w:hAnsiTheme="majorHAnsi" w:cstheme="majorHAnsi"/>
          <w:sz w:val="24"/>
          <w:szCs w:val="24"/>
        </w:rPr>
        <w:t>analyzed</w:t>
      </w:r>
      <w:proofErr w:type="spellEnd"/>
      <w:r w:rsidRPr="00EC77AC">
        <w:rPr>
          <w:rFonts w:asciiTheme="majorHAnsi" w:hAnsiTheme="majorHAnsi" w:cstheme="majorHAnsi"/>
          <w:sz w:val="24"/>
          <w:szCs w:val="24"/>
        </w:rPr>
        <w:t xml:space="preserve"> using theories to obtain in-depth interpretations in descriptive form. To achieve this, the method </w:t>
      </w:r>
      <w:r w:rsidR="004B7937" w:rsidRPr="00EC77AC">
        <w:rPr>
          <w:rFonts w:asciiTheme="majorHAnsi" w:hAnsiTheme="majorHAnsi" w:cstheme="majorHAnsi"/>
          <w:sz w:val="24"/>
          <w:szCs w:val="24"/>
        </w:rPr>
        <w:t>was</w:t>
      </w:r>
      <w:r w:rsidRPr="00EC77AC">
        <w:rPr>
          <w:rFonts w:asciiTheme="majorHAnsi" w:hAnsiTheme="majorHAnsi" w:cstheme="majorHAnsi"/>
          <w:sz w:val="24"/>
          <w:szCs w:val="24"/>
        </w:rPr>
        <w:t xml:space="preserve"> outlined as follows:</w:t>
      </w:r>
      <w:r w:rsidR="002764FF">
        <w:rPr>
          <w:rFonts w:asciiTheme="majorHAnsi" w:hAnsiTheme="majorHAnsi" w:cstheme="majorHAnsi"/>
          <w:sz w:val="24"/>
          <w:szCs w:val="24"/>
        </w:rPr>
        <w:t xml:space="preserve"> </w:t>
      </w:r>
    </w:p>
    <w:p w14:paraId="11695EA4" w14:textId="77777777" w:rsidR="002764FF" w:rsidRDefault="009F7348" w:rsidP="005A62F6">
      <w:pPr>
        <w:spacing w:before="120" w:after="120" w:line="240" w:lineRule="auto"/>
        <w:ind w:left="425"/>
        <w:jc w:val="both"/>
        <w:rPr>
          <w:rFonts w:asciiTheme="majorHAnsi" w:hAnsiTheme="majorHAnsi" w:cstheme="majorHAnsi"/>
          <w:sz w:val="24"/>
          <w:szCs w:val="24"/>
        </w:rPr>
      </w:pPr>
      <w:r w:rsidRPr="002764FF">
        <w:rPr>
          <w:rFonts w:asciiTheme="majorHAnsi" w:hAnsiTheme="majorHAnsi" w:cstheme="majorHAnsi"/>
          <w:i/>
          <w:iCs/>
          <w:sz w:val="24"/>
          <w:szCs w:val="24"/>
        </w:rPr>
        <w:t>First,</w:t>
      </w:r>
      <w:r w:rsidRPr="00EC77AC">
        <w:rPr>
          <w:rFonts w:asciiTheme="majorHAnsi" w:hAnsiTheme="majorHAnsi" w:cstheme="majorHAnsi"/>
          <w:sz w:val="24"/>
          <w:szCs w:val="24"/>
        </w:rPr>
        <w:t xml:space="preserve"> this research </w:t>
      </w:r>
      <w:r w:rsidR="004B7937" w:rsidRPr="00EC77AC">
        <w:rPr>
          <w:rFonts w:asciiTheme="majorHAnsi" w:hAnsiTheme="majorHAnsi" w:cstheme="majorHAnsi"/>
          <w:sz w:val="24"/>
          <w:szCs w:val="24"/>
        </w:rPr>
        <w:t>was</w:t>
      </w:r>
      <w:r w:rsidRPr="00EC77AC">
        <w:rPr>
          <w:rFonts w:asciiTheme="majorHAnsi" w:hAnsiTheme="majorHAnsi" w:cstheme="majorHAnsi"/>
          <w:sz w:val="24"/>
          <w:szCs w:val="24"/>
        </w:rPr>
        <w:t xml:space="preserve"> a library study within the field of comparative law. The objects of this study </w:t>
      </w:r>
      <w:r w:rsidR="004B7937" w:rsidRPr="00EC77AC">
        <w:rPr>
          <w:rFonts w:asciiTheme="majorHAnsi" w:hAnsiTheme="majorHAnsi" w:cstheme="majorHAnsi"/>
          <w:sz w:val="24"/>
          <w:szCs w:val="24"/>
        </w:rPr>
        <w:t>were</w:t>
      </w:r>
      <w:r w:rsidRPr="00EC77AC">
        <w:rPr>
          <w:rFonts w:asciiTheme="majorHAnsi" w:hAnsiTheme="majorHAnsi" w:cstheme="majorHAnsi"/>
          <w:sz w:val="24"/>
          <w:szCs w:val="24"/>
        </w:rPr>
        <w:t xml:space="preserve">, first, the jurisprudential debates on whether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constitutes </w:t>
      </w:r>
      <w:proofErr w:type="spellStart"/>
      <w:r w:rsidRPr="00EC77AC">
        <w:rPr>
          <w:rFonts w:asciiTheme="majorHAnsi" w:hAnsiTheme="majorHAnsi" w:cstheme="majorHAnsi"/>
          <w:i/>
          <w:iCs/>
          <w:sz w:val="24"/>
          <w:szCs w:val="24"/>
        </w:rPr>
        <w:t>bid’ah</w:t>
      </w:r>
      <w:proofErr w:type="spellEnd"/>
      <w:r w:rsidRPr="00EC77AC">
        <w:rPr>
          <w:rFonts w:asciiTheme="majorHAnsi" w:hAnsiTheme="majorHAnsi" w:cstheme="majorHAnsi"/>
          <w:sz w:val="24"/>
          <w:szCs w:val="24"/>
        </w:rPr>
        <w:t xml:space="preserve">, and second, the legislation enacted in Indonesia, Malaysia, and Singapore as material for </w:t>
      </w:r>
      <w:proofErr w:type="spellStart"/>
      <w:r w:rsidRPr="00EC77AC">
        <w:rPr>
          <w:rFonts w:asciiTheme="majorHAnsi" w:hAnsiTheme="majorHAnsi" w:cstheme="majorHAnsi"/>
          <w:sz w:val="24"/>
          <w:szCs w:val="24"/>
        </w:rPr>
        <w:t>analyzing</w:t>
      </w:r>
      <w:proofErr w:type="spellEnd"/>
      <w:r w:rsidRPr="00EC77AC">
        <w:rPr>
          <w:rFonts w:asciiTheme="majorHAnsi" w:hAnsiTheme="majorHAnsi" w:cstheme="majorHAnsi"/>
          <w:sz w:val="24"/>
          <w:szCs w:val="24"/>
        </w:rPr>
        <w:t xml:space="preserve"> the implementation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in these three countries. Thus, the primary data for this research consist of Islamic jurisprudence texts on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and waqf-related laws in Indonesia, Malaysia, and Singapore. In addition, related journals </w:t>
      </w:r>
      <w:r w:rsidR="004B7937" w:rsidRPr="00EC77AC">
        <w:rPr>
          <w:rFonts w:asciiTheme="majorHAnsi" w:hAnsiTheme="majorHAnsi" w:cstheme="majorHAnsi"/>
          <w:sz w:val="24"/>
          <w:szCs w:val="24"/>
        </w:rPr>
        <w:t>were</w:t>
      </w:r>
      <w:r w:rsidRPr="00EC77AC">
        <w:rPr>
          <w:rFonts w:asciiTheme="majorHAnsi" w:hAnsiTheme="majorHAnsi" w:cstheme="majorHAnsi"/>
          <w:sz w:val="24"/>
          <w:szCs w:val="24"/>
        </w:rPr>
        <w:t xml:space="preserve"> used as secondary references. All this data </w:t>
      </w:r>
      <w:r w:rsidR="001432A5" w:rsidRPr="00EC77AC">
        <w:rPr>
          <w:rFonts w:asciiTheme="majorHAnsi" w:hAnsiTheme="majorHAnsi" w:cstheme="majorHAnsi"/>
          <w:sz w:val="24"/>
          <w:szCs w:val="24"/>
        </w:rPr>
        <w:t xml:space="preserve">was </w:t>
      </w:r>
      <w:r w:rsidRPr="00EC77AC">
        <w:rPr>
          <w:rFonts w:asciiTheme="majorHAnsi" w:hAnsiTheme="majorHAnsi" w:cstheme="majorHAnsi"/>
          <w:sz w:val="24"/>
          <w:szCs w:val="24"/>
        </w:rPr>
        <w:t xml:space="preserve">obtained through the internet and the Postgraduate Library of UIN </w:t>
      </w:r>
      <w:proofErr w:type="spellStart"/>
      <w:r w:rsidRPr="00EC77AC">
        <w:rPr>
          <w:rFonts w:asciiTheme="majorHAnsi" w:hAnsiTheme="majorHAnsi" w:cstheme="majorHAnsi"/>
          <w:sz w:val="24"/>
          <w:szCs w:val="24"/>
        </w:rPr>
        <w:t>Syarif</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Hidayatullah</w:t>
      </w:r>
      <w:proofErr w:type="spellEnd"/>
      <w:r w:rsidRPr="00EC77AC">
        <w:rPr>
          <w:rFonts w:asciiTheme="majorHAnsi" w:hAnsiTheme="majorHAnsi" w:cstheme="majorHAnsi"/>
          <w:sz w:val="24"/>
          <w:szCs w:val="24"/>
        </w:rPr>
        <w:t xml:space="preserve"> Jakarta.</w:t>
      </w:r>
    </w:p>
    <w:p w14:paraId="78DB502E" w14:textId="7D506CC3" w:rsidR="009F7348" w:rsidRDefault="009F7348" w:rsidP="005A62F6">
      <w:pPr>
        <w:spacing w:before="120" w:after="120" w:line="240" w:lineRule="auto"/>
        <w:ind w:left="425"/>
        <w:jc w:val="both"/>
        <w:rPr>
          <w:rFonts w:asciiTheme="majorHAnsi" w:hAnsiTheme="majorHAnsi" w:cstheme="majorHAnsi"/>
          <w:sz w:val="24"/>
          <w:szCs w:val="24"/>
        </w:rPr>
      </w:pPr>
      <w:r w:rsidRPr="002764FF">
        <w:rPr>
          <w:rFonts w:asciiTheme="majorHAnsi" w:hAnsiTheme="majorHAnsi" w:cstheme="majorHAnsi"/>
          <w:i/>
          <w:iCs/>
          <w:sz w:val="24"/>
          <w:szCs w:val="24"/>
        </w:rPr>
        <w:t>Second</w:t>
      </w:r>
      <w:r w:rsidRPr="00EC77AC">
        <w:rPr>
          <w:rFonts w:asciiTheme="majorHAnsi" w:hAnsiTheme="majorHAnsi" w:cstheme="majorHAnsi"/>
          <w:sz w:val="24"/>
          <w:szCs w:val="24"/>
        </w:rPr>
        <w:t xml:space="preserve">, the collected data </w:t>
      </w:r>
      <w:r w:rsidR="001432A5" w:rsidRPr="00EC77AC">
        <w:rPr>
          <w:rFonts w:asciiTheme="majorHAnsi" w:hAnsiTheme="majorHAnsi" w:cstheme="majorHAnsi"/>
          <w:sz w:val="24"/>
          <w:szCs w:val="24"/>
        </w:rPr>
        <w:t xml:space="preserve">was </w:t>
      </w:r>
      <w:proofErr w:type="spellStart"/>
      <w:r w:rsidRPr="00EC77AC">
        <w:rPr>
          <w:rFonts w:asciiTheme="majorHAnsi" w:hAnsiTheme="majorHAnsi" w:cstheme="majorHAnsi"/>
          <w:sz w:val="24"/>
          <w:szCs w:val="24"/>
        </w:rPr>
        <w:t>analyzed</w:t>
      </w:r>
      <w:proofErr w:type="spellEnd"/>
      <w:r w:rsidRPr="00EC77AC">
        <w:rPr>
          <w:rFonts w:asciiTheme="majorHAnsi" w:hAnsiTheme="majorHAnsi" w:cstheme="majorHAnsi"/>
          <w:sz w:val="24"/>
          <w:szCs w:val="24"/>
        </w:rPr>
        <w:t xml:space="preserve"> using the comparative legal analysis method. This method </w:t>
      </w:r>
      <w:r w:rsidR="001432A5" w:rsidRPr="00EC77AC">
        <w:rPr>
          <w:rFonts w:asciiTheme="majorHAnsi" w:hAnsiTheme="majorHAnsi" w:cstheme="majorHAnsi"/>
          <w:sz w:val="24"/>
          <w:szCs w:val="24"/>
        </w:rPr>
        <w:t xml:space="preserve">was </w:t>
      </w:r>
      <w:r w:rsidRPr="00EC77AC">
        <w:rPr>
          <w:rFonts w:asciiTheme="majorHAnsi" w:hAnsiTheme="majorHAnsi" w:cstheme="majorHAnsi"/>
          <w:sz w:val="24"/>
          <w:szCs w:val="24"/>
        </w:rPr>
        <w:t>applied in two steps. The first step involve</w:t>
      </w:r>
      <w:r w:rsidR="001432A5" w:rsidRPr="00EC77AC">
        <w:rPr>
          <w:rFonts w:asciiTheme="majorHAnsi" w:hAnsiTheme="majorHAnsi" w:cstheme="majorHAnsi"/>
          <w:sz w:val="24"/>
          <w:szCs w:val="24"/>
        </w:rPr>
        <w:t>d</w:t>
      </w:r>
      <w:r w:rsidRPr="00EC77AC">
        <w:rPr>
          <w:rFonts w:asciiTheme="majorHAnsi" w:hAnsiTheme="majorHAnsi" w:cstheme="majorHAnsi"/>
          <w:sz w:val="24"/>
          <w:szCs w:val="24"/>
        </w:rPr>
        <w:t xml:space="preserve"> comparing various opinions in Islamic jurisprudence regarding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to determine whether it constitutes </w:t>
      </w:r>
      <w:proofErr w:type="spellStart"/>
      <w:r w:rsidRPr="00EC77AC">
        <w:rPr>
          <w:rFonts w:asciiTheme="majorHAnsi" w:hAnsiTheme="majorHAnsi" w:cstheme="majorHAnsi"/>
          <w:i/>
          <w:iCs/>
          <w:sz w:val="24"/>
          <w:szCs w:val="24"/>
        </w:rPr>
        <w:t>bid’ah</w:t>
      </w:r>
      <w:proofErr w:type="spellEnd"/>
      <w:r w:rsidRPr="00EC77AC">
        <w:rPr>
          <w:rFonts w:asciiTheme="majorHAnsi" w:hAnsiTheme="majorHAnsi" w:cstheme="majorHAnsi"/>
          <w:sz w:val="24"/>
          <w:szCs w:val="24"/>
        </w:rPr>
        <w:t xml:space="preserve">. The objective </w:t>
      </w:r>
      <w:r w:rsidR="001432A5" w:rsidRPr="00EC77AC">
        <w:rPr>
          <w:rFonts w:asciiTheme="majorHAnsi" w:hAnsiTheme="majorHAnsi" w:cstheme="majorHAnsi"/>
          <w:sz w:val="24"/>
          <w:szCs w:val="24"/>
        </w:rPr>
        <w:t>was</w:t>
      </w:r>
      <w:r w:rsidRPr="00EC77AC">
        <w:rPr>
          <w:rFonts w:asciiTheme="majorHAnsi" w:hAnsiTheme="majorHAnsi" w:cstheme="majorHAnsi"/>
          <w:sz w:val="24"/>
          <w:szCs w:val="24"/>
        </w:rPr>
        <w:t xml:space="preserve"> to identify which perspective </w:t>
      </w:r>
      <w:r w:rsidR="004B7937" w:rsidRPr="00EC77AC">
        <w:rPr>
          <w:rFonts w:asciiTheme="majorHAnsi" w:hAnsiTheme="majorHAnsi" w:cstheme="majorHAnsi"/>
          <w:sz w:val="24"/>
          <w:szCs w:val="24"/>
        </w:rPr>
        <w:t>was</w:t>
      </w:r>
      <w:r w:rsidRPr="00EC77AC">
        <w:rPr>
          <w:rFonts w:asciiTheme="majorHAnsi" w:hAnsiTheme="majorHAnsi" w:cstheme="majorHAnsi"/>
          <w:sz w:val="24"/>
          <w:szCs w:val="24"/>
        </w:rPr>
        <w:t xml:space="preserve"> robust and can serve as a foundation. The next step </w:t>
      </w:r>
      <w:r w:rsidR="001432A5" w:rsidRPr="00EC77AC">
        <w:rPr>
          <w:rFonts w:asciiTheme="majorHAnsi" w:hAnsiTheme="majorHAnsi" w:cstheme="majorHAnsi"/>
          <w:sz w:val="24"/>
          <w:szCs w:val="24"/>
        </w:rPr>
        <w:t>was</w:t>
      </w:r>
      <w:r w:rsidRPr="00EC77AC">
        <w:rPr>
          <w:rFonts w:asciiTheme="majorHAnsi" w:hAnsiTheme="majorHAnsi" w:cstheme="majorHAnsi"/>
          <w:sz w:val="24"/>
          <w:szCs w:val="24"/>
        </w:rPr>
        <w:t xml:space="preserve"> to compare the implementation models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in Indonesia, Malaysia, and Singapore through the laws enacted by these three countries. The goal</w:t>
      </w:r>
      <w:r w:rsidR="001432A5" w:rsidRPr="00EC77AC">
        <w:rPr>
          <w:rFonts w:asciiTheme="majorHAnsi" w:hAnsiTheme="majorHAnsi" w:cstheme="majorHAnsi"/>
          <w:sz w:val="24"/>
          <w:szCs w:val="24"/>
        </w:rPr>
        <w:t xml:space="preserve"> was </w:t>
      </w:r>
      <w:r w:rsidRPr="00EC77AC">
        <w:rPr>
          <w:rFonts w:asciiTheme="majorHAnsi" w:hAnsiTheme="majorHAnsi" w:cstheme="majorHAnsi"/>
          <w:sz w:val="24"/>
          <w:szCs w:val="24"/>
        </w:rPr>
        <w:t xml:space="preserve">to assess how appropriate and effective these models are in the respective countries. This </w:t>
      </w:r>
      <w:r w:rsidR="001432A5" w:rsidRPr="00EC77AC">
        <w:rPr>
          <w:rFonts w:asciiTheme="majorHAnsi" w:hAnsiTheme="majorHAnsi" w:cstheme="majorHAnsi"/>
          <w:sz w:val="24"/>
          <w:szCs w:val="24"/>
        </w:rPr>
        <w:t>was</w:t>
      </w:r>
      <w:r w:rsidRPr="00EC77AC">
        <w:rPr>
          <w:rFonts w:asciiTheme="majorHAnsi" w:hAnsiTheme="majorHAnsi" w:cstheme="majorHAnsi"/>
          <w:sz w:val="24"/>
          <w:szCs w:val="24"/>
        </w:rPr>
        <w:t xml:space="preserve"> done to obtain empirical data on the extent to which this type of waqf contributes to the economic welfare of the Muslim community and to provide an empirical basis for evaluating whether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constitutes </w:t>
      </w:r>
      <w:proofErr w:type="spellStart"/>
      <w:r w:rsidRPr="00EC77AC">
        <w:rPr>
          <w:rFonts w:asciiTheme="majorHAnsi" w:hAnsiTheme="majorHAnsi" w:cstheme="majorHAnsi"/>
          <w:i/>
          <w:iCs/>
          <w:sz w:val="24"/>
          <w:szCs w:val="24"/>
        </w:rPr>
        <w:t>bid’ah</w:t>
      </w:r>
      <w:proofErr w:type="spellEnd"/>
      <w:r w:rsidRPr="00EC77AC">
        <w:rPr>
          <w:rFonts w:asciiTheme="majorHAnsi" w:hAnsiTheme="majorHAnsi" w:cstheme="majorHAnsi"/>
          <w:sz w:val="24"/>
          <w:szCs w:val="24"/>
        </w:rPr>
        <w:t>.</w:t>
      </w:r>
      <w:r w:rsidR="00A64D15">
        <w:rPr>
          <w:rFonts w:asciiTheme="majorHAnsi" w:hAnsiTheme="majorHAnsi" w:cstheme="majorHAnsi"/>
          <w:sz w:val="24"/>
          <w:szCs w:val="24"/>
        </w:rPr>
        <w:t xml:space="preserve"> </w:t>
      </w:r>
      <w:r w:rsidRPr="00EC77AC">
        <w:rPr>
          <w:rFonts w:asciiTheme="majorHAnsi" w:hAnsiTheme="majorHAnsi" w:cstheme="majorHAnsi"/>
          <w:sz w:val="24"/>
          <w:szCs w:val="24"/>
        </w:rPr>
        <w:t xml:space="preserve">After the analysis is conducted based </w:t>
      </w:r>
      <w:r w:rsidRPr="00EC77AC">
        <w:rPr>
          <w:rFonts w:asciiTheme="majorHAnsi" w:hAnsiTheme="majorHAnsi" w:cstheme="majorHAnsi"/>
          <w:sz w:val="24"/>
          <w:szCs w:val="24"/>
        </w:rPr>
        <w:lastRenderedPageBreak/>
        <w:t xml:space="preserve">on the comparative legal method outlined above, the conclusions </w:t>
      </w:r>
      <w:r w:rsidR="001432A5" w:rsidRPr="00EC77AC">
        <w:rPr>
          <w:rFonts w:asciiTheme="majorHAnsi" w:hAnsiTheme="majorHAnsi" w:cstheme="majorHAnsi"/>
          <w:sz w:val="24"/>
          <w:szCs w:val="24"/>
        </w:rPr>
        <w:t>were</w:t>
      </w:r>
      <w:r w:rsidRPr="00EC77AC">
        <w:rPr>
          <w:rFonts w:asciiTheme="majorHAnsi" w:hAnsiTheme="majorHAnsi" w:cstheme="majorHAnsi"/>
          <w:sz w:val="24"/>
          <w:szCs w:val="24"/>
        </w:rPr>
        <w:t xml:space="preserve"> formulated in the final part of this research based on the research questions posed.</w:t>
      </w:r>
    </w:p>
    <w:p w14:paraId="5FC5F577" w14:textId="77777777" w:rsidR="002764FF" w:rsidRPr="00EC77AC" w:rsidRDefault="002764FF" w:rsidP="005A62F6">
      <w:pPr>
        <w:spacing w:before="120" w:after="120" w:line="240" w:lineRule="auto"/>
        <w:ind w:left="425"/>
        <w:jc w:val="both"/>
        <w:rPr>
          <w:rFonts w:asciiTheme="majorHAnsi" w:hAnsiTheme="majorHAnsi" w:cstheme="majorHAnsi"/>
          <w:sz w:val="24"/>
          <w:szCs w:val="24"/>
        </w:rPr>
      </w:pPr>
    </w:p>
    <w:p w14:paraId="6FE6344C" w14:textId="1222B28A" w:rsidR="002764FF" w:rsidRPr="00122F5F" w:rsidRDefault="002764FF" w:rsidP="002764FF">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RESULT AND DISCUSSION</w:t>
      </w:r>
      <w:r w:rsidRPr="00122F5F">
        <w:rPr>
          <w:rFonts w:ascii="Calibri Light" w:hAnsi="Calibri Light" w:cs="Calibri Light"/>
          <w:b/>
          <w:sz w:val="24"/>
          <w:szCs w:val="24"/>
        </w:rPr>
        <w:t xml:space="preserve"> </w:t>
      </w:r>
    </w:p>
    <w:p w14:paraId="5B1A8711" w14:textId="16D28365" w:rsidR="000B0670" w:rsidRPr="005A62F6" w:rsidRDefault="009F7348" w:rsidP="005A62F6">
      <w:pPr>
        <w:spacing w:before="120" w:after="120" w:line="240" w:lineRule="auto"/>
        <w:ind w:left="425" w:right="-1"/>
        <w:jc w:val="both"/>
        <w:rPr>
          <w:rFonts w:ascii="Calibri Light" w:hAnsi="Calibri Light" w:cs="Calibri Light"/>
          <w:i/>
          <w:iCs/>
          <w:sz w:val="24"/>
          <w:szCs w:val="24"/>
          <w:lang w:val="id-ID"/>
        </w:rPr>
      </w:pPr>
      <w:r w:rsidRPr="005A62F6">
        <w:rPr>
          <w:rFonts w:asciiTheme="majorHAnsi" w:hAnsiTheme="majorHAnsi" w:cstheme="majorHAnsi"/>
          <w:b/>
          <w:bCs/>
          <w:i/>
          <w:iCs/>
          <w:sz w:val="24"/>
          <w:szCs w:val="24"/>
        </w:rPr>
        <w:t xml:space="preserve">The Legality and Debate on </w:t>
      </w:r>
      <w:r w:rsidR="00E7738B" w:rsidRPr="005A62F6">
        <w:rPr>
          <w:rFonts w:asciiTheme="majorHAnsi" w:hAnsiTheme="majorHAnsi" w:cstheme="majorHAnsi"/>
          <w:b/>
          <w:bCs/>
          <w:i/>
          <w:iCs/>
          <w:sz w:val="24"/>
          <w:szCs w:val="24"/>
        </w:rPr>
        <w:t>Waqf al-</w:t>
      </w:r>
      <w:proofErr w:type="spellStart"/>
      <w:r w:rsidR="00A1565A" w:rsidRPr="005A62F6">
        <w:rPr>
          <w:rFonts w:asciiTheme="majorHAnsi" w:hAnsiTheme="majorHAnsi" w:cstheme="majorHAnsi"/>
          <w:b/>
          <w:bCs/>
          <w:i/>
          <w:iCs/>
          <w:sz w:val="24"/>
          <w:szCs w:val="24"/>
        </w:rPr>
        <w:t>A</w:t>
      </w:r>
      <w:r w:rsidR="00E7738B" w:rsidRPr="005A62F6">
        <w:rPr>
          <w:rFonts w:asciiTheme="majorHAnsi" w:hAnsiTheme="majorHAnsi" w:cstheme="majorHAnsi"/>
          <w:b/>
          <w:bCs/>
          <w:i/>
          <w:iCs/>
          <w:sz w:val="24"/>
          <w:szCs w:val="24"/>
        </w:rPr>
        <w:t>hlī</w:t>
      </w:r>
      <w:proofErr w:type="spellEnd"/>
      <w:r w:rsidRPr="005A62F6">
        <w:rPr>
          <w:rFonts w:asciiTheme="majorHAnsi" w:hAnsiTheme="majorHAnsi" w:cstheme="majorHAnsi"/>
          <w:b/>
          <w:bCs/>
          <w:i/>
          <w:iCs/>
          <w:sz w:val="24"/>
          <w:szCs w:val="24"/>
        </w:rPr>
        <w:t xml:space="preserve">: </w:t>
      </w:r>
      <w:proofErr w:type="spellStart"/>
      <w:r w:rsidRPr="005A62F6">
        <w:rPr>
          <w:rFonts w:asciiTheme="majorHAnsi" w:hAnsiTheme="majorHAnsi" w:cstheme="majorHAnsi"/>
          <w:b/>
          <w:bCs/>
          <w:i/>
          <w:iCs/>
          <w:sz w:val="24"/>
          <w:szCs w:val="24"/>
        </w:rPr>
        <w:t>Bid’ah</w:t>
      </w:r>
      <w:proofErr w:type="spellEnd"/>
      <w:r w:rsidRPr="005A62F6">
        <w:rPr>
          <w:rFonts w:asciiTheme="majorHAnsi" w:hAnsiTheme="majorHAnsi" w:cstheme="majorHAnsi"/>
          <w:b/>
          <w:bCs/>
          <w:i/>
          <w:iCs/>
          <w:sz w:val="24"/>
          <w:szCs w:val="24"/>
        </w:rPr>
        <w:t>?</w:t>
      </w:r>
    </w:p>
    <w:p w14:paraId="7F6B2AEF" w14:textId="77777777" w:rsidR="002764FF" w:rsidRDefault="009F7348"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The practice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has sparked debates among Islamic scholars. According to </w:t>
      </w:r>
      <w:proofErr w:type="spellStart"/>
      <w:r w:rsidRPr="00EC77AC">
        <w:rPr>
          <w:rFonts w:asciiTheme="majorHAnsi" w:hAnsiTheme="majorHAnsi" w:cstheme="majorHAnsi"/>
          <w:sz w:val="24"/>
          <w:szCs w:val="24"/>
        </w:rPr>
        <w:t>Abū</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Zahrah</w:t>
      </w:r>
      <w:proofErr w:type="spellEnd"/>
      <w:r w:rsidRPr="00EC77AC">
        <w:rPr>
          <w:rFonts w:asciiTheme="majorHAnsi" w:hAnsiTheme="majorHAnsi" w:cstheme="majorHAnsi"/>
          <w:sz w:val="24"/>
          <w:szCs w:val="24"/>
        </w:rPr>
        <w:t xml:space="preserve"> (d. 1898 CE), this debate dates back to the time of ‘</w:t>
      </w:r>
      <w:proofErr w:type="spellStart"/>
      <w:r w:rsidRPr="00EC77AC">
        <w:rPr>
          <w:rFonts w:asciiTheme="majorHAnsi" w:hAnsiTheme="majorHAnsi" w:cstheme="majorHAnsi"/>
          <w:sz w:val="24"/>
          <w:szCs w:val="24"/>
        </w:rPr>
        <w:t>Ā’ishah</w:t>
      </w:r>
      <w:proofErr w:type="spellEnd"/>
      <w:r w:rsidRPr="00EC77AC">
        <w:rPr>
          <w:rFonts w:asciiTheme="majorHAnsi" w:hAnsiTheme="majorHAnsi" w:cstheme="majorHAnsi"/>
          <w:sz w:val="24"/>
          <w:szCs w:val="24"/>
        </w:rPr>
        <w:t xml:space="preserve"> (may Allah be pleased with her), who once opposed this type of waqf. The core issue lies in the practice of designating waqf beneficiaries exclusively to male descendants, excluding females. For this reason, ‘</w:t>
      </w:r>
      <w:proofErr w:type="spellStart"/>
      <w:r w:rsidRPr="00EC77AC">
        <w:rPr>
          <w:rFonts w:asciiTheme="majorHAnsi" w:hAnsiTheme="majorHAnsi" w:cstheme="majorHAnsi"/>
          <w:sz w:val="24"/>
          <w:szCs w:val="24"/>
        </w:rPr>
        <w:t>Ā’ishah</w:t>
      </w:r>
      <w:proofErr w:type="spellEnd"/>
      <w:r w:rsidRPr="00EC77AC">
        <w:rPr>
          <w:rFonts w:asciiTheme="majorHAnsi" w:hAnsiTheme="majorHAnsi" w:cstheme="majorHAnsi"/>
          <w:sz w:val="24"/>
          <w:szCs w:val="24"/>
        </w:rPr>
        <w:t xml:space="preserve"> viewed the revival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as equivalent to resurrecting pre-Islamic Arab traditions (</w:t>
      </w:r>
      <w:proofErr w:type="spellStart"/>
      <w:r w:rsidRPr="00EC77AC">
        <w:rPr>
          <w:rFonts w:asciiTheme="majorHAnsi" w:hAnsiTheme="majorHAnsi" w:cstheme="majorHAnsi"/>
          <w:i/>
          <w:iCs/>
          <w:sz w:val="24"/>
          <w:szCs w:val="24"/>
        </w:rPr>
        <w:t>jahiliyyah</w:t>
      </w:r>
      <w:proofErr w:type="spellEnd"/>
      <w:r w:rsidRPr="00EC77AC">
        <w:rPr>
          <w:rFonts w:asciiTheme="majorHAnsi" w:hAnsiTheme="majorHAnsi" w:cstheme="majorHAnsi"/>
          <w:sz w:val="24"/>
          <w:szCs w:val="24"/>
        </w:rPr>
        <w:t xml:space="preserve">) </w:t>
      </w:r>
      <w:r w:rsidR="00050C68"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{"citationItems":[{"id":"ITEM-1","itemData":{"author":[{"dropping-particle":"","family":"Zahrah","given":"Abū","non-dropping-particle":"","parse-names":false,"suffix":""}],"id":"ITEM-1","issued":{"date-parts":[["2004"]]},"number-of-pages":"10-11","publisher":"Dār al-Fikr al-‘Arabī","publisher-place":"Beirut","title":"Muḥāḍarāt fī al-Waqf","type":"book"},"uris":["http://www.mendeley.com/documents/?uuid=48607c5a-6c6a-47a6-88fc-7aa6e222e6f3","http://www.mendeley.com/documents/?uuid=4f5a68f5-8d24-42c9-b1e4-6f0d67dc2aa0"]}],"mendeley":{"formattedCitation":"(Zahrah, 2004)","plainTextFormattedCitation":"(Zahrah, 2004)","previouslyFormattedCitation":"(Zahrah, 2004)"},"properties":{"noteIndex":0},"schema":"https://github.com/citation-style-language/schema/raw/master/csl-citation.json"}</w:instrText>
      </w:r>
      <w:r w:rsidR="00050C68" w:rsidRPr="00CE509C">
        <w:rPr>
          <w:rFonts w:ascii="Calibri Light" w:hAnsi="Calibri Light" w:cs="Calibri Light"/>
          <w:sz w:val="24"/>
          <w:szCs w:val="24"/>
          <w:lang w:val="id-ID"/>
        </w:rPr>
        <w:fldChar w:fldCharType="separate"/>
      </w:r>
      <w:r w:rsidR="00050C68" w:rsidRPr="00D67BB1">
        <w:rPr>
          <w:rFonts w:ascii="Calibri Light" w:hAnsi="Calibri Light" w:cs="Calibri Light"/>
          <w:noProof/>
          <w:sz w:val="24"/>
          <w:szCs w:val="24"/>
          <w:lang w:val="id-ID"/>
        </w:rPr>
        <w:t>(Zahrah, 2004)</w:t>
      </w:r>
      <w:r w:rsidR="00050C68"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381FE54F" w14:textId="77777777" w:rsidR="002764FF" w:rsidRDefault="009F7348"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In modern times, this debate resurfaced with the emergence of a fatwa from </w:t>
      </w:r>
      <w:proofErr w:type="spellStart"/>
      <w:r w:rsidRPr="00EC77AC">
        <w:rPr>
          <w:rFonts w:asciiTheme="majorHAnsi" w:hAnsiTheme="majorHAnsi" w:cstheme="majorHAnsi"/>
          <w:sz w:val="24"/>
          <w:szCs w:val="24"/>
        </w:rPr>
        <w:t>Muḥammad</w:t>
      </w:r>
      <w:proofErr w:type="spellEnd"/>
      <w:r w:rsidRPr="00EC77AC">
        <w:rPr>
          <w:rFonts w:asciiTheme="majorHAnsi" w:hAnsiTheme="majorHAnsi" w:cstheme="majorHAnsi"/>
          <w:sz w:val="24"/>
          <w:szCs w:val="24"/>
        </w:rPr>
        <w:t xml:space="preserve"> ibn ‘Abd al-</w:t>
      </w:r>
      <w:proofErr w:type="spellStart"/>
      <w:r w:rsidRPr="00EC77AC">
        <w:rPr>
          <w:rFonts w:asciiTheme="majorHAnsi" w:hAnsiTheme="majorHAnsi" w:cstheme="majorHAnsi"/>
          <w:sz w:val="24"/>
          <w:szCs w:val="24"/>
        </w:rPr>
        <w:t>Wahhāb</w:t>
      </w:r>
      <w:proofErr w:type="spellEnd"/>
      <w:r w:rsidRPr="00EC77AC">
        <w:rPr>
          <w:rFonts w:asciiTheme="majorHAnsi" w:hAnsiTheme="majorHAnsi" w:cstheme="majorHAnsi"/>
          <w:sz w:val="24"/>
          <w:szCs w:val="24"/>
        </w:rPr>
        <w:t xml:space="preserve"> (d. 1792 CE) declaring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as </w:t>
      </w:r>
      <w:proofErr w:type="spellStart"/>
      <w:r w:rsidRPr="00EC77AC">
        <w:rPr>
          <w:rFonts w:asciiTheme="majorHAnsi" w:hAnsiTheme="majorHAnsi" w:cstheme="majorHAnsi"/>
          <w:i/>
          <w:iCs/>
          <w:sz w:val="24"/>
          <w:szCs w:val="24"/>
        </w:rPr>
        <w:t>bid’ah</w:t>
      </w:r>
      <w:proofErr w:type="spellEnd"/>
      <w:r w:rsidR="00050C68">
        <w:rPr>
          <w:rFonts w:asciiTheme="majorHAnsi" w:hAnsiTheme="majorHAnsi" w:cstheme="majorHAnsi"/>
          <w:sz w:val="24"/>
          <w:szCs w:val="24"/>
        </w:rPr>
        <w:t xml:space="preserve"> </w:t>
      </w:r>
      <w:r w:rsidR="00050C68"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{"citationItems":[{"id":"ITEM-1","itemData":{"DOI":"https://shamela.ws/book/6947/3854","author":[{"dropping-particle":"","family":"Al-Wahhāb","given":"Muḥammad ibn ‘Abd","non-dropping-particle":"","parse-names":false,"suffix":""}],"container-title":"Majallah al-Manār","editor":[{"dropping-particle":"","family":"Riḍā","given":"Muḥammad Rashīd","non-dropping-particle":"","parse-names":false,"suffix":""}],"id":"ITEM-1","issued":{"date-parts":[["0"]]},"page":"36","title":"Ibṭāl al-Waqf al-Ahlī","type":"article-journal","volume":"29"},"uris":["http://www.mendeley.com/documents/?uuid=2338116b-1d14-463c-96fe-e43dc0692d51","http://www.mendeley.com/documents/?uuid=91051f3c-e0a2-4e1b-bbef-47ee20891eb0"]}],"mendeley":{"formattedCitation":"(Al-Wahhāb, n.d.)","plainTextFormattedCitation":"(Al-Wahhāb, n.d.)","previouslyFormattedCitation":"(Al-Wahhāb, n.d.)"},"properties":{"noteIndex":0},"schema":"https://github.com/citation-style-language/schema/raw/master/csl-citation.json"}</w:instrText>
      </w:r>
      <w:r w:rsidR="00050C68" w:rsidRPr="00CE509C">
        <w:rPr>
          <w:rFonts w:ascii="Calibri Light" w:hAnsi="Calibri Light" w:cs="Calibri Light"/>
          <w:sz w:val="24"/>
          <w:szCs w:val="24"/>
          <w:lang w:val="id-ID"/>
        </w:rPr>
        <w:fldChar w:fldCharType="separate"/>
      </w:r>
      <w:r w:rsidR="00050C68" w:rsidRPr="00D67BB1">
        <w:rPr>
          <w:rFonts w:ascii="Calibri Light" w:hAnsi="Calibri Light" w:cs="Calibri Light"/>
          <w:noProof/>
          <w:sz w:val="24"/>
          <w:szCs w:val="24"/>
          <w:lang w:val="id-ID"/>
        </w:rPr>
        <w:t>(Al-Wahhāb, n.d.)</w:t>
      </w:r>
      <w:r w:rsidR="00050C68"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xml:space="preserve">, a stance later followed by several other scholars. Before delving further into this issue, let us first examine the legal status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in various countries.</w:t>
      </w:r>
    </w:p>
    <w:p w14:paraId="60FAB07F" w14:textId="77777777" w:rsidR="002764FF" w:rsidRDefault="009F7348"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The legality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varies across nations, falling into two categories: legal and illegal. Countries that legalize it include Jordan (1976) and Kuwait (1951) </w:t>
      </w:r>
      <w:r w:rsidR="003C4B3B"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{"citationItems":[{"id":"ITEM-1","itemData":{"abstract":", , (Jordan: , 2011), h. 49.","author":[{"dropping-particle":"","family":"Al-‘Alāwayn","given":"Fadwā Arshīd","non-dropping-particle":"","parse-names":false,"suffix":""}],"id":"ITEM-1","issued":{"date-parts":[["2011"]]},"publisher":"Jāmiʻah al-‘Ulūm al-Islāmiyyah al-‘Ālamiyyah, Jordan","publisher-place":"Amman","title":"al-Waqf al-Dhurrī wa Taṭbīquhā al-Muʻāṣir: Dirāsah Fiqhiyyah Muqāranah","type":"thesis"},"uris":["http://www.mendeley.com/documents/?uuid=36cbda6a-7853-450a-b1e5-6fcf60f02bbb","http://www.mendeley.com/documents/?uuid=d10cb8d6-5f6e-4753-8a80-1ee569f5b4ed"]}],"mendeley":{"formattedCitation":"(Al-‘Alāwayn, 2011)","plainTextFormattedCitation":"(Al-‘Alāwayn, 2011)","previouslyFormattedCitation":"(Al-‘Alāwayn, 2011)"},"properties":{"noteIndex":0},"schema":"https://github.com/citation-style-language/schema/raw/master/csl-citation.json"}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(Al-‘Alāwayn, 2011)</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xml:space="preserve">. Additionally, other countries such as Algeria, Saudi Arabia, Jordan, Singapore, Malaysia, Indonesia, Iran, and Pakistan also recognize its legality </w:t>
      </w:r>
      <w:r w:rsidR="003C4B3B"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{"citationItems":[{"id":"ITEM-1","itemData":{"ISBN":"1003158072","author":[{"dropping-particle":"","family":"Abbasi","given":"Muhammad Zubair","non-dropping-particle":"","parse-names":false,"suffix":""}],"container-title":"Waqf Development and Innovation","id":"ITEM-1","issued":{"date-parts":[["2021"]]},"page":"256-268","publisher":"Routledge","publisher-place":"London","title":"Case Studies of Waqf in Pakistan","type":"chapter"},"uris":["http://www.mendeley.com/documents/?uuid=8c505f1f-c051-489b-bf23-aaf2dfeccfc1","http://www.mendeley.com/documents/?uuid=10bc5fdd-1207-46fe-b5de-8c368af49a69"]},{"id":"ITEM-2","itemData":{"author":[{"dropping-particle":"","family":"Fahrurroji","given":"","non-dropping-particle":"","parse-names":false,"suffix":""}],"id":"ITEM-2","issued":{"date-parts":[["2019"]]},"number-of-pages":"98","publisher":"Badan Wakaf Indonesia","publisher-place":"Jakarta","title":"Wakaf Kontemporer","type":"book"},"uris":["http://www.mendeley.com/documents/?uuid=3bdbc5b4-f453-447f-9658-ab7a2d310106","http://www.mendeley.com/documents/?uuid=f2a14ef1-dfd6-40e3-963c-4dbfbf5fff38"]},{"id":"ITEM-3","itemData":{"author":[{"dropping-particle":"","family":"Abdul-Karim","given":"Shamsiah","non-dropping-particle":"","parse-names":false,"suffix":""}],"id":"ITEM-3","issued":{"date-parts":[["2010"]]},"publisher":"Durham University","title":"Contemporary Shari'ah Structuring for the Development and Management of Waqf assets in Singapore","type":"article"},"uris":["http://www.mendeley.com/documents/?uuid=6869fdd1-8fc7-4673-ada0-8c6fc6b3f242","http://www.mendeley.com/documents/?uuid=3022b16c-01a5-4bf5-a4a5-2ea129f1bdd5","http://www.mendeley.com/documents/?uuid=1b60ea59-7a11-49a0-97a7-b7d2a69281a5"]},{"id":"ITEM-4","itemData":{"ISSN":"2502-3993","author":[{"dropping-particle":"","family":"Kamarubahrin","given":"Aimi Fadzirul","non-dropping-particle":"","parse-names":false,"suffix":""},{"dropping-particle":"","family":"Ayedh","given":"Abdullah Mohammed Ahmed","non-dropping-particle":"","parse-names":false,"suffix":""}],"container-title":"IQTISHADIA Journal of Islamic Economic and Business (IJEB)","id":"ITEM-4","issued":{"date-parts":[["2018"]]},"publisher":"Department of Islamic Economics, STAIN Kudus","title":"Critical Review on Waqf Experiences: Lessons from Muslim and Non-Muslim Countries","type":"article-journal"},"uris":["http://www.mendeley.com/documents/?uuid=728d2de2-f3a1-49d2-86aa-3d013bb3284c","http://www.mendeley.com/documents/?uuid=4fff1d27-d7ea-4f20-ad1e-55b7d6e3bcb0","http://www.mendeley.com/documents/?uuid=641622cc-347b-41ac-a22e-90285d8e3e4e"]}],"mendeley":{"formattedCitation":"(M. Z. Abbasi, 2021; Abdul-Karim, 2010; Fahrurroji, 2019; Kamarubahrin &amp; Ayedh, 2018)","plainTextFormattedCitation":"(M. Z. Abbasi, 2021; Abdul-Karim, 2010; Fahrurroji, 2019; Kamarubahrin &amp; Ayedh, 2018)","previouslyFormattedCitation":"(M. Z. Abbasi, 2021; Abdul-Karim, 2010; Fahrurroji, 2019; Kamarubahrin &amp; Ayedh, 2018)"},"properties":{"noteIndex":0},"schema":"https://github.com/citation-style-language/schema/raw/master/csl-citation.json"}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(M. Z. Abbasi, 2021; Abdul-Karim, 2010; Fahrurroji, 2019; Kamarubahrin &amp; Ayedh, 2018)</w:t>
      </w:r>
      <w:r w:rsidR="003C4B3B" w:rsidRPr="00CE509C">
        <w:rPr>
          <w:rFonts w:ascii="Calibri Light" w:hAnsi="Calibri Light" w:cs="Calibri Light"/>
          <w:sz w:val="24"/>
          <w:szCs w:val="24"/>
          <w:lang w:val="id-ID"/>
        </w:rPr>
        <w:fldChar w:fldCharType="end"/>
      </w:r>
      <w:r w:rsidR="003C4B3B">
        <w:rPr>
          <w:rFonts w:ascii="Calibri Light" w:hAnsi="Calibri Light" w:cs="Calibri Light"/>
          <w:sz w:val="24"/>
          <w:szCs w:val="24"/>
          <w:lang w:val="en-US"/>
        </w:rPr>
        <w:t>.</w:t>
      </w:r>
    </w:p>
    <w:p w14:paraId="045642C9" w14:textId="44917BDE" w:rsidR="00FA7360" w:rsidRDefault="009F7348" w:rsidP="005A62F6">
      <w:pPr>
        <w:spacing w:before="120" w:after="120" w:line="240" w:lineRule="auto"/>
        <w:ind w:left="425"/>
        <w:jc w:val="both"/>
        <w:rPr>
          <w:rFonts w:asciiTheme="majorHAnsi" w:hAnsiTheme="majorHAnsi" w:cstheme="majorHAnsi"/>
          <w:sz w:val="24"/>
          <w:szCs w:val="24"/>
        </w:rPr>
      </w:pPr>
      <w:r w:rsidRPr="003C4B3B">
        <w:rPr>
          <w:rFonts w:asciiTheme="majorHAnsi" w:hAnsiTheme="majorHAnsi" w:cstheme="majorHAnsi"/>
          <w:sz w:val="24"/>
          <w:szCs w:val="24"/>
          <w:lang w:val="id-ID"/>
        </w:rPr>
        <w:t xml:space="preserve">On </w:t>
      </w:r>
      <w:proofErr w:type="spellStart"/>
      <w:r w:rsidRPr="003C4B3B">
        <w:rPr>
          <w:rFonts w:asciiTheme="majorHAnsi" w:hAnsiTheme="majorHAnsi" w:cstheme="majorHAnsi"/>
          <w:sz w:val="24"/>
          <w:szCs w:val="24"/>
          <w:lang w:val="id-ID"/>
        </w:rPr>
        <w:t>the</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contrary</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countries</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that</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prohibit</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it</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include</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Syria</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through</w:t>
      </w:r>
      <w:proofErr w:type="spellEnd"/>
      <w:r w:rsidRPr="003C4B3B">
        <w:rPr>
          <w:rFonts w:asciiTheme="majorHAnsi" w:hAnsiTheme="majorHAnsi" w:cstheme="majorHAnsi"/>
          <w:sz w:val="24"/>
          <w:szCs w:val="24"/>
          <w:lang w:val="id-ID"/>
        </w:rPr>
        <w:t xml:space="preserve"> Law No. 3339 </w:t>
      </w:r>
      <w:proofErr w:type="spellStart"/>
      <w:r w:rsidRPr="003C4B3B">
        <w:rPr>
          <w:rFonts w:asciiTheme="majorHAnsi" w:hAnsiTheme="majorHAnsi" w:cstheme="majorHAnsi"/>
          <w:sz w:val="24"/>
          <w:szCs w:val="24"/>
          <w:lang w:val="id-ID"/>
        </w:rPr>
        <w:t>of</w:t>
      </w:r>
      <w:proofErr w:type="spellEnd"/>
      <w:r w:rsidRPr="003C4B3B">
        <w:rPr>
          <w:rFonts w:asciiTheme="majorHAnsi" w:hAnsiTheme="majorHAnsi" w:cstheme="majorHAnsi"/>
          <w:sz w:val="24"/>
          <w:szCs w:val="24"/>
          <w:lang w:val="id-ID"/>
        </w:rPr>
        <w:t xml:space="preserve"> 1930, </w:t>
      </w:r>
      <w:proofErr w:type="spellStart"/>
      <w:r w:rsidRPr="003C4B3B">
        <w:rPr>
          <w:rFonts w:asciiTheme="majorHAnsi" w:hAnsiTheme="majorHAnsi" w:cstheme="majorHAnsi"/>
          <w:sz w:val="24"/>
          <w:szCs w:val="24"/>
          <w:lang w:val="id-ID"/>
        </w:rPr>
        <w:t>Egypt</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through</w:t>
      </w:r>
      <w:proofErr w:type="spellEnd"/>
      <w:r w:rsidRPr="003C4B3B">
        <w:rPr>
          <w:rFonts w:asciiTheme="majorHAnsi" w:hAnsiTheme="majorHAnsi" w:cstheme="majorHAnsi"/>
          <w:sz w:val="24"/>
          <w:szCs w:val="24"/>
          <w:lang w:val="id-ID"/>
        </w:rPr>
        <w:t xml:space="preserve"> Law No. 48 </w:t>
      </w:r>
      <w:proofErr w:type="spellStart"/>
      <w:r w:rsidRPr="003C4B3B">
        <w:rPr>
          <w:rFonts w:asciiTheme="majorHAnsi" w:hAnsiTheme="majorHAnsi" w:cstheme="majorHAnsi"/>
          <w:sz w:val="24"/>
          <w:szCs w:val="24"/>
          <w:lang w:val="id-ID"/>
        </w:rPr>
        <w:t>of</w:t>
      </w:r>
      <w:proofErr w:type="spellEnd"/>
      <w:r w:rsidRPr="003C4B3B">
        <w:rPr>
          <w:rFonts w:asciiTheme="majorHAnsi" w:hAnsiTheme="majorHAnsi" w:cstheme="majorHAnsi"/>
          <w:sz w:val="24"/>
          <w:szCs w:val="24"/>
          <w:lang w:val="id-ID"/>
        </w:rPr>
        <w:t xml:space="preserve"> 1946, </w:t>
      </w:r>
      <w:proofErr w:type="spellStart"/>
      <w:r w:rsidRPr="003C4B3B">
        <w:rPr>
          <w:rFonts w:asciiTheme="majorHAnsi" w:hAnsiTheme="majorHAnsi" w:cstheme="majorHAnsi"/>
          <w:sz w:val="24"/>
          <w:szCs w:val="24"/>
          <w:lang w:val="id-ID"/>
        </w:rPr>
        <w:t>and</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Iraq</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through</w:t>
      </w:r>
      <w:proofErr w:type="spellEnd"/>
      <w:r w:rsidRPr="003C4B3B">
        <w:rPr>
          <w:rFonts w:asciiTheme="majorHAnsi" w:hAnsiTheme="majorHAnsi" w:cstheme="majorHAnsi"/>
          <w:sz w:val="24"/>
          <w:szCs w:val="24"/>
          <w:lang w:val="id-ID"/>
        </w:rPr>
        <w:t xml:space="preserve"> Law No. 1 </w:t>
      </w:r>
      <w:proofErr w:type="spellStart"/>
      <w:r w:rsidRPr="003C4B3B">
        <w:rPr>
          <w:rFonts w:asciiTheme="majorHAnsi" w:hAnsiTheme="majorHAnsi" w:cstheme="majorHAnsi"/>
          <w:sz w:val="24"/>
          <w:szCs w:val="24"/>
          <w:lang w:val="id-ID"/>
        </w:rPr>
        <w:t>of</w:t>
      </w:r>
      <w:proofErr w:type="spellEnd"/>
      <w:r w:rsidRPr="003C4B3B">
        <w:rPr>
          <w:rFonts w:asciiTheme="majorHAnsi" w:hAnsiTheme="majorHAnsi" w:cstheme="majorHAnsi"/>
          <w:sz w:val="24"/>
          <w:szCs w:val="24"/>
          <w:lang w:val="id-ID"/>
        </w:rPr>
        <w:t xml:space="preserve"> 1955</w:t>
      </w:r>
      <w:r w:rsidR="003C4B3B">
        <w:rPr>
          <w:rFonts w:asciiTheme="majorHAnsi" w:hAnsiTheme="majorHAnsi" w:cstheme="majorHAnsi"/>
          <w:sz w:val="24"/>
          <w:szCs w:val="24"/>
          <w:lang w:val="en-US"/>
        </w:rPr>
        <w:t xml:space="preserve"> </w:t>
      </w:r>
      <w:r w:rsidR="003C4B3B"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{"citationItems":[{"id":"ITEM-1","itemData":{"abstract":", , (Jordan: , 2011), h. 49.","author":[{"dropping-particle":"","family":"Al-‘Alāwayn","given":"Fadwā Arshīd","non-dropping-particle":"","parse-names":false,"suffix":""}],"id":"ITEM-1","issued":{"date-parts":[["2011"]]},"publisher":"Jāmiʻah al-‘Ulūm al-Islāmiyyah al-‘Ālamiyyah, Jordan","publisher-place":"Amman","title":"al-Waqf al-Dhurrī wa Taṭbīquhā al-Muʻāṣir: Dirāsah Fiqhiyyah Muqāranah","type":"thesis"},"uris":["http://www.mendeley.com/documents/?uuid=36cbda6a-7853-450a-b1e5-6fcf60f02bbb","http://www.mendeley.com/documents/?uuid=d10cb8d6-5f6e-4753-8a80-1ee569f5b4ed"]}],"mendeley":{"formattedCitation":"(Al-‘Alāwayn, 2011)","plainTextFormattedCitation":"(Al-‘Alāwayn, 2011)","previouslyFormattedCitation":"(Al-‘Alāwayn, 2011)"},"properties":{"noteIndex":0},"schema":"https://github.com/citation-style-language/schema/raw/master/csl-citation.json"}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(Al-‘Alāwayn, 2011)</w:t>
      </w:r>
      <w:r w:rsidR="003C4B3B" w:rsidRPr="00CE509C">
        <w:rPr>
          <w:rFonts w:ascii="Calibri Light" w:hAnsi="Calibri Light" w:cs="Calibri Light"/>
          <w:sz w:val="24"/>
          <w:szCs w:val="24"/>
          <w:lang w:val="id-ID"/>
        </w:rPr>
        <w:fldChar w:fldCharType="end"/>
      </w:r>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Turkey</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also</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banned</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this</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practice</w:t>
      </w:r>
      <w:proofErr w:type="spellEnd"/>
      <w:r w:rsidRPr="003C4B3B">
        <w:rPr>
          <w:rFonts w:asciiTheme="majorHAnsi" w:hAnsiTheme="majorHAnsi" w:cstheme="majorHAnsi"/>
          <w:sz w:val="24"/>
          <w:szCs w:val="24"/>
          <w:lang w:val="id-ID"/>
        </w:rPr>
        <w:t xml:space="preserve"> in 1926, </w:t>
      </w:r>
      <w:proofErr w:type="spellStart"/>
      <w:r w:rsidRPr="003C4B3B">
        <w:rPr>
          <w:rFonts w:asciiTheme="majorHAnsi" w:hAnsiTheme="majorHAnsi" w:cstheme="majorHAnsi"/>
          <w:sz w:val="24"/>
          <w:szCs w:val="24"/>
          <w:lang w:val="id-ID"/>
        </w:rPr>
        <w:t>followed</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by</w:t>
      </w:r>
      <w:proofErr w:type="spellEnd"/>
      <w:r w:rsidRPr="003C4B3B">
        <w:rPr>
          <w:rFonts w:asciiTheme="majorHAnsi" w:hAnsiTheme="majorHAnsi" w:cstheme="majorHAnsi"/>
          <w:sz w:val="24"/>
          <w:szCs w:val="24"/>
          <w:lang w:val="id-ID"/>
        </w:rPr>
        <w:t xml:space="preserve"> Lebanon in 1948, Libya in 1974, </w:t>
      </w:r>
      <w:proofErr w:type="spellStart"/>
      <w:r w:rsidRPr="003C4B3B">
        <w:rPr>
          <w:rFonts w:asciiTheme="majorHAnsi" w:hAnsiTheme="majorHAnsi" w:cstheme="majorHAnsi"/>
          <w:sz w:val="24"/>
          <w:szCs w:val="24"/>
          <w:lang w:val="id-ID"/>
        </w:rPr>
        <w:t>and</w:t>
      </w:r>
      <w:proofErr w:type="spellEnd"/>
      <w:r w:rsidRPr="003C4B3B">
        <w:rPr>
          <w:rFonts w:asciiTheme="majorHAnsi" w:hAnsiTheme="majorHAnsi" w:cstheme="majorHAnsi"/>
          <w:sz w:val="24"/>
          <w:szCs w:val="24"/>
          <w:lang w:val="id-ID"/>
        </w:rPr>
        <w:t xml:space="preserve"> </w:t>
      </w:r>
      <w:proofErr w:type="spellStart"/>
      <w:r w:rsidRPr="003C4B3B">
        <w:rPr>
          <w:rFonts w:asciiTheme="majorHAnsi" w:hAnsiTheme="majorHAnsi" w:cstheme="majorHAnsi"/>
          <w:sz w:val="24"/>
          <w:szCs w:val="24"/>
          <w:lang w:val="id-ID"/>
        </w:rPr>
        <w:t>the</w:t>
      </w:r>
      <w:proofErr w:type="spellEnd"/>
      <w:r w:rsidRPr="003C4B3B">
        <w:rPr>
          <w:rFonts w:asciiTheme="majorHAnsi" w:hAnsiTheme="majorHAnsi" w:cstheme="majorHAnsi"/>
          <w:sz w:val="24"/>
          <w:szCs w:val="24"/>
          <w:lang w:val="id-ID"/>
        </w:rPr>
        <w:t xml:space="preserve"> United Arab Emirates in 1980 </w:t>
      </w:r>
      <w:r w:rsidR="003C4B3B"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{"citationItems":[{"id":"ITEM-1","itemData":{"author":[{"dropping-particle":"","family":"Fahrurroji","given":"","non-dropping-particle":"","parse-names":false,"suffix":""}],"id":"ITEM-1","issued":{"date-parts":[["2019"]]},"number-of-pages":"98","publisher":"Badan Wakaf Indonesia","publisher-place":"Jakarta","title":"Wakaf Kontemporer","type":"book"},"uris":["http://www.mendeley.com/documents/?uuid=3bdbc5b4-f453-447f-9658-ab7a2d310106","http://www.mendeley.com/documents/?uuid=f2a14ef1-dfd6-40e3-963c-4dbfbf5fff38"]}],"mendeley":{"formattedCitation":"(Fahrurroji, 2019)","plainTextFormattedCitation":"(Fahrurroji, 2019)","previouslyFormattedCitation":"(Fahrurroji, 2019)"},"properties":{"noteIndex":0},"schema":"https://github.com/citation-style-language/schema/raw/master/csl-citation.json"}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(Fahrurroji, 2019)</w:t>
      </w:r>
      <w:r w:rsidR="003C4B3B" w:rsidRPr="00CE509C">
        <w:rPr>
          <w:rFonts w:ascii="Calibri Light" w:hAnsi="Calibri Light" w:cs="Calibri Light"/>
          <w:sz w:val="24"/>
          <w:szCs w:val="24"/>
          <w:lang w:val="id-ID"/>
        </w:rPr>
        <w:fldChar w:fldCharType="end"/>
      </w:r>
      <w:r w:rsidR="003C4B3B">
        <w:rPr>
          <w:rFonts w:ascii="Calibri Light" w:hAnsi="Calibri Light" w:cs="Calibri Light"/>
          <w:sz w:val="24"/>
          <w:szCs w:val="24"/>
          <w:lang w:val="en-US"/>
        </w:rPr>
        <w:t>.</w:t>
      </w:r>
    </w:p>
    <w:p w14:paraId="5404411C" w14:textId="77777777" w:rsidR="005A62F6" w:rsidRPr="00EC77AC" w:rsidRDefault="005A62F6" w:rsidP="005A62F6">
      <w:pPr>
        <w:spacing w:before="120" w:after="120" w:line="240" w:lineRule="auto"/>
        <w:ind w:left="425"/>
        <w:jc w:val="both"/>
        <w:rPr>
          <w:rFonts w:asciiTheme="majorHAnsi" w:hAnsiTheme="majorHAnsi" w:cstheme="majorHAnsi"/>
          <w:sz w:val="24"/>
          <w:szCs w:val="24"/>
        </w:rPr>
      </w:pPr>
    </w:p>
    <w:p w14:paraId="2C3AE369" w14:textId="0E2AC9E4" w:rsidR="009F7348" w:rsidRDefault="009F7348" w:rsidP="004649AC">
      <w:pPr>
        <w:spacing w:after="0"/>
        <w:jc w:val="center"/>
        <w:rPr>
          <w:rFonts w:asciiTheme="majorHAnsi" w:hAnsiTheme="majorHAnsi" w:cstheme="majorHAnsi"/>
          <w:b/>
          <w:bCs/>
          <w:sz w:val="24"/>
          <w:szCs w:val="24"/>
        </w:rPr>
      </w:pPr>
      <w:r w:rsidRPr="00EC77AC">
        <w:rPr>
          <w:rFonts w:asciiTheme="majorHAnsi" w:hAnsiTheme="majorHAnsi" w:cstheme="majorHAnsi"/>
          <w:b/>
          <w:bCs/>
          <w:sz w:val="24"/>
          <w:szCs w:val="24"/>
        </w:rPr>
        <w:t xml:space="preserve">Table 01. Legality of </w:t>
      </w:r>
      <w:r w:rsidR="00E7738B" w:rsidRPr="00EC77AC">
        <w:rPr>
          <w:rFonts w:asciiTheme="majorHAnsi" w:hAnsiTheme="majorHAnsi" w:cstheme="majorHAnsi"/>
          <w:b/>
          <w:bCs/>
          <w:i/>
          <w:iCs/>
          <w:sz w:val="24"/>
          <w:szCs w:val="24"/>
        </w:rPr>
        <w:t>Waqf al-</w:t>
      </w:r>
      <w:proofErr w:type="spellStart"/>
      <w:r w:rsidR="00E7738B" w:rsidRPr="00EC77AC">
        <w:rPr>
          <w:rFonts w:asciiTheme="majorHAnsi" w:hAnsiTheme="majorHAnsi" w:cstheme="majorHAnsi"/>
          <w:b/>
          <w:bCs/>
          <w:i/>
          <w:iCs/>
          <w:sz w:val="24"/>
          <w:szCs w:val="24"/>
        </w:rPr>
        <w:t>ahlī</w:t>
      </w:r>
      <w:proofErr w:type="spellEnd"/>
      <w:r w:rsidR="00E7738B" w:rsidRPr="00EC77AC">
        <w:rPr>
          <w:rFonts w:asciiTheme="majorHAnsi" w:hAnsiTheme="majorHAnsi" w:cstheme="majorHAnsi"/>
          <w:b/>
          <w:bCs/>
          <w:i/>
          <w:iCs/>
          <w:sz w:val="24"/>
          <w:szCs w:val="24"/>
        </w:rPr>
        <w:t xml:space="preserve"> </w:t>
      </w:r>
      <w:r w:rsidRPr="00EC77AC">
        <w:rPr>
          <w:rFonts w:asciiTheme="majorHAnsi" w:hAnsiTheme="majorHAnsi" w:cstheme="majorHAnsi"/>
          <w:b/>
          <w:bCs/>
          <w:sz w:val="24"/>
          <w:szCs w:val="24"/>
        </w:rPr>
        <w:t>in Various Countries</w:t>
      </w:r>
    </w:p>
    <w:tbl>
      <w:tblPr>
        <w:tblW w:w="8647" w:type="dxa"/>
        <w:tblInd w:w="403"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3827"/>
        <w:gridCol w:w="4820"/>
      </w:tblGrid>
      <w:tr w:rsidR="006241FE" w:rsidRPr="00122F5F" w14:paraId="18F97CDA" w14:textId="77777777" w:rsidTr="002764FF">
        <w:tc>
          <w:tcPr>
            <w:tcW w:w="3827" w:type="dxa"/>
            <w:shd w:val="clear" w:color="auto" w:fill="D9D9D9"/>
          </w:tcPr>
          <w:p w14:paraId="5D236A54" w14:textId="39A9CE8E" w:rsidR="006241FE" w:rsidRPr="00122F5F" w:rsidRDefault="006241FE" w:rsidP="006241FE">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Cs w:val="24"/>
              </w:rPr>
              <w:t>Legal</w:t>
            </w:r>
          </w:p>
        </w:tc>
        <w:tc>
          <w:tcPr>
            <w:tcW w:w="4820" w:type="dxa"/>
            <w:shd w:val="clear" w:color="auto" w:fill="D9D9D9"/>
          </w:tcPr>
          <w:p w14:paraId="32B305FD" w14:textId="0E549655" w:rsidR="006241FE" w:rsidRPr="00122F5F" w:rsidRDefault="006241FE" w:rsidP="006241FE">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Cs w:val="24"/>
              </w:rPr>
              <w:t>Not Legal</w:t>
            </w:r>
          </w:p>
        </w:tc>
      </w:tr>
      <w:tr w:rsidR="006241FE" w:rsidRPr="00122F5F" w14:paraId="2483A0BD" w14:textId="77777777" w:rsidTr="002764FF">
        <w:tc>
          <w:tcPr>
            <w:tcW w:w="3827" w:type="dxa"/>
          </w:tcPr>
          <w:p w14:paraId="061E2482" w14:textId="5FBAC75C" w:rsidR="006241FE" w:rsidRPr="00DB6DD0" w:rsidRDefault="006241FE" w:rsidP="006241FE">
            <w:pPr>
              <w:pStyle w:val="ListParagraph"/>
              <w:widowControl w:val="0"/>
              <w:tabs>
                <w:tab w:val="num" w:pos="851"/>
              </w:tabs>
              <w:suppressAutoHyphens/>
              <w:spacing w:after="0" w:line="240" w:lineRule="auto"/>
              <w:ind w:left="0"/>
              <w:contextualSpacing w:val="0"/>
              <w:jc w:val="center"/>
              <w:rPr>
                <w:rFonts w:ascii="Calibri Light" w:hAnsi="Calibri Light" w:cs="Calibri Light"/>
                <w:lang w:val="en" w:eastAsia="en-GB"/>
              </w:rPr>
            </w:pPr>
            <w:r w:rsidRPr="006241FE">
              <w:rPr>
                <w:rFonts w:ascii="Calibri Light" w:hAnsi="Calibri Light" w:cs="Calibri Light"/>
                <w:lang w:val="en" w:eastAsia="en-GB"/>
              </w:rPr>
              <w:t>Jordan, Kuwait, Algeria, Saudi Arabia, Singapore, Malaysia, Indonesia, Iran, and Pakistan.</w:t>
            </w:r>
          </w:p>
        </w:tc>
        <w:tc>
          <w:tcPr>
            <w:tcW w:w="4820" w:type="dxa"/>
            <w:vAlign w:val="center"/>
          </w:tcPr>
          <w:p w14:paraId="4D6B32AB" w14:textId="44638130" w:rsidR="006241FE" w:rsidRPr="00122F5F" w:rsidRDefault="006241FE" w:rsidP="006241FE">
            <w:pPr>
              <w:pStyle w:val="ListParagraph"/>
              <w:widowControl w:val="0"/>
              <w:tabs>
                <w:tab w:val="num" w:pos="851"/>
              </w:tabs>
              <w:suppressAutoHyphens/>
              <w:spacing w:after="0" w:line="240" w:lineRule="auto"/>
              <w:ind w:left="0"/>
              <w:contextualSpacing w:val="0"/>
              <w:jc w:val="center"/>
              <w:rPr>
                <w:rFonts w:ascii="Calibri Light" w:hAnsi="Calibri Light" w:cs="Calibri Light"/>
                <w:b/>
                <w:bCs/>
              </w:rPr>
            </w:pPr>
            <w:r w:rsidRPr="006241FE">
              <w:rPr>
                <w:rFonts w:asciiTheme="majorHAnsi" w:hAnsiTheme="majorHAnsi" w:cstheme="majorHAnsi"/>
              </w:rPr>
              <w:t>Egypt, Iraq, Turkey, Lebanon, Libya, United Arab Emirates</w:t>
            </w:r>
          </w:p>
        </w:tc>
      </w:tr>
    </w:tbl>
    <w:p w14:paraId="2E632A94" w14:textId="77777777" w:rsidR="006A4B4D" w:rsidRPr="00EC77AC" w:rsidRDefault="006A4B4D" w:rsidP="001432A5">
      <w:pPr>
        <w:spacing w:after="0"/>
        <w:jc w:val="both"/>
        <w:rPr>
          <w:rFonts w:asciiTheme="majorHAnsi" w:hAnsiTheme="majorHAnsi" w:cstheme="majorHAnsi"/>
          <w:sz w:val="24"/>
          <w:szCs w:val="24"/>
        </w:rPr>
      </w:pPr>
    </w:p>
    <w:p w14:paraId="7DE466A1" w14:textId="043E30E0" w:rsidR="004649AC" w:rsidRPr="00EC77AC" w:rsidRDefault="009F7348"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The variations in legality, particularly in the Middle East, stem from debates over the abolition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in the Levant (</w:t>
      </w:r>
      <w:proofErr w:type="spellStart"/>
      <w:r w:rsidRPr="00EC77AC">
        <w:rPr>
          <w:rFonts w:asciiTheme="majorHAnsi" w:hAnsiTheme="majorHAnsi" w:cstheme="majorHAnsi"/>
          <w:i/>
          <w:iCs/>
          <w:sz w:val="24"/>
          <w:szCs w:val="24"/>
        </w:rPr>
        <w:t>bilād</w:t>
      </w:r>
      <w:proofErr w:type="spellEnd"/>
      <w:r w:rsidRPr="00EC77AC">
        <w:rPr>
          <w:rFonts w:asciiTheme="majorHAnsi" w:hAnsiTheme="majorHAnsi" w:cstheme="majorHAnsi"/>
          <w:i/>
          <w:iCs/>
          <w:sz w:val="24"/>
          <w:szCs w:val="24"/>
        </w:rPr>
        <w:t xml:space="preserve"> al-</w:t>
      </w:r>
      <w:proofErr w:type="spellStart"/>
      <w:r w:rsidRPr="00EC77AC">
        <w:rPr>
          <w:rFonts w:asciiTheme="majorHAnsi" w:hAnsiTheme="majorHAnsi" w:cstheme="majorHAnsi"/>
          <w:i/>
          <w:iCs/>
          <w:sz w:val="24"/>
          <w:szCs w:val="24"/>
        </w:rPr>
        <w:t>shām</w:t>
      </w:r>
      <w:proofErr w:type="spellEnd"/>
      <w:r w:rsidRPr="00EC77AC">
        <w:rPr>
          <w:rFonts w:asciiTheme="majorHAnsi" w:hAnsiTheme="majorHAnsi" w:cstheme="majorHAnsi"/>
          <w:sz w:val="24"/>
          <w:szCs w:val="24"/>
        </w:rPr>
        <w:t xml:space="preserve">) and Egypt during the first decade of the 20th century. The initial debate arose in 1903 between </w:t>
      </w:r>
      <w:proofErr w:type="spellStart"/>
      <w:r w:rsidRPr="00EC77AC">
        <w:rPr>
          <w:rFonts w:asciiTheme="majorHAnsi" w:hAnsiTheme="majorHAnsi" w:cstheme="majorHAnsi"/>
          <w:sz w:val="24"/>
          <w:szCs w:val="24"/>
        </w:rPr>
        <w:t>ʿAzīz</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Khānkī</w:t>
      </w:r>
      <w:proofErr w:type="spellEnd"/>
      <w:r w:rsidRPr="00EC77AC">
        <w:rPr>
          <w:rFonts w:asciiTheme="majorHAnsi" w:hAnsiTheme="majorHAnsi" w:cstheme="majorHAnsi"/>
          <w:sz w:val="24"/>
          <w:szCs w:val="24"/>
        </w:rPr>
        <w:t xml:space="preserve"> and </w:t>
      </w:r>
      <w:proofErr w:type="spellStart"/>
      <w:r w:rsidRPr="00EC77AC">
        <w:rPr>
          <w:rFonts w:asciiTheme="majorHAnsi" w:hAnsiTheme="majorHAnsi" w:cstheme="majorHAnsi"/>
          <w:sz w:val="24"/>
          <w:szCs w:val="24"/>
        </w:rPr>
        <w:t>Rashīd</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Riḍā</w:t>
      </w:r>
      <w:proofErr w:type="spellEnd"/>
      <w:r w:rsidRPr="00EC77AC">
        <w:rPr>
          <w:rFonts w:asciiTheme="majorHAnsi" w:hAnsiTheme="majorHAnsi" w:cstheme="majorHAnsi"/>
          <w:sz w:val="24"/>
          <w:szCs w:val="24"/>
        </w:rPr>
        <w:t xml:space="preserve"> (d. 1935 CE) on the question, “Is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an Islamic institution?” as published in the </w:t>
      </w:r>
      <w:proofErr w:type="spellStart"/>
      <w:r w:rsidRPr="00EC77AC">
        <w:rPr>
          <w:rFonts w:asciiTheme="majorHAnsi" w:hAnsiTheme="majorHAnsi" w:cstheme="majorHAnsi"/>
          <w:i/>
          <w:iCs/>
          <w:sz w:val="24"/>
          <w:szCs w:val="24"/>
        </w:rPr>
        <w:t>Muqaṭṭan</w:t>
      </w:r>
      <w:proofErr w:type="spellEnd"/>
      <w:r w:rsidRPr="00EC77AC">
        <w:rPr>
          <w:rFonts w:asciiTheme="majorHAnsi" w:hAnsiTheme="majorHAnsi" w:cstheme="majorHAnsi"/>
          <w:sz w:val="24"/>
          <w:szCs w:val="24"/>
        </w:rPr>
        <w:t xml:space="preserve"> newspaper</w:t>
      </w:r>
      <w:r w:rsidR="003C4B3B">
        <w:rPr>
          <w:rFonts w:asciiTheme="majorHAnsi" w:hAnsiTheme="majorHAnsi" w:cstheme="majorHAnsi"/>
          <w:sz w:val="24"/>
          <w:szCs w:val="24"/>
        </w:rPr>
        <w:t xml:space="preserve"> </w:t>
      </w:r>
      <w:r w:rsidR="003C4B3B">
        <w:rPr>
          <w:rFonts w:asciiTheme="majorHAnsi" w:hAnsiTheme="majorHAnsi" w:cstheme="majorHAnsi"/>
          <w:sz w:val="24"/>
          <w:szCs w:val="24"/>
        </w:rPr>
        <w:fldChar w:fldCharType="begin" w:fldLock="1"/>
      </w:r>
      <w:r w:rsidR="003C4B3B">
        <w:rPr>
          <w:rFonts w:asciiTheme="majorHAnsi" w:hAnsiTheme="majorHAnsi" w:cstheme="majorHAnsi"/>
          <w:sz w:val="24"/>
          <w:szCs w:val="24"/>
        </w:rPr>
        <w:instrText>ADDIN CSL_CITATION {"citationItems":[{"id":"ITEM-1","itemData":{"abstract":".. , Stanford, CA: Hoover Institute on War, Revolution, and Peace, Stanford University, 1968.","author":[{"dropping-particle":"","family":"Ziadeh","given":"Farhat Jacob","non-dropping-particle":"","parse-names":false,"suffix":""}],"id":"ITEM-1","issued":{"date-parts":[["1968"]]},"publisher":"Hoover Institute on War, Revolution and Peace of Stanford University","publisher-place":"Stanford","title":"Lawyers, the Rule of Law, and Liberalism in Modern Egypt","type":"book"},"uris":["http://www.mendeley.com/documents/?uuid=ba4ea374-a3ab-4d48-a5f4-87c24145e9ff"]}],"mendeley":{"formattedCitation":"(Ziadeh, 1968)","plainTextFormattedCitation":"(Ziadeh, 1968)","previouslyFormattedCitation":"(Ziadeh, 1968)"},"properties":{"noteIndex":0},"schema":"https://github.com/citation-style-language/schema/raw/master/csl-citation.json"}</w:instrText>
      </w:r>
      <w:r w:rsidR="003C4B3B">
        <w:rPr>
          <w:rFonts w:asciiTheme="majorHAnsi" w:hAnsiTheme="majorHAnsi" w:cstheme="majorHAnsi"/>
          <w:sz w:val="24"/>
          <w:szCs w:val="24"/>
        </w:rPr>
        <w:fldChar w:fldCharType="separate"/>
      </w:r>
      <w:r w:rsidR="003C4B3B" w:rsidRPr="003C4B3B">
        <w:rPr>
          <w:rFonts w:asciiTheme="majorHAnsi" w:hAnsiTheme="majorHAnsi" w:cstheme="majorHAnsi"/>
          <w:noProof/>
          <w:sz w:val="24"/>
          <w:szCs w:val="24"/>
        </w:rPr>
        <w:t>(Ziadeh, 1968)</w:t>
      </w:r>
      <w:r w:rsidR="003C4B3B">
        <w:rPr>
          <w:rFonts w:asciiTheme="majorHAnsi" w:hAnsiTheme="majorHAnsi" w:cstheme="majorHAnsi"/>
          <w:sz w:val="24"/>
          <w:szCs w:val="24"/>
        </w:rPr>
        <w:fldChar w:fldCharType="end"/>
      </w:r>
      <w:r w:rsidRPr="00EC77AC">
        <w:rPr>
          <w:rFonts w:asciiTheme="majorHAnsi" w:hAnsiTheme="majorHAnsi" w:cstheme="majorHAnsi"/>
          <w:sz w:val="24"/>
          <w:szCs w:val="24"/>
        </w:rPr>
        <w:t>.</w:t>
      </w:r>
    </w:p>
    <w:p w14:paraId="605C66F2" w14:textId="77777777" w:rsidR="002764FF" w:rsidRDefault="009F7348"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In 1927, the debate reignited when the Egyptian Parliamentary Committee questioned whether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should be abolished. This debate eventually reached the press, becoming a heated public issue</w:t>
      </w:r>
      <w:r w:rsidR="003C4B3B">
        <w:rPr>
          <w:rFonts w:asciiTheme="majorHAnsi" w:hAnsiTheme="majorHAnsi" w:cstheme="majorHAnsi"/>
          <w:sz w:val="24"/>
          <w:szCs w:val="24"/>
        </w:rPr>
        <w:t xml:space="preserve"> </w:t>
      </w:r>
      <w:r w:rsidR="003C4B3B">
        <w:rPr>
          <w:rFonts w:asciiTheme="majorHAnsi" w:hAnsiTheme="majorHAnsi" w:cstheme="majorHAnsi"/>
          <w:sz w:val="24"/>
          <w:szCs w:val="24"/>
        </w:rPr>
        <w:fldChar w:fldCharType="begin" w:fldLock="1"/>
      </w:r>
      <w:r w:rsidR="00E42FC5">
        <w:rPr>
          <w:rFonts w:asciiTheme="majorHAnsi" w:hAnsiTheme="majorHAnsi" w:cstheme="majorHAnsi"/>
          <w:sz w:val="24"/>
          <w:szCs w:val="24"/>
        </w:rPr>
        <w:instrText>ADDIN CSL_CITATION {"citationItems":[{"id":"ITEM-1","itemData":{"author":[{"dropping-particle":"","family":"Sékaly","given":"Achille","non-dropping-particle":"","parse-names":false,"suffix":""}],"container-title":"Revue des Etudes Islamiques","id":"ITEM-1","issued":{"date-parts":[["1929"]]},"page":"78","publisher":"Librairie Orientaliste Paul Geuthne","publisher-place":"Paris","title":"Le problème des wakfs en Egypte","type":"chapter"},"uris":["http://www.mendeley.com/documents/?uuid=1f2712e5-cfae-4942-9e7f-307d7e2c26f4"]}],"mendeley":{"formattedCitation":"(Sékaly, 1929)","plainTextFormattedCitation":"(Sékaly, 1929)","previouslyFormattedCitation":"(Sékaly, 1929)"},"properties":{"noteIndex":0},"schema":"https://github.com/citation-style-language/schema/raw/master/csl-citation.json"}</w:instrText>
      </w:r>
      <w:r w:rsidR="003C4B3B">
        <w:rPr>
          <w:rFonts w:asciiTheme="majorHAnsi" w:hAnsiTheme="majorHAnsi" w:cstheme="majorHAnsi"/>
          <w:sz w:val="24"/>
          <w:szCs w:val="24"/>
        </w:rPr>
        <w:fldChar w:fldCharType="separate"/>
      </w:r>
      <w:r w:rsidR="003C4B3B" w:rsidRPr="003C4B3B">
        <w:rPr>
          <w:rFonts w:asciiTheme="majorHAnsi" w:hAnsiTheme="majorHAnsi" w:cstheme="majorHAnsi"/>
          <w:noProof/>
          <w:sz w:val="24"/>
          <w:szCs w:val="24"/>
        </w:rPr>
        <w:t>(Sékaly, 1929)</w:t>
      </w:r>
      <w:r w:rsidR="003C4B3B">
        <w:rPr>
          <w:rFonts w:asciiTheme="majorHAnsi" w:hAnsiTheme="majorHAnsi" w:cstheme="majorHAnsi"/>
          <w:sz w:val="24"/>
          <w:szCs w:val="24"/>
        </w:rPr>
        <w:fldChar w:fldCharType="end"/>
      </w:r>
      <w:r w:rsidRPr="00EC77AC">
        <w:rPr>
          <w:rFonts w:asciiTheme="majorHAnsi" w:hAnsiTheme="majorHAnsi" w:cstheme="majorHAnsi"/>
          <w:sz w:val="24"/>
          <w:szCs w:val="24"/>
        </w:rPr>
        <w:t>. Members of the Egyptian Parliament supported its abolition, but this stance was challenged by some scholars, particularly those from traditionalist groups.</w:t>
      </w:r>
    </w:p>
    <w:p w14:paraId="6DF5C61A" w14:textId="77777777" w:rsidR="002764FF" w:rsidRDefault="009F7348"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lastRenderedPageBreak/>
        <w:t xml:space="preserve">In the </w:t>
      </w:r>
      <w:r w:rsidRPr="00EC77AC">
        <w:rPr>
          <w:rFonts w:asciiTheme="majorHAnsi" w:hAnsiTheme="majorHAnsi" w:cstheme="majorHAnsi"/>
          <w:i/>
          <w:iCs/>
          <w:sz w:val="24"/>
          <w:szCs w:val="24"/>
        </w:rPr>
        <w:t>al-</w:t>
      </w:r>
      <w:proofErr w:type="spellStart"/>
      <w:r w:rsidRPr="00EC77AC">
        <w:rPr>
          <w:rFonts w:asciiTheme="majorHAnsi" w:hAnsiTheme="majorHAnsi" w:cstheme="majorHAnsi"/>
          <w:i/>
          <w:iCs/>
          <w:sz w:val="24"/>
          <w:szCs w:val="24"/>
        </w:rPr>
        <w:t>Manār</w:t>
      </w:r>
      <w:proofErr w:type="spellEnd"/>
      <w:r w:rsidRPr="00EC77AC">
        <w:rPr>
          <w:rFonts w:asciiTheme="majorHAnsi" w:hAnsiTheme="majorHAnsi" w:cstheme="majorHAnsi"/>
          <w:sz w:val="24"/>
          <w:szCs w:val="24"/>
        </w:rPr>
        <w:t xml:space="preserve"> magazine, </w:t>
      </w:r>
      <w:proofErr w:type="spellStart"/>
      <w:r w:rsidRPr="00EC77AC">
        <w:rPr>
          <w:rFonts w:asciiTheme="majorHAnsi" w:hAnsiTheme="majorHAnsi" w:cstheme="majorHAnsi"/>
          <w:sz w:val="24"/>
          <w:szCs w:val="24"/>
        </w:rPr>
        <w:t>Rashīd</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Riḍā</w:t>
      </w:r>
      <w:proofErr w:type="spellEnd"/>
      <w:r w:rsidRPr="00EC77AC">
        <w:rPr>
          <w:rFonts w:asciiTheme="majorHAnsi" w:hAnsiTheme="majorHAnsi" w:cstheme="majorHAnsi"/>
          <w:sz w:val="24"/>
          <w:szCs w:val="24"/>
        </w:rPr>
        <w:t xml:space="preserve"> also published the fatwa of </w:t>
      </w:r>
      <w:proofErr w:type="spellStart"/>
      <w:r w:rsidRPr="00EC77AC">
        <w:rPr>
          <w:rFonts w:asciiTheme="majorHAnsi" w:hAnsiTheme="majorHAnsi" w:cstheme="majorHAnsi"/>
          <w:sz w:val="24"/>
          <w:szCs w:val="24"/>
        </w:rPr>
        <w:t>Muḥammad</w:t>
      </w:r>
      <w:proofErr w:type="spellEnd"/>
      <w:r w:rsidRPr="00EC77AC">
        <w:rPr>
          <w:rFonts w:asciiTheme="majorHAnsi" w:hAnsiTheme="majorHAnsi" w:cstheme="majorHAnsi"/>
          <w:sz w:val="24"/>
          <w:szCs w:val="24"/>
        </w:rPr>
        <w:t xml:space="preserve"> ibn ‘Abd al-</w:t>
      </w:r>
      <w:proofErr w:type="spellStart"/>
      <w:r w:rsidRPr="00EC77AC">
        <w:rPr>
          <w:rFonts w:asciiTheme="majorHAnsi" w:hAnsiTheme="majorHAnsi" w:cstheme="majorHAnsi"/>
          <w:sz w:val="24"/>
          <w:szCs w:val="24"/>
        </w:rPr>
        <w:t>Wahhāb</w:t>
      </w:r>
      <w:proofErr w:type="spellEnd"/>
      <w:r w:rsidRPr="00EC77AC">
        <w:rPr>
          <w:rFonts w:asciiTheme="majorHAnsi" w:hAnsiTheme="majorHAnsi" w:cstheme="majorHAnsi"/>
          <w:sz w:val="24"/>
          <w:szCs w:val="24"/>
        </w:rPr>
        <w:t xml:space="preserve"> (d. 1792 CE), which considered family waqf as </w:t>
      </w:r>
      <w:proofErr w:type="spellStart"/>
      <w:r w:rsidRPr="00EC77AC">
        <w:rPr>
          <w:rFonts w:asciiTheme="majorHAnsi" w:hAnsiTheme="majorHAnsi" w:cstheme="majorHAnsi"/>
          <w:i/>
          <w:iCs/>
          <w:sz w:val="24"/>
          <w:szCs w:val="24"/>
        </w:rPr>
        <w:t>bid’ah</w:t>
      </w:r>
      <w:proofErr w:type="spellEnd"/>
      <w:r w:rsidR="003C4B3B">
        <w:rPr>
          <w:rFonts w:asciiTheme="majorHAnsi" w:hAnsiTheme="majorHAnsi" w:cstheme="majorHAnsi"/>
          <w:sz w:val="24"/>
          <w:szCs w:val="24"/>
        </w:rPr>
        <w:t xml:space="preserve"> </w:t>
      </w:r>
      <w:r w:rsidR="003C4B3B"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{"citationItems":[{"id":"ITEM-1","itemData":{"DOI":"https://shamela.ws/book/6947/3854","author":[{"dropping-particle":"","family":"Al-Wahhāb","given":"Muḥammad ibn ‘Abd","non-dropping-particle":"","parse-names":false,"suffix":""}],"container-title":"Majallah al-Manār","editor":[{"dropping-particle":"","family":"Riḍā","given":"Muḥammad Rashīd","non-dropping-particle":"","parse-names":false,"suffix":""}],"id":"ITEM-1","issued":{"date-parts":[["0"]]},"page":"36","title":"Ibṭāl al-Waqf al-Ahlī","type":"article-journal","volume":"29"},"uris":["http://www.mendeley.com/documents/?uuid=2338116b-1d14-463c-96fe-e43dc0692d51","http://www.mendeley.com/documents/?uuid=91051f3c-e0a2-4e1b-bbef-47ee20891eb0"]}],"mendeley":{"formattedCitation":"(Al-Wahhāb, n.d.)","plainTextFormattedCitation":"(Al-Wahhāb, n.d.)","previouslyFormattedCitation":"(Al-Wahhāb, n.d.)"},"properties":{"noteIndex":0},"schema":"https://github.com/citation-style-language/schema/raw/master/csl-citation.json"}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(Al-Wahhāb, n.d.)</w:t>
      </w:r>
      <w:r w:rsidR="003C4B3B" w:rsidRPr="00CE509C">
        <w:rPr>
          <w:rFonts w:ascii="Calibri Light" w:hAnsi="Calibri Light" w:cs="Calibri Light"/>
          <w:sz w:val="24"/>
          <w:szCs w:val="24"/>
          <w:lang w:val="id-ID"/>
        </w:rPr>
        <w:fldChar w:fldCharType="end"/>
      </w:r>
      <w:r w:rsidR="003C4B3B" w:rsidRPr="00CE509C">
        <w:rPr>
          <w:rFonts w:ascii="Calibri Light" w:hAnsi="Calibri Light" w:cs="Calibri Light"/>
          <w:sz w:val="24"/>
          <w:szCs w:val="24"/>
          <w:lang w:val="id-ID"/>
        </w:rPr>
        <w:t>.</w:t>
      </w:r>
      <w:r w:rsidRPr="00EC77AC">
        <w:rPr>
          <w:rFonts w:asciiTheme="majorHAnsi" w:hAnsiTheme="majorHAnsi" w:cstheme="majorHAnsi"/>
          <w:sz w:val="24"/>
          <w:szCs w:val="24"/>
        </w:rPr>
        <w:t xml:space="preserve"> About ten years later, this opinion was supported by Shaykh </w:t>
      </w:r>
      <w:proofErr w:type="spellStart"/>
      <w:r w:rsidRPr="00EC77AC">
        <w:rPr>
          <w:rFonts w:asciiTheme="majorHAnsi" w:hAnsiTheme="majorHAnsi" w:cstheme="majorHAnsi"/>
          <w:sz w:val="24"/>
          <w:szCs w:val="24"/>
        </w:rPr>
        <w:t>Rāmiz</w:t>
      </w:r>
      <w:proofErr w:type="spellEnd"/>
      <w:r w:rsidRPr="00EC77AC">
        <w:rPr>
          <w:rFonts w:asciiTheme="majorHAnsi" w:hAnsiTheme="majorHAnsi" w:cstheme="majorHAnsi"/>
          <w:sz w:val="24"/>
          <w:szCs w:val="24"/>
        </w:rPr>
        <w:t xml:space="preserve"> Malak, a scholar from Tripoli </w:t>
      </w:r>
      <w:r w:rsidR="003C4B3B"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{"citationItems":[{"id":"ITEM-1","itemData":{"author":[{"dropping-particle":"","family":"Malak","given":"Rāmiz","non-dropping-particle":"","parse-names":false,"suffix":""}],"id":"ITEM-1","issued":{"date-parts":[["1938"]]},"publisher":"Maṭbaʿat al-Liwā’","publisher-place":"Tripoli","title":"Risālah Ḥawl Irjāʿ al-Awqāf al-Dhurriyyah Milkan","type":"book"},"uris":["http://www.mendeley.com/documents/?uuid=b8e591f3-e1ac-4ccd-a7bb-e49e210ce0ea","http://www.mendeley.com/documents/?uuid=fc7f8d9f-03b7-42e5-af51-e0a398892e8a"]},{"id":"ITEM-2","itemData":{"author":[{"dropping-particle":"","family":"Malak","given":"Rāmiz","non-dropping-particle":"","parse-names":false,"suffix":""}],"id":"ITEM-2","issued":{"date-parts":[["1939"]]},"publisher":"Maṭbaʿat al-Liwā’","publisher-place":"Tripoli","title":"Naẓrah fīmā Jā’a fī Naqḍ Jamʿiyyat al-ʿUlamā’ bi-Dimashq li-Bayān Mudīriyyat al-Awqāf Ḥawl Bayʿ al-Waqf al-Dhurrī","type":"book"},"uris":["http://www.mendeley.com/documents/?uuid=25aa1441-2f8f-45fd-ba5e-2ec750daf7c3","http://www.mendeley.com/documents/?uuid=7a27bc59-336f-4946-a6e3-69e887f0b84a","http://www.mendeley.com/documents/?uuid=78114d3d-a162-4fa2-8564-c9f60a4cf6fe"]},{"id":"ITEM-3","itemData":{"author":[{"dropping-particle":"","family":"Malak","given":"Rāmiz","non-dropping-particle":"","parse-names":false,"suffix":""}],"id":"ITEM-3","issued":{"date-parts":[["1939"]]},"publisher":"Maṭbaʿat al-Liwā’","publisher-place":"Tripoli","title":"Ra’y Faḍīlat Shaykh al-Azhar fī al-Awqāf al-Dhurriyyah","type":"book"},"uris":["http://www.mendeley.com/documents/?uuid=291b0f11-6dca-4aa1-8240-dfee3dd1c282","http://www.mendeley.com/documents/?uuid=7a6c1850-c5d0-4073-a73e-a0ed09ccafa5","http://www.mendeley.com/documents/?uuid=a666f378-7e4a-4fa6-ba51-4fb8040e4266"]}],"mendeley":{"formattedCitation":"(Malak, 1938, 1939a, 1939b)","plainTextFormattedCitation":"(Malak, 1938, 1939a, 1939b)","previouslyFormattedCitation":"(Malak, 1938, 1939a, 1939b)"},"properties":{"noteIndex":0},"schema":"https://github.com/citation-style-language/schema/raw/master/csl-citation.json"}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CE509C">
        <w:rPr>
          <w:rFonts w:ascii="Calibri Light" w:hAnsi="Calibri Light" w:cs="Calibri Light"/>
          <w:noProof/>
          <w:sz w:val="24"/>
          <w:szCs w:val="24"/>
          <w:lang w:val="id-ID"/>
        </w:rPr>
        <w:t>(Malak, 1938, 1939a, 1939b)</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xml:space="preserve">. Furthermore, he emerged as one of the leading intellectuals advocating for the abolition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in Syrian law (</w:t>
      </w:r>
      <w:proofErr w:type="spellStart"/>
      <w:r w:rsidRPr="00EC77AC">
        <w:rPr>
          <w:rFonts w:asciiTheme="majorHAnsi" w:hAnsiTheme="majorHAnsi" w:cstheme="majorHAnsi"/>
          <w:sz w:val="24"/>
          <w:szCs w:val="24"/>
        </w:rPr>
        <w:t>Moumtaz</w:t>
      </w:r>
      <w:proofErr w:type="spellEnd"/>
      <w:r w:rsidRPr="00EC77AC">
        <w:rPr>
          <w:rFonts w:asciiTheme="majorHAnsi" w:hAnsiTheme="majorHAnsi" w:cstheme="majorHAnsi"/>
          <w:sz w:val="24"/>
          <w:szCs w:val="24"/>
        </w:rPr>
        <w:t>, 2018, pp. 46–47).</w:t>
      </w:r>
    </w:p>
    <w:p w14:paraId="42A3819E" w14:textId="4273C267" w:rsidR="004649AC" w:rsidRPr="00EC77AC"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After </w:t>
      </w:r>
      <w:proofErr w:type="spellStart"/>
      <w:r w:rsidRPr="00EC77AC">
        <w:rPr>
          <w:rFonts w:asciiTheme="majorHAnsi" w:hAnsiTheme="majorHAnsi" w:cstheme="majorHAnsi"/>
          <w:sz w:val="24"/>
          <w:szCs w:val="24"/>
        </w:rPr>
        <w:t>Muḥammad</w:t>
      </w:r>
      <w:proofErr w:type="spellEnd"/>
      <w:r w:rsidRPr="00EC77AC">
        <w:rPr>
          <w:rFonts w:asciiTheme="majorHAnsi" w:hAnsiTheme="majorHAnsi" w:cstheme="majorHAnsi"/>
          <w:sz w:val="24"/>
          <w:szCs w:val="24"/>
        </w:rPr>
        <w:t xml:space="preserve"> ibn ‘Abd al-</w:t>
      </w:r>
      <w:proofErr w:type="spellStart"/>
      <w:r w:rsidRPr="00EC77AC">
        <w:rPr>
          <w:rFonts w:asciiTheme="majorHAnsi" w:hAnsiTheme="majorHAnsi" w:cstheme="majorHAnsi"/>
          <w:sz w:val="24"/>
          <w:szCs w:val="24"/>
        </w:rPr>
        <w:t>Wahhāb's</w:t>
      </w:r>
      <w:proofErr w:type="spellEnd"/>
      <w:r w:rsidRPr="00EC77AC">
        <w:rPr>
          <w:rFonts w:asciiTheme="majorHAnsi" w:hAnsiTheme="majorHAnsi" w:cstheme="majorHAnsi"/>
          <w:sz w:val="24"/>
          <w:szCs w:val="24"/>
        </w:rPr>
        <w:t xml:space="preserve"> fatwa was published in the </w:t>
      </w:r>
      <w:r w:rsidRPr="00EC77AC">
        <w:rPr>
          <w:rFonts w:asciiTheme="majorHAnsi" w:hAnsiTheme="majorHAnsi" w:cstheme="majorHAnsi"/>
          <w:i/>
          <w:iCs/>
          <w:sz w:val="24"/>
          <w:szCs w:val="24"/>
        </w:rPr>
        <w:t>al-</w:t>
      </w:r>
      <w:proofErr w:type="spellStart"/>
      <w:r w:rsidRPr="00EC77AC">
        <w:rPr>
          <w:rFonts w:asciiTheme="majorHAnsi" w:hAnsiTheme="majorHAnsi" w:cstheme="majorHAnsi"/>
          <w:i/>
          <w:iCs/>
          <w:sz w:val="24"/>
          <w:szCs w:val="24"/>
        </w:rPr>
        <w:t>Manār</w:t>
      </w:r>
      <w:proofErr w:type="spellEnd"/>
      <w:r w:rsidRPr="00EC77AC">
        <w:rPr>
          <w:rFonts w:asciiTheme="majorHAnsi" w:hAnsiTheme="majorHAnsi" w:cstheme="majorHAnsi"/>
          <w:sz w:val="24"/>
          <w:szCs w:val="24"/>
        </w:rPr>
        <w:t xml:space="preserve"> magazine and the issue of abolishing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gained momentum, approximately one year later, in Muharram 1347 AH/June 1928 CE, Shaykh </w:t>
      </w:r>
      <w:proofErr w:type="spellStart"/>
      <w:r w:rsidRPr="00EC77AC">
        <w:rPr>
          <w:rFonts w:asciiTheme="majorHAnsi" w:hAnsiTheme="majorHAnsi" w:cstheme="majorHAnsi"/>
          <w:sz w:val="24"/>
          <w:szCs w:val="24"/>
        </w:rPr>
        <w:t>Ḥasanayn</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Makhlūf</w:t>
      </w:r>
      <w:proofErr w:type="spellEnd"/>
      <w:r w:rsidRPr="00EC77AC">
        <w:rPr>
          <w:rFonts w:asciiTheme="majorHAnsi" w:hAnsiTheme="majorHAnsi" w:cstheme="majorHAnsi"/>
          <w:sz w:val="24"/>
          <w:szCs w:val="24"/>
        </w:rPr>
        <w:t xml:space="preserve"> (d. 1990 CE), a prominent scholar of al-Azhar and Chief Justice of Egypt, published his book </w:t>
      </w:r>
      <w:proofErr w:type="spellStart"/>
      <w:r w:rsidRPr="00EC77AC">
        <w:rPr>
          <w:rFonts w:asciiTheme="majorHAnsi" w:hAnsiTheme="majorHAnsi" w:cstheme="majorHAnsi"/>
          <w:i/>
          <w:iCs/>
          <w:sz w:val="24"/>
          <w:szCs w:val="24"/>
        </w:rPr>
        <w:t>Manhaj</w:t>
      </w:r>
      <w:proofErr w:type="spellEnd"/>
      <w:r w:rsidRPr="00EC77AC">
        <w:rPr>
          <w:rFonts w:asciiTheme="majorHAnsi" w:hAnsiTheme="majorHAnsi" w:cstheme="majorHAnsi"/>
          <w:i/>
          <w:iCs/>
          <w:sz w:val="24"/>
          <w:szCs w:val="24"/>
        </w:rPr>
        <w:t xml:space="preserve"> al-</w:t>
      </w:r>
      <w:proofErr w:type="spellStart"/>
      <w:r w:rsidRPr="00EC77AC">
        <w:rPr>
          <w:rFonts w:asciiTheme="majorHAnsi" w:hAnsiTheme="majorHAnsi" w:cstheme="majorHAnsi"/>
          <w:i/>
          <w:iCs/>
          <w:sz w:val="24"/>
          <w:szCs w:val="24"/>
        </w:rPr>
        <w:t>Yaqīn</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fī</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Bayān</w:t>
      </w:r>
      <w:proofErr w:type="spellEnd"/>
      <w:r w:rsidRPr="00EC77AC">
        <w:rPr>
          <w:rFonts w:asciiTheme="majorHAnsi" w:hAnsiTheme="majorHAnsi" w:cstheme="majorHAnsi"/>
          <w:i/>
          <w:iCs/>
          <w:sz w:val="24"/>
          <w:szCs w:val="24"/>
        </w:rPr>
        <w:t xml:space="preserve"> anna al-Waqf al-</w:t>
      </w:r>
      <w:proofErr w:type="spellStart"/>
      <w:r w:rsidRPr="00EC77AC">
        <w:rPr>
          <w:rFonts w:asciiTheme="majorHAnsi" w:hAnsiTheme="majorHAnsi" w:cstheme="majorHAnsi"/>
          <w:i/>
          <w:iCs/>
          <w:sz w:val="24"/>
          <w:szCs w:val="24"/>
        </w:rPr>
        <w:t>Ahlī</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min</w:t>
      </w:r>
      <w:proofErr w:type="spellEnd"/>
      <w:r w:rsidRPr="00EC77AC">
        <w:rPr>
          <w:rFonts w:asciiTheme="majorHAnsi" w:hAnsiTheme="majorHAnsi" w:cstheme="majorHAnsi"/>
          <w:i/>
          <w:iCs/>
          <w:sz w:val="24"/>
          <w:szCs w:val="24"/>
        </w:rPr>
        <w:t xml:space="preserve"> al-</w:t>
      </w:r>
      <w:proofErr w:type="spellStart"/>
      <w:r w:rsidRPr="00EC77AC">
        <w:rPr>
          <w:rFonts w:asciiTheme="majorHAnsi" w:hAnsiTheme="majorHAnsi" w:cstheme="majorHAnsi"/>
          <w:i/>
          <w:iCs/>
          <w:sz w:val="24"/>
          <w:szCs w:val="24"/>
        </w:rPr>
        <w:t>Dīn</w:t>
      </w:r>
      <w:proofErr w:type="spellEnd"/>
      <w:r w:rsidRPr="00EC77AC">
        <w:rPr>
          <w:rFonts w:asciiTheme="majorHAnsi" w:hAnsiTheme="majorHAnsi" w:cstheme="majorHAnsi"/>
          <w:sz w:val="24"/>
          <w:szCs w:val="24"/>
        </w:rPr>
        <w:t xml:space="preserve">. According to him,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is part of the religion and its validity has been widely accepted by scholars. Even if there are flaws in its implementation, this does not mean it should be abolished; instead, its management must be improved </w:t>
      </w:r>
      <w:r w:rsidR="003C4B3B" w:rsidRPr="00CE509C">
        <w:rPr>
          <w:rFonts w:ascii="Calibri Light" w:hAnsi="Calibri Light" w:cs="Calibri Light"/>
          <w:sz w:val="24"/>
          <w:szCs w:val="24"/>
          <w:lang w:val="id-ID"/>
        </w:rPr>
        <w:fldChar w:fldCharType="begin" w:fldLock="1"/>
      </w:r>
      <w:r w:rsidR="00F54E80">
        <w:rPr>
          <w:rFonts w:ascii="Calibri Light" w:hAnsi="Calibri Light" w:cs="Calibri Light"/>
          <w:sz w:val="24"/>
          <w:szCs w:val="24"/>
          <w:lang w:val="id-ID"/>
        </w:rPr>
        <w:instrText>ADDIN CSL_CITATION {"citationItems":[{"id":"ITEM-1","itemData":{"author":[{"dropping-particle":"","family":"Makhlūf","given":"Muḥammad Ḥasanain","non-dropping-particle":"","parse-names":false,"suffix":""}],"id":"ITEM-1","issued":{"date-parts":[["1951"]]},"publisher":"Muṣṭafā li Bābī al-Ḥalabī","publisher-place":"Kairo","title":"Manhaj al-Yaqīn fi Bayān anna al-Waqf al-Ahlī min al-Dīn","type":"book"},"uris":["http://www.mendeley.com/documents/?uuid=1a064a4c-5447-4464-b6f4-d14a703cb27a","http://www.mendeley.com/documents/?uuid=47ff366b-d4f3-4866-ab1a-29e862b9f012"]}],"mendeley":{"formattedCitation":"(Makhlūf, 1951)","plainTextFormattedCitation":"(Makhlūf, 1951)","previouslyFormattedCitation":"(Makhlūf, 1951)"},"properties":{"noteIndex":0},"schema":"https://github.com/citation-style-language/schema/raw/master/csl-citation.json"}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6241FE" w:rsidRPr="006241FE">
        <w:rPr>
          <w:rFonts w:ascii="Calibri Light" w:hAnsi="Calibri Light" w:cs="Calibri Light"/>
          <w:noProof/>
          <w:sz w:val="24"/>
          <w:szCs w:val="24"/>
          <w:lang w:val="id-ID"/>
        </w:rPr>
        <w:t>(Makhlūf, 1951)</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5000B37F" w14:textId="77777777" w:rsidR="005A62F6"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Three years earlier, Shaykh </w:t>
      </w:r>
      <w:proofErr w:type="spellStart"/>
      <w:r w:rsidRPr="00EC77AC">
        <w:rPr>
          <w:rFonts w:asciiTheme="majorHAnsi" w:hAnsiTheme="majorHAnsi" w:cstheme="majorHAnsi"/>
          <w:sz w:val="24"/>
          <w:szCs w:val="24"/>
        </w:rPr>
        <w:t>Muṣṭafā</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Aḥmad</w:t>
      </w:r>
      <w:proofErr w:type="spellEnd"/>
      <w:r w:rsidRPr="00EC77AC">
        <w:rPr>
          <w:rFonts w:asciiTheme="majorHAnsi" w:hAnsiTheme="majorHAnsi" w:cstheme="majorHAnsi"/>
          <w:sz w:val="24"/>
          <w:szCs w:val="24"/>
        </w:rPr>
        <w:t xml:space="preserve"> Al-</w:t>
      </w:r>
      <w:proofErr w:type="spellStart"/>
      <w:r w:rsidRPr="00EC77AC">
        <w:rPr>
          <w:rFonts w:asciiTheme="majorHAnsi" w:hAnsiTheme="majorHAnsi" w:cstheme="majorHAnsi"/>
          <w:sz w:val="24"/>
          <w:szCs w:val="24"/>
        </w:rPr>
        <w:t>Zarqā</w:t>
      </w:r>
      <w:proofErr w:type="spellEnd"/>
      <w:r w:rsidRPr="00EC77AC">
        <w:rPr>
          <w:rFonts w:asciiTheme="majorHAnsi" w:hAnsiTheme="majorHAnsi" w:cstheme="majorHAnsi"/>
          <w:sz w:val="24"/>
          <w:szCs w:val="24"/>
        </w:rPr>
        <w:t xml:space="preserve">’ (d. 1999 CE) also refuted the view that negates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as part of religion through his work, </w:t>
      </w:r>
      <w:r w:rsidRPr="00EC77AC">
        <w:rPr>
          <w:rFonts w:asciiTheme="majorHAnsi" w:hAnsiTheme="majorHAnsi" w:cstheme="majorHAnsi"/>
          <w:i/>
          <w:iCs/>
          <w:sz w:val="24"/>
          <w:szCs w:val="24"/>
        </w:rPr>
        <w:t>al-Shams al-</w:t>
      </w:r>
      <w:proofErr w:type="spellStart"/>
      <w:r w:rsidRPr="00EC77AC">
        <w:rPr>
          <w:rFonts w:asciiTheme="majorHAnsi" w:hAnsiTheme="majorHAnsi" w:cstheme="majorHAnsi"/>
          <w:i/>
          <w:iCs/>
          <w:sz w:val="24"/>
          <w:szCs w:val="24"/>
        </w:rPr>
        <w:t>Jaliyyah</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fī</w:t>
      </w:r>
      <w:proofErr w:type="spellEnd"/>
      <w:r w:rsidRPr="00EC77AC">
        <w:rPr>
          <w:rFonts w:asciiTheme="majorHAnsi" w:hAnsiTheme="majorHAnsi" w:cstheme="majorHAnsi"/>
          <w:i/>
          <w:iCs/>
          <w:sz w:val="24"/>
          <w:szCs w:val="24"/>
        </w:rPr>
        <w:t xml:space="preserve"> al-Rad ‘</w:t>
      </w:r>
      <w:proofErr w:type="spellStart"/>
      <w:r w:rsidRPr="00EC77AC">
        <w:rPr>
          <w:rFonts w:asciiTheme="majorHAnsi" w:hAnsiTheme="majorHAnsi" w:cstheme="majorHAnsi"/>
          <w:i/>
          <w:iCs/>
          <w:sz w:val="24"/>
          <w:szCs w:val="24"/>
        </w:rPr>
        <w:t>alā</w:t>
      </w:r>
      <w:proofErr w:type="spellEnd"/>
      <w:r w:rsidRPr="00EC77AC">
        <w:rPr>
          <w:rFonts w:asciiTheme="majorHAnsi" w:hAnsiTheme="majorHAnsi" w:cstheme="majorHAnsi"/>
          <w:i/>
          <w:iCs/>
          <w:sz w:val="24"/>
          <w:szCs w:val="24"/>
        </w:rPr>
        <w:t xml:space="preserve"> man </w:t>
      </w:r>
      <w:proofErr w:type="spellStart"/>
      <w:r w:rsidRPr="00EC77AC">
        <w:rPr>
          <w:rFonts w:asciiTheme="majorHAnsi" w:hAnsiTheme="majorHAnsi" w:cstheme="majorHAnsi"/>
          <w:i/>
          <w:iCs/>
          <w:sz w:val="24"/>
          <w:szCs w:val="24"/>
        </w:rPr>
        <w:t>Uftiyā</w:t>
      </w:r>
      <w:proofErr w:type="spellEnd"/>
      <w:r w:rsidRPr="00EC77AC">
        <w:rPr>
          <w:rFonts w:asciiTheme="majorHAnsi" w:hAnsiTheme="majorHAnsi" w:cstheme="majorHAnsi"/>
          <w:i/>
          <w:iCs/>
          <w:sz w:val="24"/>
          <w:szCs w:val="24"/>
        </w:rPr>
        <w:t xml:space="preserve"> bi </w:t>
      </w:r>
      <w:proofErr w:type="spellStart"/>
      <w:r w:rsidRPr="00EC77AC">
        <w:rPr>
          <w:rFonts w:asciiTheme="majorHAnsi" w:hAnsiTheme="majorHAnsi" w:cstheme="majorHAnsi"/>
          <w:i/>
          <w:iCs/>
          <w:sz w:val="24"/>
          <w:szCs w:val="24"/>
        </w:rPr>
        <w:t>Buṭlān</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Awqāf</w:t>
      </w:r>
      <w:proofErr w:type="spellEnd"/>
      <w:r w:rsidRPr="00EC77AC">
        <w:rPr>
          <w:rFonts w:asciiTheme="majorHAnsi" w:hAnsiTheme="majorHAnsi" w:cstheme="majorHAnsi"/>
          <w:i/>
          <w:iCs/>
          <w:sz w:val="24"/>
          <w:szCs w:val="24"/>
        </w:rPr>
        <w:t xml:space="preserve"> al-</w:t>
      </w:r>
      <w:proofErr w:type="spellStart"/>
      <w:r w:rsidRPr="00EC77AC">
        <w:rPr>
          <w:rFonts w:asciiTheme="majorHAnsi" w:hAnsiTheme="majorHAnsi" w:cstheme="majorHAnsi"/>
          <w:i/>
          <w:iCs/>
          <w:sz w:val="24"/>
          <w:szCs w:val="24"/>
        </w:rPr>
        <w:t>Dhurriyyah</w:t>
      </w:r>
      <w:proofErr w:type="spellEnd"/>
      <w:r w:rsidRPr="00EC77AC">
        <w:rPr>
          <w:rFonts w:asciiTheme="majorHAnsi" w:hAnsiTheme="majorHAnsi" w:cstheme="majorHAnsi"/>
          <w:sz w:val="24"/>
          <w:szCs w:val="24"/>
        </w:rPr>
        <w:t xml:space="preserve">. This work was directed at those who issued a fatwa declaring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invalid in religion. According to him,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is part of religion. If there are flaws in its implementation, the system should be corrected rather than abolished entirely, as what is needed is the improvement of its management, handled institutionally with strict requirements</w:t>
      </w:r>
      <w:r w:rsidR="003C4B3B">
        <w:rPr>
          <w:rFonts w:asciiTheme="majorHAnsi" w:hAnsiTheme="majorHAnsi" w:cstheme="majorHAnsi"/>
          <w:sz w:val="24"/>
          <w:szCs w:val="24"/>
        </w:rPr>
        <w:t xml:space="preserve"> </w:t>
      </w:r>
      <w:r w:rsidR="003C4B3B"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{"citationItems":[{"id":"ITEM-1","itemData":{"abstract":", , (Aleppo: , 1344 H), h. 33.","author":[{"dropping-particle":"","family":"Al-Zarqā'","given":"Muṣṭafā Aḥmad","non-dropping-particle":"","parse-names":false,"suffix":""}],"id":"ITEM-1","issued":{"date-parts":[["1344"]]},"publisher":"al-Maṭbaʻah al- ʻIlmiyyah","publisher-place":"Aleppo","title":"al-Shams al-Jāliyyah fī al-Rad ‘alā Man Uftiyā bi Buṭlān Awqāf al-Dhurriyyah","type":"book"},"uris":["http://www.mendeley.com/documents/?uuid=f22845b6-4762-4061-83ef-d50af7e1fed8","http://www.mendeley.com/documents/?uuid=384a3945-4fe2-4b8c-8a3e-964dd2bf59ce"]}],"mendeley":{"formattedCitation":"(Al-Zarqā’, 1344)","plainTextFormattedCitation":"(Al-Zarqā’, 1344)","previouslyFormattedCitation":"(Al-Zarqā’, 1344)"},"properties":{"noteIndex":0},"schema":"https://github.com/citation-style-language/schema/raw/master/csl-citation.json"}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(Al-Zarqā’, 1344)</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1EC1134E" w14:textId="77777777" w:rsidR="005A62F6"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Meanwhile, the views of Shaykh </w:t>
      </w:r>
      <w:proofErr w:type="spellStart"/>
      <w:r w:rsidRPr="00EC77AC">
        <w:rPr>
          <w:rFonts w:asciiTheme="majorHAnsi" w:hAnsiTheme="majorHAnsi" w:cstheme="majorHAnsi"/>
          <w:sz w:val="24"/>
          <w:szCs w:val="24"/>
        </w:rPr>
        <w:t>Rāmiz</w:t>
      </w:r>
      <w:proofErr w:type="spellEnd"/>
      <w:r w:rsidRPr="00EC77AC">
        <w:rPr>
          <w:rFonts w:asciiTheme="majorHAnsi" w:hAnsiTheme="majorHAnsi" w:cstheme="majorHAnsi"/>
          <w:sz w:val="24"/>
          <w:szCs w:val="24"/>
        </w:rPr>
        <w:t xml:space="preserve"> Malak were countered by the </w:t>
      </w:r>
      <w:proofErr w:type="spellStart"/>
      <w:r w:rsidRPr="00EC77AC">
        <w:rPr>
          <w:rFonts w:asciiTheme="majorHAnsi" w:hAnsiTheme="majorHAnsi" w:cstheme="majorHAnsi"/>
          <w:i/>
          <w:iCs/>
          <w:sz w:val="24"/>
          <w:szCs w:val="24"/>
        </w:rPr>
        <w:t>Jamʿiyyat</w:t>
      </w:r>
      <w:proofErr w:type="spellEnd"/>
      <w:r w:rsidRPr="00EC77AC">
        <w:rPr>
          <w:rFonts w:asciiTheme="majorHAnsi" w:hAnsiTheme="majorHAnsi" w:cstheme="majorHAnsi"/>
          <w:i/>
          <w:iCs/>
          <w:sz w:val="24"/>
          <w:szCs w:val="24"/>
        </w:rPr>
        <w:t xml:space="preserve"> al-</w:t>
      </w:r>
      <w:proofErr w:type="spellStart"/>
      <w:r w:rsidRPr="00EC77AC">
        <w:rPr>
          <w:rFonts w:asciiTheme="majorHAnsi" w:hAnsiTheme="majorHAnsi" w:cstheme="majorHAnsi"/>
          <w:i/>
          <w:iCs/>
          <w:sz w:val="24"/>
          <w:szCs w:val="24"/>
        </w:rPr>
        <w:t>ʿUlamāʾ</w:t>
      </w:r>
      <w:proofErr w:type="spellEnd"/>
      <w:r w:rsidRPr="00EC77AC">
        <w:rPr>
          <w:rFonts w:asciiTheme="majorHAnsi" w:hAnsiTheme="majorHAnsi" w:cstheme="majorHAnsi"/>
          <w:i/>
          <w:iCs/>
          <w:sz w:val="24"/>
          <w:szCs w:val="24"/>
        </w:rPr>
        <w:t xml:space="preserve"> bi-Dimashq</w:t>
      </w:r>
      <w:r w:rsidRPr="00EC77AC">
        <w:rPr>
          <w:rFonts w:asciiTheme="majorHAnsi" w:hAnsiTheme="majorHAnsi" w:cstheme="majorHAnsi"/>
          <w:sz w:val="24"/>
          <w:szCs w:val="24"/>
        </w:rPr>
        <w:t xml:space="preserve"> (Association of Scholars in Damascus), which published their work </w:t>
      </w:r>
      <w:proofErr w:type="spellStart"/>
      <w:r w:rsidRPr="00EC77AC">
        <w:rPr>
          <w:rFonts w:asciiTheme="majorHAnsi" w:hAnsiTheme="majorHAnsi" w:cstheme="majorHAnsi"/>
          <w:i/>
          <w:iCs/>
          <w:sz w:val="24"/>
          <w:szCs w:val="24"/>
        </w:rPr>
        <w:t>Risālah</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Jamʿiyyat</w:t>
      </w:r>
      <w:proofErr w:type="spellEnd"/>
      <w:r w:rsidRPr="00EC77AC">
        <w:rPr>
          <w:rFonts w:asciiTheme="majorHAnsi" w:hAnsiTheme="majorHAnsi" w:cstheme="majorHAnsi"/>
          <w:i/>
          <w:iCs/>
          <w:sz w:val="24"/>
          <w:szCs w:val="24"/>
        </w:rPr>
        <w:t xml:space="preserve"> al-‘</w:t>
      </w:r>
      <w:proofErr w:type="spellStart"/>
      <w:r w:rsidRPr="00EC77AC">
        <w:rPr>
          <w:rFonts w:asciiTheme="majorHAnsi" w:hAnsiTheme="majorHAnsi" w:cstheme="majorHAnsi"/>
          <w:i/>
          <w:iCs/>
          <w:sz w:val="24"/>
          <w:szCs w:val="24"/>
        </w:rPr>
        <w:t>Ulamā</w:t>
      </w:r>
      <w:proofErr w:type="spellEnd"/>
      <w:r w:rsidRPr="00EC77AC">
        <w:rPr>
          <w:rFonts w:asciiTheme="majorHAnsi" w:hAnsiTheme="majorHAnsi" w:cstheme="majorHAnsi"/>
          <w:i/>
          <w:iCs/>
          <w:sz w:val="24"/>
          <w:szCs w:val="24"/>
        </w:rPr>
        <w:t xml:space="preserve">’ bi Dimashq </w:t>
      </w:r>
      <w:proofErr w:type="spellStart"/>
      <w:r w:rsidRPr="00EC77AC">
        <w:rPr>
          <w:rFonts w:asciiTheme="majorHAnsi" w:hAnsiTheme="majorHAnsi" w:cstheme="majorHAnsi"/>
          <w:i/>
          <w:iCs/>
          <w:sz w:val="24"/>
          <w:szCs w:val="24"/>
        </w:rPr>
        <w:t>fī</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Ibṭāl</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Risālah</w:t>
      </w:r>
      <w:proofErr w:type="spellEnd"/>
      <w:r w:rsidRPr="00EC77AC">
        <w:rPr>
          <w:rFonts w:asciiTheme="majorHAnsi" w:hAnsiTheme="majorHAnsi" w:cstheme="majorHAnsi"/>
          <w:i/>
          <w:iCs/>
          <w:sz w:val="24"/>
          <w:szCs w:val="24"/>
        </w:rPr>
        <w:t xml:space="preserve"> al-</w:t>
      </w:r>
      <w:proofErr w:type="spellStart"/>
      <w:r w:rsidRPr="00EC77AC">
        <w:rPr>
          <w:rFonts w:asciiTheme="majorHAnsi" w:hAnsiTheme="majorHAnsi" w:cstheme="majorHAnsi"/>
          <w:i/>
          <w:iCs/>
          <w:sz w:val="24"/>
          <w:szCs w:val="24"/>
        </w:rPr>
        <w:t>Ustādh</w:t>
      </w:r>
      <w:proofErr w:type="spellEnd"/>
      <w:r w:rsidRPr="00EC77AC">
        <w:rPr>
          <w:rFonts w:asciiTheme="majorHAnsi" w:hAnsiTheme="majorHAnsi" w:cstheme="majorHAnsi"/>
          <w:i/>
          <w:iCs/>
          <w:sz w:val="24"/>
          <w:szCs w:val="24"/>
        </w:rPr>
        <w:t xml:space="preserve"> al-Shaykh </w:t>
      </w:r>
      <w:proofErr w:type="spellStart"/>
      <w:r w:rsidRPr="00EC77AC">
        <w:rPr>
          <w:rFonts w:asciiTheme="majorHAnsi" w:hAnsiTheme="majorHAnsi" w:cstheme="majorHAnsi"/>
          <w:i/>
          <w:iCs/>
          <w:sz w:val="24"/>
          <w:szCs w:val="24"/>
        </w:rPr>
        <w:t>Rāmiz</w:t>
      </w:r>
      <w:proofErr w:type="spellEnd"/>
      <w:r w:rsidRPr="00EC77AC">
        <w:rPr>
          <w:rFonts w:asciiTheme="majorHAnsi" w:hAnsiTheme="majorHAnsi" w:cstheme="majorHAnsi"/>
          <w:i/>
          <w:iCs/>
          <w:sz w:val="24"/>
          <w:szCs w:val="24"/>
        </w:rPr>
        <w:t xml:space="preserve"> al-Malak </w:t>
      </w:r>
      <w:proofErr w:type="spellStart"/>
      <w:r w:rsidRPr="00EC77AC">
        <w:rPr>
          <w:rFonts w:asciiTheme="majorHAnsi" w:hAnsiTheme="majorHAnsi" w:cstheme="majorHAnsi"/>
          <w:i/>
          <w:iCs/>
          <w:sz w:val="24"/>
          <w:szCs w:val="24"/>
        </w:rPr>
        <w:t>fī</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Jawāz</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Ḥall</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Awqāf</w:t>
      </w:r>
      <w:proofErr w:type="spellEnd"/>
      <w:r w:rsidRPr="00EC77AC">
        <w:rPr>
          <w:rFonts w:asciiTheme="majorHAnsi" w:hAnsiTheme="majorHAnsi" w:cstheme="majorHAnsi"/>
          <w:i/>
          <w:iCs/>
          <w:sz w:val="24"/>
          <w:szCs w:val="24"/>
        </w:rPr>
        <w:t xml:space="preserve"> al-</w:t>
      </w:r>
      <w:proofErr w:type="spellStart"/>
      <w:r w:rsidRPr="00EC77AC">
        <w:rPr>
          <w:rFonts w:asciiTheme="majorHAnsi" w:hAnsiTheme="majorHAnsi" w:cstheme="majorHAnsi"/>
          <w:i/>
          <w:iCs/>
          <w:sz w:val="24"/>
          <w:szCs w:val="24"/>
        </w:rPr>
        <w:t>Dhurriyyah</w:t>
      </w:r>
      <w:proofErr w:type="spellEnd"/>
      <w:r w:rsidRPr="00EC77AC">
        <w:rPr>
          <w:rFonts w:asciiTheme="majorHAnsi" w:hAnsiTheme="majorHAnsi" w:cstheme="majorHAnsi"/>
          <w:sz w:val="24"/>
          <w:szCs w:val="24"/>
        </w:rPr>
        <w:t xml:space="preserve"> in 1938. For them, the arguments of </w:t>
      </w:r>
      <w:proofErr w:type="spellStart"/>
      <w:r w:rsidRPr="00EC77AC">
        <w:rPr>
          <w:rFonts w:asciiTheme="majorHAnsi" w:hAnsiTheme="majorHAnsi" w:cstheme="majorHAnsi"/>
          <w:sz w:val="24"/>
          <w:szCs w:val="24"/>
        </w:rPr>
        <w:t>Rāmiz</w:t>
      </w:r>
      <w:proofErr w:type="spellEnd"/>
      <w:r w:rsidRPr="00EC77AC">
        <w:rPr>
          <w:rFonts w:asciiTheme="majorHAnsi" w:hAnsiTheme="majorHAnsi" w:cstheme="majorHAnsi"/>
          <w:sz w:val="24"/>
          <w:szCs w:val="24"/>
        </w:rPr>
        <w:t xml:space="preserve"> al-Malak, which negated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as part of religion, were unacceptable </w:t>
      </w:r>
      <w:r w:rsidR="003C4B3B"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{"citationItems":[{"id":"ITEM-1","itemData":{"author":[{"dropping-particle":"","family":"Dimashq","given":"Jamʿiyyat al-ʿUlamā’ bi","non-dropping-particle":"","parse-names":false,"suffix":""}],"id":"ITEM-1","issued":{"date-parts":[["1938"]]},"publisher":"Maṭbaʿat al-Taraqqī","publisher-place":"Damaskus","title":"Risālah Jamʻiyyah al-‘Ulamā’ bi Dimashq fī Ibṭāl Risālah al-Ustādh al-Shaykh Rāmiz al-Malak fī Jawāz Ḥall Awqāf al-Dhurriyyah","type":"book"},"uris":["http://www.mendeley.com/documents/?uuid=5e3231e9-abf3-43bd-ad03-71a14f18759d","http://www.mendeley.com/documents/?uuid=17d6e74d-fe4a-40b6-b5e8-6168a61c762d"]}],"mendeley":{"formattedCitation":"(Dimashq, 1938)","plainTextFormattedCitation":"(Dimashq, 1938)","previouslyFormattedCitation":"(Dimashq, 1938)"},"properties":{"noteIndex":0},"schema":"https://github.com/citation-style-language/schema/raw/master/csl-citation.json"}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CE509C">
        <w:rPr>
          <w:rFonts w:ascii="Calibri Light" w:hAnsi="Calibri Light" w:cs="Calibri Light"/>
          <w:noProof/>
          <w:sz w:val="24"/>
          <w:szCs w:val="24"/>
          <w:lang w:val="id-ID"/>
        </w:rPr>
        <w:t>(Dimashq, 1938)</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69082686" w14:textId="77777777" w:rsidR="005A62F6"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As a result of these debates, in 1930,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was no longer recognized under Syrian law through Law No. 3339 of 1930. Fourteen years after Syria enacted this law, Egypt also ceased recognizing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through Law No. 48 of 1946, followed by Iraq in 1955 through Law No. 1 of 1955.</w:t>
      </w:r>
      <w:r w:rsidR="004649AC"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Interestingly, the findings of </w:t>
      </w:r>
      <w:proofErr w:type="spellStart"/>
      <w:r w:rsidRPr="00EC77AC">
        <w:rPr>
          <w:rFonts w:asciiTheme="majorHAnsi" w:hAnsiTheme="majorHAnsi" w:cstheme="majorHAnsi"/>
          <w:sz w:val="24"/>
          <w:szCs w:val="24"/>
        </w:rPr>
        <w:t>Fadwā</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Arshīd</w:t>
      </w:r>
      <w:proofErr w:type="spellEnd"/>
      <w:r w:rsidRPr="00EC77AC">
        <w:rPr>
          <w:rFonts w:asciiTheme="majorHAnsi" w:hAnsiTheme="majorHAnsi" w:cstheme="majorHAnsi"/>
          <w:sz w:val="24"/>
          <w:szCs w:val="24"/>
        </w:rPr>
        <w:t xml:space="preserve"> al-‘</w:t>
      </w:r>
      <w:proofErr w:type="spellStart"/>
      <w:r w:rsidRPr="00EC77AC">
        <w:rPr>
          <w:rFonts w:asciiTheme="majorHAnsi" w:hAnsiTheme="majorHAnsi" w:cstheme="majorHAnsi"/>
          <w:sz w:val="24"/>
          <w:szCs w:val="24"/>
        </w:rPr>
        <w:t>Alāwayn</w:t>
      </w:r>
      <w:proofErr w:type="spellEnd"/>
      <w:r w:rsidRPr="00EC77AC">
        <w:rPr>
          <w:rFonts w:asciiTheme="majorHAnsi" w:hAnsiTheme="majorHAnsi" w:cstheme="majorHAnsi"/>
          <w:sz w:val="24"/>
          <w:szCs w:val="24"/>
        </w:rPr>
        <w:t xml:space="preserve"> indicate that the illegality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in several Arab countries is primarily influenced by political, economic, waqf management, and misconceptions regarding the purpose of waqf. The details are as follows:</w:t>
      </w:r>
      <w:r w:rsidR="005A62F6">
        <w:rPr>
          <w:rFonts w:asciiTheme="majorHAnsi" w:hAnsiTheme="majorHAnsi" w:cstheme="majorHAnsi"/>
          <w:sz w:val="24"/>
          <w:szCs w:val="24"/>
        </w:rPr>
        <w:t xml:space="preserve"> </w:t>
      </w:r>
      <w:r w:rsidRPr="00EC77AC">
        <w:rPr>
          <w:rFonts w:asciiTheme="majorHAnsi" w:hAnsiTheme="majorHAnsi" w:cstheme="majorHAnsi"/>
          <w:sz w:val="24"/>
          <w:szCs w:val="24"/>
        </w:rPr>
        <w:t>From a political perspective, al-‘</w:t>
      </w:r>
      <w:proofErr w:type="spellStart"/>
      <w:r w:rsidRPr="00EC77AC">
        <w:rPr>
          <w:rFonts w:asciiTheme="majorHAnsi" w:hAnsiTheme="majorHAnsi" w:cstheme="majorHAnsi"/>
          <w:sz w:val="24"/>
          <w:szCs w:val="24"/>
        </w:rPr>
        <w:t>Alāwayn</w:t>
      </w:r>
      <w:proofErr w:type="spellEnd"/>
      <w:r w:rsidRPr="00EC77AC">
        <w:rPr>
          <w:rFonts w:asciiTheme="majorHAnsi" w:hAnsiTheme="majorHAnsi" w:cstheme="majorHAnsi"/>
          <w:sz w:val="24"/>
          <w:szCs w:val="24"/>
        </w:rPr>
        <w:t xml:space="preserve"> highlights that political conditions contributed to the abolition of the legality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 as seen in Egypt. Before the Egyptian revolution in 1952, there was a void in the </w:t>
      </w:r>
      <w:r w:rsidRPr="00EC77AC">
        <w:rPr>
          <w:rFonts w:asciiTheme="majorHAnsi" w:hAnsiTheme="majorHAnsi" w:cstheme="majorHAnsi"/>
          <w:i/>
          <w:iCs/>
          <w:sz w:val="24"/>
          <w:szCs w:val="24"/>
        </w:rPr>
        <w:t>Baitul Mal</w:t>
      </w:r>
      <w:r w:rsidRPr="00EC77AC">
        <w:rPr>
          <w:rFonts w:asciiTheme="majorHAnsi" w:hAnsiTheme="majorHAnsi" w:cstheme="majorHAnsi"/>
          <w:sz w:val="24"/>
          <w:szCs w:val="24"/>
        </w:rPr>
        <w:t xml:space="preserve"> while the Tatar empire needed to be countered. Consequently, several waqf assets were handed over to the royal palace to fill the </w:t>
      </w:r>
      <w:r w:rsidRPr="00EC77AC">
        <w:rPr>
          <w:rFonts w:asciiTheme="majorHAnsi" w:hAnsiTheme="majorHAnsi" w:cstheme="majorHAnsi"/>
          <w:i/>
          <w:iCs/>
          <w:sz w:val="24"/>
          <w:szCs w:val="24"/>
        </w:rPr>
        <w:t>Baitul Mal</w:t>
      </w:r>
      <w:r w:rsidRPr="00EC77AC">
        <w:rPr>
          <w:rFonts w:asciiTheme="majorHAnsi" w:hAnsiTheme="majorHAnsi" w:cstheme="majorHAnsi"/>
          <w:sz w:val="24"/>
          <w:szCs w:val="24"/>
        </w:rPr>
        <w:t xml:space="preserve"> void </w:t>
      </w:r>
      <w:r w:rsidR="003C4B3B" w:rsidRPr="00CE509C">
        <w:rPr>
          <w:rFonts w:ascii="Calibri Light" w:hAnsi="Calibri Light" w:cs="Calibri Light"/>
          <w:noProof/>
          <w:sz w:val="24"/>
          <w:szCs w:val="24"/>
          <w:lang w:val="id-ID"/>
        </w:rPr>
        <w:fldChar w:fldCharType="begin" w:fldLock="1"/>
      </w:r>
      <w:r w:rsidR="00E42FC5">
        <w:rPr>
          <w:rFonts w:ascii="Calibri Light" w:hAnsi="Calibri Light" w:cs="Calibri Light"/>
          <w:noProof/>
          <w:sz w:val="24"/>
          <w:szCs w:val="24"/>
          <w:lang w:val="id-ID"/>
        </w:rPr>
        <w:instrText>ADDIN CSL_CITATION {"citationItems":[{"id":"ITEM-1","itemData":{"abstract":", , (Jordan: , 2011), h. 49.","author":[{"dropping-particle":"","family":"Al-‘Alāwayn","given":"Fadwā Arshīd","non-dropping-particle":"","parse-names":false,"suffix":""}],"id":"ITEM-1","issued":{"date-parts":[["2011"]]},"publisher":"Jāmiʻah al-‘Ulūm al-Islāmiyyah al-‘Ālamiyyah, Jordan","publisher-place":"Amman","title":"al-Waqf al-Dhurrī wa Taṭbīquhā al-Muʻāṣir: Dirāsah Fiqhiyyah Muqāranah","type":"thesis"},"uris":["http://www.mendeley.com/documents/?uuid=36cbda6a-7853-450a-b1e5-6fcf60f02bbb","http://www.mendeley.com/documents/?uuid=d10cb8d6-5f6e-4753-8a80-1ee569f5b4ed"]}],"mendeley":{"formattedCitation":"(Al-‘Alāwayn, 2011)","plainTextFormattedCitation":"(Al-‘Alāwayn, 2011)","previouslyFormattedCitation":"(Al-‘Alāwayn, 2011)"},"properties":{"noteIndex":0},"schema":"https://github.com/citation-style-language/schema/raw/master/csl-citation.json"}</w:instrText>
      </w:r>
      <w:r w:rsidR="003C4B3B" w:rsidRPr="00CE509C">
        <w:rPr>
          <w:rFonts w:ascii="Calibri Light" w:hAnsi="Calibri Light" w:cs="Calibri Light"/>
          <w:noProof/>
          <w:sz w:val="24"/>
          <w:szCs w:val="24"/>
          <w:lang w:val="id-ID"/>
        </w:rPr>
        <w:fldChar w:fldCharType="separate"/>
      </w:r>
      <w:r w:rsidR="003C4B3B" w:rsidRPr="00D67BB1">
        <w:rPr>
          <w:rFonts w:ascii="Calibri Light" w:hAnsi="Calibri Light" w:cs="Calibri Light"/>
          <w:noProof/>
          <w:sz w:val="24"/>
          <w:szCs w:val="24"/>
          <w:lang w:val="id-ID"/>
        </w:rPr>
        <w:t>(Al-‘Alāwayn, 2011)</w:t>
      </w:r>
      <w:r w:rsidR="003C4B3B" w:rsidRPr="00CE509C">
        <w:rPr>
          <w:rFonts w:ascii="Calibri Light" w:hAnsi="Calibri Light" w:cs="Calibri Light"/>
          <w:noProof/>
          <w:sz w:val="24"/>
          <w:szCs w:val="24"/>
          <w:lang w:val="id-ID"/>
        </w:rPr>
        <w:fldChar w:fldCharType="end"/>
      </w:r>
      <w:r w:rsidR="003C4B3B">
        <w:rPr>
          <w:rFonts w:ascii="Calibri Light" w:hAnsi="Calibri Light" w:cs="Calibri Light"/>
          <w:noProof/>
          <w:sz w:val="24"/>
          <w:szCs w:val="24"/>
          <w:lang w:val="en-US"/>
        </w:rPr>
        <w:t>.</w:t>
      </w:r>
      <w:r w:rsidR="005A62F6">
        <w:rPr>
          <w:rFonts w:asciiTheme="majorHAnsi" w:hAnsiTheme="majorHAnsi" w:cstheme="majorHAnsi"/>
          <w:sz w:val="24"/>
          <w:szCs w:val="24"/>
        </w:rPr>
        <w:t xml:space="preserve"> </w:t>
      </w:r>
      <w:r w:rsidRPr="00EC77AC">
        <w:rPr>
          <w:rFonts w:asciiTheme="majorHAnsi" w:hAnsiTheme="majorHAnsi" w:cstheme="majorHAnsi"/>
          <w:sz w:val="24"/>
          <w:szCs w:val="24"/>
        </w:rPr>
        <w:t xml:space="preserve">From an economic perspective, there was a perception that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could hinder the country's economy, particularly state revenue through taxes. Waqf assets were exempt from taxation, while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assets continued to grow. In Egypt, for instance, in 1926, waqf land assets constituted 1/8 of agricultural land. Ten years later, in 1936, these assets increased to 1/7 of the agricultural land</w:t>
      </w:r>
      <w:r w:rsidR="003C4B3B">
        <w:rPr>
          <w:rFonts w:asciiTheme="majorHAnsi" w:hAnsiTheme="majorHAnsi" w:cstheme="majorHAnsi"/>
          <w:sz w:val="24"/>
          <w:szCs w:val="24"/>
        </w:rPr>
        <w:t xml:space="preserve"> </w:t>
      </w:r>
      <w:r w:rsidR="003C4B3B"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{"citationItems":[{"id":"ITEM-1","itemData":{"abstract":", , (Jordan: , 2011), h. 49.","author":[{"dropping-particle":"","family":"Al-‘Alāwayn","given":"Fadwā Arshīd","non-dropping-particle":"","parse-names":false,"suffix":""}],"id":"ITEM-1","issued":{"date-parts":[["2011"]]},"publisher":"Jāmiʻah al-‘Ulūm al-Islāmiyyah al-‘Ālamiyyah, Jordan","publisher-place":"Amman","title":"al-Waqf al-Dhurrī wa Taṭbīquhā al-Muʻāṣir: Dirāsah Fiqhiyyah Muqāranah","type":"thesis"},"uris":["http://www.mendeley.com/documents/?uuid=36cbda6a-7853-450a-b1e5-6fcf60f02bbb","http://www.mendeley.com/documents/?uuid=d10cb8d6-5f6e-4753-8a80-1ee569f5b4ed"]}],"mendeley":{"formattedCitation":"(Al-‘Alāwayn, 2011)","plainTextFormattedCitation":"(Al-‘Alāwayn, 2011)","previouslyFormattedCitation":"(Al-‘Alāwayn, 2011)"},"properties":{"noteIndex":0},"schema":"https://github.com/citation-style-language/schema/raw/master/csl-citation.json"}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(Al-‘Alāwayn, 2011)</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0841ADE9" w14:textId="77777777" w:rsidR="005A62F6"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In terms of waqf management, there was a lack of professionalism among waqf administrators (</w:t>
      </w:r>
      <w:r w:rsidRPr="00EC77AC">
        <w:rPr>
          <w:rFonts w:asciiTheme="majorHAnsi" w:hAnsiTheme="majorHAnsi" w:cstheme="majorHAnsi"/>
          <w:i/>
          <w:iCs/>
          <w:sz w:val="24"/>
          <w:szCs w:val="24"/>
        </w:rPr>
        <w:t>nazir</w:t>
      </w:r>
      <w:r w:rsidRPr="00EC77AC">
        <w:rPr>
          <w:rFonts w:asciiTheme="majorHAnsi" w:hAnsiTheme="majorHAnsi" w:cstheme="majorHAnsi"/>
          <w:sz w:val="24"/>
          <w:szCs w:val="24"/>
        </w:rPr>
        <w:t xml:space="preserve">). This was one of the major factors behind the abolition of the legality </w:t>
      </w:r>
      <w:r w:rsidRPr="00EC77AC">
        <w:rPr>
          <w:rFonts w:asciiTheme="majorHAnsi" w:hAnsiTheme="majorHAnsi" w:cstheme="majorHAnsi"/>
          <w:sz w:val="24"/>
          <w:szCs w:val="24"/>
        </w:rPr>
        <w:lastRenderedPageBreak/>
        <w:t xml:space="preserve">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in Syria, Lebanon, and Egypt. Additionally, dishonesty among administrators further exacerbated the situation</w:t>
      </w:r>
      <w:r w:rsidR="003C4B3B">
        <w:rPr>
          <w:rFonts w:asciiTheme="majorHAnsi" w:hAnsiTheme="majorHAnsi" w:cstheme="majorHAnsi"/>
          <w:sz w:val="24"/>
          <w:szCs w:val="24"/>
        </w:rPr>
        <w:t xml:space="preserve"> </w:t>
      </w:r>
      <w:r w:rsidR="003C4B3B"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{"citationItems":[{"id":"ITEM-1","itemData":{"abstract":", , (Jordan: , 2011), h. 49.","author":[{"dropping-particle":"","family":"Al-‘Alāwayn","given":"Fadwā Arshīd","non-dropping-particle":"","parse-names":false,"suffix":""}],"id":"ITEM-1","issued":{"date-parts":[["2011"]]},"publisher":"Jāmiʻah al-‘Ulūm al-Islāmiyyah al-‘Ālamiyyah, Jordan","publisher-place":"Amman","title":"al-Waqf al-Dhurrī wa Taṭbīquhā al-Muʻāṣir: Dirāsah Fiqhiyyah Muqāranah","type":"thesis"},"uris":["http://www.mendeley.com/documents/?uuid=36cbda6a-7853-450a-b1e5-6fcf60f02bbb","http://www.mendeley.com/documents/?uuid=d10cb8d6-5f6e-4753-8a80-1ee569f5b4ed"]}],"mendeley":{"formattedCitation":"(Al-‘Alāwayn, 2011)","plainTextFormattedCitation":"(Al-‘Alāwayn, 2011)","previouslyFormattedCitation":"(Al-‘Alāwayn, 2011)"},"properties":{"noteIndex":0},"schema":"https://github.com/citation-style-language/schema/raw/master/csl-citation.json"}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(Al-‘Alāwayn, 2011)</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10F43985" w14:textId="77777777" w:rsidR="005A62F6"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Finally, misconceptions about the purpose of waqf arose. This was evident from two aspects: the waqf donors and the beneficiaries. From the donors' perspective, some wealthy Arabs made waqf donations for worldly reasons. From the beneficiaries' perspective, traits of laziness, a glamorous lifestyle, and extravagance emerged, widening the gap between the rich and the poor. Furthermore, family conflicts among waqf beneficiaries worsened the situation </w:t>
      </w:r>
      <w:r w:rsidR="003C4B3B"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{"citationItems":[{"id":"ITEM-1","itemData":{"abstract":", , (Jordan: , 2011), h. 49.","author":[{"dropping-particle":"","family":"Al-‘Alāwayn","given":"Fadwā Arshīd","non-dropping-particle":"","parse-names":false,"suffix":""}],"id":"ITEM-1","issued":{"date-parts":[["2011"]]},"publisher":"Jāmiʻah al-‘Ulūm al-Islāmiyyah al-‘Ālamiyyah, Jordan","publisher-place":"Amman","title":"al-Waqf al-Dhurrī wa Taṭbīquhā al-Muʻāṣir: Dirāsah Fiqhiyyah Muqāranah","type":"thesis"},"uris":["http://www.mendeley.com/documents/?uuid=36cbda6a-7853-450a-b1e5-6fcf60f02bbb","http://www.mendeley.com/documents/?uuid=d10cb8d6-5f6e-4753-8a80-1ee569f5b4ed"]}],"mendeley":{"formattedCitation":"(Al-‘Alāwayn, 2011)","plainTextFormattedCitation":"(Al-‘Alāwayn, 2011)","previouslyFormattedCitation":"(Al-‘Alāwayn, 2011)"},"properties":{"noteIndex":0},"schema":"https://github.com/citation-style-language/schema/raw/master/csl-citation.json"}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(Al-‘Alāwayn, 2011)</w:t>
      </w:r>
      <w:r w:rsidR="003C4B3B" w:rsidRPr="00CE509C">
        <w:rPr>
          <w:rFonts w:ascii="Calibri Light" w:hAnsi="Calibri Light" w:cs="Calibri Light"/>
          <w:sz w:val="24"/>
          <w:szCs w:val="24"/>
          <w:lang w:val="id-ID"/>
        </w:rPr>
        <w:fldChar w:fldCharType="end"/>
      </w:r>
      <w:r w:rsidR="003C4B3B">
        <w:rPr>
          <w:rFonts w:ascii="Calibri Light" w:hAnsi="Calibri Light" w:cs="Calibri Light"/>
          <w:sz w:val="24"/>
          <w:szCs w:val="24"/>
          <w:lang w:val="en-US"/>
        </w:rPr>
        <w:t xml:space="preserve">. </w:t>
      </w:r>
    </w:p>
    <w:p w14:paraId="2759F7B2" w14:textId="77777777" w:rsidR="005A62F6"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The analysis of the factors driving the debate over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 as explained above, indicates that the main issue does not lie in its legitimacy under Islamic law but rather in the unstructured and suboptimal management of the waqf system. Shaykh </w:t>
      </w:r>
      <w:proofErr w:type="spellStart"/>
      <w:r w:rsidRPr="00EC77AC">
        <w:rPr>
          <w:rFonts w:asciiTheme="majorHAnsi" w:hAnsiTheme="majorHAnsi" w:cstheme="majorHAnsi"/>
          <w:sz w:val="24"/>
          <w:szCs w:val="24"/>
        </w:rPr>
        <w:t>Makhlūf</w:t>
      </w:r>
      <w:proofErr w:type="spellEnd"/>
      <w:r w:rsidRPr="00EC77AC">
        <w:rPr>
          <w:rFonts w:asciiTheme="majorHAnsi" w:hAnsiTheme="majorHAnsi" w:cstheme="majorHAnsi"/>
          <w:sz w:val="24"/>
          <w:szCs w:val="24"/>
        </w:rPr>
        <w:t xml:space="preserve"> argues that although there are shortcomings in the practice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 the solution is not to abolish the institution entirely. Instead, an in-depth study is needed to formulate comprehensive regulations aimed at mitigating weaknesses and optimizing the effectiveness of waqf, thereby restoring its function and significance as it was during the early Islamic period. This approach applies to both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and </w:t>
      </w:r>
      <w:r w:rsidR="0048225E" w:rsidRPr="00EC77AC">
        <w:rPr>
          <w:rFonts w:asciiTheme="majorHAnsi" w:hAnsiTheme="majorHAnsi" w:cstheme="majorHAnsi"/>
          <w:i/>
          <w:iCs/>
          <w:sz w:val="24"/>
          <w:szCs w:val="24"/>
        </w:rPr>
        <w:t>waqf al-</w:t>
      </w:r>
      <w:proofErr w:type="spellStart"/>
      <w:r w:rsidR="0048225E" w:rsidRPr="00EC77AC">
        <w:rPr>
          <w:rFonts w:asciiTheme="majorHAnsi" w:hAnsiTheme="majorHAnsi" w:cstheme="majorHAnsi"/>
          <w:i/>
          <w:iCs/>
          <w:sz w:val="24"/>
          <w:szCs w:val="24"/>
        </w:rPr>
        <w:t>khayrī</w:t>
      </w:r>
      <w:proofErr w:type="spellEnd"/>
      <w:r w:rsidRPr="00EC77AC">
        <w:rPr>
          <w:rFonts w:asciiTheme="majorHAnsi" w:hAnsiTheme="majorHAnsi" w:cstheme="majorHAnsi"/>
          <w:sz w:val="24"/>
          <w:szCs w:val="24"/>
        </w:rPr>
        <w:t>, as both require improvements in their implementation</w:t>
      </w:r>
      <w:r w:rsidR="003C4B3B">
        <w:rPr>
          <w:rFonts w:asciiTheme="majorHAnsi" w:hAnsiTheme="majorHAnsi" w:cstheme="majorHAnsi"/>
          <w:sz w:val="24"/>
          <w:szCs w:val="24"/>
        </w:rPr>
        <w:t xml:space="preserve"> </w:t>
      </w:r>
      <w:r w:rsidR="003C4B3B" w:rsidRPr="00CE509C">
        <w:rPr>
          <w:rFonts w:ascii="Calibri Light" w:hAnsi="Calibri Light" w:cs="Calibri Light"/>
          <w:sz w:val="24"/>
          <w:szCs w:val="24"/>
          <w:lang w:val="id-ID"/>
        </w:rPr>
        <w:fldChar w:fldCharType="begin" w:fldLock="1"/>
      </w:r>
      <w:r w:rsidR="00F54E80">
        <w:rPr>
          <w:rFonts w:ascii="Calibri Light" w:hAnsi="Calibri Light" w:cs="Calibri Light"/>
          <w:sz w:val="24"/>
          <w:szCs w:val="24"/>
          <w:lang w:val="id-ID"/>
        </w:rPr>
        <w:instrText>ADDIN CSL_CITATION {"citationItems":[{"id":"ITEM-1","itemData":{"author":[{"dropping-particle":"","family":"Makhlūf","given":"Muḥammad Ḥasanain","non-dropping-particle":"","parse-names":false,"suffix":""}],"id":"ITEM-1","issued":{"date-parts":[["1951"]]},"publisher":"Muṣṭafā li Bābī al-Ḥalabī","publisher-place":"Kairo","title":"Manhaj al-Yaqīn fi Bayān anna al-Waqf al-Ahlī min al-Dīn","type":"book"},"uris":["http://www.mendeley.com/documents/?uuid=1a064a4c-5447-4464-b6f4-d14a703cb27a","http://www.mendeley.com/documents/?uuid=47ff366b-d4f3-4866-ab1a-29e862b9f012"]}],"mendeley":{"formattedCitation":"(Makhlūf, 1951)","plainTextFormattedCitation":"(Makhlūf, 1951)","previouslyFormattedCitation":"(Makhlūf, 1951)"},"properties":{"noteIndex":0},"schema":"https://github.com/citation-style-language/schema/raw/master/csl-citation.json"}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6241FE" w:rsidRPr="006241FE">
        <w:rPr>
          <w:rFonts w:ascii="Calibri Light" w:hAnsi="Calibri Light" w:cs="Calibri Light"/>
          <w:noProof/>
          <w:sz w:val="24"/>
          <w:szCs w:val="24"/>
          <w:lang w:val="id-ID"/>
        </w:rPr>
        <w:t>(Makhlūf, 1951)</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41124D2E" w14:textId="77777777" w:rsidR="005A62F6" w:rsidRDefault="009971D9" w:rsidP="005A62F6">
      <w:pPr>
        <w:spacing w:before="120" w:after="120" w:line="240" w:lineRule="auto"/>
        <w:ind w:left="425"/>
        <w:jc w:val="both"/>
        <w:rPr>
          <w:rFonts w:asciiTheme="majorHAnsi" w:hAnsiTheme="majorHAnsi" w:cstheme="majorHAnsi"/>
          <w:sz w:val="24"/>
          <w:szCs w:val="24"/>
        </w:rPr>
      </w:pPr>
      <w:proofErr w:type="spellStart"/>
      <w:r w:rsidRPr="00EC77AC">
        <w:rPr>
          <w:rFonts w:asciiTheme="majorHAnsi" w:hAnsiTheme="majorHAnsi" w:cstheme="majorHAnsi"/>
          <w:sz w:val="24"/>
          <w:szCs w:val="24"/>
        </w:rPr>
        <w:t>Muṣṭafā</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Aḥmad</w:t>
      </w:r>
      <w:proofErr w:type="spellEnd"/>
      <w:r w:rsidRPr="00EC77AC">
        <w:rPr>
          <w:rFonts w:asciiTheme="majorHAnsi" w:hAnsiTheme="majorHAnsi" w:cstheme="majorHAnsi"/>
          <w:sz w:val="24"/>
          <w:szCs w:val="24"/>
        </w:rPr>
        <w:t xml:space="preserve"> al-</w:t>
      </w:r>
      <w:proofErr w:type="spellStart"/>
      <w:r w:rsidRPr="00EC77AC">
        <w:rPr>
          <w:rFonts w:asciiTheme="majorHAnsi" w:hAnsiTheme="majorHAnsi" w:cstheme="majorHAnsi"/>
          <w:sz w:val="24"/>
          <w:szCs w:val="24"/>
        </w:rPr>
        <w:t>Zarqā</w:t>
      </w:r>
      <w:proofErr w:type="spellEnd"/>
      <w:r w:rsidRPr="00EC77AC">
        <w:rPr>
          <w:rFonts w:asciiTheme="majorHAnsi" w:hAnsiTheme="majorHAnsi" w:cstheme="majorHAnsi"/>
          <w:sz w:val="24"/>
          <w:szCs w:val="24"/>
        </w:rPr>
        <w:t>’ asserts that the necessary reforms include enhancing the legal framework of waqf and developing coordinated governance systems at the municipal level. Furthermore, al-</w:t>
      </w:r>
      <w:proofErr w:type="spellStart"/>
      <w:r w:rsidRPr="00EC77AC">
        <w:rPr>
          <w:rFonts w:asciiTheme="majorHAnsi" w:hAnsiTheme="majorHAnsi" w:cstheme="majorHAnsi"/>
          <w:sz w:val="24"/>
          <w:szCs w:val="24"/>
        </w:rPr>
        <w:t>Zarqā</w:t>
      </w:r>
      <w:proofErr w:type="spellEnd"/>
      <w:r w:rsidRPr="00EC77AC">
        <w:rPr>
          <w:rFonts w:asciiTheme="majorHAnsi" w:hAnsiTheme="majorHAnsi" w:cstheme="majorHAnsi"/>
          <w:sz w:val="24"/>
          <w:szCs w:val="24"/>
        </w:rPr>
        <w:t xml:space="preserve">' emphasizes the importance of institutional waqf management with strict provisions and requirements to ensure its effectiveness and accountability </w:t>
      </w:r>
      <w:r w:rsidR="003C4B3B"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{"citationItems":[{"id":"ITEM-1","itemData":{"abstract":", , (Aleppo: , 1344 H), h. 33.","author":[{"dropping-particle":"","family":"Al-Zarqā'","given":"Muṣṭafā Aḥmad","non-dropping-particle":"","parse-names":false,"suffix":""}],"id":"ITEM-1","issued":{"date-parts":[["1344"]]},"publisher":"al-Maṭbaʻah al- ʻIlmiyyah","publisher-place":"Aleppo","title":"al-Shams al-Jāliyyah fī al-Rad ‘alā Man Uftiyā bi Buṭlān Awqāf al-Dhurriyyah","type":"book"},"uris":["http://www.mendeley.com/documents/?uuid=f22845b6-4762-4061-83ef-d50af7e1fed8","http://www.mendeley.com/documents/?uuid=384a3945-4fe2-4b8c-8a3e-964dd2bf59ce"]}],"mendeley":{"formattedCitation":"(Al-Zarqā’, 1344)","plainTextFormattedCitation":"(Al-Zarqā’, 1344)","previouslyFormattedCitation":"(Al-Zarqā’, 1344)"},"properties":{"noteIndex":0},"schema":"https://github.com/citation-style-language/schema/raw/master/csl-citation.json"}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D67BB1">
        <w:rPr>
          <w:rFonts w:ascii="Calibri Light" w:hAnsi="Calibri Light" w:cs="Calibri Light"/>
          <w:noProof/>
          <w:sz w:val="24"/>
          <w:szCs w:val="24"/>
          <w:lang w:val="id-ID"/>
        </w:rPr>
        <w:t>(Al-Zarqā’, 1344)</w:t>
      </w:r>
      <w:r w:rsidR="003C4B3B" w:rsidRPr="00CE509C">
        <w:rPr>
          <w:rFonts w:ascii="Calibri Light" w:hAnsi="Calibri Light" w:cs="Calibri Light"/>
          <w:sz w:val="24"/>
          <w:szCs w:val="24"/>
          <w:lang w:val="id-ID"/>
        </w:rPr>
        <w:fldChar w:fldCharType="end"/>
      </w:r>
      <w:r w:rsidR="003C4B3B">
        <w:rPr>
          <w:rFonts w:ascii="Calibri Light" w:hAnsi="Calibri Light" w:cs="Calibri Light"/>
          <w:sz w:val="24"/>
          <w:szCs w:val="24"/>
          <w:lang w:val="en-US"/>
        </w:rPr>
        <w:t>.</w:t>
      </w:r>
    </w:p>
    <w:p w14:paraId="7D84D1B9" w14:textId="77777777" w:rsidR="005A62F6" w:rsidRPr="005A62F6" w:rsidRDefault="009971D9" w:rsidP="005A62F6">
      <w:pPr>
        <w:spacing w:before="120" w:after="120" w:line="240" w:lineRule="auto"/>
        <w:ind w:left="425"/>
        <w:jc w:val="both"/>
        <w:rPr>
          <w:rFonts w:asciiTheme="majorHAnsi" w:hAnsiTheme="majorHAnsi" w:cstheme="majorHAnsi"/>
          <w:i/>
          <w:iCs/>
          <w:sz w:val="24"/>
          <w:szCs w:val="24"/>
        </w:rPr>
      </w:pPr>
      <w:r w:rsidRPr="005A62F6">
        <w:rPr>
          <w:rFonts w:asciiTheme="majorHAnsi" w:hAnsiTheme="majorHAnsi" w:cstheme="majorHAnsi"/>
          <w:b/>
          <w:bCs/>
          <w:i/>
          <w:iCs/>
          <w:sz w:val="24"/>
          <w:szCs w:val="24"/>
        </w:rPr>
        <w:t>General Concept of Waqf</w:t>
      </w:r>
    </w:p>
    <w:p w14:paraId="3B82E4C2" w14:textId="77777777" w:rsidR="005A62F6"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The term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in our language, Indonesian, is a derivative form of the Arabic word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from the root word </w:t>
      </w:r>
      <w:proofErr w:type="spellStart"/>
      <w:r w:rsidRPr="00EC77AC">
        <w:rPr>
          <w:rFonts w:asciiTheme="majorHAnsi" w:hAnsiTheme="majorHAnsi" w:cstheme="majorHAnsi"/>
          <w:i/>
          <w:iCs/>
          <w:sz w:val="24"/>
          <w:szCs w:val="24"/>
        </w:rPr>
        <w:t>waqafa</w:t>
      </w:r>
      <w:proofErr w:type="spellEnd"/>
      <w:r w:rsidRPr="00EC77AC">
        <w:rPr>
          <w:rFonts w:asciiTheme="majorHAnsi" w:hAnsiTheme="majorHAnsi" w:cstheme="majorHAnsi"/>
          <w:i/>
          <w:iCs/>
          <w:sz w:val="24"/>
          <w:szCs w:val="24"/>
        </w:rPr>
        <w:t xml:space="preserve"> – </w:t>
      </w:r>
      <w:proofErr w:type="spellStart"/>
      <w:r w:rsidRPr="00EC77AC">
        <w:rPr>
          <w:rFonts w:asciiTheme="majorHAnsi" w:hAnsiTheme="majorHAnsi" w:cstheme="majorHAnsi"/>
          <w:i/>
          <w:iCs/>
          <w:sz w:val="24"/>
          <w:szCs w:val="24"/>
        </w:rPr>
        <w:t>yaqifu</w:t>
      </w:r>
      <w:proofErr w:type="spellEnd"/>
      <w:r w:rsidRPr="00EC77AC">
        <w:rPr>
          <w:rFonts w:asciiTheme="majorHAnsi" w:hAnsiTheme="majorHAnsi" w:cstheme="majorHAnsi"/>
          <w:i/>
          <w:iCs/>
          <w:sz w:val="24"/>
          <w:szCs w:val="24"/>
        </w:rPr>
        <w:t xml:space="preserve"> – </w:t>
      </w:r>
      <w:proofErr w:type="spellStart"/>
      <w:r w:rsidRPr="00EC77AC">
        <w:rPr>
          <w:rFonts w:asciiTheme="majorHAnsi" w:hAnsiTheme="majorHAnsi" w:cstheme="majorHAnsi"/>
          <w:i/>
          <w:iCs/>
          <w:sz w:val="24"/>
          <w:szCs w:val="24"/>
        </w:rPr>
        <w:t>waqfan</w:t>
      </w:r>
      <w:proofErr w:type="spellEnd"/>
      <w:r w:rsidRPr="00EC77AC">
        <w:rPr>
          <w:rFonts w:asciiTheme="majorHAnsi" w:hAnsiTheme="majorHAnsi" w:cstheme="majorHAnsi"/>
          <w:sz w:val="24"/>
          <w:szCs w:val="24"/>
        </w:rPr>
        <w:t xml:space="preserve">, which literally means to restrain. This means restraining part of one's property for the purpose of charity, so that it can be used for public benefit. In this context, charity refers to </w:t>
      </w:r>
      <w:proofErr w:type="spellStart"/>
      <w:r w:rsidRPr="00EC77AC">
        <w:rPr>
          <w:rFonts w:asciiTheme="majorHAnsi" w:hAnsiTheme="majorHAnsi" w:cstheme="majorHAnsi"/>
          <w:i/>
          <w:iCs/>
          <w:sz w:val="24"/>
          <w:szCs w:val="24"/>
        </w:rPr>
        <w:t>ṣadaqah</w:t>
      </w:r>
      <w:proofErr w:type="spellEnd"/>
      <w:r w:rsidRPr="00EC77AC">
        <w:rPr>
          <w:rFonts w:asciiTheme="majorHAnsi" w:hAnsiTheme="majorHAnsi" w:cstheme="majorHAnsi"/>
          <w:sz w:val="24"/>
          <w:szCs w:val="24"/>
        </w:rPr>
        <w:t xml:space="preserve"> in the nomenclature of the time of the Prophet and his companions, or other synonymous terms like </w:t>
      </w:r>
      <w:proofErr w:type="spellStart"/>
      <w:r w:rsidRPr="00EC77AC">
        <w:rPr>
          <w:rFonts w:asciiTheme="majorHAnsi" w:hAnsiTheme="majorHAnsi" w:cstheme="majorHAnsi"/>
          <w:i/>
          <w:iCs/>
          <w:sz w:val="24"/>
          <w:szCs w:val="24"/>
        </w:rPr>
        <w:t>ḥabṣ</w:t>
      </w:r>
      <w:proofErr w:type="spellEnd"/>
      <w:r w:rsidRPr="00EC77AC">
        <w:rPr>
          <w:rFonts w:asciiTheme="majorHAnsi" w:hAnsiTheme="majorHAnsi" w:cstheme="majorHAnsi"/>
          <w:sz w:val="24"/>
          <w:szCs w:val="24"/>
        </w:rPr>
        <w:t xml:space="preserve"> (restraint), as the term </w:t>
      </w:r>
      <w:proofErr w:type="spellStart"/>
      <w:r w:rsidRPr="00EC77AC">
        <w:rPr>
          <w:rFonts w:asciiTheme="majorHAnsi" w:hAnsiTheme="majorHAnsi" w:cstheme="majorHAnsi"/>
          <w:i/>
          <w:iCs/>
          <w:sz w:val="24"/>
          <w:szCs w:val="24"/>
        </w:rPr>
        <w:t>ḥabs</w:t>
      </w:r>
      <w:proofErr w:type="spellEnd"/>
      <w:r w:rsidRPr="00EC77AC">
        <w:rPr>
          <w:rFonts w:asciiTheme="majorHAnsi" w:hAnsiTheme="majorHAnsi" w:cstheme="majorHAnsi"/>
          <w:sz w:val="24"/>
          <w:szCs w:val="24"/>
        </w:rPr>
        <w:t xml:space="preserve"> is still used by the people of Morocco today to refer to waqf </w:t>
      </w:r>
      <w:r w:rsidR="003C4B3B"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{"citationItems":[{"id":"ITEM-1","itemData":{"abstract":", (Kairo: Dar ‘Ammar, 1998), 13.","author":[{"dropping-particle":"","family":"Al-Zarqā","given":"Muṣṭafā","non-dropping-particle":"","parse-names":false,"suffix":""}],"id":"ITEM-1","issued":{"date-parts":[["1998"]]},"number-of-pages":"13","publisher":"Dar ‘Amār","publisher-place":"Kairo","title":"Aḥkām al-Awqāf","type":"book"},"locator":"13","uris":["http://www.mendeley.com/documents/?uuid=12de7c48-4c91-433f-982a-690c8abe429f","http://www.mendeley.com/documents/?uuid=fdaf7d8d-c66e-424d-b4f6-5c0e79f31dd5"]}],"mendeley":{"formattedCitation":"(Al-Zarqā, 1998, p. 13)","plainTextFormattedCitation":"(Al-Zarqā, 1998, p. 13)","previouslyFormattedCitation":"(Al-Zarqā, 1998, p. 13)"},"properties":{"noteIndex":0},"schema":"https://github.com/citation-style-language/schema/raw/master/csl-citation.json"}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CE509C">
        <w:rPr>
          <w:rFonts w:ascii="Calibri Light" w:hAnsi="Calibri Light" w:cs="Calibri Light"/>
          <w:noProof/>
          <w:sz w:val="24"/>
          <w:szCs w:val="24"/>
          <w:lang w:val="id-ID"/>
        </w:rPr>
        <w:t>(Al-Zarqā, 1998, p. 13)</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3529259D" w14:textId="0DDEE84F" w:rsidR="009971D9" w:rsidRPr="00E42FC5"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Scholars from the Hanafi, Maliki, Shafi'i, and Hanbali schools of thought have different expressions regarding the meaning of waqf; however, it seems that Article 1, Paragraph 1 of Law No. 14 of 2004 on Waqf encompasses these various meanings as follows:</w:t>
      </w:r>
      <w:r w:rsidR="00FA7360" w:rsidRPr="00EC77AC">
        <w:rPr>
          <w:rFonts w:asciiTheme="majorHAnsi" w:hAnsiTheme="majorHAnsi" w:cstheme="majorHAnsi"/>
          <w:sz w:val="24"/>
          <w:szCs w:val="24"/>
        </w:rPr>
        <w:t xml:space="preserve"> </w:t>
      </w:r>
      <w:r w:rsidRPr="00EC77AC">
        <w:rPr>
          <w:rFonts w:asciiTheme="majorHAnsi" w:hAnsiTheme="majorHAnsi" w:cstheme="majorHAnsi"/>
          <w:sz w:val="24"/>
          <w:szCs w:val="24"/>
        </w:rPr>
        <w:t>"Waqf is the legal act of the waqif (donor) to separate and/or hand over part of their property to be utilized forever or for a certain period according to their interests for the purposes of worship and/or public welfare in accordance with sharia."</w:t>
      </w:r>
      <w:r w:rsidR="00E42FC5">
        <w:rPr>
          <w:rFonts w:asciiTheme="majorHAnsi" w:hAnsiTheme="majorHAnsi" w:cstheme="majorHAnsi"/>
          <w:sz w:val="24"/>
          <w:szCs w:val="24"/>
        </w:rPr>
        <w:t xml:space="preserve"> </w:t>
      </w:r>
      <w:r w:rsidRPr="00EC77AC">
        <w:rPr>
          <w:rFonts w:asciiTheme="majorHAnsi" w:hAnsiTheme="majorHAnsi" w:cstheme="majorHAnsi"/>
          <w:sz w:val="24"/>
          <w:szCs w:val="24"/>
        </w:rPr>
        <w:t xml:space="preserve">This means that the waqif donates their property to the </w:t>
      </w:r>
      <w:proofErr w:type="spellStart"/>
      <w:r w:rsidRPr="00EC77AC">
        <w:rPr>
          <w:rFonts w:asciiTheme="majorHAnsi" w:hAnsiTheme="majorHAnsi" w:cstheme="majorHAnsi"/>
          <w:i/>
          <w:iCs/>
          <w:sz w:val="24"/>
          <w:szCs w:val="24"/>
        </w:rPr>
        <w:t>mutawallī</w:t>
      </w:r>
      <w:proofErr w:type="spellEnd"/>
      <w:r w:rsidRPr="00EC77AC">
        <w:rPr>
          <w:rFonts w:asciiTheme="majorHAnsi" w:hAnsiTheme="majorHAnsi" w:cstheme="majorHAnsi"/>
          <w:sz w:val="24"/>
          <w:szCs w:val="24"/>
        </w:rPr>
        <w:t xml:space="preserve"> or waqf manager, so that its benefits can be enjoyed either permanently or for a specified period. The benefits here refer to being used for public interests, such as funding educational institutions, hospitals, mosques, cemeteries, orphanages, warehouses, bakeries, factories, charitable foundations, educational funds, and other religious activities intended to assist the elderly and the weak, the poor, animal care, agriculture and horticulture, and water resources </w:t>
      </w:r>
      <w:r w:rsidR="003C4B3B"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{"citationItems":[{"id":"ITEM-1","itemData":{"ISSN":"0828-8666","author":[{"dropping-particle":"","family":"Mahamood","given":"Siti Mashitoh","non-dropping-particle":"","parse-names":false,"suffix":""},{"dropping-particle":"","family":"Ab Rahman","given":"Asmak","non-dropping-particle":"","parse-names":false,"suffix":""}],"container-title":"Humanomics","id":"ITEM-1","issue":"4","issued":{"date-parts":[["2015"]]},"page":"430-453","publisher":"Emerald Group Publishing Limited","title":"Financing Universities through Waqf, Pious Endowment: Is It Possible?","type":"article-journal","volume":"31"},"locator":"431","uris":["http://www.mendeley.com/documents/?uuid=940e3147-443f-4db5-8542-5be854f8d6a1","http://www.mendeley.com/documents/?uuid=bcaf662a-6b98-4e37-9adb-324da9eef017"]}],"mendeley":{"formattedCitation":"(Mahamood &amp; Ab Rahman, 2015, p. 431)","plainTextFormattedCitation":"(Mahamood &amp; Ab Rahman, 2015, p. 431)","previouslyFormattedCitation":"(Mahamood &amp; Ab Rahman, 2015, p. 431)"},"properties":{"noteIndex":0},"schema":"https://github.com/citation-style-language/schema/raw/master/csl-citation.json"}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CE509C">
        <w:rPr>
          <w:rFonts w:ascii="Calibri Light" w:hAnsi="Calibri Light" w:cs="Calibri Light"/>
          <w:noProof/>
          <w:sz w:val="24"/>
          <w:szCs w:val="24"/>
          <w:lang w:val="id-ID"/>
        </w:rPr>
        <w:t>(Mahamood &amp; Ab Rahman, 2015, p. 431)</w:t>
      </w:r>
      <w:r w:rsidR="003C4B3B" w:rsidRPr="00CE509C">
        <w:rPr>
          <w:rFonts w:ascii="Calibri Light" w:hAnsi="Calibri Light" w:cs="Calibri Light"/>
          <w:sz w:val="24"/>
          <w:szCs w:val="24"/>
          <w:lang w:val="id-ID"/>
        </w:rPr>
        <w:fldChar w:fldCharType="end"/>
      </w:r>
      <w:r w:rsidR="003C4B3B">
        <w:rPr>
          <w:rFonts w:ascii="Calibri Light" w:hAnsi="Calibri Light" w:cs="Calibri Light"/>
          <w:sz w:val="24"/>
          <w:szCs w:val="24"/>
          <w:lang w:val="en-US"/>
        </w:rPr>
        <w:t>.</w:t>
      </w:r>
    </w:p>
    <w:p w14:paraId="3CF330C4" w14:textId="77777777" w:rsidR="005A62F6"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lastRenderedPageBreak/>
        <w:t xml:space="preserve">In the organizational structure of waqf, there are three major parties. The </w:t>
      </w:r>
      <w:proofErr w:type="spellStart"/>
      <w:r w:rsidRPr="00EC77AC">
        <w:rPr>
          <w:rFonts w:asciiTheme="majorHAnsi" w:hAnsiTheme="majorHAnsi" w:cstheme="majorHAnsi"/>
          <w:i/>
          <w:iCs/>
          <w:sz w:val="24"/>
          <w:szCs w:val="24"/>
        </w:rPr>
        <w:t>wāqif</w:t>
      </w:r>
      <w:proofErr w:type="spellEnd"/>
      <w:r w:rsidRPr="00EC77AC">
        <w:rPr>
          <w:rFonts w:asciiTheme="majorHAnsi" w:hAnsiTheme="majorHAnsi" w:cstheme="majorHAnsi"/>
          <w:sz w:val="24"/>
          <w:szCs w:val="24"/>
        </w:rPr>
        <w:t xml:space="preserve"> or donor is the one who endows their property for the benefit of the recipient, either orally or in writing. The recipient of the waqf property is called </w:t>
      </w:r>
      <w:proofErr w:type="spellStart"/>
      <w:r w:rsidRPr="00EC77AC">
        <w:rPr>
          <w:rFonts w:asciiTheme="majorHAnsi" w:hAnsiTheme="majorHAnsi" w:cstheme="majorHAnsi"/>
          <w:i/>
          <w:iCs/>
          <w:sz w:val="24"/>
          <w:szCs w:val="24"/>
        </w:rPr>
        <w:t>mawqūf</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ʻalayh</w:t>
      </w:r>
      <w:proofErr w:type="spellEnd"/>
      <w:r w:rsidRPr="00EC77AC">
        <w:rPr>
          <w:rFonts w:asciiTheme="majorHAnsi" w:hAnsiTheme="majorHAnsi" w:cstheme="majorHAnsi"/>
          <w:sz w:val="24"/>
          <w:szCs w:val="24"/>
        </w:rPr>
        <w:t xml:space="preserve">. The manager of the waqf is called </w:t>
      </w:r>
      <w:proofErr w:type="spellStart"/>
      <w:r w:rsidRPr="00EC77AC">
        <w:rPr>
          <w:rFonts w:asciiTheme="majorHAnsi" w:hAnsiTheme="majorHAnsi" w:cstheme="majorHAnsi"/>
          <w:i/>
          <w:iCs/>
          <w:sz w:val="24"/>
          <w:szCs w:val="24"/>
        </w:rPr>
        <w:t>mutawallī</w:t>
      </w:r>
      <w:proofErr w:type="spellEnd"/>
      <w:r w:rsidRPr="00EC77AC">
        <w:rPr>
          <w:rFonts w:asciiTheme="majorHAnsi" w:hAnsiTheme="majorHAnsi" w:cstheme="majorHAnsi"/>
          <w:sz w:val="24"/>
          <w:szCs w:val="24"/>
        </w:rPr>
        <w:t xml:space="preserve">, whose role is to manage the waqf property. Meanwhile, the </w:t>
      </w:r>
      <w:proofErr w:type="spellStart"/>
      <w:r w:rsidRPr="00EC77AC">
        <w:rPr>
          <w:rFonts w:asciiTheme="majorHAnsi" w:hAnsiTheme="majorHAnsi" w:cstheme="majorHAnsi"/>
          <w:i/>
          <w:iCs/>
          <w:sz w:val="24"/>
          <w:szCs w:val="24"/>
        </w:rPr>
        <w:t>Qāḍī</w:t>
      </w:r>
      <w:proofErr w:type="spellEnd"/>
      <w:r w:rsidRPr="00EC77AC">
        <w:rPr>
          <w:rFonts w:asciiTheme="majorHAnsi" w:hAnsiTheme="majorHAnsi" w:cstheme="majorHAnsi"/>
          <w:sz w:val="24"/>
          <w:szCs w:val="24"/>
        </w:rPr>
        <w:t xml:space="preserve"> or judge is responsible for overseeing the waqf property while monitoring the manager </w:t>
      </w:r>
      <w:r w:rsidR="003C4B3B" w:rsidRPr="00CE509C">
        <w:rPr>
          <w:rFonts w:ascii="Calibri Light" w:hAnsi="Calibri Light" w:cs="Calibri Light"/>
          <w:sz w:val="24"/>
          <w:szCs w:val="24"/>
          <w:lang w:val="id-ID"/>
        </w:rPr>
        <w:fldChar w:fldCharType="begin" w:fldLock="1"/>
      </w:r>
      <w:r w:rsidR="003C4B3B">
        <w:rPr>
          <w:rFonts w:ascii="Calibri Light" w:hAnsi="Calibri Light" w:cs="Calibri Light"/>
          <w:sz w:val="24"/>
          <w:szCs w:val="24"/>
          <w:lang w:val="id-ID"/>
        </w:rPr>
        <w:instrText>ADDIN CSL_CITATION {"citationItems":[{"id":"ITEM-1","itemData":{"ISSN":"1573-0255","author":[{"dropping-particle":"","family":"Abbasi","given":"Muhammad Zubair","non-dropping-particle":"","parse-names":false,"suffix":""}],"container-title":"Arab Law Quarterly","id":"ITEM-1","issue":"2","issued":{"date-parts":[["2012"]]},"page":"121-153","publisher":"Brill","title":"The Classical Islamic Law of Waqf: A Concise Introduction","type":"article-journal","volume":"26"},"locator":"124","uris":["http://www.mendeley.com/documents/?uuid=052887f4-913c-48c8-99f7-3e7d43980bee","http://www.mendeley.com/documents/?uuid=6893910b-0f51-4780-a341-94ab30c00906"]}],"mendeley":{"formattedCitation":"(M. Z. Abbasi, 2012, p. 124)","plainTextFormattedCitation":"(M. Z. Abbasi, 2012, p. 124)","previouslyFormattedCitation":"(M. Z. Abbasi, 2012, p. 124)"},"properties":{"noteIndex":0},"schema":"https://github.com/citation-style-language/schema/raw/master/csl-citation.json"}</w:instrText>
      </w:r>
      <w:r w:rsidR="003C4B3B" w:rsidRPr="00CE509C">
        <w:rPr>
          <w:rFonts w:ascii="Calibri Light" w:hAnsi="Calibri Light" w:cs="Calibri Light"/>
          <w:sz w:val="24"/>
          <w:szCs w:val="24"/>
          <w:lang w:val="id-ID"/>
        </w:rPr>
        <w:fldChar w:fldCharType="separate"/>
      </w:r>
      <w:r w:rsidR="003C4B3B" w:rsidRPr="00CE509C">
        <w:rPr>
          <w:rFonts w:ascii="Calibri Light" w:hAnsi="Calibri Light" w:cs="Calibri Light"/>
          <w:noProof/>
          <w:sz w:val="24"/>
          <w:szCs w:val="24"/>
          <w:lang w:val="id-ID"/>
        </w:rPr>
        <w:t>(M. Z. Abbasi, 2012, p. 124)</w:t>
      </w:r>
      <w:r w:rsidR="003C4B3B"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r w:rsidR="00E42FC5">
        <w:rPr>
          <w:rFonts w:asciiTheme="majorHAnsi" w:hAnsiTheme="majorHAnsi" w:cstheme="majorHAnsi"/>
          <w:sz w:val="24"/>
          <w:szCs w:val="24"/>
        </w:rPr>
        <w:t xml:space="preserve"> </w:t>
      </w:r>
      <w:r w:rsidRPr="00EC77AC">
        <w:rPr>
          <w:rFonts w:asciiTheme="majorHAnsi" w:hAnsiTheme="majorHAnsi" w:cstheme="majorHAnsi"/>
          <w:sz w:val="24"/>
          <w:szCs w:val="24"/>
        </w:rPr>
        <w:t>Waqf or the waqf institution is not explicitly mentioned in the Qur'an (al-</w:t>
      </w:r>
      <w:proofErr w:type="spellStart"/>
      <w:r w:rsidRPr="00EC77AC">
        <w:rPr>
          <w:rFonts w:asciiTheme="majorHAnsi" w:hAnsiTheme="majorHAnsi" w:cstheme="majorHAnsi"/>
          <w:sz w:val="24"/>
          <w:szCs w:val="24"/>
        </w:rPr>
        <w:t>Anʻām</w:t>
      </w:r>
      <w:proofErr w:type="spellEnd"/>
      <w:r w:rsidRPr="00EC77AC">
        <w:rPr>
          <w:rFonts w:asciiTheme="majorHAnsi" w:hAnsiTheme="majorHAnsi" w:cstheme="majorHAnsi"/>
          <w:sz w:val="24"/>
          <w:szCs w:val="24"/>
        </w:rPr>
        <w:t xml:space="preserve">: 27 &amp; 30, </w:t>
      </w:r>
      <w:proofErr w:type="spellStart"/>
      <w:r w:rsidRPr="00EC77AC">
        <w:rPr>
          <w:rFonts w:asciiTheme="majorHAnsi" w:hAnsiTheme="majorHAnsi" w:cstheme="majorHAnsi"/>
          <w:sz w:val="24"/>
          <w:szCs w:val="24"/>
        </w:rPr>
        <w:t>Sabā</w:t>
      </w:r>
      <w:proofErr w:type="spellEnd"/>
      <w:r w:rsidRPr="00EC77AC">
        <w:rPr>
          <w:rFonts w:asciiTheme="majorHAnsi" w:hAnsiTheme="majorHAnsi" w:cstheme="majorHAnsi"/>
          <w:sz w:val="24"/>
          <w:szCs w:val="24"/>
        </w:rPr>
        <w:t>’: 31, and al-</w:t>
      </w:r>
      <w:proofErr w:type="spellStart"/>
      <w:r w:rsidRPr="00EC77AC">
        <w:rPr>
          <w:rFonts w:asciiTheme="majorHAnsi" w:hAnsiTheme="majorHAnsi" w:cstheme="majorHAnsi"/>
          <w:sz w:val="24"/>
          <w:szCs w:val="24"/>
        </w:rPr>
        <w:t>Ṣaffāt</w:t>
      </w:r>
      <w:proofErr w:type="spellEnd"/>
      <w:r w:rsidRPr="00EC77AC">
        <w:rPr>
          <w:rFonts w:asciiTheme="majorHAnsi" w:hAnsiTheme="majorHAnsi" w:cstheme="majorHAnsi"/>
          <w:sz w:val="24"/>
          <w:szCs w:val="24"/>
        </w:rPr>
        <w:t>: 24), but there are general verses that emphasize charity (</w:t>
      </w:r>
      <w:proofErr w:type="spellStart"/>
      <w:r w:rsidRPr="00EC77AC">
        <w:rPr>
          <w:rFonts w:asciiTheme="majorHAnsi" w:hAnsiTheme="majorHAnsi" w:cstheme="majorHAnsi"/>
          <w:i/>
          <w:iCs/>
          <w:sz w:val="24"/>
          <w:szCs w:val="24"/>
        </w:rPr>
        <w:t>ṣadaqah</w:t>
      </w:r>
      <w:proofErr w:type="spellEnd"/>
      <w:r w:rsidRPr="00EC77AC">
        <w:rPr>
          <w:rFonts w:asciiTheme="majorHAnsi" w:hAnsiTheme="majorHAnsi" w:cstheme="majorHAnsi"/>
          <w:sz w:val="24"/>
          <w:szCs w:val="24"/>
        </w:rPr>
        <w:t xml:space="preserve">) as the legal authority for the validity of waqf (for example, </w:t>
      </w:r>
      <w:proofErr w:type="spellStart"/>
      <w:r w:rsidRPr="00EC77AC">
        <w:rPr>
          <w:rFonts w:asciiTheme="majorHAnsi" w:hAnsiTheme="majorHAnsi" w:cstheme="majorHAnsi"/>
          <w:sz w:val="24"/>
          <w:szCs w:val="24"/>
        </w:rPr>
        <w:t>Āli</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Imrān</w:t>
      </w:r>
      <w:proofErr w:type="spellEnd"/>
      <w:r w:rsidRPr="00EC77AC">
        <w:rPr>
          <w:rFonts w:asciiTheme="majorHAnsi" w:hAnsiTheme="majorHAnsi" w:cstheme="majorHAnsi"/>
          <w:sz w:val="24"/>
          <w:szCs w:val="24"/>
        </w:rPr>
        <w:t>: 92 and al-Baqarah: 177, 215 &amp; 267), along with the traditions of the Prophet and his companions who established waqf as charity (</w:t>
      </w:r>
      <w:proofErr w:type="spellStart"/>
      <w:r w:rsidRPr="00EC77AC">
        <w:rPr>
          <w:rFonts w:asciiTheme="majorHAnsi" w:hAnsiTheme="majorHAnsi" w:cstheme="majorHAnsi"/>
          <w:i/>
          <w:iCs/>
          <w:sz w:val="24"/>
          <w:szCs w:val="24"/>
        </w:rPr>
        <w:t>ṣadaqah</w:t>
      </w:r>
      <w:proofErr w:type="spellEnd"/>
      <w:r w:rsidRPr="00EC77AC">
        <w:rPr>
          <w:rFonts w:asciiTheme="majorHAnsi" w:hAnsiTheme="majorHAnsi" w:cstheme="majorHAnsi"/>
          <w:sz w:val="24"/>
          <w:szCs w:val="24"/>
        </w:rPr>
        <w:t>).</w:t>
      </w:r>
      <w:r w:rsidR="003C4B3B">
        <w:rPr>
          <w:rFonts w:asciiTheme="majorHAnsi" w:hAnsiTheme="majorHAnsi" w:cstheme="majorHAnsi"/>
          <w:sz w:val="24"/>
          <w:szCs w:val="24"/>
        </w:rPr>
        <w:t xml:space="preserve"> </w:t>
      </w:r>
    </w:p>
    <w:p w14:paraId="5313821B" w14:textId="29806018" w:rsidR="003C4B3B" w:rsidRPr="003C4B3B"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“When a person dies, his deeds are cut off except for three things: ongoing charity, knowledge that is benefited from, or the prayer of a righteous child.” (HR. Muslim) </w:t>
      </w:r>
      <w:r w:rsidR="003C4B3B" w:rsidRPr="00CE509C">
        <w:rPr>
          <w:rFonts w:ascii="Calibri Light" w:hAnsi="Calibri Light" w:cs="Calibri Light"/>
          <w:color w:val="000000"/>
          <w:sz w:val="24"/>
          <w:szCs w:val="24"/>
          <w:lang w:val="id-ID" w:eastAsia="en-ID"/>
        </w:rPr>
        <w:fldChar w:fldCharType="begin" w:fldLock="1"/>
      </w:r>
      <w:r w:rsidR="003C4B3B">
        <w:rPr>
          <w:rFonts w:ascii="Calibri Light" w:hAnsi="Calibri Light" w:cs="Calibri Light"/>
          <w:color w:val="000000"/>
          <w:sz w:val="24"/>
          <w:szCs w:val="24"/>
          <w:lang w:val="id-ID" w:eastAsia="en-ID"/>
        </w:rPr>
        <w:instrText>ADDIN CSL_CITATION {"citationItems":[{"id":"ITEM-1","itemData":{"author":[{"dropping-particle":"","family":"Muslim","given":"","non-dropping-particle":"","parse-names":false,"suffix":""}],"editor":[{"dropping-particle":"","family":"Al-Bāqī","given":"Muḥammad Fu’ād ʻAbd","non-dropping-particle":"","parse-names":false,"suffix":""}],"id":"ITEM-1","issued":{"date-parts":[["1955"]]},"number-of-pages":"III: 1255","publisher":"Dār al-Iḥyā’ al-Turāth al-ʻArabī","publisher-place":"Beirut","title":"Ṣaḥīḥ Muslim","type":"book"},"locator":"III: 1255, hadis no. 1631","uris":["http://www.mendeley.com/documents/?uuid=2ef01dd3-6bd8-4bb6-81db-438be688578e","http://www.mendeley.com/documents/?uuid=8e155789-4d6f-4469-8977-e8e03ed830f0"]}],"mendeley":{"formattedCitation":"(Muslim, 1955, p. III: 1255, hadis no. 1631)","plainTextFormattedCitation":"(Muslim, 1955, p. III: 1255, hadis no. 1631)","previouslyFormattedCitation":"(Muslim, 1955, p. III: 1255, hadis no. 1631)"},"properties":{"noteIndex":0},"schema":"https://github.com/citation-style-language/schema/raw/master/csl-citation.json"}</w:instrText>
      </w:r>
      <w:r w:rsidR="003C4B3B" w:rsidRPr="00CE509C">
        <w:rPr>
          <w:rFonts w:ascii="Calibri Light" w:hAnsi="Calibri Light" w:cs="Calibri Light"/>
          <w:color w:val="000000"/>
          <w:sz w:val="24"/>
          <w:szCs w:val="24"/>
          <w:lang w:val="id-ID" w:eastAsia="en-ID"/>
        </w:rPr>
        <w:fldChar w:fldCharType="separate"/>
      </w:r>
      <w:r w:rsidR="003C4B3B" w:rsidRPr="00CE509C">
        <w:rPr>
          <w:rFonts w:ascii="Calibri Light" w:hAnsi="Calibri Light" w:cs="Calibri Light"/>
          <w:noProof/>
          <w:color w:val="000000"/>
          <w:sz w:val="24"/>
          <w:szCs w:val="24"/>
          <w:lang w:val="id-ID" w:eastAsia="en-ID"/>
        </w:rPr>
        <w:t>(Muslim, 1955, p. III: 1255, hadis no. 1631)</w:t>
      </w:r>
      <w:r w:rsidR="003C4B3B" w:rsidRPr="00CE509C">
        <w:rPr>
          <w:rFonts w:ascii="Calibri Light" w:hAnsi="Calibri Light" w:cs="Calibri Light"/>
          <w:color w:val="000000"/>
          <w:sz w:val="24"/>
          <w:szCs w:val="24"/>
          <w:lang w:val="id-ID" w:eastAsia="en-ID"/>
        </w:rPr>
        <w:fldChar w:fldCharType="end"/>
      </w:r>
      <w:r w:rsidR="003C4B3B">
        <w:rPr>
          <w:rFonts w:ascii="Calibri Light" w:hAnsi="Calibri Light" w:cs="Calibri Light"/>
          <w:color w:val="000000"/>
          <w:sz w:val="24"/>
          <w:szCs w:val="24"/>
          <w:lang w:val="en-US" w:eastAsia="en-ID"/>
        </w:rPr>
        <w:t>.</w:t>
      </w:r>
    </w:p>
    <w:p w14:paraId="7973E3BA" w14:textId="14A9E560" w:rsidR="009971D9" w:rsidRPr="00E42FC5" w:rsidRDefault="009971D9" w:rsidP="005A62F6">
      <w:pPr>
        <w:spacing w:before="120" w:after="120" w:line="240" w:lineRule="auto"/>
        <w:ind w:left="425"/>
        <w:jc w:val="both"/>
        <w:rPr>
          <w:rFonts w:asciiTheme="majorHAnsi" w:hAnsiTheme="majorHAnsi" w:cstheme="majorHAnsi"/>
          <w:sz w:val="24"/>
          <w:szCs w:val="24"/>
          <w:lang w:val="en-US"/>
        </w:rPr>
      </w:pPr>
      <w:r w:rsidRPr="00EC77AC">
        <w:rPr>
          <w:rFonts w:asciiTheme="majorHAnsi" w:hAnsiTheme="majorHAnsi" w:cstheme="majorHAnsi"/>
          <w:sz w:val="24"/>
          <w:szCs w:val="24"/>
        </w:rPr>
        <w:t xml:space="preserve">This hadith is further supported by other narrations, such as the waqf of the Kuba Mosque, the first mosque waqf in Islamic history, which took place before the Prophet's migration to Medina. Then, the second waqf, the Nabawi Mosque, took place in the first year of the migration </w:t>
      </w:r>
      <w:r w:rsidR="00E42FC5"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{"citationItems":[{"id":"ITEM-1","itemData":{"author":[{"dropping-particle":"","family":"Al-Nawawī","given":"","non-dropping-particle":"","parse-names":false,"suffix":""}],"editor":[{"dropping-particle":"","family":"Al-Bāqī","given":"Muḥammad Fu’ād ʻAbd","non-dropping-particle":"","parse-names":false,"suffix":""}],"id":"ITEM-1","issued":{"date-parts":[["1396"]]},"number-of-pages":"III: 1255","publisher":"Dār Iḥyā’ al-Turāth al-ʻArabī","publisher-place":"Beirut","title":"al-Minhāj Sharḥ Ṣaḥīḥ Muslim","type":"book"},"locator":"III: 1255","uris":["http://www.mendeley.com/documents/?uuid=5c6566bc-c493-419e-a5a3-dc9119112178","http://www.mendeley.com/documents/?uuid=4772a4f7-589f-4c3c-815b-7378aa5f71bc"]}],"mendeley":{"formattedCitation":"(Al-Nawawī, 1396, p. III: 1255)","plainTextFormattedCitation":"(Al-Nawawī, 1396, p. III: 1255)","previouslyFormattedCitation":"(Al-Nawawī, 1396, p. III: 1255)"},"properties":{"noteIndex":0},"schema":"https://github.com/citation-style-language/schema/raw/master/csl-citation.json"}</w:instrText>
      </w:r>
      <w:r w:rsidR="00E42FC5" w:rsidRPr="00CE509C">
        <w:rPr>
          <w:rFonts w:ascii="Calibri Light" w:hAnsi="Calibri Light" w:cs="Calibri Light"/>
          <w:sz w:val="24"/>
          <w:szCs w:val="24"/>
          <w:lang w:val="id-ID"/>
        </w:rPr>
        <w:fldChar w:fldCharType="separate"/>
      </w:r>
      <w:r w:rsidR="00E42FC5" w:rsidRPr="00CE509C">
        <w:rPr>
          <w:rFonts w:ascii="Calibri Light" w:hAnsi="Calibri Light" w:cs="Calibri Light"/>
          <w:noProof/>
          <w:sz w:val="24"/>
          <w:szCs w:val="24"/>
          <w:lang w:val="id-ID"/>
        </w:rPr>
        <w:t>(Al-Nawawī, 1396, p. III: 1255)</w:t>
      </w:r>
      <w:r w:rsidR="00E42FC5" w:rsidRPr="00CE509C">
        <w:rPr>
          <w:rFonts w:ascii="Calibri Light" w:hAnsi="Calibri Light" w:cs="Calibri Light"/>
          <w:sz w:val="24"/>
          <w:szCs w:val="24"/>
          <w:lang w:val="id-ID"/>
        </w:rPr>
        <w:fldChar w:fldCharType="end"/>
      </w:r>
      <w:r w:rsidR="00E42FC5">
        <w:rPr>
          <w:rFonts w:ascii="Calibri Light" w:hAnsi="Calibri Light" w:cs="Calibri Light"/>
          <w:sz w:val="24"/>
          <w:szCs w:val="24"/>
          <w:lang w:val="en-US"/>
        </w:rPr>
        <w:t>.</w:t>
      </w:r>
    </w:p>
    <w:p w14:paraId="6DF44084" w14:textId="73175E57" w:rsidR="009971D9" w:rsidRPr="00EC77AC"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Regarding waqf of property, there is a difference of opinion. According to the narration of Imam </w:t>
      </w:r>
      <w:proofErr w:type="spellStart"/>
      <w:r w:rsidRPr="00EC77AC">
        <w:rPr>
          <w:rFonts w:asciiTheme="majorHAnsi" w:hAnsiTheme="majorHAnsi" w:cstheme="majorHAnsi"/>
          <w:sz w:val="24"/>
          <w:szCs w:val="24"/>
        </w:rPr>
        <w:t>Aḥmad</w:t>
      </w:r>
      <w:proofErr w:type="spellEnd"/>
      <w:r w:rsidRPr="00EC77AC">
        <w:rPr>
          <w:rFonts w:asciiTheme="majorHAnsi" w:hAnsiTheme="majorHAnsi" w:cstheme="majorHAnsi"/>
          <w:sz w:val="24"/>
          <w:szCs w:val="24"/>
        </w:rPr>
        <w:t xml:space="preserve">, </w:t>
      </w:r>
      <w:r w:rsidR="00E42FC5">
        <w:rPr>
          <w:rFonts w:asciiTheme="majorHAnsi" w:hAnsiTheme="majorHAnsi" w:cstheme="majorHAnsi"/>
          <w:sz w:val="24"/>
          <w:szCs w:val="24"/>
        </w:rPr>
        <w:t>i</w:t>
      </w:r>
      <w:r w:rsidRPr="00EC77AC">
        <w:rPr>
          <w:rFonts w:asciiTheme="majorHAnsi" w:hAnsiTheme="majorHAnsi" w:cstheme="majorHAnsi"/>
          <w:sz w:val="24"/>
          <w:szCs w:val="24"/>
        </w:rPr>
        <w:t>t was narrated by al-</w:t>
      </w:r>
      <w:proofErr w:type="spellStart"/>
      <w:r w:rsidRPr="00EC77AC">
        <w:rPr>
          <w:rFonts w:asciiTheme="majorHAnsi" w:hAnsiTheme="majorHAnsi" w:cstheme="majorHAnsi"/>
          <w:sz w:val="24"/>
          <w:szCs w:val="24"/>
        </w:rPr>
        <w:t>Imām</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Aḥmad</w:t>
      </w:r>
      <w:proofErr w:type="spellEnd"/>
      <w:r w:rsidRPr="00EC77AC">
        <w:rPr>
          <w:rFonts w:asciiTheme="majorHAnsi" w:hAnsiTheme="majorHAnsi" w:cstheme="majorHAnsi"/>
          <w:sz w:val="24"/>
          <w:szCs w:val="24"/>
        </w:rPr>
        <w:t xml:space="preserve"> from </w:t>
      </w:r>
      <w:proofErr w:type="spellStart"/>
      <w:r w:rsidRPr="00EC77AC">
        <w:rPr>
          <w:rFonts w:asciiTheme="majorHAnsi" w:hAnsiTheme="majorHAnsi" w:cstheme="majorHAnsi"/>
          <w:sz w:val="24"/>
          <w:szCs w:val="24"/>
        </w:rPr>
        <w:t>ʻAbd</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Allāh</w:t>
      </w:r>
      <w:proofErr w:type="spellEnd"/>
      <w:r w:rsidRPr="00EC77AC">
        <w:rPr>
          <w:rFonts w:asciiTheme="majorHAnsi" w:hAnsiTheme="majorHAnsi" w:cstheme="majorHAnsi"/>
          <w:sz w:val="24"/>
          <w:szCs w:val="24"/>
        </w:rPr>
        <w:t xml:space="preserve"> ibn </w:t>
      </w:r>
      <w:proofErr w:type="spellStart"/>
      <w:r w:rsidRPr="00EC77AC">
        <w:rPr>
          <w:rFonts w:asciiTheme="majorHAnsi" w:hAnsiTheme="majorHAnsi" w:cstheme="majorHAnsi"/>
          <w:sz w:val="24"/>
          <w:szCs w:val="24"/>
        </w:rPr>
        <w:t>ʻUmar</w:t>
      </w:r>
      <w:proofErr w:type="spellEnd"/>
      <w:r w:rsidRPr="00EC77AC">
        <w:rPr>
          <w:rFonts w:asciiTheme="majorHAnsi" w:hAnsiTheme="majorHAnsi" w:cstheme="majorHAnsi"/>
          <w:sz w:val="24"/>
          <w:szCs w:val="24"/>
        </w:rPr>
        <w:t xml:space="preserve">, who said: </w:t>
      </w:r>
      <w:r w:rsidR="00E42FC5">
        <w:rPr>
          <w:rFonts w:asciiTheme="majorHAnsi" w:hAnsiTheme="majorHAnsi" w:cstheme="majorHAnsi"/>
          <w:sz w:val="24"/>
          <w:szCs w:val="24"/>
        </w:rPr>
        <w:t>“</w:t>
      </w:r>
      <w:r w:rsidRPr="00E42FC5">
        <w:rPr>
          <w:rFonts w:asciiTheme="majorHAnsi" w:hAnsiTheme="majorHAnsi" w:cstheme="majorHAnsi"/>
          <w:i/>
          <w:iCs/>
          <w:sz w:val="24"/>
          <w:szCs w:val="24"/>
        </w:rPr>
        <w:t xml:space="preserve">The first charity in Islam was the charity made by </w:t>
      </w:r>
      <w:proofErr w:type="spellStart"/>
      <w:r w:rsidRPr="00E42FC5">
        <w:rPr>
          <w:rFonts w:asciiTheme="majorHAnsi" w:hAnsiTheme="majorHAnsi" w:cstheme="majorHAnsi"/>
          <w:i/>
          <w:iCs/>
          <w:sz w:val="24"/>
          <w:szCs w:val="24"/>
        </w:rPr>
        <w:t>ʻUmar</w:t>
      </w:r>
      <w:proofErr w:type="spellEnd"/>
      <w:r w:rsidRPr="00E42FC5">
        <w:rPr>
          <w:rFonts w:asciiTheme="majorHAnsi" w:hAnsiTheme="majorHAnsi" w:cstheme="majorHAnsi"/>
          <w:i/>
          <w:iCs/>
          <w:sz w:val="24"/>
          <w:szCs w:val="24"/>
        </w:rPr>
        <w:t>.”</w:t>
      </w:r>
      <w:r w:rsidRPr="00EC77AC">
        <w:rPr>
          <w:rFonts w:asciiTheme="majorHAnsi" w:hAnsiTheme="majorHAnsi" w:cstheme="majorHAnsi"/>
          <w:sz w:val="24"/>
          <w:szCs w:val="24"/>
        </w:rPr>
        <w:t xml:space="preserve"> The Prophet said to ‘Umar: </w:t>
      </w:r>
      <w:r w:rsidRPr="00E42FC5">
        <w:rPr>
          <w:rFonts w:asciiTheme="majorHAnsi" w:hAnsiTheme="majorHAnsi" w:cstheme="majorHAnsi"/>
          <w:i/>
          <w:iCs/>
          <w:sz w:val="24"/>
          <w:szCs w:val="24"/>
        </w:rPr>
        <w:t>“Keep the principal and let its produce be in the way of Allah”</w:t>
      </w:r>
      <w:r w:rsidRPr="00EC77AC">
        <w:rPr>
          <w:rFonts w:asciiTheme="majorHAnsi" w:hAnsiTheme="majorHAnsi" w:cstheme="majorHAnsi"/>
          <w:sz w:val="24"/>
          <w:szCs w:val="24"/>
        </w:rPr>
        <w:t xml:space="preserve"> </w:t>
      </w:r>
      <w:r w:rsidR="00E42FC5"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{"citationItems":[{"id":"ITEM-1","itemData":{"author":[{"dropping-particle":"","family":"Ḥanbal","given":"Aḥmad ibn","non-dropping-particle":"","parse-names":false,"suffix":""}],"editor":[{"dropping-particle":"","family":"Al-Arnā’ūṭ","given":"Shuʻayb","non-dropping-particle":"","parse-names":false,"suffix":""}],"id":"ITEM-1","issued":{"date-parts":[["1421"]]},"number-of-pages":"X: 487","publisher":"Mu’assasat al-Risālah","publisher-place":"Beirut","title":"Musnad al-Imām Aḥmad Ibn Ḥanbal","type":"book"},"locator":"X: 487","uris":["http://www.mendeley.com/documents/?uuid=8bad23fc-64b6-4d6a-9d26-8f9033b7e801","http://www.mendeley.com/documents/?uuid=c91d9a1e-d898-43b2-9d8f-a350fe93db69"]}],"mendeley":{"formattedCitation":"(Ḥanbal, 1421, p. X: 487)","plainTextFormattedCitation":"(Ḥanbal, 1421, p. X: 487)","previouslyFormattedCitation":"(Ḥanbal, 1421, p. X: 487)"},"properties":{"noteIndex":0},"schema":"https://github.com/citation-style-language/schema/raw/master/csl-citation.json"}</w:instrText>
      </w:r>
      <w:r w:rsidR="00E42FC5" w:rsidRPr="00CE509C">
        <w:rPr>
          <w:rFonts w:ascii="Calibri Light" w:hAnsi="Calibri Light" w:cs="Calibri Light"/>
          <w:sz w:val="24"/>
          <w:szCs w:val="24"/>
          <w:lang w:val="id-ID"/>
        </w:rPr>
        <w:fldChar w:fldCharType="separate"/>
      </w:r>
      <w:r w:rsidR="00E42FC5" w:rsidRPr="00CE509C">
        <w:rPr>
          <w:rFonts w:ascii="Calibri Light" w:hAnsi="Calibri Light" w:cs="Calibri Light"/>
          <w:noProof/>
          <w:sz w:val="24"/>
          <w:szCs w:val="24"/>
          <w:lang w:val="id-ID"/>
        </w:rPr>
        <w:t>(Ḥanbal, 1421, p. X: 487)</w:t>
      </w:r>
      <w:r w:rsidR="00E42FC5"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In the narration of Imam al-</w:t>
      </w:r>
      <w:proofErr w:type="spellStart"/>
      <w:r w:rsidRPr="00EC77AC">
        <w:rPr>
          <w:rFonts w:asciiTheme="majorHAnsi" w:hAnsiTheme="majorHAnsi" w:cstheme="majorHAnsi"/>
          <w:sz w:val="24"/>
          <w:szCs w:val="24"/>
        </w:rPr>
        <w:t>Bukhāri</w:t>
      </w:r>
      <w:proofErr w:type="spellEnd"/>
      <w:r w:rsidRPr="00EC77AC">
        <w:rPr>
          <w:rFonts w:asciiTheme="majorHAnsi" w:hAnsiTheme="majorHAnsi" w:cstheme="majorHAnsi"/>
          <w:sz w:val="24"/>
          <w:szCs w:val="24"/>
        </w:rPr>
        <w:t xml:space="preserve">, it is told by ‘Umar ibn </w:t>
      </w:r>
      <w:proofErr w:type="spellStart"/>
      <w:r w:rsidRPr="00EC77AC">
        <w:rPr>
          <w:rFonts w:asciiTheme="majorHAnsi" w:hAnsiTheme="majorHAnsi" w:cstheme="majorHAnsi"/>
          <w:sz w:val="24"/>
          <w:szCs w:val="24"/>
        </w:rPr>
        <w:t>Shabbah</w:t>
      </w:r>
      <w:proofErr w:type="spellEnd"/>
      <w:r w:rsidRPr="00EC77AC">
        <w:rPr>
          <w:rFonts w:asciiTheme="majorHAnsi" w:hAnsiTheme="majorHAnsi" w:cstheme="majorHAnsi"/>
          <w:sz w:val="24"/>
          <w:szCs w:val="24"/>
        </w:rPr>
        <w:t xml:space="preserve">, from ‘Umar ibn </w:t>
      </w:r>
      <w:proofErr w:type="spellStart"/>
      <w:r w:rsidRPr="00EC77AC">
        <w:rPr>
          <w:rFonts w:asciiTheme="majorHAnsi" w:hAnsiTheme="majorHAnsi" w:cstheme="majorHAnsi"/>
          <w:sz w:val="24"/>
          <w:szCs w:val="24"/>
        </w:rPr>
        <w:t>Saʻīd</w:t>
      </w:r>
      <w:proofErr w:type="spellEnd"/>
      <w:r w:rsidRPr="00EC77AC">
        <w:rPr>
          <w:rFonts w:asciiTheme="majorHAnsi" w:hAnsiTheme="majorHAnsi" w:cstheme="majorHAnsi"/>
          <w:sz w:val="24"/>
          <w:szCs w:val="24"/>
        </w:rPr>
        <w:t xml:space="preserve"> ibn </w:t>
      </w:r>
      <w:proofErr w:type="spellStart"/>
      <w:r w:rsidRPr="00EC77AC">
        <w:rPr>
          <w:rFonts w:asciiTheme="majorHAnsi" w:hAnsiTheme="majorHAnsi" w:cstheme="majorHAnsi"/>
          <w:sz w:val="24"/>
          <w:szCs w:val="24"/>
        </w:rPr>
        <w:t>Muʻādh</w:t>
      </w:r>
      <w:proofErr w:type="spellEnd"/>
      <w:r w:rsidRPr="00EC77AC">
        <w:rPr>
          <w:rFonts w:asciiTheme="majorHAnsi" w:hAnsiTheme="majorHAnsi" w:cstheme="majorHAnsi"/>
          <w:sz w:val="24"/>
          <w:szCs w:val="24"/>
        </w:rPr>
        <w:t xml:space="preserve">, who said: </w:t>
      </w:r>
      <w:r w:rsidRPr="00E42FC5">
        <w:rPr>
          <w:rFonts w:asciiTheme="majorHAnsi" w:hAnsiTheme="majorHAnsi" w:cstheme="majorHAnsi"/>
          <w:i/>
          <w:iCs/>
          <w:sz w:val="24"/>
          <w:szCs w:val="24"/>
        </w:rPr>
        <w:t>“We asked about the first person who made waqf in Islam.”</w:t>
      </w:r>
      <w:r w:rsidRPr="00EC77AC">
        <w:rPr>
          <w:rFonts w:asciiTheme="majorHAnsi" w:hAnsiTheme="majorHAnsi" w:cstheme="majorHAnsi"/>
          <w:sz w:val="24"/>
          <w:szCs w:val="24"/>
        </w:rPr>
        <w:t xml:space="preserve"> The Ansar said: </w:t>
      </w:r>
      <w:r w:rsidRPr="00E42FC5">
        <w:rPr>
          <w:rFonts w:asciiTheme="majorHAnsi" w:hAnsiTheme="majorHAnsi" w:cstheme="majorHAnsi"/>
          <w:i/>
          <w:iCs/>
          <w:sz w:val="24"/>
          <w:szCs w:val="24"/>
        </w:rPr>
        <w:t xml:space="preserve">“The charity of ‘Umar [who endowed the land of </w:t>
      </w:r>
      <w:proofErr w:type="spellStart"/>
      <w:r w:rsidRPr="00E42FC5">
        <w:rPr>
          <w:rFonts w:asciiTheme="majorHAnsi" w:hAnsiTheme="majorHAnsi" w:cstheme="majorHAnsi"/>
          <w:i/>
          <w:iCs/>
          <w:sz w:val="24"/>
          <w:szCs w:val="24"/>
        </w:rPr>
        <w:t>Khaibar</w:t>
      </w:r>
      <w:proofErr w:type="spellEnd"/>
      <w:r w:rsidRPr="00E42FC5">
        <w:rPr>
          <w:rFonts w:asciiTheme="majorHAnsi" w:hAnsiTheme="majorHAnsi" w:cstheme="majorHAnsi"/>
          <w:i/>
          <w:iCs/>
          <w:sz w:val="24"/>
          <w:szCs w:val="24"/>
        </w:rPr>
        <w:t>.”</w:t>
      </w:r>
      <w:r w:rsidRPr="00EC77AC">
        <w:rPr>
          <w:rFonts w:asciiTheme="majorHAnsi" w:hAnsiTheme="majorHAnsi" w:cstheme="majorHAnsi"/>
          <w:sz w:val="24"/>
          <w:szCs w:val="24"/>
        </w:rPr>
        <w:t xml:space="preserve"> The </w:t>
      </w:r>
      <w:proofErr w:type="spellStart"/>
      <w:r w:rsidRPr="00EC77AC">
        <w:rPr>
          <w:rFonts w:asciiTheme="majorHAnsi" w:hAnsiTheme="majorHAnsi" w:cstheme="majorHAnsi"/>
          <w:sz w:val="24"/>
          <w:szCs w:val="24"/>
        </w:rPr>
        <w:t>Muhajirun</w:t>
      </w:r>
      <w:proofErr w:type="spellEnd"/>
      <w:r w:rsidRPr="00EC77AC">
        <w:rPr>
          <w:rFonts w:asciiTheme="majorHAnsi" w:hAnsiTheme="majorHAnsi" w:cstheme="majorHAnsi"/>
          <w:sz w:val="24"/>
          <w:szCs w:val="24"/>
        </w:rPr>
        <w:t xml:space="preserve"> said: </w:t>
      </w:r>
      <w:r w:rsidRPr="00E42FC5">
        <w:rPr>
          <w:rFonts w:asciiTheme="majorHAnsi" w:hAnsiTheme="majorHAnsi" w:cstheme="majorHAnsi"/>
          <w:i/>
          <w:iCs/>
          <w:sz w:val="24"/>
          <w:szCs w:val="24"/>
        </w:rPr>
        <w:t xml:space="preserve">“The charity of the Prophet, which was the land of </w:t>
      </w:r>
      <w:proofErr w:type="spellStart"/>
      <w:r w:rsidRPr="00E42FC5">
        <w:rPr>
          <w:rFonts w:asciiTheme="majorHAnsi" w:hAnsiTheme="majorHAnsi" w:cstheme="majorHAnsi"/>
          <w:i/>
          <w:iCs/>
          <w:sz w:val="24"/>
          <w:szCs w:val="24"/>
        </w:rPr>
        <w:t>Mukhayriq</w:t>
      </w:r>
      <w:proofErr w:type="spellEnd"/>
      <w:r w:rsidRPr="00E42FC5">
        <w:rPr>
          <w:rFonts w:asciiTheme="majorHAnsi" w:hAnsiTheme="majorHAnsi" w:cstheme="majorHAnsi"/>
          <w:i/>
          <w:iCs/>
          <w:sz w:val="24"/>
          <w:szCs w:val="24"/>
        </w:rPr>
        <w:t xml:space="preserve"> [al-</w:t>
      </w:r>
      <w:proofErr w:type="spellStart"/>
      <w:r w:rsidRPr="00E42FC5">
        <w:rPr>
          <w:rFonts w:asciiTheme="majorHAnsi" w:hAnsiTheme="majorHAnsi" w:cstheme="majorHAnsi"/>
          <w:i/>
          <w:iCs/>
          <w:sz w:val="24"/>
          <w:szCs w:val="24"/>
        </w:rPr>
        <w:t>Khaḍrī</w:t>
      </w:r>
      <w:proofErr w:type="spellEnd"/>
      <w:r w:rsidRPr="00E42FC5">
        <w:rPr>
          <w:rFonts w:asciiTheme="majorHAnsi" w:hAnsiTheme="majorHAnsi" w:cstheme="majorHAnsi"/>
          <w:i/>
          <w:iCs/>
          <w:sz w:val="24"/>
          <w:szCs w:val="24"/>
        </w:rPr>
        <w:t xml:space="preserve"> al-</w:t>
      </w:r>
      <w:proofErr w:type="spellStart"/>
      <w:r w:rsidRPr="00E42FC5">
        <w:rPr>
          <w:rFonts w:asciiTheme="majorHAnsi" w:hAnsiTheme="majorHAnsi" w:cstheme="majorHAnsi"/>
          <w:i/>
          <w:iCs/>
          <w:sz w:val="24"/>
          <w:szCs w:val="24"/>
        </w:rPr>
        <w:t>Isrāʻīlī</w:t>
      </w:r>
      <w:proofErr w:type="spellEnd"/>
      <w:r w:rsidRPr="00E42FC5">
        <w:rPr>
          <w:rFonts w:asciiTheme="majorHAnsi" w:hAnsiTheme="majorHAnsi" w:cstheme="majorHAnsi"/>
          <w:i/>
          <w:iCs/>
          <w:sz w:val="24"/>
          <w:szCs w:val="24"/>
        </w:rPr>
        <w:t xml:space="preserve"> from the Banu al-</w:t>
      </w:r>
      <w:proofErr w:type="spellStart"/>
      <w:r w:rsidRPr="00E42FC5">
        <w:rPr>
          <w:rFonts w:asciiTheme="majorHAnsi" w:hAnsiTheme="majorHAnsi" w:cstheme="majorHAnsi"/>
          <w:i/>
          <w:iCs/>
          <w:sz w:val="24"/>
          <w:szCs w:val="24"/>
        </w:rPr>
        <w:t>Naḍir</w:t>
      </w:r>
      <w:proofErr w:type="spellEnd"/>
      <w:r w:rsidRPr="00E42FC5">
        <w:rPr>
          <w:rFonts w:asciiTheme="majorHAnsi" w:hAnsiTheme="majorHAnsi" w:cstheme="majorHAnsi"/>
          <w:i/>
          <w:iCs/>
          <w:sz w:val="24"/>
          <w:szCs w:val="24"/>
        </w:rPr>
        <w:t>], which the Prophet bequeathed, and then the Prophet made it a waqf”</w:t>
      </w:r>
      <w:r w:rsidRPr="00EC77AC">
        <w:rPr>
          <w:rFonts w:asciiTheme="majorHAnsi" w:hAnsiTheme="majorHAnsi" w:cstheme="majorHAnsi"/>
          <w:sz w:val="24"/>
          <w:szCs w:val="24"/>
        </w:rPr>
        <w:t xml:space="preserve"> </w:t>
      </w:r>
      <w:r w:rsidR="00E42FC5"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{"citationItems":[{"id":"ITEM-1","itemData":{"author":[{"dropping-particle":"","family":"Al-ʻAsqalānī","given":"Ibn Ḥajr","non-dropping-particle":"","parse-names":false,"suffix":""}],"id":"ITEM-1","issued":{"date-parts":[["1379"]]},"number-of-pages":"V: 401","publisher":"Dār al-Maʻrifah","publisher-place":"Beirut","title":"Fatḥ al-Bārī Shārḥ Ṣaḥīḥ al-Bukhārī","type":"book"},"locator":"V: 401","uris":["http://www.mendeley.com/documents/?uuid=1ef42f15-5578-41cd-8839-91093bdd57f5","http://www.mendeley.com/documents/?uuid=ea340e7a-74ce-4edf-9d8f-ac2f116d24f9"]}],"mendeley":{"formattedCitation":"(Al-ʻAsqalānī, 1379, p. V: 401)","plainTextFormattedCitation":"(Al-ʻAsqalānī, 1379, p. V: 401)","previouslyFormattedCitation":"(Al-ʻAsqalānī, 1379, p. V: 401)"},"properties":{"noteIndex":0},"schema":"https://github.com/citation-style-language/schema/raw/master/csl-citation.json"}</w:instrText>
      </w:r>
      <w:r w:rsidR="00E42FC5" w:rsidRPr="00CE509C">
        <w:rPr>
          <w:rFonts w:ascii="Calibri Light" w:hAnsi="Calibri Light" w:cs="Calibri Light"/>
          <w:sz w:val="24"/>
          <w:szCs w:val="24"/>
          <w:lang w:val="id-ID"/>
        </w:rPr>
        <w:fldChar w:fldCharType="separate"/>
      </w:r>
      <w:r w:rsidR="00E42FC5" w:rsidRPr="00CE509C">
        <w:rPr>
          <w:rFonts w:ascii="Calibri Light" w:hAnsi="Calibri Light" w:cs="Calibri Light"/>
          <w:noProof/>
          <w:sz w:val="24"/>
          <w:szCs w:val="24"/>
          <w:lang w:val="id-ID"/>
        </w:rPr>
        <w:t>(Al-ʻAsqalānī, 1379, p. V: 401)</w:t>
      </w:r>
      <w:r w:rsidR="00E42FC5" w:rsidRPr="00CE509C">
        <w:rPr>
          <w:rFonts w:ascii="Calibri Light" w:hAnsi="Calibri Light" w:cs="Calibri Light"/>
          <w:sz w:val="24"/>
          <w:szCs w:val="24"/>
          <w:lang w:val="id-ID"/>
        </w:rPr>
        <w:fldChar w:fldCharType="end"/>
      </w:r>
      <w:r w:rsidR="00E42FC5" w:rsidRPr="00CE509C">
        <w:rPr>
          <w:rFonts w:ascii="Calibri Light" w:hAnsi="Calibri Light" w:cs="Calibri Light"/>
          <w:sz w:val="24"/>
          <w:szCs w:val="24"/>
          <w:lang w:val="id-ID"/>
        </w:rPr>
        <w:t>.</w:t>
      </w:r>
    </w:p>
    <w:p w14:paraId="7ECBE51E" w14:textId="6DA5389A" w:rsidR="009971D9" w:rsidRPr="00EC77AC"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Regardless of the differences of opinion above, it is certain that waqf has been practiced by the Prophets and their companions. Although the verses and hadiths remain general, the scholars developed the laws of waqf through </w:t>
      </w:r>
      <w:proofErr w:type="spellStart"/>
      <w:r w:rsidRPr="00EC77AC">
        <w:rPr>
          <w:rFonts w:asciiTheme="majorHAnsi" w:hAnsiTheme="majorHAnsi" w:cstheme="majorHAnsi"/>
          <w:i/>
          <w:iCs/>
          <w:sz w:val="24"/>
          <w:szCs w:val="24"/>
        </w:rPr>
        <w:t>qiyās</w:t>
      </w:r>
      <w:proofErr w:type="spellEnd"/>
      <w:r w:rsidRPr="00EC77AC">
        <w:rPr>
          <w:rFonts w:asciiTheme="majorHAnsi" w:hAnsiTheme="majorHAnsi" w:cstheme="majorHAnsi"/>
          <w:sz w:val="24"/>
          <w:szCs w:val="24"/>
        </w:rPr>
        <w:t xml:space="preserve"> (analogy), </w:t>
      </w:r>
      <w:proofErr w:type="spellStart"/>
      <w:r w:rsidRPr="00EC77AC">
        <w:rPr>
          <w:rFonts w:asciiTheme="majorHAnsi" w:hAnsiTheme="majorHAnsi" w:cstheme="majorHAnsi"/>
          <w:i/>
          <w:iCs/>
          <w:sz w:val="24"/>
          <w:szCs w:val="24"/>
        </w:rPr>
        <w:t>ijmāʻ</w:t>
      </w:r>
      <w:proofErr w:type="spellEnd"/>
      <w:r w:rsidRPr="00EC77AC">
        <w:rPr>
          <w:rFonts w:asciiTheme="majorHAnsi" w:hAnsiTheme="majorHAnsi" w:cstheme="majorHAnsi"/>
          <w:sz w:val="24"/>
          <w:szCs w:val="24"/>
        </w:rPr>
        <w:t xml:space="preserve"> (consensus), </w:t>
      </w:r>
      <w:proofErr w:type="spellStart"/>
      <w:r w:rsidRPr="00EC77AC">
        <w:rPr>
          <w:rFonts w:asciiTheme="majorHAnsi" w:hAnsiTheme="majorHAnsi" w:cstheme="majorHAnsi"/>
          <w:i/>
          <w:iCs/>
          <w:sz w:val="24"/>
          <w:szCs w:val="24"/>
        </w:rPr>
        <w:t>istiḥsān</w:t>
      </w:r>
      <w:proofErr w:type="spellEnd"/>
      <w:r w:rsidRPr="00EC77AC">
        <w:rPr>
          <w:rFonts w:asciiTheme="majorHAnsi" w:hAnsiTheme="majorHAnsi" w:cstheme="majorHAnsi"/>
          <w:sz w:val="24"/>
          <w:szCs w:val="24"/>
        </w:rPr>
        <w:t xml:space="preserve"> (legal preference), </w:t>
      </w:r>
      <w:proofErr w:type="spellStart"/>
      <w:r w:rsidRPr="00EC77AC">
        <w:rPr>
          <w:rFonts w:asciiTheme="majorHAnsi" w:hAnsiTheme="majorHAnsi" w:cstheme="majorHAnsi"/>
          <w:i/>
          <w:iCs/>
          <w:sz w:val="24"/>
          <w:szCs w:val="24"/>
        </w:rPr>
        <w:t>istiṣḥāb</w:t>
      </w:r>
      <w:proofErr w:type="spellEnd"/>
      <w:r w:rsidRPr="00EC77AC">
        <w:rPr>
          <w:rFonts w:asciiTheme="majorHAnsi" w:hAnsiTheme="majorHAnsi" w:cstheme="majorHAnsi"/>
          <w:sz w:val="24"/>
          <w:szCs w:val="24"/>
        </w:rPr>
        <w:t xml:space="preserve"> (continuity), and </w:t>
      </w:r>
      <w:proofErr w:type="spellStart"/>
      <w:r w:rsidRPr="00EC77AC">
        <w:rPr>
          <w:rFonts w:asciiTheme="majorHAnsi" w:hAnsiTheme="majorHAnsi" w:cstheme="majorHAnsi"/>
          <w:i/>
          <w:iCs/>
          <w:sz w:val="24"/>
          <w:szCs w:val="24"/>
        </w:rPr>
        <w:t>ʻurf</w:t>
      </w:r>
      <w:proofErr w:type="spellEnd"/>
      <w:r w:rsidRPr="00EC77AC">
        <w:rPr>
          <w:rFonts w:asciiTheme="majorHAnsi" w:hAnsiTheme="majorHAnsi" w:cstheme="majorHAnsi"/>
          <w:sz w:val="24"/>
          <w:szCs w:val="24"/>
        </w:rPr>
        <w:t xml:space="preserve"> (custom) </w:t>
      </w:r>
      <w:r w:rsidR="00E42FC5"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{"citationItems":[{"id":"ITEM-1","itemData":{"abstract":", (Kairo: Dar ‘Ammar, 1998), 13.","author":[{"dropping-particle":"","family":"Al-Zarqā","given":"Muṣṭafā","non-dropping-particle":"","parse-names":false,"suffix":""}],"id":"ITEM-1","issued":{"date-parts":[["1998"]]},"number-of-pages":"13","publisher":"Dar ‘Amār","publisher-place":"Kairo","title":"Aḥkām al-Awqāf","type":"book"},"uris":["http://www.mendeley.com/documents/?uuid=fdaf7d8d-c66e-424d-b4f6-5c0e79f31dd5","http://www.mendeley.com/documents/?uuid=12de7c48-4c91-433f-982a-690c8abe429f"]}],"mendeley":{"formattedCitation":"(Al-Zarqā, 1998)","plainTextFormattedCitation":"(Al-Zarqā, 1998)","previouslyFormattedCitation":"(Al-Zarqā, 1998)"},"properties":{"noteIndex":0},"schema":"https://github.com/citation-style-language/schema/raw/master/csl-citation.json"}</w:instrText>
      </w:r>
      <w:r w:rsidR="00E42FC5" w:rsidRPr="00CE509C">
        <w:rPr>
          <w:rFonts w:ascii="Calibri Light" w:hAnsi="Calibri Light" w:cs="Calibri Light"/>
          <w:sz w:val="24"/>
          <w:szCs w:val="24"/>
          <w:lang w:val="id-ID"/>
        </w:rPr>
        <w:fldChar w:fldCharType="separate"/>
      </w:r>
      <w:r w:rsidR="00E42FC5" w:rsidRPr="00D67BB1">
        <w:rPr>
          <w:rFonts w:ascii="Calibri Light" w:hAnsi="Calibri Light" w:cs="Calibri Light"/>
          <w:noProof/>
          <w:sz w:val="24"/>
          <w:szCs w:val="24"/>
          <w:lang w:val="id-ID"/>
        </w:rPr>
        <w:t>(Al-Zarqā, 1998)</w:t>
      </w:r>
      <w:r w:rsidR="00E42FC5"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xml:space="preserve">. The principle of </w:t>
      </w:r>
      <w:proofErr w:type="spellStart"/>
      <w:r w:rsidRPr="00EC77AC">
        <w:rPr>
          <w:rFonts w:asciiTheme="majorHAnsi" w:hAnsiTheme="majorHAnsi" w:cstheme="majorHAnsi"/>
          <w:i/>
          <w:iCs/>
          <w:sz w:val="24"/>
          <w:szCs w:val="24"/>
        </w:rPr>
        <w:t>istiṣlāḥ</w:t>
      </w:r>
      <w:proofErr w:type="spellEnd"/>
      <w:r w:rsidRPr="00EC77AC">
        <w:rPr>
          <w:rFonts w:asciiTheme="majorHAnsi" w:hAnsiTheme="majorHAnsi" w:cstheme="majorHAnsi"/>
          <w:sz w:val="24"/>
          <w:szCs w:val="24"/>
        </w:rPr>
        <w:t xml:space="preserve"> (public interest) was also applied in later periods to legalize new practices, such as cash waqf</w:t>
      </w:r>
      <w:r w:rsidR="00E42FC5">
        <w:rPr>
          <w:rFonts w:asciiTheme="majorHAnsi" w:hAnsiTheme="majorHAnsi" w:cstheme="majorHAnsi"/>
          <w:sz w:val="24"/>
          <w:szCs w:val="24"/>
        </w:rPr>
        <w:t xml:space="preserve"> </w:t>
      </w:r>
      <w:r w:rsidR="00E42FC5" w:rsidRPr="00CE509C">
        <w:rPr>
          <w:rFonts w:ascii="Calibri Light" w:hAnsi="Calibri Light" w:cs="Calibri Light"/>
          <w:sz w:val="24"/>
          <w:szCs w:val="24"/>
          <w:lang w:val="id-ID"/>
        </w:rPr>
        <w:fldChar w:fldCharType="begin" w:fldLock="1"/>
      </w:r>
      <w:r w:rsidR="00E42FC5">
        <w:rPr>
          <w:rFonts w:ascii="Calibri Light" w:hAnsi="Calibri Light" w:cs="Calibri Light"/>
          <w:sz w:val="24"/>
          <w:szCs w:val="24"/>
          <w:lang w:val="id-ID"/>
        </w:rPr>
        <w:instrText>ADDIN CSL_CITATION {"citationItems":[{"id":"ITEM-1","itemData":{"ISSN":"1471-6380","author":[{"dropping-particle":"","family":"Mandaville","given":"Jon E","non-dropping-particle":"","parse-names":false,"suffix":""}],"container-title":"International Journal of Middle East Studies","id":"ITEM-1","issue":"3","issued":{"date-parts":[["1979"]]},"page":"289-308","publisher":"Cambridge University Press","title":"Usurious Piety: the Cash Waqf Controversy in the Ottoman Empire","type":"article-journal","volume":"10"},"uris":["http://www.mendeley.com/documents/?uuid=12a7772c-fd4a-44e1-9b2b-3be1b2334e8e","http://www.mendeley.com/documents/?uuid=e09a9e2f-5426-4d4b-a4d7-35444c5e8799"]}],"mendeley":{"formattedCitation":"(Mandaville, 1979)","plainTextFormattedCitation":"(Mandaville, 1979)","previouslyFormattedCitation":"(Mandaville, 1979)"},"properties":{"noteIndex":0},"schema":"https://github.com/citation-style-language/schema/raw/master/csl-citation.json"}</w:instrText>
      </w:r>
      <w:r w:rsidR="00E42FC5" w:rsidRPr="00CE509C">
        <w:rPr>
          <w:rFonts w:ascii="Calibri Light" w:hAnsi="Calibri Light" w:cs="Calibri Light"/>
          <w:sz w:val="24"/>
          <w:szCs w:val="24"/>
          <w:lang w:val="id-ID"/>
        </w:rPr>
        <w:fldChar w:fldCharType="separate"/>
      </w:r>
      <w:r w:rsidR="00E42FC5" w:rsidRPr="00CE509C">
        <w:rPr>
          <w:rFonts w:ascii="Calibri Light" w:hAnsi="Calibri Light" w:cs="Calibri Light"/>
          <w:bCs/>
          <w:noProof/>
          <w:sz w:val="24"/>
          <w:szCs w:val="24"/>
          <w:lang w:val="id-ID"/>
        </w:rPr>
        <w:t>(Mandaville, 1979)</w:t>
      </w:r>
      <w:r w:rsidR="00E42FC5"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Therefore, the collection of evidence above strengthens the understanding that waqf is an essential practice in Islam. Muslims need an institution that allows them to perform the three good deeds mentioned above, which then evolved into the waqf institution, ensuring the continuity of charity, repeated for years, even centuries, after their death.</w:t>
      </w:r>
    </w:p>
    <w:p w14:paraId="6F21B3EB" w14:textId="6576FDA7" w:rsidR="009971D9" w:rsidRPr="00EC77AC"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Muslims may have borrowed the concept of such charitable institutions from other civilizations. This is because charitable institutions have a much older history than the history of Islam, and it is quite possible that Islam was influenced by previous civilizations, as discussed by several scholars </w:t>
      </w:r>
      <w:r w:rsidR="00E42FC5">
        <w:rPr>
          <w:rFonts w:asciiTheme="majorHAnsi" w:hAnsiTheme="majorHAnsi" w:cstheme="majorHAnsi"/>
          <w:sz w:val="24"/>
          <w:szCs w:val="24"/>
        </w:rPr>
        <w:fldChar w:fldCharType="begin" w:fldLock="1"/>
      </w:r>
      <w:r w:rsidR="007E3971">
        <w:rPr>
          <w:rFonts w:asciiTheme="majorHAnsi" w:hAnsiTheme="majorHAnsi" w:cstheme="majorHAnsi"/>
          <w:sz w:val="24"/>
          <w:szCs w:val="24"/>
        </w:rPr>
        <w:instrText>ADDIN CSL_CITATION {"citationItems":[{"id":"ITEM-1","itemData":{"author":[{"dropping-particle":"","family":"Cizakca","given":"Murat","non-dropping-particle":"","parse-names":false,"suffix":""}],"container-title":"Islamic Economic Studies","id":"ITEM-1","issue":"1","issued":{"date-parts":[["1998"]]},"page":"43-70","title":"Awqaf in History and its Implications for Modern Islamic Economies","type":"article-journal","volume":"6"},"uris":["http://www.mendeley.com/documents/?uuid=806755de-3d79-464a-8a3e-f333b7032fae"]}],"mendeley":{"formattedCitation":"(Cizakca, 1998)","manualFormatting":"(Cizakca, 1998","plainTextFormattedCitation":"(Cizakca, 1998)","previouslyFormattedCitation":"(Cizakca, 1998)"},"properties":{"noteIndex":0},"schema":"https://github.com/citation-style-language/schema/raw/master/csl-citation.json"}</w:instrText>
      </w:r>
      <w:r w:rsidR="00E42FC5">
        <w:rPr>
          <w:rFonts w:asciiTheme="majorHAnsi" w:hAnsiTheme="majorHAnsi" w:cstheme="majorHAnsi"/>
          <w:sz w:val="24"/>
          <w:szCs w:val="24"/>
        </w:rPr>
        <w:fldChar w:fldCharType="separate"/>
      </w:r>
      <w:r w:rsidR="00E42FC5" w:rsidRPr="00E42FC5">
        <w:rPr>
          <w:rFonts w:asciiTheme="majorHAnsi" w:hAnsiTheme="majorHAnsi" w:cstheme="majorHAnsi"/>
          <w:noProof/>
          <w:sz w:val="24"/>
          <w:szCs w:val="24"/>
        </w:rPr>
        <w:t>(Cizakca, 1998</w:t>
      </w:r>
      <w:r w:rsidR="00E42FC5">
        <w:rPr>
          <w:rFonts w:asciiTheme="majorHAnsi" w:hAnsiTheme="majorHAnsi" w:cstheme="majorHAnsi"/>
          <w:sz w:val="24"/>
          <w:szCs w:val="24"/>
        </w:rPr>
        <w:fldChar w:fldCharType="end"/>
      </w:r>
      <w:r w:rsidR="00E42FC5">
        <w:rPr>
          <w:rFonts w:asciiTheme="majorHAnsi" w:hAnsiTheme="majorHAnsi" w:cstheme="majorHAnsi"/>
          <w:sz w:val="24"/>
          <w:szCs w:val="24"/>
        </w:rPr>
        <w:t xml:space="preserve">; </w:t>
      </w:r>
      <w:r w:rsidR="00E42FC5">
        <w:rPr>
          <w:rFonts w:asciiTheme="majorHAnsi" w:hAnsiTheme="majorHAnsi" w:cstheme="majorHAnsi"/>
          <w:sz w:val="24"/>
          <w:szCs w:val="24"/>
        </w:rPr>
        <w:fldChar w:fldCharType="begin" w:fldLock="1"/>
      </w:r>
      <w:r w:rsidR="00E42FC5">
        <w:rPr>
          <w:rFonts w:asciiTheme="majorHAnsi" w:hAnsiTheme="majorHAnsi" w:cstheme="majorHAnsi"/>
          <w:sz w:val="24"/>
          <w:szCs w:val="24"/>
        </w:rPr>
        <w:instrText>ADDIN CSL_CITATION {"citationItems":[{"id":"ITEM-1","itemData":{"abstract":", (Aman: , 2011), 14.","author":[{"dropping-particle":"","family":"Ṣabrī","given":"ʻAkramah Saʻīd","non-dropping-particle":"","parse-names":false,"suffix":""}],"id":"ITEM-1","issued":{"date-parts":[["2011"]]},"number-of-pages":"14","publisher":"Dār al-Nafā’is","publisher-place":"Aman","title":"al-Waqf al-Islāmī bayn al-Naẓriyyah wa al-Taṭbīq","type":"book"},"uris":["http://www.mendeley.com/documents/?uuid=2b620fd2-770e-4986-9a06-0bb1c344e1a9"]}],"mendeley":{"formattedCitation":"(Ṣabrī, 2011)","manualFormatting":"Ṣabrī, 2011","plainTextFormattedCitation":"(Ṣabrī, 2011)","previouslyFormattedCitation":"(Ṣabrī, 2011)"},"properties":{"noteIndex":0},"schema":"https://github.com/citation-style-language/schema/raw/master/csl-citation.json"}</w:instrText>
      </w:r>
      <w:r w:rsidR="00E42FC5">
        <w:rPr>
          <w:rFonts w:asciiTheme="majorHAnsi" w:hAnsiTheme="majorHAnsi" w:cstheme="majorHAnsi"/>
          <w:sz w:val="24"/>
          <w:szCs w:val="24"/>
        </w:rPr>
        <w:fldChar w:fldCharType="separate"/>
      </w:r>
      <w:r w:rsidR="00E42FC5" w:rsidRPr="00E42FC5">
        <w:rPr>
          <w:rFonts w:asciiTheme="majorHAnsi" w:hAnsiTheme="majorHAnsi" w:cstheme="majorHAnsi"/>
          <w:noProof/>
          <w:sz w:val="24"/>
          <w:szCs w:val="24"/>
        </w:rPr>
        <w:t>Ṣabrī, 2011</w:t>
      </w:r>
      <w:r w:rsidR="00E42FC5">
        <w:rPr>
          <w:rFonts w:asciiTheme="majorHAnsi" w:hAnsiTheme="majorHAnsi" w:cstheme="majorHAnsi"/>
          <w:sz w:val="24"/>
          <w:szCs w:val="24"/>
        </w:rPr>
        <w:fldChar w:fldCharType="end"/>
      </w:r>
      <w:r w:rsidR="00E42FC5">
        <w:rPr>
          <w:rFonts w:asciiTheme="majorHAnsi" w:hAnsiTheme="majorHAnsi" w:cstheme="majorHAnsi"/>
          <w:sz w:val="24"/>
          <w:szCs w:val="24"/>
        </w:rPr>
        <w:t xml:space="preserve">; </w:t>
      </w:r>
      <w:r w:rsidR="00E42FC5">
        <w:rPr>
          <w:rFonts w:asciiTheme="majorHAnsi" w:hAnsiTheme="majorHAnsi" w:cstheme="majorHAnsi"/>
          <w:sz w:val="24"/>
          <w:szCs w:val="24"/>
        </w:rPr>
        <w:fldChar w:fldCharType="begin" w:fldLock="1"/>
      </w:r>
      <w:r w:rsidR="007E3971">
        <w:rPr>
          <w:rFonts w:asciiTheme="majorHAnsi" w:hAnsiTheme="majorHAnsi" w:cstheme="majorHAnsi"/>
          <w:sz w:val="24"/>
          <w:szCs w:val="24"/>
        </w:rPr>
        <w:instrText>ADDIN CSL_CITATION {"citationItems":[{"id":"ITEM-1","itemData":{"ISSN":"1833-3850","author":[{"dropping-particle":"","family":"Salarzehi","given":"Habibollah","non-dropping-particle":"","parse-names":false,"suffix":""},{"dropping-particle":"","family":"Armesh","given":"Hamed","non-dropping-particle":"","parse-names":false,"suffix":""},{"dropping-particle":"","family":"Nikbin","given":"Davoud","non-dropping-particle":"","parse-names":false,"suffix":""}],"container-title":"International Journal of Business and Management","id":"ITEM-1","issue":"7","issued":{"date-parts":[["2010"]]},"publisher":"Canadian Center of Science and Education","title":"Waqf as a Social Entrepreneurship Model in Islam","type":"article-journal","volume":"5"},"uris":["http://www.mendeley.com/documents/?uuid=b512fe1e-b3e6-43e8-b23d-ccd830de48a6"]}],"mendeley":{"formattedCitation":"(Salarzehi et al., 2010)","manualFormatting":"Salarzehi et al., 2010)","plainTextFormattedCitation":"(Salarzehi et al., 2010)","previouslyFormattedCitation":"(Salarzehi et al., 2010)"},"properties":{"noteIndex":0},"schema":"https://github.com/citation-style-language/schema/raw/master/csl-citation.json"}</w:instrText>
      </w:r>
      <w:r w:rsidR="00E42FC5">
        <w:rPr>
          <w:rFonts w:asciiTheme="majorHAnsi" w:hAnsiTheme="majorHAnsi" w:cstheme="majorHAnsi"/>
          <w:sz w:val="24"/>
          <w:szCs w:val="24"/>
        </w:rPr>
        <w:fldChar w:fldCharType="separate"/>
      </w:r>
      <w:r w:rsidR="00E42FC5" w:rsidRPr="00E42FC5">
        <w:rPr>
          <w:rFonts w:asciiTheme="majorHAnsi" w:hAnsiTheme="majorHAnsi" w:cstheme="majorHAnsi"/>
          <w:noProof/>
          <w:sz w:val="24"/>
          <w:szCs w:val="24"/>
        </w:rPr>
        <w:t>Salarzehi et al., 2010)</w:t>
      </w:r>
      <w:r w:rsidR="00E42FC5">
        <w:rPr>
          <w:rFonts w:asciiTheme="majorHAnsi" w:hAnsiTheme="majorHAnsi" w:cstheme="majorHAnsi"/>
          <w:sz w:val="24"/>
          <w:szCs w:val="24"/>
        </w:rPr>
        <w:fldChar w:fldCharType="end"/>
      </w:r>
      <w:r w:rsidRPr="00EC77AC">
        <w:rPr>
          <w:rFonts w:asciiTheme="majorHAnsi" w:hAnsiTheme="majorHAnsi" w:cstheme="majorHAnsi"/>
          <w:sz w:val="24"/>
          <w:szCs w:val="24"/>
        </w:rPr>
        <w:t>. However, referring to the spirit of the above hadith, the process of borrowing is not simple, because any institution borrowed must be reformed to align with the fundamental teachings of Islam.</w:t>
      </w:r>
    </w:p>
    <w:p w14:paraId="59656328" w14:textId="77777777" w:rsidR="009971D9" w:rsidRPr="00EC77AC" w:rsidRDefault="009971D9"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lastRenderedPageBreak/>
        <w:t>At this point, it is essential to explain how a system that does not originate from Islam, is not specifically mentioned in the Qur’an, and was initially opposed by many prominent jurists, came to be so enthusiastically adopted and developed to phenomenal dimensions. There are two explanations: historical and economic. Let us first consider the historical explanation. The great Islamic conquests enriched the Muslim world beyond imagination and established the economic prerequisites for the emergence of this institution. Moreover, we must consider the inherent emphasis in prophetic hadiths on the importance of doing good and giving charity, as mentioned above. Since wealth is considered in Islam as a significant source of trial, the natural tendency among wealthy Muslims to perform good deeds as preparation for the afterlife can easily be understood. Therefore, for these historical reasons, despite not being explicitly mentioned in the Qur’an and initially rejected by some jurists, waqf was embraced.</w:t>
      </w:r>
    </w:p>
    <w:p w14:paraId="2199CFAC" w14:textId="1D56E2DF" w:rsidR="009971D9" w:rsidRPr="00E42FC5" w:rsidRDefault="009971D9" w:rsidP="005A62F6">
      <w:pPr>
        <w:spacing w:before="120" w:after="120" w:line="240" w:lineRule="auto"/>
        <w:ind w:left="425"/>
        <w:jc w:val="both"/>
        <w:rPr>
          <w:rFonts w:asciiTheme="majorHAnsi" w:hAnsiTheme="majorHAnsi" w:cstheme="majorHAnsi"/>
          <w:sz w:val="24"/>
          <w:szCs w:val="24"/>
          <w:lang w:val="en-US"/>
        </w:rPr>
      </w:pPr>
      <w:r w:rsidRPr="00EC77AC">
        <w:rPr>
          <w:rFonts w:asciiTheme="majorHAnsi" w:hAnsiTheme="majorHAnsi" w:cstheme="majorHAnsi"/>
          <w:sz w:val="24"/>
          <w:szCs w:val="24"/>
        </w:rPr>
        <w:t xml:space="preserve">In its development, scholars divided waqf into two forms: </w:t>
      </w:r>
      <w:r w:rsidR="0048225E" w:rsidRPr="00EC77AC">
        <w:rPr>
          <w:rFonts w:asciiTheme="majorHAnsi" w:hAnsiTheme="majorHAnsi" w:cstheme="majorHAnsi"/>
          <w:i/>
          <w:iCs/>
          <w:sz w:val="24"/>
          <w:szCs w:val="24"/>
        </w:rPr>
        <w:t>waqf al-</w:t>
      </w:r>
      <w:proofErr w:type="spellStart"/>
      <w:r w:rsidR="0048225E" w:rsidRPr="00EC77AC">
        <w:rPr>
          <w:rFonts w:asciiTheme="majorHAnsi" w:hAnsiTheme="majorHAnsi" w:cstheme="majorHAnsi"/>
          <w:i/>
          <w:iCs/>
          <w:sz w:val="24"/>
          <w:szCs w:val="24"/>
        </w:rPr>
        <w:t>khayrī</w:t>
      </w:r>
      <w:proofErr w:type="spellEnd"/>
      <w:r w:rsidR="006149B1"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and </w:t>
      </w:r>
      <w:r w:rsidR="00FA7360" w:rsidRPr="00EC77AC">
        <w:rPr>
          <w:rFonts w:asciiTheme="majorHAnsi" w:hAnsiTheme="majorHAnsi" w:cstheme="majorHAnsi"/>
          <w:i/>
          <w:iCs/>
          <w:sz w:val="24"/>
          <w:szCs w:val="24"/>
        </w:rPr>
        <w:t>waqf al-</w:t>
      </w:r>
      <w:proofErr w:type="spellStart"/>
      <w:r w:rsidR="00FA7360"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The first type has been explained above, while the second type, also referred to as </w:t>
      </w:r>
      <w:r w:rsidRPr="00EC77AC">
        <w:rPr>
          <w:rFonts w:asciiTheme="majorHAnsi" w:hAnsiTheme="majorHAnsi" w:cstheme="majorHAnsi"/>
          <w:i/>
          <w:iCs/>
          <w:sz w:val="24"/>
          <w:szCs w:val="24"/>
        </w:rPr>
        <w:t>al-waqf al-</w:t>
      </w:r>
      <w:proofErr w:type="spellStart"/>
      <w:r w:rsidRPr="00EC77AC">
        <w:rPr>
          <w:rFonts w:asciiTheme="majorHAnsi" w:hAnsiTheme="majorHAnsi" w:cstheme="majorHAnsi"/>
          <w:i/>
          <w:iCs/>
          <w:sz w:val="24"/>
          <w:szCs w:val="24"/>
        </w:rPr>
        <w:t>dhurrī</w:t>
      </w:r>
      <w:proofErr w:type="spellEnd"/>
      <w:r w:rsidRPr="00EC77AC">
        <w:rPr>
          <w:rFonts w:asciiTheme="majorHAnsi" w:hAnsiTheme="majorHAnsi" w:cstheme="majorHAnsi"/>
          <w:sz w:val="24"/>
          <w:szCs w:val="24"/>
        </w:rPr>
        <w:t>, is a waqf specifically designated for the children and descendants of the donor or for other individuals not related by lineage to the donor</w:t>
      </w:r>
      <w:r w:rsidR="00E42FC5">
        <w:rPr>
          <w:rFonts w:asciiTheme="majorHAnsi" w:hAnsiTheme="majorHAnsi" w:cstheme="majorHAnsi"/>
          <w:sz w:val="24"/>
          <w:szCs w:val="24"/>
        </w:rPr>
        <w:t xml:space="preserve"> </w:t>
      </w:r>
      <w:r w:rsidR="00E42FC5" w:rsidRPr="00CE509C">
        <w:rPr>
          <w:rFonts w:ascii="Calibri Light" w:hAnsi="Calibri Light" w:cs="Calibri Light"/>
          <w:sz w:val="24"/>
          <w:szCs w:val="24"/>
          <w:lang w:val="id-ID"/>
        </w:rPr>
        <w:fldChar w:fldCharType="begin" w:fldLock="1"/>
      </w:r>
      <w:r w:rsidR="007E3971">
        <w:rPr>
          <w:rFonts w:ascii="Calibri Light" w:hAnsi="Calibri Light" w:cs="Calibri Light"/>
          <w:sz w:val="24"/>
          <w:szCs w:val="24"/>
          <w:lang w:val="id-ID"/>
        </w:rPr>
        <w:instrText>ADDIN CSL_CITATION {"citationItems":[{"id":"ITEM-1","itemData":{"abstract":", , (Jordan: , 2011), h. 49.","author":[{"dropping-particle":"","family":"Al-‘Alāwayn","given":"Fadwā Arshīd","non-dropping-particle":"","parse-names":false,"suffix":""}],"id":"ITEM-1","issued":{"date-parts":[["2011"]]},"publisher":"Jāmiʻah al-‘Ulūm al-Islāmiyyah al-‘Ālamiyyah, Jordan","publisher-place":"Amman","title":"al-Waqf al-Dhurrī wa Taṭbīquhā al-Muʻāṣir: Dirāsah Fiqhiyyah Muqāranah","type":"thesis"},"uris":["http://www.mendeley.com/documents/?uuid=36cbda6a-7853-450a-b1e5-6fcf60f02bbb","http://www.mendeley.com/documents/?uuid=d10cb8d6-5f6e-4753-8a80-1ee569f5b4ed"]}],"mendeley":{"formattedCitation":"(Al-‘Alāwayn, 2011)","plainTextFormattedCitation":"(Al-‘Alāwayn, 2011)","previouslyFormattedCitation":"(Al-‘Alāwayn, 2011)"},"properties":{"noteIndex":0},"schema":"https://github.com/citation-style-language/schema/raw/master/csl-citation.json"}</w:instrText>
      </w:r>
      <w:r w:rsidR="00E42FC5" w:rsidRPr="00CE509C">
        <w:rPr>
          <w:rFonts w:ascii="Calibri Light" w:hAnsi="Calibri Light" w:cs="Calibri Light"/>
          <w:sz w:val="24"/>
          <w:szCs w:val="24"/>
          <w:lang w:val="id-ID"/>
        </w:rPr>
        <w:fldChar w:fldCharType="separate"/>
      </w:r>
      <w:r w:rsidR="00E42FC5" w:rsidRPr="00D67BB1">
        <w:rPr>
          <w:rFonts w:ascii="Calibri Light" w:hAnsi="Calibri Light" w:cs="Calibri Light"/>
          <w:noProof/>
          <w:sz w:val="24"/>
          <w:szCs w:val="24"/>
          <w:lang w:val="id-ID"/>
        </w:rPr>
        <w:t>(Al-‘Alāwayn, 2011)</w:t>
      </w:r>
      <w:r w:rsidR="00E42FC5" w:rsidRPr="00CE509C">
        <w:rPr>
          <w:rFonts w:ascii="Calibri Light" w:hAnsi="Calibri Light" w:cs="Calibri Light"/>
          <w:sz w:val="24"/>
          <w:szCs w:val="24"/>
          <w:lang w:val="id-ID"/>
        </w:rPr>
        <w:fldChar w:fldCharType="end"/>
      </w:r>
      <w:r w:rsidR="00E42FC5">
        <w:rPr>
          <w:rFonts w:ascii="Calibri Light" w:hAnsi="Calibri Light" w:cs="Calibri Light"/>
          <w:sz w:val="24"/>
          <w:szCs w:val="24"/>
          <w:lang w:val="en-US"/>
        </w:rPr>
        <w:t>.</w:t>
      </w:r>
    </w:p>
    <w:p w14:paraId="67F054F5" w14:textId="77777777" w:rsidR="005A62F6" w:rsidRDefault="001D4AC5"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The majority of scholars from the Maliki, Shafi'i, Zahiri, Hanbali schools, and Abu Yusuf from the Hanafi school, as well as the Dhahiri school, recognize the legality of this type of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However, a minority, such as Qadi Shurayh (d. 78 AH), </w:t>
      </w:r>
      <w:r w:rsidR="0036727C" w:rsidRPr="00EC77AC">
        <w:rPr>
          <w:rFonts w:asciiTheme="majorHAnsi" w:hAnsiTheme="majorHAnsi" w:cstheme="majorHAnsi"/>
          <w:sz w:val="24"/>
          <w:szCs w:val="24"/>
        </w:rPr>
        <w:t>rejected</w:t>
      </w:r>
      <w:r w:rsidRPr="00EC77AC">
        <w:rPr>
          <w:rFonts w:asciiTheme="majorHAnsi" w:hAnsiTheme="majorHAnsi" w:cstheme="majorHAnsi"/>
          <w:sz w:val="24"/>
          <w:szCs w:val="24"/>
        </w:rPr>
        <w:t xml:space="preserve"> it. Those who accept it base their opinion on the following:</w:t>
      </w:r>
      <w:r w:rsidR="005A62F6">
        <w:rPr>
          <w:rFonts w:asciiTheme="majorHAnsi" w:hAnsiTheme="majorHAnsi" w:cstheme="majorHAnsi"/>
          <w:sz w:val="24"/>
          <w:szCs w:val="24"/>
        </w:rPr>
        <w:t xml:space="preserve"> </w:t>
      </w:r>
    </w:p>
    <w:p w14:paraId="76B418B6" w14:textId="5EF13E4F" w:rsidR="00E42FC5" w:rsidRDefault="001D4AC5" w:rsidP="005A62F6">
      <w:pPr>
        <w:spacing w:before="120" w:after="120" w:line="240" w:lineRule="auto"/>
        <w:ind w:left="425"/>
        <w:jc w:val="both"/>
        <w:rPr>
          <w:rFonts w:asciiTheme="majorHAnsi" w:hAnsiTheme="majorHAnsi" w:cstheme="majorHAnsi"/>
          <w:sz w:val="24"/>
          <w:szCs w:val="24"/>
        </w:rPr>
      </w:pPr>
      <w:r w:rsidRPr="005A62F6">
        <w:rPr>
          <w:rFonts w:asciiTheme="majorHAnsi" w:hAnsiTheme="majorHAnsi" w:cstheme="majorHAnsi"/>
          <w:i/>
          <w:iCs/>
          <w:sz w:val="24"/>
          <w:szCs w:val="24"/>
        </w:rPr>
        <w:t>First,</w:t>
      </w:r>
      <w:r w:rsidRPr="00EC77AC">
        <w:rPr>
          <w:rFonts w:asciiTheme="majorHAnsi" w:hAnsiTheme="majorHAnsi" w:cstheme="majorHAnsi"/>
          <w:sz w:val="24"/>
          <w:szCs w:val="24"/>
        </w:rPr>
        <w:t xml:space="preserve"> the general meaning of the verse </w:t>
      </w:r>
    </w:p>
    <w:p w14:paraId="01382FCB" w14:textId="605A8FB1" w:rsidR="00E42FC5" w:rsidRPr="00E42FC5" w:rsidRDefault="001D4AC5" w:rsidP="005A62F6">
      <w:pPr>
        <w:spacing w:before="120" w:after="120" w:line="240" w:lineRule="auto"/>
        <w:ind w:left="425"/>
        <w:jc w:val="right"/>
        <w:rPr>
          <w:rFonts w:ascii="Traditional Arabic" w:hAnsi="Traditional Arabic" w:cs="Traditional Arabic" w:hint="cs"/>
          <w:sz w:val="32"/>
          <w:szCs w:val="32"/>
        </w:rPr>
      </w:pPr>
      <w:proofErr w:type="spellStart"/>
      <w:r w:rsidRPr="00E42FC5">
        <w:rPr>
          <w:rFonts w:ascii="Traditional Arabic" w:hAnsi="Traditional Arabic" w:cs="Traditional Arabic" w:hint="cs"/>
          <w:sz w:val="32"/>
          <w:szCs w:val="32"/>
        </w:rPr>
        <w:t>لَن</w:t>
      </w:r>
      <w:proofErr w:type="spellEnd"/>
      <w:r w:rsidRPr="00E42FC5">
        <w:rPr>
          <w:rFonts w:ascii="Traditional Arabic" w:hAnsi="Traditional Arabic" w:cs="Traditional Arabic" w:hint="cs"/>
          <w:sz w:val="32"/>
          <w:szCs w:val="32"/>
        </w:rPr>
        <w:t xml:space="preserve"> </w:t>
      </w:r>
      <w:proofErr w:type="spellStart"/>
      <w:r w:rsidRPr="00E42FC5">
        <w:rPr>
          <w:rFonts w:ascii="Traditional Arabic" w:hAnsi="Traditional Arabic" w:cs="Traditional Arabic" w:hint="cs"/>
          <w:sz w:val="32"/>
          <w:szCs w:val="32"/>
        </w:rPr>
        <w:t>تَنَالُوا</w:t>
      </w:r>
      <w:proofErr w:type="spellEnd"/>
      <w:r w:rsidRPr="00E42FC5">
        <w:rPr>
          <w:rFonts w:ascii="Traditional Arabic" w:hAnsi="Traditional Arabic" w:cs="Traditional Arabic" w:hint="cs"/>
          <w:sz w:val="32"/>
          <w:szCs w:val="32"/>
        </w:rPr>
        <w:t xml:space="preserve"> </w:t>
      </w:r>
      <w:proofErr w:type="spellStart"/>
      <w:r w:rsidRPr="00E42FC5">
        <w:rPr>
          <w:rFonts w:ascii="Traditional Arabic" w:hAnsi="Traditional Arabic" w:cs="Traditional Arabic" w:hint="cs"/>
          <w:sz w:val="32"/>
          <w:szCs w:val="32"/>
        </w:rPr>
        <w:t>الْبِرَّ</w:t>
      </w:r>
      <w:proofErr w:type="spellEnd"/>
      <w:r w:rsidRPr="00E42FC5">
        <w:rPr>
          <w:rFonts w:ascii="Traditional Arabic" w:hAnsi="Traditional Arabic" w:cs="Traditional Arabic" w:hint="cs"/>
          <w:sz w:val="32"/>
          <w:szCs w:val="32"/>
        </w:rPr>
        <w:t xml:space="preserve"> </w:t>
      </w:r>
      <w:proofErr w:type="spellStart"/>
      <w:r w:rsidRPr="00E42FC5">
        <w:rPr>
          <w:rFonts w:ascii="Traditional Arabic" w:hAnsi="Traditional Arabic" w:cs="Traditional Arabic" w:hint="cs"/>
          <w:sz w:val="32"/>
          <w:szCs w:val="32"/>
        </w:rPr>
        <w:t>حَتَّىٰ</w:t>
      </w:r>
      <w:proofErr w:type="spellEnd"/>
      <w:r w:rsidRPr="00E42FC5">
        <w:rPr>
          <w:rFonts w:ascii="Traditional Arabic" w:hAnsi="Traditional Arabic" w:cs="Traditional Arabic" w:hint="cs"/>
          <w:sz w:val="32"/>
          <w:szCs w:val="32"/>
        </w:rPr>
        <w:t xml:space="preserve"> </w:t>
      </w:r>
      <w:proofErr w:type="spellStart"/>
      <w:r w:rsidRPr="00E42FC5">
        <w:rPr>
          <w:rFonts w:ascii="Traditional Arabic" w:hAnsi="Traditional Arabic" w:cs="Traditional Arabic" w:hint="cs"/>
          <w:sz w:val="32"/>
          <w:szCs w:val="32"/>
        </w:rPr>
        <w:t>تُنفِقُوا</w:t>
      </w:r>
      <w:proofErr w:type="spellEnd"/>
      <w:r w:rsidRPr="00E42FC5">
        <w:rPr>
          <w:rFonts w:ascii="Traditional Arabic" w:hAnsi="Traditional Arabic" w:cs="Traditional Arabic" w:hint="cs"/>
          <w:sz w:val="32"/>
          <w:szCs w:val="32"/>
        </w:rPr>
        <w:t xml:space="preserve"> </w:t>
      </w:r>
      <w:proofErr w:type="spellStart"/>
      <w:r w:rsidRPr="00E42FC5">
        <w:rPr>
          <w:rFonts w:ascii="Traditional Arabic" w:hAnsi="Traditional Arabic" w:cs="Traditional Arabic" w:hint="cs"/>
          <w:sz w:val="32"/>
          <w:szCs w:val="32"/>
        </w:rPr>
        <w:t>مِمَّا</w:t>
      </w:r>
      <w:proofErr w:type="spellEnd"/>
      <w:r w:rsidRPr="00E42FC5">
        <w:rPr>
          <w:rFonts w:ascii="Traditional Arabic" w:hAnsi="Traditional Arabic" w:cs="Traditional Arabic" w:hint="cs"/>
          <w:sz w:val="32"/>
          <w:szCs w:val="32"/>
        </w:rPr>
        <w:t xml:space="preserve"> </w:t>
      </w:r>
      <w:proofErr w:type="spellStart"/>
      <w:r w:rsidRPr="00E42FC5">
        <w:rPr>
          <w:rFonts w:ascii="Traditional Arabic" w:hAnsi="Traditional Arabic" w:cs="Traditional Arabic" w:hint="cs"/>
          <w:sz w:val="32"/>
          <w:szCs w:val="32"/>
        </w:rPr>
        <w:t>تُحِبُّونَ</w:t>
      </w:r>
      <w:proofErr w:type="spellEnd"/>
      <w:r w:rsidRPr="00E42FC5">
        <w:rPr>
          <w:rFonts w:ascii="Traditional Arabic" w:hAnsi="Traditional Arabic" w:cs="Traditional Arabic" w:hint="cs"/>
          <w:sz w:val="32"/>
          <w:szCs w:val="32"/>
        </w:rPr>
        <w:t xml:space="preserve"> </w:t>
      </w:r>
    </w:p>
    <w:p w14:paraId="101AE82E" w14:textId="73FD7EAA" w:rsidR="00655655" w:rsidRDefault="005A62F6" w:rsidP="005A62F6">
      <w:pPr>
        <w:spacing w:before="120" w:after="120" w:line="240" w:lineRule="auto"/>
        <w:ind w:left="425"/>
        <w:jc w:val="both"/>
        <w:rPr>
          <w:rFonts w:asciiTheme="majorHAnsi" w:hAnsiTheme="majorHAnsi" w:cstheme="majorHAnsi"/>
          <w:sz w:val="24"/>
          <w:szCs w:val="24"/>
        </w:rPr>
      </w:pPr>
      <w:r w:rsidRPr="005A62F6">
        <w:rPr>
          <w:rFonts w:asciiTheme="majorHAnsi" w:hAnsiTheme="majorHAnsi" w:cstheme="majorHAnsi"/>
          <w:i/>
          <w:iCs/>
          <w:sz w:val="24"/>
          <w:szCs w:val="24"/>
        </w:rPr>
        <w:t>“</w:t>
      </w:r>
      <w:r w:rsidR="001D4AC5" w:rsidRPr="005A62F6">
        <w:rPr>
          <w:rFonts w:asciiTheme="majorHAnsi" w:hAnsiTheme="majorHAnsi" w:cstheme="majorHAnsi"/>
          <w:i/>
          <w:iCs/>
          <w:sz w:val="24"/>
          <w:szCs w:val="24"/>
        </w:rPr>
        <w:t>You will never attain righteousness until you spend from that which you love”</w:t>
      </w:r>
      <w:r w:rsidR="001D4AC5" w:rsidRPr="00EC77AC">
        <w:rPr>
          <w:rFonts w:asciiTheme="majorHAnsi" w:hAnsiTheme="majorHAnsi" w:cstheme="majorHAnsi"/>
          <w:sz w:val="24"/>
          <w:szCs w:val="24"/>
        </w:rPr>
        <w:t xml:space="preserve"> (Q.S. </w:t>
      </w:r>
      <w:proofErr w:type="spellStart"/>
      <w:r w:rsidR="001D4AC5" w:rsidRPr="00EC77AC">
        <w:rPr>
          <w:rFonts w:asciiTheme="majorHAnsi" w:hAnsiTheme="majorHAnsi" w:cstheme="majorHAnsi"/>
          <w:sz w:val="24"/>
          <w:szCs w:val="24"/>
        </w:rPr>
        <w:t>Āli</w:t>
      </w:r>
      <w:proofErr w:type="spellEnd"/>
      <w:r w:rsidR="001D4AC5" w:rsidRPr="00EC77AC">
        <w:rPr>
          <w:rFonts w:asciiTheme="majorHAnsi" w:hAnsiTheme="majorHAnsi" w:cstheme="majorHAnsi"/>
          <w:sz w:val="24"/>
          <w:szCs w:val="24"/>
        </w:rPr>
        <w:t xml:space="preserve"> </w:t>
      </w:r>
      <w:proofErr w:type="spellStart"/>
      <w:r w:rsidR="001D4AC5" w:rsidRPr="00EC77AC">
        <w:rPr>
          <w:rFonts w:asciiTheme="majorHAnsi" w:hAnsiTheme="majorHAnsi" w:cstheme="majorHAnsi"/>
          <w:sz w:val="24"/>
          <w:szCs w:val="24"/>
        </w:rPr>
        <w:t>ʻImrān</w:t>
      </w:r>
      <w:proofErr w:type="spellEnd"/>
      <w:r w:rsidR="001D4AC5" w:rsidRPr="00EC77AC">
        <w:rPr>
          <w:rFonts w:asciiTheme="majorHAnsi" w:hAnsiTheme="majorHAnsi" w:cstheme="majorHAnsi"/>
          <w:sz w:val="24"/>
          <w:szCs w:val="24"/>
        </w:rPr>
        <w:t xml:space="preserve">: 92). </w:t>
      </w:r>
    </w:p>
    <w:p w14:paraId="76832814" w14:textId="77777777" w:rsidR="00655655" w:rsidRDefault="001D4AC5" w:rsidP="005A62F6">
      <w:pPr>
        <w:spacing w:before="120" w:after="120" w:line="240" w:lineRule="auto"/>
        <w:ind w:left="425"/>
        <w:jc w:val="both"/>
        <w:rPr>
          <w:rFonts w:asciiTheme="majorHAnsi" w:hAnsiTheme="majorHAnsi" w:cstheme="majorHAnsi"/>
          <w:sz w:val="24"/>
          <w:szCs w:val="24"/>
        </w:rPr>
      </w:pPr>
      <w:r w:rsidRPr="005A62F6">
        <w:rPr>
          <w:rFonts w:asciiTheme="majorHAnsi" w:hAnsiTheme="majorHAnsi" w:cstheme="majorHAnsi"/>
          <w:i/>
          <w:iCs/>
          <w:sz w:val="24"/>
          <w:szCs w:val="24"/>
        </w:rPr>
        <w:t>Second,</w:t>
      </w:r>
      <w:r w:rsidRPr="00EC77AC">
        <w:rPr>
          <w:rFonts w:asciiTheme="majorHAnsi" w:hAnsiTheme="majorHAnsi" w:cstheme="majorHAnsi"/>
          <w:sz w:val="24"/>
          <w:szCs w:val="24"/>
        </w:rPr>
        <w:t xml:space="preserve"> prophetic traditions (</w:t>
      </w:r>
      <w:r w:rsidRPr="00EC77AC">
        <w:rPr>
          <w:rFonts w:asciiTheme="majorHAnsi" w:hAnsiTheme="majorHAnsi" w:cstheme="majorHAnsi"/>
          <w:i/>
          <w:iCs/>
          <w:sz w:val="24"/>
          <w:szCs w:val="24"/>
        </w:rPr>
        <w:t>hadith</w:t>
      </w:r>
      <w:r w:rsidRPr="00EC77AC">
        <w:rPr>
          <w:rFonts w:asciiTheme="majorHAnsi" w:hAnsiTheme="majorHAnsi" w:cstheme="majorHAnsi"/>
          <w:sz w:val="24"/>
          <w:szCs w:val="24"/>
        </w:rPr>
        <w:t>), such as:</w:t>
      </w:r>
      <w:r w:rsidR="0036727C" w:rsidRPr="00EC77AC">
        <w:rPr>
          <w:rFonts w:asciiTheme="majorHAnsi" w:hAnsiTheme="majorHAnsi" w:cstheme="majorHAnsi"/>
          <w:sz w:val="24"/>
          <w:szCs w:val="24"/>
        </w:rPr>
        <w:t xml:space="preserve"> </w:t>
      </w:r>
      <w:r w:rsidRPr="00EC77AC">
        <w:rPr>
          <w:rFonts w:asciiTheme="majorHAnsi" w:hAnsiTheme="majorHAnsi" w:cstheme="majorHAnsi"/>
          <w:sz w:val="24"/>
          <w:szCs w:val="24"/>
        </w:rPr>
        <w:t>“The Messenger of Allah (peace be upon him) designated seven orchards in the city of Medina as charity for the Banu Muttalib and Banu Hashim” (HR. al-</w:t>
      </w:r>
      <w:proofErr w:type="spellStart"/>
      <w:r w:rsidRPr="00EC77AC">
        <w:rPr>
          <w:rFonts w:asciiTheme="majorHAnsi" w:hAnsiTheme="majorHAnsi" w:cstheme="majorHAnsi"/>
          <w:sz w:val="24"/>
          <w:szCs w:val="24"/>
        </w:rPr>
        <w:t>Bayhaqi</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and“Do</w:t>
      </w:r>
      <w:proofErr w:type="spellEnd"/>
      <w:r w:rsidRPr="00EC77AC">
        <w:rPr>
          <w:rFonts w:asciiTheme="majorHAnsi" w:hAnsiTheme="majorHAnsi" w:cstheme="majorHAnsi"/>
          <w:sz w:val="24"/>
          <w:szCs w:val="24"/>
        </w:rPr>
        <w:t xml:space="preserve"> you not see that Hujra al-Madari informed me that the family of the Messenger of Allah consumed from his charity lawfully, not unlawfully” (HR. Ibn Abi Shaybah).</w:t>
      </w:r>
    </w:p>
    <w:p w14:paraId="06A476DE" w14:textId="77777777" w:rsidR="00655655" w:rsidRDefault="001D4AC5" w:rsidP="005A62F6">
      <w:pPr>
        <w:spacing w:before="120" w:after="120" w:line="240" w:lineRule="auto"/>
        <w:ind w:left="425"/>
        <w:jc w:val="both"/>
        <w:rPr>
          <w:rFonts w:asciiTheme="majorHAnsi" w:hAnsiTheme="majorHAnsi" w:cstheme="majorHAnsi"/>
          <w:sz w:val="24"/>
          <w:szCs w:val="24"/>
        </w:rPr>
      </w:pPr>
      <w:r w:rsidRPr="005A62F6">
        <w:rPr>
          <w:rFonts w:asciiTheme="majorHAnsi" w:hAnsiTheme="majorHAnsi" w:cstheme="majorHAnsi"/>
          <w:i/>
          <w:iCs/>
          <w:sz w:val="24"/>
          <w:szCs w:val="24"/>
        </w:rPr>
        <w:t>Third,</w:t>
      </w:r>
      <w:r w:rsidRPr="00EC77AC">
        <w:rPr>
          <w:rFonts w:asciiTheme="majorHAnsi" w:hAnsiTheme="majorHAnsi" w:cstheme="majorHAnsi"/>
          <w:sz w:val="24"/>
          <w:szCs w:val="24"/>
        </w:rPr>
        <w:t xml:space="preserve"> the practices of the Companions, who also implemented it. Examples include </w:t>
      </w:r>
      <w:proofErr w:type="spellStart"/>
      <w:r w:rsidRPr="00EC77AC">
        <w:rPr>
          <w:rFonts w:asciiTheme="majorHAnsi" w:hAnsiTheme="majorHAnsi" w:cstheme="majorHAnsi"/>
          <w:sz w:val="24"/>
          <w:szCs w:val="24"/>
        </w:rPr>
        <w:t>ʿUmar</w:t>
      </w:r>
      <w:proofErr w:type="spellEnd"/>
      <w:r w:rsidRPr="00EC77AC">
        <w:rPr>
          <w:rFonts w:asciiTheme="majorHAnsi" w:hAnsiTheme="majorHAnsi" w:cstheme="majorHAnsi"/>
          <w:sz w:val="24"/>
          <w:szCs w:val="24"/>
        </w:rPr>
        <w:t xml:space="preserve"> ibn </w:t>
      </w:r>
      <w:proofErr w:type="spellStart"/>
      <w:r w:rsidRPr="00EC77AC">
        <w:rPr>
          <w:rFonts w:asciiTheme="majorHAnsi" w:hAnsiTheme="majorHAnsi" w:cstheme="majorHAnsi"/>
          <w:sz w:val="24"/>
          <w:szCs w:val="24"/>
        </w:rPr>
        <w:t>Khaṭṭāb</w:t>
      </w:r>
      <w:proofErr w:type="spellEnd"/>
      <w:r w:rsidRPr="00EC77AC">
        <w:rPr>
          <w:rFonts w:asciiTheme="majorHAnsi" w:hAnsiTheme="majorHAnsi" w:cstheme="majorHAnsi"/>
          <w:sz w:val="24"/>
          <w:szCs w:val="24"/>
        </w:rPr>
        <w:t xml:space="preserve">, who endowed a piece of land in the Khaybar area and allocated its yield (the fruits from the land) to the poor, relatives, slaves, fighters in the way of Allah, guests, and </w:t>
      </w:r>
      <w:proofErr w:type="spellStart"/>
      <w:r w:rsidRPr="00EC77AC">
        <w:rPr>
          <w:rFonts w:asciiTheme="majorHAnsi" w:hAnsiTheme="majorHAnsi" w:cstheme="majorHAnsi"/>
          <w:sz w:val="24"/>
          <w:szCs w:val="24"/>
        </w:rPr>
        <w:t>travelers</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Zubayr</w:t>
      </w:r>
      <w:proofErr w:type="spellEnd"/>
      <w:r w:rsidRPr="00EC77AC">
        <w:rPr>
          <w:rFonts w:asciiTheme="majorHAnsi" w:hAnsiTheme="majorHAnsi" w:cstheme="majorHAnsi"/>
          <w:sz w:val="24"/>
          <w:szCs w:val="24"/>
        </w:rPr>
        <w:t xml:space="preserve"> ibn </w:t>
      </w:r>
      <w:proofErr w:type="spellStart"/>
      <w:r w:rsidRPr="00EC77AC">
        <w:rPr>
          <w:rFonts w:asciiTheme="majorHAnsi" w:hAnsiTheme="majorHAnsi" w:cstheme="majorHAnsi"/>
          <w:sz w:val="24"/>
          <w:szCs w:val="24"/>
        </w:rPr>
        <w:t>ʿAwwām</w:t>
      </w:r>
      <w:proofErr w:type="spellEnd"/>
      <w:r w:rsidRPr="00EC77AC">
        <w:rPr>
          <w:rFonts w:asciiTheme="majorHAnsi" w:hAnsiTheme="majorHAnsi" w:cstheme="majorHAnsi"/>
          <w:sz w:val="24"/>
          <w:szCs w:val="24"/>
        </w:rPr>
        <w:t xml:space="preserve">, who endowed a house for his descendants. </w:t>
      </w:r>
      <w:proofErr w:type="spellStart"/>
      <w:r w:rsidRPr="00EC77AC">
        <w:rPr>
          <w:rFonts w:asciiTheme="majorHAnsi" w:hAnsiTheme="majorHAnsi" w:cstheme="majorHAnsi"/>
          <w:sz w:val="24"/>
          <w:szCs w:val="24"/>
        </w:rPr>
        <w:t>ʿUthmān</w:t>
      </w:r>
      <w:proofErr w:type="spellEnd"/>
      <w:r w:rsidRPr="00EC77AC">
        <w:rPr>
          <w:rFonts w:asciiTheme="majorHAnsi" w:hAnsiTheme="majorHAnsi" w:cstheme="majorHAnsi"/>
          <w:sz w:val="24"/>
          <w:szCs w:val="24"/>
        </w:rPr>
        <w:t xml:space="preserve"> ibn </w:t>
      </w:r>
      <w:proofErr w:type="spellStart"/>
      <w:r w:rsidRPr="00EC77AC">
        <w:rPr>
          <w:rFonts w:asciiTheme="majorHAnsi" w:hAnsiTheme="majorHAnsi" w:cstheme="majorHAnsi"/>
          <w:sz w:val="24"/>
          <w:szCs w:val="24"/>
        </w:rPr>
        <w:t>ʿAffān</w:t>
      </w:r>
      <w:proofErr w:type="spellEnd"/>
      <w:r w:rsidRPr="00EC77AC">
        <w:rPr>
          <w:rFonts w:asciiTheme="majorHAnsi" w:hAnsiTheme="majorHAnsi" w:cstheme="majorHAnsi"/>
          <w:sz w:val="24"/>
          <w:szCs w:val="24"/>
        </w:rPr>
        <w:t xml:space="preserve">, who endowed a piece of land in the Khaybar area for his son, </w:t>
      </w:r>
      <w:proofErr w:type="spellStart"/>
      <w:r w:rsidRPr="00EC77AC">
        <w:rPr>
          <w:rFonts w:asciiTheme="majorHAnsi" w:hAnsiTheme="majorHAnsi" w:cstheme="majorHAnsi"/>
          <w:sz w:val="24"/>
          <w:szCs w:val="24"/>
        </w:rPr>
        <w:t>Abān</w:t>
      </w:r>
      <w:proofErr w:type="spellEnd"/>
      <w:r w:rsidRPr="00EC77AC">
        <w:rPr>
          <w:rFonts w:asciiTheme="majorHAnsi" w:hAnsiTheme="majorHAnsi" w:cstheme="majorHAnsi"/>
          <w:sz w:val="24"/>
          <w:szCs w:val="24"/>
        </w:rPr>
        <w:t xml:space="preserve"> ibn </w:t>
      </w:r>
      <w:proofErr w:type="spellStart"/>
      <w:r w:rsidRPr="00EC77AC">
        <w:rPr>
          <w:rFonts w:asciiTheme="majorHAnsi" w:hAnsiTheme="majorHAnsi" w:cstheme="majorHAnsi"/>
          <w:sz w:val="24"/>
          <w:szCs w:val="24"/>
        </w:rPr>
        <w:t>ʿUthmān</w:t>
      </w:r>
      <w:proofErr w:type="spellEnd"/>
      <w:r w:rsidRPr="00EC77AC">
        <w:rPr>
          <w:rFonts w:asciiTheme="majorHAnsi" w:hAnsiTheme="majorHAnsi" w:cstheme="majorHAnsi"/>
          <w:sz w:val="24"/>
          <w:szCs w:val="24"/>
        </w:rPr>
        <w:t xml:space="preserve">, and his descendants. Zayd ibn </w:t>
      </w:r>
      <w:proofErr w:type="spellStart"/>
      <w:r w:rsidRPr="00EC77AC">
        <w:rPr>
          <w:rFonts w:asciiTheme="majorHAnsi" w:hAnsiTheme="majorHAnsi" w:cstheme="majorHAnsi"/>
          <w:sz w:val="24"/>
          <w:szCs w:val="24"/>
        </w:rPr>
        <w:t>Thābit</w:t>
      </w:r>
      <w:proofErr w:type="spellEnd"/>
      <w:r w:rsidRPr="00EC77AC">
        <w:rPr>
          <w:rFonts w:asciiTheme="majorHAnsi" w:hAnsiTheme="majorHAnsi" w:cstheme="majorHAnsi"/>
          <w:sz w:val="24"/>
          <w:szCs w:val="24"/>
        </w:rPr>
        <w:t>, who endowed a house for his children and their descendants (Al-</w:t>
      </w:r>
      <w:proofErr w:type="spellStart"/>
      <w:r w:rsidRPr="00EC77AC">
        <w:rPr>
          <w:rFonts w:asciiTheme="majorHAnsi" w:hAnsiTheme="majorHAnsi" w:cstheme="majorHAnsi"/>
          <w:sz w:val="24"/>
          <w:szCs w:val="24"/>
        </w:rPr>
        <w:t>ʿAlāwayn</w:t>
      </w:r>
      <w:proofErr w:type="spellEnd"/>
      <w:r w:rsidRPr="00EC77AC">
        <w:rPr>
          <w:rFonts w:asciiTheme="majorHAnsi" w:hAnsiTheme="majorHAnsi" w:cstheme="majorHAnsi"/>
          <w:sz w:val="24"/>
          <w:szCs w:val="24"/>
        </w:rPr>
        <w:t>, 2011, pp. 53–58).</w:t>
      </w:r>
      <w:r w:rsidR="00C50767" w:rsidRPr="00EC77AC">
        <w:rPr>
          <w:rFonts w:asciiTheme="majorHAnsi" w:hAnsiTheme="majorHAnsi" w:cstheme="majorHAnsi"/>
          <w:sz w:val="24"/>
          <w:szCs w:val="24"/>
        </w:rPr>
        <w:t xml:space="preserve"> </w:t>
      </w:r>
    </w:p>
    <w:p w14:paraId="2C657233" w14:textId="0CA126B7" w:rsidR="00A65147" w:rsidRPr="00EC77AC" w:rsidRDefault="001D4AC5"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On the other hand, those who reject this type of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argue that the institution of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was abrogated (</w:t>
      </w:r>
      <w:proofErr w:type="spellStart"/>
      <w:r w:rsidRPr="00EC77AC">
        <w:rPr>
          <w:rFonts w:asciiTheme="majorHAnsi" w:hAnsiTheme="majorHAnsi" w:cstheme="majorHAnsi"/>
          <w:i/>
          <w:iCs/>
          <w:sz w:val="24"/>
          <w:szCs w:val="24"/>
        </w:rPr>
        <w:t>mansūkh</w:t>
      </w:r>
      <w:proofErr w:type="spellEnd"/>
      <w:r w:rsidRPr="00EC77AC">
        <w:rPr>
          <w:rFonts w:asciiTheme="majorHAnsi" w:hAnsiTheme="majorHAnsi" w:cstheme="majorHAnsi"/>
          <w:sz w:val="24"/>
          <w:szCs w:val="24"/>
        </w:rPr>
        <w:t xml:space="preserve">) by the revelation of the inheritance verses in </w:t>
      </w:r>
      <w:r w:rsidRPr="00EC77AC">
        <w:rPr>
          <w:rFonts w:asciiTheme="majorHAnsi" w:hAnsiTheme="majorHAnsi" w:cstheme="majorHAnsi"/>
          <w:i/>
          <w:iCs/>
          <w:sz w:val="24"/>
          <w:szCs w:val="24"/>
        </w:rPr>
        <w:t>Surah al-</w:t>
      </w:r>
      <w:proofErr w:type="spellStart"/>
      <w:r w:rsidRPr="00EC77AC">
        <w:rPr>
          <w:rFonts w:asciiTheme="majorHAnsi" w:hAnsiTheme="majorHAnsi" w:cstheme="majorHAnsi"/>
          <w:i/>
          <w:iCs/>
          <w:sz w:val="24"/>
          <w:szCs w:val="24"/>
        </w:rPr>
        <w:t>Nisā</w:t>
      </w:r>
      <w:proofErr w:type="spellEnd"/>
      <w:r w:rsidRPr="00EC77AC">
        <w:rPr>
          <w:rFonts w:asciiTheme="majorHAnsi" w:hAnsiTheme="majorHAnsi" w:cstheme="majorHAnsi"/>
          <w:i/>
          <w:iCs/>
          <w:sz w:val="24"/>
          <w:szCs w:val="24"/>
        </w:rPr>
        <w:t>’</w:t>
      </w:r>
      <w:r w:rsidRPr="00EC77AC">
        <w:rPr>
          <w:rFonts w:asciiTheme="majorHAnsi" w:hAnsiTheme="majorHAnsi" w:cstheme="majorHAnsi"/>
          <w:sz w:val="24"/>
          <w:szCs w:val="24"/>
        </w:rPr>
        <w:t>, verses 11, 12, and 176.</w:t>
      </w:r>
    </w:p>
    <w:p w14:paraId="55E3C6DD" w14:textId="2E96BB92" w:rsidR="00FA7360" w:rsidRPr="00EC77AC" w:rsidRDefault="001D4AC5" w:rsidP="005A62F6">
      <w:pPr>
        <w:spacing w:before="120" w:after="120" w:line="240" w:lineRule="auto"/>
        <w:ind w:left="425"/>
        <w:jc w:val="both"/>
        <w:rPr>
          <w:rFonts w:asciiTheme="majorHAnsi" w:hAnsiTheme="majorHAnsi" w:cstheme="majorHAnsi"/>
          <w:b/>
          <w:bCs/>
          <w:sz w:val="24"/>
          <w:szCs w:val="24"/>
        </w:rPr>
      </w:pPr>
      <w:r w:rsidRPr="00EC77AC">
        <w:rPr>
          <w:rFonts w:asciiTheme="majorHAnsi" w:hAnsiTheme="majorHAnsi" w:cstheme="majorHAnsi"/>
          <w:b/>
          <w:bCs/>
          <w:sz w:val="24"/>
          <w:szCs w:val="24"/>
        </w:rPr>
        <w:t xml:space="preserve">Implementation Model of </w:t>
      </w:r>
      <w:r w:rsidR="00FA7360" w:rsidRPr="00EC77AC">
        <w:rPr>
          <w:rFonts w:asciiTheme="majorHAnsi" w:hAnsiTheme="majorHAnsi" w:cstheme="majorHAnsi"/>
          <w:b/>
          <w:bCs/>
          <w:i/>
          <w:iCs/>
          <w:sz w:val="24"/>
          <w:szCs w:val="24"/>
        </w:rPr>
        <w:t>Waqf al-</w:t>
      </w:r>
      <w:proofErr w:type="spellStart"/>
      <w:r w:rsidR="00A65147" w:rsidRPr="00EC77AC">
        <w:rPr>
          <w:rFonts w:asciiTheme="majorHAnsi" w:hAnsiTheme="majorHAnsi" w:cstheme="majorHAnsi"/>
          <w:b/>
          <w:bCs/>
          <w:i/>
          <w:iCs/>
          <w:sz w:val="24"/>
          <w:szCs w:val="24"/>
        </w:rPr>
        <w:t>A</w:t>
      </w:r>
      <w:r w:rsidR="00FA7360" w:rsidRPr="00EC77AC">
        <w:rPr>
          <w:rFonts w:asciiTheme="majorHAnsi" w:hAnsiTheme="majorHAnsi" w:cstheme="majorHAnsi"/>
          <w:b/>
          <w:bCs/>
          <w:i/>
          <w:iCs/>
          <w:sz w:val="24"/>
          <w:szCs w:val="24"/>
        </w:rPr>
        <w:t>hlī</w:t>
      </w:r>
      <w:proofErr w:type="spellEnd"/>
      <w:r w:rsidR="00FA7360" w:rsidRPr="00EC77AC">
        <w:rPr>
          <w:rFonts w:asciiTheme="majorHAnsi" w:hAnsiTheme="majorHAnsi" w:cstheme="majorHAnsi"/>
          <w:b/>
          <w:bCs/>
          <w:i/>
          <w:iCs/>
          <w:sz w:val="24"/>
          <w:szCs w:val="24"/>
        </w:rPr>
        <w:t xml:space="preserve"> </w:t>
      </w:r>
      <w:r w:rsidRPr="00EC77AC">
        <w:rPr>
          <w:rFonts w:asciiTheme="majorHAnsi" w:hAnsiTheme="majorHAnsi" w:cstheme="majorHAnsi"/>
          <w:b/>
          <w:bCs/>
          <w:sz w:val="24"/>
          <w:szCs w:val="24"/>
        </w:rPr>
        <w:t>in Southeast Asia</w:t>
      </w:r>
    </w:p>
    <w:p w14:paraId="62EB81F7" w14:textId="09F8294D" w:rsidR="0000334A" w:rsidRPr="005A62F6" w:rsidRDefault="001D4AC5"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lastRenderedPageBreak/>
        <w:t xml:space="preserve">In the previous discussion, we have reviewed the legality and debates surrounding </w:t>
      </w:r>
      <w:r w:rsidR="00FA7360" w:rsidRPr="00EC77AC">
        <w:rPr>
          <w:rFonts w:asciiTheme="majorHAnsi" w:hAnsiTheme="majorHAnsi" w:cstheme="majorHAnsi"/>
          <w:i/>
          <w:iCs/>
          <w:sz w:val="24"/>
          <w:szCs w:val="24"/>
        </w:rPr>
        <w:t>waqf al-</w:t>
      </w:r>
      <w:proofErr w:type="spellStart"/>
      <w:r w:rsidR="00FA7360" w:rsidRPr="00EC77AC">
        <w:rPr>
          <w:rFonts w:asciiTheme="majorHAnsi" w:hAnsiTheme="majorHAnsi" w:cstheme="majorHAnsi"/>
          <w:i/>
          <w:iCs/>
          <w:sz w:val="24"/>
          <w:szCs w:val="24"/>
        </w:rPr>
        <w:t>ahlī</w:t>
      </w:r>
      <w:proofErr w:type="spellEnd"/>
      <w:r w:rsidR="00FA7360"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in several countries. This section aims to examine how this type of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is legalized in Indonesia, Malaysia, and Singapore.</w:t>
      </w:r>
    </w:p>
    <w:p w14:paraId="204645BD" w14:textId="2C54BEA5" w:rsidR="001D4AC5" w:rsidRPr="005A62F6" w:rsidRDefault="001D4AC5" w:rsidP="005A62F6">
      <w:pPr>
        <w:pStyle w:val="ListParagraph"/>
        <w:numPr>
          <w:ilvl w:val="0"/>
          <w:numId w:val="8"/>
        </w:numPr>
        <w:spacing w:before="120" w:after="120" w:line="240" w:lineRule="auto"/>
        <w:ind w:left="709"/>
        <w:jc w:val="both"/>
        <w:rPr>
          <w:rFonts w:asciiTheme="majorHAnsi" w:hAnsiTheme="majorHAnsi" w:cstheme="majorHAnsi"/>
          <w:b/>
          <w:bCs/>
          <w:sz w:val="24"/>
          <w:szCs w:val="24"/>
        </w:rPr>
      </w:pPr>
      <w:r w:rsidRPr="005A62F6">
        <w:rPr>
          <w:rFonts w:asciiTheme="majorHAnsi" w:hAnsiTheme="majorHAnsi" w:cstheme="majorHAnsi"/>
          <w:b/>
          <w:bCs/>
          <w:sz w:val="24"/>
          <w:szCs w:val="24"/>
        </w:rPr>
        <w:t>Indonesia</w:t>
      </w:r>
    </w:p>
    <w:p w14:paraId="16F3076E" w14:textId="77777777" w:rsidR="005A62F6" w:rsidRDefault="001D4AC5" w:rsidP="005A62F6">
      <w:pPr>
        <w:spacing w:before="120" w:after="120" w:line="240" w:lineRule="auto"/>
        <w:ind w:left="720"/>
        <w:jc w:val="both"/>
        <w:rPr>
          <w:rFonts w:asciiTheme="majorHAnsi" w:hAnsiTheme="majorHAnsi" w:cstheme="majorHAnsi"/>
          <w:sz w:val="24"/>
          <w:szCs w:val="24"/>
        </w:rPr>
      </w:pPr>
      <w:r w:rsidRPr="00EC77AC">
        <w:rPr>
          <w:rFonts w:asciiTheme="majorHAnsi" w:hAnsiTheme="majorHAnsi" w:cstheme="majorHAnsi"/>
          <w:sz w:val="24"/>
          <w:szCs w:val="24"/>
        </w:rPr>
        <w:t xml:space="preserve">In Indonesia, </w:t>
      </w:r>
      <w:r w:rsidR="00FA7360" w:rsidRPr="00EC77AC">
        <w:rPr>
          <w:rFonts w:asciiTheme="majorHAnsi" w:hAnsiTheme="majorHAnsi" w:cstheme="majorHAnsi"/>
          <w:i/>
          <w:iCs/>
          <w:sz w:val="24"/>
          <w:szCs w:val="24"/>
        </w:rPr>
        <w:t>waqf al-</w:t>
      </w:r>
      <w:proofErr w:type="spellStart"/>
      <w:r w:rsidR="00FA7360" w:rsidRPr="00EC77AC">
        <w:rPr>
          <w:rFonts w:asciiTheme="majorHAnsi" w:hAnsiTheme="majorHAnsi" w:cstheme="majorHAnsi"/>
          <w:i/>
          <w:iCs/>
          <w:sz w:val="24"/>
          <w:szCs w:val="24"/>
        </w:rPr>
        <w:t>ahlī</w:t>
      </w:r>
      <w:proofErr w:type="spellEnd"/>
      <w:r w:rsidR="00FA7360"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is not yet very familiar. This may be due to the understanding that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is solely for public purposes, such as for mosques, schools, Islamic boarding schools, cemeteries, and others, rather than for children and descendants. Legally, it has been recognized since the enactment of the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Law No. 41 of 2004.</w:t>
      </w:r>
    </w:p>
    <w:p w14:paraId="5F8A878F" w14:textId="77777777" w:rsidR="005A62F6" w:rsidRDefault="001D4AC5" w:rsidP="005A62F6">
      <w:pPr>
        <w:spacing w:before="120" w:after="120" w:line="240" w:lineRule="auto"/>
        <w:ind w:left="720"/>
        <w:jc w:val="both"/>
        <w:rPr>
          <w:rFonts w:asciiTheme="majorHAnsi" w:hAnsiTheme="majorHAnsi" w:cstheme="majorHAnsi"/>
          <w:sz w:val="24"/>
          <w:szCs w:val="24"/>
        </w:rPr>
      </w:pPr>
      <w:r w:rsidRPr="00EC77AC">
        <w:rPr>
          <w:rFonts w:asciiTheme="majorHAnsi" w:hAnsiTheme="majorHAnsi" w:cstheme="majorHAnsi"/>
          <w:sz w:val="24"/>
          <w:szCs w:val="24"/>
        </w:rPr>
        <w:t xml:space="preserve">Compared to some countries like India, Pakistan, and several Middle Eastern nations, Indonesia was late in legalizing this type of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Countries under British colonization in Central Asia, such as India, Pakistan, and Bangladesh, had already legalized and debated its legitimacy as early as 1793</w:t>
      </w:r>
      <w:r w:rsidR="00E42FC5">
        <w:rPr>
          <w:rFonts w:asciiTheme="majorHAnsi" w:hAnsiTheme="majorHAnsi" w:cstheme="majorHAnsi"/>
          <w:sz w:val="24"/>
          <w:szCs w:val="24"/>
        </w:rPr>
        <w:t xml:space="preserve"> </w:t>
      </w:r>
      <w:r w:rsidR="00E42FC5" w:rsidRPr="00CE509C">
        <w:rPr>
          <w:rFonts w:ascii="Calibri Light" w:hAnsi="Calibri Light" w:cs="Calibri Light"/>
          <w:sz w:val="24"/>
          <w:szCs w:val="24"/>
          <w:lang w:val="id-ID"/>
        </w:rPr>
        <w:fldChar w:fldCharType="begin" w:fldLock="1"/>
      </w:r>
      <w:r w:rsidR="007E3971">
        <w:rPr>
          <w:rFonts w:ascii="Calibri Light" w:hAnsi="Calibri Light" w:cs="Calibri Light"/>
          <w:sz w:val="24"/>
          <w:szCs w:val="24"/>
          <w:lang w:val="id-ID"/>
        </w:rPr>
        <w:instrText>ADDIN CSL_CITATION {"citationItems":[{"id":"ITEM-1","itemData":{"author":[{"dropping-particle":"","family":"Abbasi","given":"M","non-dropping-particle":"","parse-names":false,"suffix":""},{"dropping-particle":"","family":"Abbasi","given":"M Z","non-dropping-particle":"","parse-names":false,"suffix":""}],"id":"ITEM-1","issued":{"date-parts":[["2013"]]},"publisher":"Oxford University","publisher-place":"Oxford","title":"Sharī'a under the English Legal System in British India: Awqāf (endowments) in the Making of Anglo-Muhammadan Law","type":"thesis"},"uris":["http://www.mendeley.com/documents/?uuid=5695103c-3b86-4bc0-8771-9ae292ac23e9","http://www.mendeley.com/documents/?uuid=bf690b8a-f6c6-4cb0-a4d5-7a93255dc9da"]}],"mendeley":{"formattedCitation":"(M. Abbasi &amp; Abbasi, 2013)","plainTextFormattedCitation":"(M. Abbasi &amp; Abbasi, 2013)","previouslyFormattedCitation":"(M. Abbasi &amp; Abbasi, 2013)"},"properties":{"noteIndex":0},"schema":"https://github.com/citation-style-language/schema/raw/master/csl-citation.json"}</w:instrText>
      </w:r>
      <w:r w:rsidR="00E42FC5" w:rsidRPr="00CE509C">
        <w:rPr>
          <w:rFonts w:ascii="Calibri Light" w:hAnsi="Calibri Light" w:cs="Calibri Light"/>
          <w:sz w:val="24"/>
          <w:szCs w:val="24"/>
          <w:lang w:val="id-ID"/>
        </w:rPr>
        <w:fldChar w:fldCharType="separate"/>
      </w:r>
      <w:r w:rsidR="00E42FC5" w:rsidRPr="00D67BB1">
        <w:rPr>
          <w:rFonts w:ascii="Calibri Light" w:hAnsi="Calibri Light" w:cs="Calibri Light"/>
          <w:noProof/>
          <w:sz w:val="24"/>
          <w:szCs w:val="24"/>
          <w:lang w:val="id-ID"/>
        </w:rPr>
        <w:t>(M. Abbasi &amp; Abbasi, 2013)</w:t>
      </w:r>
      <w:r w:rsidR="00E42FC5"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xml:space="preserve">. Meanwhile, in the Middle East, debates regarding its validity emerged as early as 1903 </w:t>
      </w:r>
      <w:r w:rsidR="00E42FC5" w:rsidRPr="00CE509C">
        <w:rPr>
          <w:rFonts w:ascii="Calibri Light" w:hAnsi="Calibri Light" w:cs="Calibri Light"/>
          <w:sz w:val="24"/>
          <w:szCs w:val="24"/>
          <w:lang w:val="id-ID"/>
        </w:rPr>
        <w:fldChar w:fldCharType="begin" w:fldLock="1"/>
      </w:r>
      <w:r w:rsidR="007E3971">
        <w:rPr>
          <w:rFonts w:ascii="Calibri Light" w:hAnsi="Calibri Light" w:cs="Calibri Light"/>
          <w:sz w:val="24"/>
          <w:szCs w:val="24"/>
          <w:lang w:val="id-ID"/>
        </w:rPr>
        <w:instrText>ADDIN CSL_CITATION {"citationItems":[{"id":"ITEM-1","itemData":{"ISSN":"0928-9380","author":[{"dropping-particle":"","family":"Moumtaz","given":"Nada","non-dropping-particle":"","parse-names":false,"suffix":""}],"container-title":"Islamic Law and Society","id":"ITEM-1","issue":"1-2","issued":{"date-parts":[["2018"]]},"page":"37-77","publisher":"Brill","title":"“Is the Family Waqf a Religious Institution?” Charity, Religion, and Economy in French Mandate Lebanon","type":"article-journal","volume":"25"},"uris":["http://www.mendeley.com/documents/?uuid=fa646e59-d266-4b1e-be96-df368e30e35c","http://www.mendeley.com/documents/?uuid=292db89c-c458-47c9-ba62-86ed327aebd5"]}],"mendeley":{"formattedCitation":"(Moumtaz, 2018)","plainTextFormattedCitation":"(Moumtaz, 2018)","previouslyFormattedCitation":"(Moumtaz, 2018)"},"properties":{"noteIndex":0},"schema":"https://github.com/citation-style-language/schema/raw/master/csl-citation.json"}</w:instrText>
      </w:r>
      <w:r w:rsidR="00E42FC5" w:rsidRPr="00CE509C">
        <w:rPr>
          <w:rFonts w:ascii="Calibri Light" w:hAnsi="Calibri Light" w:cs="Calibri Light"/>
          <w:sz w:val="24"/>
          <w:szCs w:val="24"/>
          <w:lang w:val="id-ID"/>
        </w:rPr>
        <w:fldChar w:fldCharType="separate"/>
      </w:r>
      <w:r w:rsidR="00E42FC5" w:rsidRPr="00D67BB1">
        <w:rPr>
          <w:rFonts w:ascii="Calibri Light" w:hAnsi="Calibri Light" w:cs="Calibri Light"/>
          <w:noProof/>
          <w:sz w:val="24"/>
          <w:szCs w:val="24"/>
          <w:lang w:val="id-ID"/>
        </w:rPr>
        <w:t>(Moumtaz, 2018)</w:t>
      </w:r>
      <w:r w:rsidR="00E42FC5"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72907BBA" w14:textId="72C736B4" w:rsidR="001D4AC5" w:rsidRPr="00EC77AC" w:rsidRDefault="001D4AC5" w:rsidP="005A62F6">
      <w:pPr>
        <w:spacing w:before="120" w:after="120" w:line="240" w:lineRule="auto"/>
        <w:ind w:left="720"/>
        <w:jc w:val="both"/>
        <w:rPr>
          <w:rFonts w:asciiTheme="majorHAnsi" w:hAnsiTheme="majorHAnsi" w:cstheme="majorHAnsi"/>
          <w:sz w:val="24"/>
          <w:szCs w:val="24"/>
        </w:rPr>
      </w:pPr>
      <w:r w:rsidRPr="00EC77AC">
        <w:rPr>
          <w:rFonts w:asciiTheme="majorHAnsi" w:hAnsiTheme="majorHAnsi" w:cstheme="majorHAnsi"/>
          <w:sz w:val="24"/>
          <w:szCs w:val="24"/>
        </w:rPr>
        <w:t xml:space="preserve">However, this does not mean that </w:t>
      </w:r>
      <w:r w:rsidR="00FA7360" w:rsidRPr="00EC77AC">
        <w:rPr>
          <w:rFonts w:asciiTheme="majorHAnsi" w:hAnsiTheme="majorHAnsi" w:cstheme="majorHAnsi"/>
          <w:i/>
          <w:iCs/>
          <w:sz w:val="24"/>
          <w:szCs w:val="24"/>
        </w:rPr>
        <w:t>waqf al-</w:t>
      </w:r>
      <w:proofErr w:type="spellStart"/>
      <w:r w:rsidR="00FA7360"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was never practiced in Indonesia. It has been implemented since Islam entered the Malay-Indonesian region. </w:t>
      </w:r>
      <w:proofErr w:type="spellStart"/>
      <w:r w:rsidRPr="00EC77AC">
        <w:rPr>
          <w:rFonts w:asciiTheme="majorHAnsi" w:hAnsiTheme="majorHAnsi" w:cstheme="majorHAnsi"/>
          <w:sz w:val="24"/>
          <w:szCs w:val="24"/>
        </w:rPr>
        <w:t>Rabitah</w:t>
      </w:r>
      <w:proofErr w:type="spellEnd"/>
      <w:r w:rsidRPr="00EC77AC">
        <w:rPr>
          <w:rFonts w:asciiTheme="majorHAnsi" w:hAnsiTheme="majorHAnsi" w:cstheme="majorHAnsi"/>
          <w:sz w:val="24"/>
          <w:szCs w:val="24"/>
        </w:rPr>
        <w:t xml:space="preserve"> Harun, </w:t>
      </w:r>
      <w:proofErr w:type="spellStart"/>
      <w:r w:rsidRPr="00EC77AC">
        <w:rPr>
          <w:rFonts w:asciiTheme="majorHAnsi" w:hAnsiTheme="majorHAnsi" w:cstheme="majorHAnsi"/>
          <w:sz w:val="24"/>
          <w:szCs w:val="24"/>
        </w:rPr>
        <w:t>Zuraidah</w:t>
      </w:r>
      <w:proofErr w:type="spellEnd"/>
      <w:r w:rsidRPr="00EC77AC">
        <w:rPr>
          <w:rFonts w:asciiTheme="majorHAnsi" w:hAnsiTheme="majorHAnsi" w:cstheme="majorHAnsi"/>
          <w:sz w:val="24"/>
          <w:szCs w:val="24"/>
        </w:rPr>
        <w:t xml:space="preserve"> Mohamed Isa, and </w:t>
      </w:r>
      <w:proofErr w:type="spellStart"/>
      <w:r w:rsidRPr="00EC77AC">
        <w:rPr>
          <w:rFonts w:asciiTheme="majorHAnsi" w:hAnsiTheme="majorHAnsi" w:cstheme="majorHAnsi"/>
          <w:sz w:val="24"/>
          <w:szCs w:val="24"/>
        </w:rPr>
        <w:t>Norhidayah</w:t>
      </w:r>
      <w:proofErr w:type="spellEnd"/>
      <w:r w:rsidRPr="00EC77AC">
        <w:rPr>
          <w:rFonts w:asciiTheme="majorHAnsi" w:hAnsiTheme="majorHAnsi" w:cstheme="majorHAnsi"/>
          <w:sz w:val="24"/>
          <w:szCs w:val="24"/>
        </w:rPr>
        <w:t xml:space="preserve"> Ali argue that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was already known among Muslims in Indonesia by the mid-13th century. It continued to exist even under Dutch and Japanese occupation for more than three hundred years</w:t>
      </w:r>
      <w:r w:rsidR="007E3971">
        <w:rPr>
          <w:rFonts w:asciiTheme="majorHAnsi" w:hAnsiTheme="majorHAnsi" w:cstheme="majorHAnsi"/>
          <w:sz w:val="24"/>
          <w:szCs w:val="24"/>
        </w:rPr>
        <w:t xml:space="preserve"> </w:t>
      </w:r>
      <w:r w:rsidR="007E3971" w:rsidRPr="00CE509C">
        <w:rPr>
          <w:rFonts w:ascii="Calibri Light" w:hAnsi="Calibri Light" w:cs="Calibri Light"/>
          <w:sz w:val="24"/>
          <w:szCs w:val="24"/>
          <w:lang w:val="id-ID"/>
        </w:rPr>
        <w:fldChar w:fldCharType="begin" w:fldLock="1"/>
      </w:r>
      <w:r w:rsidR="007E3971">
        <w:rPr>
          <w:rFonts w:ascii="Calibri Light" w:hAnsi="Calibri Light" w:cs="Calibri Light"/>
          <w:sz w:val="24"/>
          <w:szCs w:val="24"/>
          <w:lang w:val="id-ID"/>
        </w:rPr>
        <w:instrText>ADDIN CSL_CITATION {"citationItems":[{"id":"ITEM-1","itemData":{"author":[{"dropping-particle":"","family":"Harun","given":"Rabitah","non-dropping-particle":"","parse-names":false,"suffix":""},{"dropping-particle":"","family":"Isa","given":"Zuraidah Mohamed","non-dropping-particle":"","parse-names":false,"suffix":""},{"dropping-particle":"","family":"Ali","given":"Norhidayah","non-dropping-particle":"","parse-names":false,"suffix":""}],"container-title":"International Conference on Economics Marketing and Management","id":"ITEM-1","issued":{"date-parts":[["2012"]]},"page":"117-120","publisher":"IACSIT Singapore","title":"Preliminary Findings on Waqf Management Practices among Selected Muslim Countries","type":"paper-conference","volume":"28"},"uris":["http://www.mendeley.com/documents/?uuid=8794e93b-c100-436d-9f15-39eadd2899bd","http://www.mendeley.com/documents/?uuid=05ca100a-f83c-434b-98d5-65f9a55896b1"]}],"mendeley":{"formattedCitation":"(Harun et al., 2012)","plainTextFormattedCitation":"(Harun et al., 2012)","previouslyFormattedCitation":"(Harun et al., 2012)"},"properties":{"noteIndex":0},"schema":"https://github.com/citation-style-language/schema/raw/master/csl-citation.json"}</w:instrText>
      </w:r>
      <w:r w:rsidR="007E3971" w:rsidRPr="00CE509C">
        <w:rPr>
          <w:rFonts w:ascii="Calibri Light" w:hAnsi="Calibri Light" w:cs="Calibri Light"/>
          <w:sz w:val="24"/>
          <w:szCs w:val="24"/>
          <w:lang w:val="id-ID"/>
        </w:rPr>
        <w:fldChar w:fldCharType="separate"/>
      </w:r>
      <w:r w:rsidR="007E3971" w:rsidRPr="00CE509C">
        <w:rPr>
          <w:rFonts w:ascii="Calibri Light" w:hAnsi="Calibri Light" w:cs="Calibri Light"/>
          <w:noProof/>
          <w:sz w:val="24"/>
          <w:szCs w:val="24"/>
          <w:lang w:val="id-ID"/>
        </w:rPr>
        <w:t>(Harun et al., 2012)</w:t>
      </w:r>
      <w:r w:rsidR="007E3971"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 xml:space="preserve"> and persists to this day. Amelia Fauzia provides an even more comprehensive account of the history of philanthropy (including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from one era to another, up to modern Indonesia</w:t>
      </w:r>
      <w:r w:rsidR="007E3971">
        <w:rPr>
          <w:rFonts w:asciiTheme="majorHAnsi" w:hAnsiTheme="majorHAnsi" w:cstheme="majorHAnsi"/>
          <w:sz w:val="24"/>
          <w:szCs w:val="24"/>
        </w:rPr>
        <w:t xml:space="preserve"> </w:t>
      </w:r>
      <w:r w:rsidR="007E3971" w:rsidRPr="00CE509C">
        <w:rPr>
          <w:rFonts w:ascii="Calibri Light" w:hAnsi="Calibri Light" w:cs="Calibri Light"/>
          <w:sz w:val="24"/>
          <w:szCs w:val="24"/>
          <w:lang w:val="id-ID"/>
        </w:rPr>
        <w:fldChar w:fldCharType="begin" w:fldLock="1"/>
      </w:r>
      <w:r w:rsidR="007E3971">
        <w:rPr>
          <w:rFonts w:ascii="Calibri Light" w:hAnsi="Calibri Light" w:cs="Calibri Light"/>
          <w:sz w:val="24"/>
          <w:szCs w:val="24"/>
          <w:lang w:val="id-ID"/>
        </w:rPr>
        <w:instrText>ADDIN CSL_CITATION {"citationItems":[{"id":"ITEM-1","itemData":{"ISBN":"9004233970","author":[{"dropping-particle":"","family":"Fauzia","given":"Amelia","non-dropping-particle":"","parse-names":false,"suffix":""}],"id":"ITEM-1","issued":{"date-parts":[["2013"]]},"publisher":"Brill","publisher-place":"Leiden","title":"Faith and the State: A History of Islamic Philanthropy in Indonesia","type":"book"},"uris":["http://www.mendeley.com/documents/?uuid=ef5e4e73-9a20-4cf7-b23a-442480a10070","http://www.mendeley.com/documents/?uuid=768e083c-d653-45fc-b164-03e66b77db0f"]}],"mendeley":{"formattedCitation":"(Fauzia, 2013)","plainTextFormattedCitation":"(Fauzia, 2013)","previouslyFormattedCitation":"(Fauzia, 2013)"},"properties":{"noteIndex":0},"schema":"https://github.com/citation-style-language/schema/raw/master/csl-citation.json"}</w:instrText>
      </w:r>
      <w:r w:rsidR="007E3971" w:rsidRPr="00CE509C">
        <w:rPr>
          <w:rFonts w:ascii="Calibri Light" w:hAnsi="Calibri Light" w:cs="Calibri Light"/>
          <w:sz w:val="24"/>
          <w:szCs w:val="24"/>
          <w:lang w:val="id-ID"/>
        </w:rPr>
        <w:fldChar w:fldCharType="separate"/>
      </w:r>
      <w:r w:rsidR="007E3971" w:rsidRPr="00CE509C">
        <w:rPr>
          <w:rFonts w:ascii="Calibri Light" w:hAnsi="Calibri Light" w:cs="Calibri Light"/>
          <w:noProof/>
          <w:sz w:val="24"/>
          <w:szCs w:val="24"/>
          <w:lang w:val="id-ID"/>
        </w:rPr>
        <w:t>(Fauzia, 2013)</w:t>
      </w:r>
      <w:r w:rsidR="007E3971" w:rsidRPr="00CE509C">
        <w:rPr>
          <w:rFonts w:ascii="Calibri Light" w:hAnsi="Calibri Light" w:cs="Calibri Light"/>
          <w:sz w:val="24"/>
          <w:szCs w:val="24"/>
          <w:lang w:val="id-ID"/>
        </w:rPr>
        <w:fldChar w:fldCharType="end"/>
      </w:r>
      <w:r w:rsidRPr="00EC77AC">
        <w:rPr>
          <w:rFonts w:asciiTheme="majorHAnsi" w:hAnsiTheme="majorHAnsi" w:cstheme="majorHAnsi"/>
          <w:sz w:val="24"/>
          <w:szCs w:val="24"/>
        </w:rPr>
        <w:t>.</w:t>
      </w:r>
    </w:p>
    <w:p w14:paraId="37FFEF7D" w14:textId="03C0BD20" w:rsidR="001D4AC5" w:rsidRPr="00EC77AC" w:rsidRDefault="001D4AC5" w:rsidP="005A62F6">
      <w:pPr>
        <w:spacing w:before="120" w:after="120" w:line="240" w:lineRule="auto"/>
        <w:ind w:left="709"/>
        <w:jc w:val="both"/>
        <w:rPr>
          <w:rFonts w:asciiTheme="majorHAnsi" w:hAnsiTheme="majorHAnsi" w:cstheme="majorHAnsi"/>
          <w:sz w:val="24"/>
          <w:szCs w:val="24"/>
        </w:rPr>
      </w:pPr>
      <w:r w:rsidRPr="00EC77AC">
        <w:rPr>
          <w:rFonts w:asciiTheme="majorHAnsi" w:hAnsiTheme="majorHAnsi" w:cstheme="majorHAnsi"/>
          <w:sz w:val="24"/>
          <w:szCs w:val="24"/>
        </w:rPr>
        <w:t xml:space="preserve">Indeed, </w:t>
      </w:r>
      <w:r w:rsidR="00FA7360" w:rsidRPr="00EC77AC">
        <w:rPr>
          <w:rFonts w:asciiTheme="majorHAnsi" w:hAnsiTheme="majorHAnsi" w:cstheme="majorHAnsi"/>
          <w:i/>
          <w:iCs/>
          <w:sz w:val="24"/>
          <w:szCs w:val="24"/>
        </w:rPr>
        <w:t>waqf al-</w:t>
      </w:r>
      <w:proofErr w:type="spellStart"/>
      <w:r w:rsidR="00FA7360" w:rsidRPr="00EC77AC">
        <w:rPr>
          <w:rFonts w:asciiTheme="majorHAnsi" w:hAnsiTheme="majorHAnsi" w:cstheme="majorHAnsi"/>
          <w:i/>
          <w:iCs/>
          <w:sz w:val="24"/>
          <w:szCs w:val="24"/>
        </w:rPr>
        <w:t>ahlī</w:t>
      </w:r>
      <w:proofErr w:type="spellEnd"/>
      <w:r w:rsidR="00FA7360"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was formally legislated in 2004. However, its legal foundation </w:t>
      </w:r>
      <w:r w:rsidR="0036727C" w:rsidRPr="00EC77AC">
        <w:rPr>
          <w:rFonts w:asciiTheme="majorHAnsi" w:hAnsiTheme="majorHAnsi" w:cstheme="majorHAnsi"/>
          <w:sz w:val="24"/>
          <w:szCs w:val="24"/>
        </w:rPr>
        <w:t>has</w:t>
      </w:r>
      <w:r w:rsidRPr="00EC77AC">
        <w:rPr>
          <w:rFonts w:asciiTheme="majorHAnsi" w:hAnsiTheme="majorHAnsi" w:cstheme="majorHAnsi"/>
          <w:sz w:val="24"/>
          <w:szCs w:val="24"/>
        </w:rPr>
        <w:t xml:space="preserve"> existed since 1960, as stipulated in Law No. 05 of 1960 on Basic Agrarian Principles, specifically Article 49, Paragraph 3, which states that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land is protected under Government Regulation. This article did not comprehensively explain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thereby leaving room for misuse. According to the background of Government Regulation No. 28 of 1977 on </w:t>
      </w:r>
      <w:proofErr w:type="spellStart"/>
      <w:r w:rsidRPr="00EC77AC">
        <w:rPr>
          <w:rFonts w:asciiTheme="majorHAnsi" w:hAnsiTheme="majorHAnsi" w:cstheme="majorHAnsi"/>
          <w:i/>
          <w:iCs/>
          <w:sz w:val="24"/>
          <w:szCs w:val="24"/>
        </w:rPr>
        <w:t>Perwakafan</w:t>
      </w:r>
      <w:proofErr w:type="spellEnd"/>
      <w:r w:rsidRPr="00EC77AC">
        <w:rPr>
          <w:rFonts w:asciiTheme="majorHAnsi" w:hAnsiTheme="majorHAnsi" w:cstheme="majorHAnsi"/>
          <w:i/>
          <w:iCs/>
          <w:sz w:val="24"/>
          <w:szCs w:val="24"/>
        </w:rPr>
        <w:t xml:space="preserve"> Tanah Milik</w:t>
      </w:r>
      <w:r w:rsidRPr="00EC77AC">
        <w:rPr>
          <w:rFonts w:asciiTheme="majorHAnsi" w:hAnsiTheme="majorHAnsi" w:cstheme="majorHAnsi"/>
          <w:sz w:val="24"/>
          <w:szCs w:val="24"/>
        </w:rPr>
        <w:t xml:space="preserve"> (Land Ownership Waqf) in Part I, it is stated:</w:t>
      </w:r>
    </w:p>
    <w:p w14:paraId="70936CE4" w14:textId="00218E63" w:rsidR="001D4AC5" w:rsidRPr="007E3971" w:rsidRDefault="001D4AC5" w:rsidP="005A62F6">
      <w:pPr>
        <w:spacing w:before="120" w:after="120" w:line="240" w:lineRule="auto"/>
        <w:ind w:left="709"/>
        <w:jc w:val="both"/>
        <w:rPr>
          <w:rFonts w:asciiTheme="majorHAnsi" w:hAnsiTheme="majorHAnsi" w:cstheme="majorHAnsi"/>
          <w:i/>
          <w:iCs/>
          <w:sz w:val="24"/>
          <w:szCs w:val="24"/>
        </w:rPr>
      </w:pPr>
      <w:r w:rsidRPr="007E3971">
        <w:rPr>
          <w:rFonts w:asciiTheme="majorHAnsi" w:hAnsiTheme="majorHAnsi" w:cstheme="majorHAnsi"/>
          <w:i/>
          <w:iCs/>
          <w:sz w:val="24"/>
          <w:szCs w:val="24"/>
        </w:rPr>
        <w:t xml:space="preserve">"Primarily due to the existence of various forms of waqf (family waqf, public waqf, and others) and the absence of mandatory registration of waqf property, many waqf assets became untraceable. Worse, </w:t>
      </w:r>
      <w:r w:rsidR="00DA370B" w:rsidRPr="007E3971">
        <w:rPr>
          <w:rFonts w:asciiTheme="majorHAnsi" w:hAnsiTheme="majorHAnsi" w:cstheme="majorHAnsi"/>
          <w:i/>
          <w:iCs/>
          <w:sz w:val="24"/>
          <w:szCs w:val="24"/>
        </w:rPr>
        <w:t>the waqf property could appear</w:t>
      </w:r>
      <w:r w:rsidRPr="007E3971">
        <w:rPr>
          <w:rFonts w:asciiTheme="majorHAnsi" w:hAnsiTheme="majorHAnsi" w:cstheme="majorHAnsi"/>
          <w:i/>
          <w:iCs/>
          <w:sz w:val="24"/>
          <w:szCs w:val="24"/>
        </w:rPr>
        <w:t xml:space="preserve"> as if it had become the inheritance of the heirs of the trustee (nazir)."</w:t>
      </w:r>
    </w:p>
    <w:p w14:paraId="66F3A80A" w14:textId="77777777" w:rsidR="00ED4611" w:rsidRPr="00EC77AC" w:rsidRDefault="001D4AC5" w:rsidP="005A62F6">
      <w:pPr>
        <w:spacing w:before="120" w:after="120" w:line="240" w:lineRule="auto"/>
        <w:ind w:left="709"/>
        <w:jc w:val="both"/>
        <w:rPr>
          <w:rFonts w:asciiTheme="majorHAnsi" w:hAnsiTheme="majorHAnsi" w:cstheme="majorHAnsi"/>
          <w:sz w:val="24"/>
          <w:szCs w:val="24"/>
        </w:rPr>
      </w:pPr>
      <w:r w:rsidRPr="00EC77AC">
        <w:rPr>
          <w:rFonts w:asciiTheme="majorHAnsi" w:hAnsiTheme="majorHAnsi" w:cstheme="majorHAnsi"/>
          <w:sz w:val="24"/>
          <w:szCs w:val="24"/>
        </w:rPr>
        <w:t xml:space="preserve">Such cases were widespread, often leading to land disputes. To address this issue, 17 years later, Government Regulation No. 28 of 1977 on </w:t>
      </w:r>
      <w:proofErr w:type="spellStart"/>
      <w:r w:rsidRPr="00EC77AC">
        <w:rPr>
          <w:rFonts w:asciiTheme="majorHAnsi" w:hAnsiTheme="majorHAnsi" w:cstheme="majorHAnsi"/>
          <w:i/>
          <w:iCs/>
          <w:sz w:val="24"/>
          <w:szCs w:val="24"/>
        </w:rPr>
        <w:t>Perwakafan</w:t>
      </w:r>
      <w:proofErr w:type="spellEnd"/>
      <w:r w:rsidRPr="00EC77AC">
        <w:rPr>
          <w:rFonts w:asciiTheme="majorHAnsi" w:hAnsiTheme="majorHAnsi" w:cstheme="majorHAnsi"/>
          <w:i/>
          <w:iCs/>
          <w:sz w:val="24"/>
          <w:szCs w:val="24"/>
        </w:rPr>
        <w:t xml:space="preserve"> Tanah Milik</w:t>
      </w:r>
      <w:r w:rsidRPr="00EC77AC">
        <w:rPr>
          <w:rFonts w:asciiTheme="majorHAnsi" w:hAnsiTheme="majorHAnsi" w:cstheme="majorHAnsi"/>
          <w:sz w:val="24"/>
          <w:szCs w:val="24"/>
        </w:rPr>
        <w:t xml:space="preserve"> was enacted on May 17, 1977.</w:t>
      </w:r>
    </w:p>
    <w:p w14:paraId="0B73F7CF" w14:textId="6F81354E" w:rsidR="001D6321" w:rsidRPr="00EC77AC" w:rsidRDefault="001D4AC5" w:rsidP="005A62F6">
      <w:pPr>
        <w:spacing w:before="120" w:after="120" w:line="240" w:lineRule="auto"/>
        <w:ind w:left="709"/>
        <w:jc w:val="both"/>
        <w:rPr>
          <w:rFonts w:asciiTheme="majorHAnsi" w:hAnsiTheme="majorHAnsi" w:cstheme="majorHAnsi"/>
          <w:sz w:val="24"/>
          <w:szCs w:val="24"/>
        </w:rPr>
      </w:pPr>
      <w:r w:rsidRPr="00EC77AC">
        <w:rPr>
          <w:rFonts w:asciiTheme="majorHAnsi" w:hAnsiTheme="majorHAnsi" w:cstheme="majorHAnsi"/>
          <w:sz w:val="24"/>
          <w:szCs w:val="24"/>
        </w:rPr>
        <w:t xml:space="preserve">The above regulation governed social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w:t>
      </w:r>
      <w:r w:rsidRPr="00EC77AC">
        <w:rPr>
          <w:rFonts w:asciiTheme="majorHAnsi" w:hAnsiTheme="majorHAnsi" w:cstheme="majorHAnsi"/>
          <w:i/>
          <w:iCs/>
          <w:sz w:val="24"/>
          <w:szCs w:val="24"/>
        </w:rPr>
        <w:t xml:space="preserve">waqf </w:t>
      </w:r>
      <w:proofErr w:type="spellStart"/>
      <w:r w:rsidR="0048225E" w:rsidRPr="00EC77AC">
        <w:rPr>
          <w:rFonts w:asciiTheme="majorHAnsi" w:hAnsiTheme="majorHAnsi" w:cstheme="majorHAnsi"/>
          <w:i/>
          <w:iCs/>
          <w:sz w:val="24"/>
          <w:szCs w:val="24"/>
        </w:rPr>
        <w:t>khayrī</w:t>
      </w:r>
      <w:proofErr w:type="spellEnd"/>
      <w:r w:rsidRPr="00EC77AC">
        <w:rPr>
          <w:rFonts w:asciiTheme="majorHAnsi" w:hAnsiTheme="majorHAnsi" w:cstheme="majorHAnsi"/>
          <w:sz w:val="24"/>
          <w:szCs w:val="24"/>
        </w:rPr>
        <w:t xml:space="preserve">) in the form of land </w:t>
      </w:r>
      <w:r w:rsidRPr="00EC77AC">
        <w:rPr>
          <w:rFonts w:asciiTheme="majorHAnsi" w:hAnsiTheme="majorHAnsi" w:cstheme="majorHAnsi"/>
          <w:i/>
          <w:iCs/>
          <w:sz w:val="24"/>
          <w:szCs w:val="24"/>
        </w:rPr>
        <w:t>waqf</w:t>
      </w:r>
      <w:r w:rsidRPr="00EC77AC">
        <w:rPr>
          <w:rFonts w:asciiTheme="majorHAnsi" w:hAnsiTheme="majorHAnsi" w:cstheme="majorHAnsi"/>
          <w:sz w:val="24"/>
          <w:szCs w:val="24"/>
        </w:rPr>
        <w:t xml:space="preserve">. To ensure its effective implementation, following the issuance of the regulation, the Minister of Home Affairs issued Regulation No. 6 of 1977. Subsequently, the Minister of Religious Affairs (PMA) issued Regulation No. 1 of 1978 concerning the Implementation of Government Regulation No. 28 of 1977. Unfortunately, neither this Government Regulation nor its derivatives—comprising the regulations of the two ministers, the Minister of Home Affairs and the Minister of Religious Affairs—addressed </w:t>
      </w:r>
      <w:r w:rsidR="00FA7360" w:rsidRPr="00EC77AC">
        <w:rPr>
          <w:rFonts w:asciiTheme="majorHAnsi" w:hAnsiTheme="majorHAnsi" w:cstheme="majorHAnsi"/>
          <w:i/>
          <w:iCs/>
          <w:sz w:val="24"/>
          <w:szCs w:val="24"/>
        </w:rPr>
        <w:t>waqf al-</w:t>
      </w:r>
      <w:proofErr w:type="spellStart"/>
      <w:r w:rsidR="00FA7360" w:rsidRPr="00EC77AC">
        <w:rPr>
          <w:rFonts w:asciiTheme="majorHAnsi" w:hAnsiTheme="majorHAnsi" w:cstheme="majorHAnsi"/>
          <w:i/>
          <w:iCs/>
          <w:sz w:val="24"/>
          <w:szCs w:val="24"/>
        </w:rPr>
        <w:t>ahlī</w:t>
      </w:r>
      <w:proofErr w:type="spellEnd"/>
      <w:r w:rsidR="00FA7360"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until the enactment of Law No. 41 of 2004.</w:t>
      </w:r>
    </w:p>
    <w:p w14:paraId="4789AE90" w14:textId="77777777" w:rsidR="00E35CD1" w:rsidRDefault="00E35CD1" w:rsidP="0036727C">
      <w:pPr>
        <w:spacing w:before="100" w:beforeAutospacing="1" w:after="0" w:line="240" w:lineRule="auto"/>
        <w:jc w:val="center"/>
        <w:rPr>
          <w:rFonts w:asciiTheme="majorHAnsi" w:eastAsia="Times New Roman" w:hAnsiTheme="majorHAnsi" w:cstheme="majorHAnsi"/>
          <w:b/>
          <w:bCs/>
          <w:kern w:val="0"/>
          <w:sz w:val="24"/>
          <w:szCs w:val="24"/>
          <w:lang w:eastAsia="en-ID"/>
          <w14:ligatures w14:val="none"/>
        </w:rPr>
      </w:pPr>
      <w:r w:rsidRPr="00EC77AC">
        <w:rPr>
          <w:rFonts w:asciiTheme="majorHAnsi" w:eastAsia="Times New Roman" w:hAnsiTheme="majorHAnsi" w:cstheme="majorHAnsi"/>
          <w:b/>
          <w:bCs/>
          <w:kern w:val="0"/>
          <w:sz w:val="24"/>
          <w:szCs w:val="24"/>
          <w:lang w:eastAsia="en-ID"/>
          <w14:ligatures w14:val="none"/>
        </w:rPr>
        <w:lastRenderedPageBreak/>
        <w:t>Table 02. Law No. 41 of 2004</w:t>
      </w:r>
    </w:p>
    <w:tbl>
      <w:tblPr>
        <w:tblW w:w="8222"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493"/>
        <w:gridCol w:w="1200"/>
        <w:gridCol w:w="1673"/>
        <w:gridCol w:w="4856"/>
      </w:tblGrid>
      <w:tr w:rsidR="003108A4" w:rsidRPr="00122F5F" w14:paraId="561E45AF" w14:textId="77777777" w:rsidTr="005A62F6">
        <w:trPr>
          <w:jc w:val="center"/>
        </w:trPr>
        <w:tc>
          <w:tcPr>
            <w:tcW w:w="351" w:type="dxa"/>
            <w:shd w:val="clear" w:color="auto" w:fill="D9D9D9"/>
          </w:tcPr>
          <w:p w14:paraId="34212311" w14:textId="77777777" w:rsidR="003108A4" w:rsidRPr="00122F5F" w:rsidRDefault="003108A4"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1208" w:type="dxa"/>
            <w:shd w:val="clear" w:color="auto" w:fill="D9D9D9"/>
          </w:tcPr>
          <w:p w14:paraId="7FC7A8AD" w14:textId="1A04878A" w:rsidR="003108A4" w:rsidRDefault="003108A4" w:rsidP="003108A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Cs w:val="24"/>
              </w:rPr>
              <w:t>Chapter</w:t>
            </w:r>
          </w:p>
        </w:tc>
        <w:tc>
          <w:tcPr>
            <w:tcW w:w="1701" w:type="dxa"/>
            <w:shd w:val="clear" w:color="auto" w:fill="D9D9D9"/>
          </w:tcPr>
          <w:p w14:paraId="764B0290" w14:textId="3EED7143" w:rsidR="003108A4" w:rsidRPr="00122F5F"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Cs w:val="24"/>
              </w:rPr>
              <w:t>Article</w:t>
            </w:r>
          </w:p>
        </w:tc>
        <w:tc>
          <w:tcPr>
            <w:tcW w:w="4962" w:type="dxa"/>
            <w:shd w:val="clear" w:color="auto" w:fill="D9D9D9"/>
          </w:tcPr>
          <w:p w14:paraId="36AE41C7" w14:textId="77777777" w:rsidR="003108A4" w:rsidRPr="00122F5F" w:rsidRDefault="003108A4"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Cs w:val="24"/>
              </w:rPr>
              <w:t>Waqf Legislation</w:t>
            </w:r>
          </w:p>
        </w:tc>
      </w:tr>
      <w:tr w:rsidR="003108A4" w:rsidRPr="00122F5F" w14:paraId="52D3FE7B" w14:textId="77777777" w:rsidTr="005A62F6">
        <w:trPr>
          <w:jc w:val="center"/>
        </w:trPr>
        <w:tc>
          <w:tcPr>
            <w:tcW w:w="351" w:type="dxa"/>
          </w:tcPr>
          <w:p w14:paraId="626434F8" w14:textId="77777777" w:rsidR="003108A4" w:rsidRPr="00122F5F" w:rsidRDefault="003108A4"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1208" w:type="dxa"/>
          </w:tcPr>
          <w:p w14:paraId="4ED04C10" w14:textId="3AD08449" w:rsidR="003108A4" w:rsidRPr="00DB6DD0" w:rsidRDefault="003108A4" w:rsidP="003108A4">
            <w:pPr>
              <w:pStyle w:val="ListParagraph"/>
              <w:widowControl w:val="0"/>
              <w:tabs>
                <w:tab w:val="num" w:pos="851"/>
              </w:tabs>
              <w:suppressAutoHyphens/>
              <w:spacing w:after="0" w:line="240" w:lineRule="auto"/>
              <w:ind w:left="0"/>
              <w:contextualSpacing w:val="0"/>
              <w:jc w:val="center"/>
              <w:rPr>
                <w:rFonts w:ascii="Calibri Light" w:hAnsi="Calibri Light" w:cs="Calibri Light"/>
                <w:lang w:val="en" w:eastAsia="en-GB"/>
              </w:rPr>
            </w:pPr>
            <w:r>
              <w:rPr>
                <w:rFonts w:ascii="Calibri Light" w:hAnsi="Calibri Light" w:cs="Calibri Light"/>
                <w:lang w:val="en" w:eastAsia="en-GB"/>
              </w:rPr>
              <w:t>I</w:t>
            </w:r>
          </w:p>
        </w:tc>
        <w:tc>
          <w:tcPr>
            <w:tcW w:w="1701" w:type="dxa"/>
          </w:tcPr>
          <w:p w14:paraId="39510B99" w14:textId="616BD87F" w:rsidR="003108A4" w:rsidRPr="00DB6DD0" w:rsidRDefault="003108A4" w:rsidP="00F61880">
            <w:pPr>
              <w:pStyle w:val="ListParagraph"/>
              <w:widowControl w:val="0"/>
              <w:tabs>
                <w:tab w:val="num" w:pos="851"/>
              </w:tabs>
              <w:suppressAutoHyphens/>
              <w:spacing w:after="0" w:line="240" w:lineRule="auto"/>
              <w:ind w:left="0"/>
              <w:contextualSpacing w:val="0"/>
              <w:jc w:val="center"/>
              <w:rPr>
                <w:rFonts w:ascii="Calibri Light" w:hAnsi="Calibri Light" w:cs="Calibri Light"/>
                <w:lang w:val="en" w:eastAsia="en-GB"/>
              </w:rPr>
            </w:pPr>
            <w:r>
              <w:rPr>
                <w:rFonts w:ascii="Calibri Light" w:hAnsi="Calibri Light" w:cs="Calibri Light"/>
                <w:lang w:val="en" w:eastAsia="en-GB"/>
              </w:rPr>
              <w:t>1</w:t>
            </w:r>
          </w:p>
        </w:tc>
        <w:tc>
          <w:tcPr>
            <w:tcW w:w="4962" w:type="dxa"/>
            <w:vAlign w:val="center"/>
          </w:tcPr>
          <w:p w14:paraId="7536CFEF" w14:textId="6A581ABE" w:rsidR="003108A4" w:rsidRPr="00F61880" w:rsidRDefault="00F61880" w:rsidP="00620D41">
            <w:pPr>
              <w:pStyle w:val="ListParagraph"/>
              <w:widowControl w:val="0"/>
              <w:tabs>
                <w:tab w:val="num" w:pos="851"/>
              </w:tabs>
              <w:suppressAutoHyphens/>
              <w:spacing w:after="0" w:line="240" w:lineRule="auto"/>
              <w:ind w:left="0"/>
              <w:contextualSpacing w:val="0"/>
              <w:rPr>
                <w:rFonts w:ascii="Calibri Light" w:hAnsi="Calibri Light" w:cs="Calibri Light"/>
              </w:rPr>
            </w:pPr>
            <w:r w:rsidRPr="00F61880">
              <w:rPr>
                <w:rFonts w:ascii="Calibri Light" w:hAnsi="Calibri Light" w:cs="Calibri Light"/>
              </w:rPr>
              <w:t>General Provisions</w:t>
            </w:r>
          </w:p>
        </w:tc>
      </w:tr>
      <w:tr w:rsidR="003108A4" w:rsidRPr="00122F5F" w14:paraId="5238784F" w14:textId="77777777" w:rsidTr="005A62F6">
        <w:trPr>
          <w:jc w:val="center"/>
        </w:trPr>
        <w:tc>
          <w:tcPr>
            <w:tcW w:w="351" w:type="dxa"/>
          </w:tcPr>
          <w:p w14:paraId="29D69BDD" w14:textId="77777777" w:rsidR="003108A4" w:rsidRPr="00122F5F" w:rsidRDefault="003108A4"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1208" w:type="dxa"/>
          </w:tcPr>
          <w:p w14:paraId="114F803B" w14:textId="16F7B4D0" w:rsidR="003108A4" w:rsidRDefault="003108A4"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I</w:t>
            </w:r>
            <w:r>
              <w:rPr>
                <w:rStyle w:val="tlid-translation"/>
                <w:lang w:val="en"/>
              </w:rPr>
              <w:t>I</w:t>
            </w:r>
          </w:p>
        </w:tc>
        <w:tc>
          <w:tcPr>
            <w:tcW w:w="1701" w:type="dxa"/>
          </w:tcPr>
          <w:p w14:paraId="29262555" w14:textId="6D48ED81" w:rsidR="003108A4" w:rsidRPr="00122F5F" w:rsidRDefault="003108A4"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2-31</w:t>
            </w:r>
          </w:p>
        </w:tc>
        <w:tc>
          <w:tcPr>
            <w:tcW w:w="4962" w:type="dxa"/>
          </w:tcPr>
          <w:p w14:paraId="377302A0" w14:textId="3106D9FE" w:rsidR="003108A4" w:rsidRPr="00F61880" w:rsidRDefault="00F61880" w:rsidP="00620D41">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F61880">
              <w:rPr>
                <w:rFonts w:ascii="Calibri Light" w:hAnsi="Calibri Light" w:cs="Calibri Light"/>
                <w:szCs w:val="24"/>
              </w:rPr>
              <w:t>Fundamental Principles of Waqf</w:t>
            </w:r>
          </w:p>
        </w:tc>
      </w:tr>
      <w:tr w:rsidR="003108A4" w:rsidRPr="00122F5F" w14:paraId="686B74B5" w14:textId="77777777" w:rsidTr="005A62F6">
        <w:trPr>
          <w:jc w:val="center"/>
        </w:trPr>
        <w:tc>
          <w:tcPr>
            <w:tcW w:w="351" w:type="dxa"/>
          </w:tcPr>
          <w:p w14:paraId="5B6C53C7" w14:textId="77777777" w:rsidR="003108A4" w:rsidRPr="00122F5F" w:rsidRDefault="003108A4"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1208" w:type="dxa"/>
          </w:tcPr>
          <w:p w14:paraId="6DE03903" w14:textId="1A9C11C1" w:rsidR="003108A4" w:rsidRDefault="003108A4"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I</w:t>
            </w:r>
            <w:r>
              <w:rPr>
                <w:rStyle w:val="tlid-translation"/>
                <w:lang w:val="en"/>
              </w:rPr>
              <w:t>II</w:t>
            </w:r>
          </w:p>
        </w:tc>
        <w:tc>
          <w:tcPr>
            <w:tcW w:w="1701" w:type="dxa"/>
          </w:tcPr>
          <w:p w14:paraId="65D6D467" w14:textId="6AD2BE4D" w:rsidR="003108A4" w:rsidRPr="00122F5F" w:rsidRDefault="003108A4"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32-39</w:t>
            </w:r>
          </w:p>
        </w:tc>
        <w:tc>
          <w:tcPr>
            <w:tcW w:w="4962" w:type="dxa"/>
          </w:tcPr>
          <w:p w14:paraId="7D9F6ED2" w14:textId="16C2FBA2" w:rsidR="003108A4" w:rsidRPr="00122F5F" w:rsidRDefault="00F61880" w:rsidP="00620D41">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F61880">
              <w:rPr>
                <w:rFonts w:ascii="Calibri Light" w:hAnsi="Calibri Light" w:cs="Calibri Light"/>
                <w:szCs w:val="24"/>
              </w:rPr>
              <w:t>Registration and Announcement of Waqf Properties</w:t>
            </w:r>
          </w:p>
        </w:tc>
      </w:tr>
      <w:tr w:rsidR="003108A4" w:rsidRPr="00122F5F" w14:paraId="25026957" w14:textId="77777777" w:rsidTr="005A62F6">
        <w:trPr>
          <w:jc w:val="center"/>
        </w:trPr>
        <w:tc>
          <w:tcPr>
            <w:tcW w:w="351" w:type="dxa"/>
          </w:tcPr>
          <w:p w14:paraId="7D693EDC" w14:textId="77777777" w:rsidR="003108A4" w:rsidRPr="00122F5F" w:rsidRDefault="003108A4"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1208" w:type="dxa"/>
          </w:tcPr>
          <w:p w14:paraId="41CA529D" w14:textId="76878545" w:rsidR="003108A4" w:rsidRDefault="003108A4"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I</w:t>
            </w:r>
            <w:r>
              <w:rPr>
                <w:rStyle w:val="tlid-translation"/>
                <w:lang w:val="en"/>
              </w:rPr>
              <w:t>V</w:t>
            </w:r>
          </w:p>
        </w:tc>
        <w:tc>
          <w:tcPr>
            <w:tcW w:w="1701" w:type="dxa"/>
          </w:tcPr>
          <w:p w14:paraId="499D6878" w14:textId="4D671CF4" w:rsidR="003108A4" w:rsidRPr="00122F5F" w:rsidRDefault="003108A4"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40-41</w:t>
            </w:r>
          </w:p>
        </w:tc>
        <w:tc>
          <w:tcPr>
            <w:tcW w:w="4962" w:type="dxa"/>
          </w:tcPr>
          <w:p w14:paraId="36BDA8D3" w14:textId="49BBFFE6" w:rsidR="003108A4" w:rsidRPr="00122F5F" w:rsidRDefault="00F61880" w:rsidP="00620D41">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F61880">
              <w:rPr>
                <w:rFonts w:ascii="Calibri Light" w:hAnsi="Calibri Light" w:cs="Calibri Light"/>
                <w:szCs w:val="24"/>
              </w:rPr>
              <w:t>Changes to the Status of Waqf Properties</w:t>
            </w:r>
          </w:p>
        </w:tc>
      </w:tr>
      <w:tr w:rsidR="003108A4" w:rsidRPr="00122F5F" w14:paraId="77ADF29E" w14:textId="77777777" w:rsidTr="005A62F6">
        <w:trPr>
          <w:jc w:val="center"/>
        </w:trPr>
        <w:tc>
          <w:tcPr>
            <w:tcW w:w="351" w:type="dxa"/>
          </w:tcPr>
          <w:p w14:paraId="688FFB68" w14:textId="77777777" w:rsidR="003108A4" w:rsidRPr="00122F5F" w:rsidRDefault="003108A4"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Pr>
                <w:rFonts w:ascii="Calibri Light" w:hAnsi="Calibri Light" w:cs="Calibri Light"/>
                <w:szCs w:val="24"/>
              </w:rPr>
              <w:t>5</w:t>
            </w:r>
            <w:r w:rsidRPr="00122F5F">
              <w:rPr>
                <w:rFonts w:ascii="Calibri Light" w:hAnsi="Calibri Light" w:cs="Calibri Light"/>
                <w:szCs w:val="24"/>
              </w:rPr>
              <w:t>.</w:t>
            </w:r>
          </w:p>
        </w:tc>
        <w:tc>
          <w:tcPr>
            <w:tcW w:w="1208" w:type="dxa"/>
          </w:tcPr>
          <w:p w14:paraId="135FB5A9" w14:textId="48109DA1" w:rsidR="003108A4" w:rsidRDefault="003108A4"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V</w:t>
            </w:r>
          </w:p>
        </w:tc>
        <w:tc>
          <w:tcPr>
            <w:tcW w:w="1701" w:type="dxa"/>
          </w:tcPr>
          <w:p w14:paraId="76ACA596" w14:textId="7364A667" w:rsidR="003108A4" w:rsidRPr="00DB6DD0" w:rsidRDefault="003108A4"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42</w:t>
            </w:r>
            <w:r w:rsidR="00F61880">
              <w:rPr>
                <w:rStyle w:val="tlid-translation"/>
                <w:rFonts w:ascii="Calibri Light" w:hAnsi="Calibri Light" w:cs="Calibri Light"/>
                <w:lang w:val="en"/>
              </w:rPr>
              <w:t>-46</w:t>
            </w:r>
          </w:p>
        </w:tc>
        <w:tc>
          <w:tcPr>
            <w:tcW w:w="4962" w:type="dxa"/>
          </w:tcPr>
          <w:p w14:paraId="58595F68" w14:textId="0E26561A" w:rsidR="003108A4" w:rsidRPr="00122F5F" w:rsidRDefault="00F61880" w:rsidP="00620D41">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F61880">
              <w:rPr>
                <w:rFonts w:ascii="Calibri Light" w:hAnsi="Calibri Light" w:cs="Calibri Light"/>
                <w:i/>
                <w:iCs/>
                <w:szCs w:val="24"/>
              </w:rPr>
              <w:t>Management and Development of Waqf Properties</w:t>
            </w:r>
          </w:p>
        </w:tc>
      </w:tr>
      <w:tr w:rsidR="003108A4" w:rsidRPr="00122F5F" w14:paraId="39E22F4A" w14:textId="77777777" w:rsidTr="005A62F6">
        <w:trPr>
          <w:jc w:val="center"/>
        </w:trPr>
        <w:tc>
          <w:tcPr>
            <w:tcW w:w="351" w:type="dxa"/>
          </w:tcPr>
          <w:p w14:paraId="67418F6E" w14:textId="77777777" w:rsidR="003108A4" w:rsidRPr="00122F5F" w:rsidRDefault="003108A4"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Pr>
                <w:rFonts w:ascii="Calibri Light" w:hAnsi="Calibri Light" w:cs="Calibri Light"/>
                <w:szCs w:val="24"/>
              </w:rPr>
              <w:t>6</w:t>
            </w:r>
            <w:r w:rsidRPr="00122F5F">
              <w:rPr>
                <w:rFonts w:ascii="Calibri Light" w:hAnsi="Calibri Light" w:cs="Calibri Light"/>
                <w:szCs w:val="24"/>
              </w:rPr>
              <w:t>.</w:t>
            </w:r>
          </w:p>
        </w:tc>
        <w:tc>
          <w:tcPr>
            <w:tcW w:w="1208" w:type="dxa"/>
          </w:tcPr>
          <w:p w14:paraId="07D65A1C" w14:textId="7092BF72" w:rsidR="003108A4" w:rsidRDefault="003108A4"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V</w:t>
            </w:r>
            <w:r>
              <w:rPr>
                <w:rStyle w:val="tlid-translation"/>
                <w:lang w:val="en"/>
              </w:rPr>
              <w:t>I</w:t>
            </w:r>
          </w:p>
        </w:tc>
        <w:tc>
          <w:tcPr>
            <w:tcW w:w="1701" w:type="dxa"/>
          </w:tcPr>
          <w:p w14:paraId="59286EDD" w14:textId="2B5549ED" w:rsidR="003108A4" w:rsidRDefault="00F61880"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47-61</w:t>
            </w:r>
          </w:p>
        </w:tc>
        <w:tc>
          <w:tcPr>
            <w:tcW w:w="4962" w:type="dxa"/>
          </w:tcPr>
          <w:p w14:paraId="7F31F072" w14:textId="264A13E5" w:rsidR="003108A4" w:rsidRPr="00122F5F" w:rsidRDefault="00F61880"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F61880">
              <w:rPr>
                <w:rStyle w:val="tlid-translation"/>
                <w:rFonts w:ascii="Calibri Light" w:hAnsi="Calibri Light" w:cs="Calibri Light"/>
                <w:i/>
                <w:iCs/>
                <w:lang w:val="en"/>
              </w:rPr>
              <w:t>Indonesian Waqf Board</w:t>
            </w:r>
          </w:p>
        </w:tc>
      </w:tr>
      <w:tr w:rsidR="00F61880" w:rsidRPr="00122F5F" w14:paraId="0AE35303" w14:textId="77777777" w:rsidTr="005A62F6">
        <w:trPr>
          <w:jc w:val="center"/>
        </w:trPr>
        <w:tc>
          <w:tcPr>
            <w:tcW w:w="351" w:type="dxa"/>
          </w:tcPr>
          <w:p w14:paraId="353CF6AF" w14:textId="77777777" w:rsidR="00F61880" w:rsidRPr="00122F5F"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7</w:t>
            </w:r>
            <w:r w:rsidRPr="00122F5F">
              <w:rPr>
                <w:rFonts w:ascii="Calibri Light" w:hAnsi="Calibri Light" w:cs="Calibri Light"/>
                <w:szCs w:val="24"/>
              </w:rPr>
              <w:t>.</w:t>
            </w:r>
          </w:p>
        </w:tc>
        <w:tc>
          <w:tcPr>
            <w:tcW w:w="1208" w:type="dxa"/>
          </w:tcPr>
          <w:p w14:paraId="7E59403E" w14:textId="122B0369" w:rsidR="00F61880" w:rsidRDefault="00F61880"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V</w:t>
            </w:r>
            <w:r>
              <w:rPr>
                <w:rStyle w:val="tlid-translation"/>
                <w:lang w:val="en"/>
              </w:rPr>
              <w:t>II</w:t>
            </w:r>
          </w:p>
        </w:tc>
        <w:tc>
          <w:tcPr>
            <w:tcW w:w="1701" w:type="dxa"/>
          </w:tcPr>
          <w:p w14:paraId="7ED07861" w14:textId="176C4DEF" w:rsidR="00F61880" w:rsidRDefault="00F61880"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62</w:t>
            </w:r>
          </w:p>
        </w:tc>
        <w:tc>
          <w:tcPr>
            <w:tcW w:w="4962" w:type="dxa"/>
          </w:tcPr>
          <w:p w14:paraId="1EA71528" w14:textId="2AC83B77" w:rsidR="00F61880" w:rsidRPr="00122F5F" w:rsidRDefault="00F61880"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F61880">
              <w:rPr>
                <w:rStyle w:val="tlid-translation"/>
                <w:rFonts w:ascii="Calibri Light" w:hAnsi="Calibri Light" w:cs="Calibri Light"/>
                <w:lang w:val="en"/>
              </w:rPr>
              <w:t>Resolution of Waqf Disputes</w:t>
            </w:r>
          </w:p>
        </w:tc>
      </w:tr>
      <w:tr w:rsidR="00F61880" w:rsidRPr="00122F5F" w14:paraId="0B90E156" w14:textId="77777777" w:rsidTr="005A62F6">
        <w:trPr>
          <w:jc w:val="center"/>
        </w:trPr>
        <w:tc>
          <w:tcPr>
            <w:tcW w:w="351" w:type="dxa"/>
          </w:tcPr>
          <w:p w14:paraId="4DF44566" w14:textId="77777777" w:rsidR="00F61880" w:rsidRPr="00122F5F"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8</w:t>
            </w:r>
            <w:r w:rsidRPr="00122F5F">
              <w:rPr>
                <w:rFonts w:ascii="Calibri Light" w:hAnsi="Calibri Light" w:cs="Calibri Light"/>
                <w:szCs w:val="24"/>
              </w:rPr>
              <w:t>.</w:t>
            </w:r>
          </w:p>
        </w:tc>
        <w:tc>
          <w:tcPr>
            <w:tcW w:w="1208" w:type="dxa"/>
          </w:tcPr>
          <w:p w14:paraId="198833A2" w14:textId="0AB833A4" w:rsidR="00F61880" w:rsidRDefault="00F61880"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V</w:t>
            </w:r>
            <w:r>
              <w:rPr>
                <w:rStyle w:val="tlid-translation"/>
                <w:lang w:val="en"/>
              </w:rPr>
              <w:t>III</w:t>
            </w:r>
          </w:p>
        </w:tc>
        <w:tc>
          <w:tcPr>
            <w:tcW w:w="1701" w:type="dxa"/>
          </w:tcPr>
          <w:p w14:paraId="2F173372" w14:textId="0683B6C9" w:rsidR="00F61880" w:rsidRDefault="00F61880"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63-66</w:t>
            </w:r>
          </w:p>
        </w:tc>
        <w:tc>
          <w:tcPr>
            <w:tcW w:w="4962" w:type="dxa"/>
          </w:tcPr>
          <w:p w14:paraId="281D6AA4" w14:textId="4BB031EE" w:rsidR="00F61880" w:rsidRPr="00122F5F" w:rsidRDefault="00F61880"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F61880">
              <w:rPr>
                <w:rStyle w:val="tlid-translation"/>
                <w:rFonts w:ascii="Calibri Light" w:hAnsi="Calibri Light" w:cs="Calibri Light"/>
                <w:lang w:val="en"/>
              </w:rPr>
              <w:t>Guidance and Supervision</w:t>
            </w:r>
          </w:p>
        </w:tc>
      </w:tr>
      <w:tr w:rsidR="00F61880" w:rsidRPr="00122F5F" w14:paraId="2EBDA8AF" w14:textId="77777777" w:rsidTr="005A62F6">
        <w:trPr>
          <w:jc w:val="center"/>
        </w:trPr>
        <w:tc>
          <w:tcPr>
            <w:tcW w:w="351" w:type="dxa"/>
          </w:tcPr>
          <w:p w14:paraId="502145DB" w14:textId="77777777" w:rsidR="00F61880" w:rsidRPr="00122F5F"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9</w:t>
            </w:r>
            <w:r w:rsidRPr="00122F5F">
              <w:rPr>
                <w:rFonts w:ascii="Calibri Light" w:hAnsi="Calibri Light" w:cs="Calibri Light"/>
                <w:szCs w:val="24"/>
              </w:rPr>
              <w:t>.</w:t>
            </w:r>
          </w:p>
        </w:tc>
        <w:tc>
          <w:tcPr>
            <w:tcW w:w="1208" w:type="dxa"/>
          </w:tcPr>
          <w:p w14:paraId="1D0450A1" w14:textId="777BA8F5" w:rsidR="00F61880" w:rsidRDefault="00F61880"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X</w:t>
            </w:r>
            <w:r>
              <w:rPr>
                <w:rStyle w:val="tlid-translation"/>
                <w:lang w:val="en"/>
              </w:rPr>
              <w:t>I</w:t>
            </w:r>
          </w:p>
        </w:tc>
        <w:tc>
          <w:tcPr>
            <w:tcW w:w="1701" w:type="dxa"/>
          </w:tcPr>
          <w:p w14:paraId="2781C371" w14:textId="0F47AFAD" w:rsidR="00F61880" w:rsidRDefault="00F61880"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67-68</w:t>
            </w:r>
          </w:p>
        </w:tc>
        <w:tc>
          <w:tcPr>
            <w:tcW w:w="4962" w:type="dxa"/>
          </w:tcPr>
          <w:p w14:paraId="38339A92" w14:textId="562062DE" w:rsidR="00F61880" w:rsidRPr="00122F5F" w:rsidRDefault="00F61880"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F61880">
              <w:rPr>
                <w:rStyle w:val="tlid-translation"/>
                <w:rFonts w:ascii="Calibri Light" w:hAnsi="Calibri Light" w:cs="Calibri Light"/>
                <w:lang w:val="en"/>
              </w:rPr>
              <w:t>Criminal Provisions and Administrative Sanctions</w:t>
            </w:r>
          </w:p>
        </w:tc>
      </w:tr>
      <w:tr w:rsidR="00F61880" w:rsidRPr="00122F5F" w14:paraId="4B2DDCBA" w14:textId="77777777" w:rsidTr="005A62F6">
        <w:trPr>
          <w:jc w:val="center"/>
        </w:trPr>
        <w:tc>
          <w:tcPr>
            <w:tcW w:w="351" w:type="dxa"/>
          </w:tcPr>
          <w:p w14:paraId="3CFD0CA7" w14:textId="77777777" w:rsidR="00F61880" w:rsidRPr="00122F5F"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10</w:t>
            </w:r>
            <w:r w:rsidRPr="00122F5F">
              <w:rPr>
                <w:rFonts w:ascii="Calibri Light" w:hAnsi="Calibri Light" w:cs="Calibri Light"/>
                <w:szCs w:val="24"/>
              </w:rPr>
              <w:t>.</w:t>
            </w:r>
          </w:p>
        </w:tc>
        <w:tc>
          <w:tcPr>
            <w:tcW w:w="1208" w:type="dxa"/>
          </w:tcPr>
          <w:p w14:paraId="15D0327C" w14:textId="5E0DC7BF" w:rsidR="00F61880" w:rsidRDefault="00F61880"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X</w:t>
            </w:r>
          </w:p>
        </w:tc>
        <w:tc>
          <w:tcPr>
            <w:tcW w:w="1701" w:type="dxa"/>
          </w:tcPr>
          <w:p w14:paraId="52DB3CA8" w14:textId="4AD730C5" w:rsidR="00F61880" w:rsidRDefault="00F61880"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69-70</w:t>
            </w:r>
          </w:p>
        </w:tc>
        <w:tc>
          <w:tcPr>
            <w:tcW w:w="4962" w:type="dxa"/>
          </w:tcPr>
          <w:p w14:paraId="3FB2D8A4" w14:textId="6253909F" w:rsidR="00F61880" w:rsidRPr="00122F5F" w:rsidRDefault="00F61880"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F61880">
              <w:rPr>
                <w:rStyle w:val="tlid-translation"/>
                <w:rFonts w:ascii="Calibri Light" w:hAnsi="Calibri Light" w:cs="Calibri Light"/>
                <w:lang w:val="en"/>
              </w:rPr>
              <w:t>Transitional Provisions</w:t>
            </w:r>
          </w:p>
        </w:tc>
      </w:tr>
      <w:tr w:rsidR="00F61880" w:rsidRPr="00122F5F" w14:paraId="6219113F" w14:textId="77777777" w:rsidTr="005A62F6">
        <w:trPr>
          <w:jc w:val="center"/>
        </w:trPr>
        <w:tc>
          <w:tcPr>
            <w:tcW w:w="351" w:type="dxa"/>
          </w:tcPr>
          <w:p w14:paraId="39799A8C" w14:textId="77777777" w:rsidR="00F61880" w:rsidRPr="00122F5F"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11</w:t>
            </w:r>
            <w:r w:rsidRPr="00122F5F">
              <w:rPr>
                <w:rFonts w:ascii="Calibri Light" w:hAnsi="Calibri Light" w:cs="Calibri Light"/>
                <w:szCs w:val="24"/>
              </w:rPr>
              <w:t>.</w:t>
            </w:r>
          </w:p>
        </w:tc>
        <w:tc>
          <w:tcPr>
            <w:tcW w:w="1208" w:type="dxa"/>
          </w:tcPr>
          <w:p w14:paraId="3DC5EDE5" w14:textId="21B2D5E5" w:rsidR="00F61880" w:rsidRDefault="00F61880" w:rsidP="003108A4">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X</w:t>
            </w:r>
            <w:r>
              <w:rPr>
                <w:rStyle w:val="tlid-translation"/>
                <w:lang w:val="en"/>
              </w:rPr>
              <w:t>I</w:t>
            </w:r>
          </w:p>
        </w:tc>
        <w:tc>
          <w:tcPr>
            <w:tcW w:w="1701" w:type="dxa"/>
          </w:tcPr>
          <w:p w14:paraId="092AB193" w14:textId="350DF9CF" w:rsidR="00F61880" w:rsidRDefault="00F61880" w:rsidP="00F6188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71</w:t>
            </w:r>
          </w:p>
        </w:tc>
        <w:tc>
          <w:tcPr>
            <w:tcW w:w="4962" w:type="dxa"/>
          </w:tcPr>
          <w:p w14:paraId="45EAF72B" w14:textId="0F7232CE" w:rsidR="00F61880" w:rsidRPr="00122F5F" w:rsidRDefault="00F61880"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F61880">
              <w:rPr>
                <w:rStyle w:val="tlid-translation"/>
                <w:rFonts w:ascii="Calibri Light" w:hAnsi="Calibri Light" w:cs="Calibri Light"/>
                <w:lang w:val="en"/>
              </w:rPr>
              <w:t>Closing Provisions</w:t>
            </w:r>
          </w:p>
        </w:tc>
      </w:tr>
    </w:tbl>
    <w:p w14:paraId="2BE78C27" w14:textId="656D4DAE" w:rsidR="001D4AC5" w:rsidRPr="00EC77AC" w:rsidRDefault="001D4AC5" w:rsidP="001432A5">
      <w:pPr>
        <w:spacing w:after="0"/>
        <w:jc w:val="both"/>
        <w:rPr>
          <w:rFonts w:asciiTheme="majorHAnsi" w:hAnsiTheme="majorHAnsi" w:cstheme="majorHAnsi"/>
          <w:sz w:val="24"/>
          <w:szCs w:val="24"/>
        </w:rPr>
      </w:pPr>
    </w:p>
    <w:p w14:paraId="2C50EB7F" w14:textId="77777777" w:rsidR="005A62F6" w:rsidRDefault="00E35CD1"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According to this law, waqf is divided into two types: </w:t>
      </w:r>
      <w:r w:rsidR="0048225E" w:rsidRPr="00EC77AC">
        <w:rPr>
          <w:rFonts w:asciiTheme="majorHAnsi" w:hAnsiTheme="majorHAnsi" w:cstheme="majorHAnsi"/>
          <w:i/>
          <w:iCs/>
          <w:sz w:val="24"/>
          <w:szCs w:val="24"/>
        </w:rPr>
        <w:t>waqf al-</w:t>
      </w:r>
      <w:proofErr w:type="spellStart"/>
      <w:r w:rsidR="0048225E" w:rsidRPr="00EC77AC">
        <w:rPr>
          <w:rFonts w:asciiTheme="majorHAnsi" w:hAnsiTheme="majorHAnsi" w:cstheme="majorHAnsi"/>
          <w:i/>
          <w:iCs/>
          <w:sz w:val="24"/>
          <w:szCs w:val="24"/>
        </w:rPr>
        <w:t>khayrī</w:t>
      </w:r>
      <w:proofErr w:type="spellEnd"/>
      <w:r w:rsidRPr="00EC77AC">
        <w:rPr>
          <w:rFonts w:asciiTheme="majorHAnsi" w:hAnsiTheme="majorHAnsi" w:cstheme="majorHAnsi"/>
          <w:sz w:val="24"/>
          <w:szCs w:val="24"/>
        </w:rPr>
        <w:t xml:space="preserve"> and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w:t>
      </w:r>
      <w:r w:rsidR="0048225E" w:rsidRPr="00EC77AC">
        <w:rPr>
          <w:rFonts w:asciiTheme="majorHAnsi" w:hAnsiTheme="majorHAnsi" w:cstheme="majorHAnsi"/>
          <w:i/>
          <w:iCs/>
          <w:sz w:val="24"/>
          <w:szCs w:val="24"/>
        </w:rPr>
        <w:t>Waqf al-</w:t>
      </w:r>
      <w:proofErr w:type="spellStart"/>
      <w:r w:rsidR="0048225E" w:rsidRPr="00EC77AC">
        <w:rPr>
          <w:rFonts w:asciiTheme="majorHAnsi" w:hAnsiTheme="majorHAnsi" w:cstheme="majorHAnsi"/>
          <w:i/>
          <w:iCs/>
          <w:sz w:val="24"/>
          <w:szCs w:val="24"/>
        </w:rPr>
        <w:t>khayrī</w:t>
      </w:r>
      <w:proofErr w:type="spellEnd"/>
      <w:r w:rsidRPr="00EC77AC">
        <w:rPr>
          <w:rFonts w:asciiTheme="majorHAnsi" w:hAnsiTheme="majorHAnsi" w:cstheme="majorHAnsi"/>
          <w:sz w:val="24"/>
          <w:szCs w:val="24"/>
        </w:rPr>
        <w:t xml:space="preserve"> refers to waqf allocated for public benefit, while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is designated for and managed by the waqif’s (endower’s) family (Explanation of Government Regulation No. 42 of 2006, Article 2). For legal compliance, both types of waqf must be recorded, registered, and formalized in a waqf pledge deed (Law No. 41 of 2004, Part I: General Provisions, Article 1).</w:t>
      </w:r>
    </w:p>
    <w:p w14:paraId="7BE8BB5B" w14:textId="77777777" w:rsidR="005A62F6" w:rsidRDefault="00E35CD1"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Regarding the registration procedure, Article 30 of the law states that waqf properties must be registered by the Nazhir (waqf manager) with the Minister no later than seven working days after the issuance of the waqf certificate. Since these provisions remain general, the detailed registration procedures are elaborated in Government Regulation No. 42 of 2006 on the Implementation of the Waqf Law of 2004, Articles 30, paragraphs 4 to 6.</w:t>
      </w:r>
      <w:r w:rsidR="005A62F6">
        <w:rPr>
          <w:rFonts w:asciiTheme="majorHAnsi" w:hAnsiTheme="majorHAnsi" w:cstheme="majorHAnsi"/>
          <w:sz w:val="24"/>
          <w:szCs w:val="24"/>
        </w:rPr>
        <w:t xml:space="preserve"> </w:t>
      </w:r>
    </w:p>
    <w:p w14:paraId="5D8CED8E" w14:textId="1154C3D0" w:rsidR="00E35CD1" w:rsidRPr="00EC77AC" w:rsidRDefault="00E35CD1"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An example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is the </w:t>
      </w:r>
      <w:proofErr w:type="spellStart"/>
      <w:r w:rsidRPr="00EC77AC">
        <w:rPr>
          <w:rFonts w:asciiTheme="majorHAnsi" w:hAnsiTheme="majorHAnsi" w:cstheme="majorHAnsi"/>
          <w:sz w:val="24"/>
          <w:szCs w:val="24"/>
        </w:rPr>
        <w:t>Bafadhal</w:t>
      </w:r>
      <w:proofErr w:type="spellEnd"/>
      <w:r w:rsidRPr="00EC77AC">
        <w:rPr>
          <w:rFonts w:asciiTheme="majorHAnsi" w:hAnsiTheme="majorHAnsi" w:cstheme="majorHAnsi"/>
          <w:sz w:val="24"/>
          <w:szCs w:val="24"/>
        </w:rPr>
        <w:t xml:space="preserve"> Family Waqf in Jambi, which has now become a productive waqf. The first waqf is </w:t>
      </w:r>
      <w:proofErr w:type="spellStart"/>
      <w:r w:rsidRPr="00EC77AC">
        <w:rPr>
          <w:rFonts w:asciiTheme="majorHAnsi" w:hAnsiTheme="majorHAnsi" w:cstheme="majorHAnsi"/>
          <w:sz w:val="24"/>
          <w:szCs w:val="24"/>
        </w:rPr>
        <w:t>ʻAbd</w:t>
      </w:r>
      <w:proofErr w:type="spellEnd"/>
      <w:r w:rsidRPr="00EC77AC">
        <w:rPr>
          <w:rFonts w:asciiTheme="majorHAnsi" w:hAnsiTheme="majorHAnsi" w:cstheme="majorHAnsi"/>
          <w:sz w:val="24"/>
          <w:szCs w:val="24"/>
        </w:rPr>
        <w:t xml:space="preserve"> al-</w:t>
      </w:r>
      <w:proofErr w:type="spellStart"/>
      <w:r w:rsidRPr="00EC77AC">
        <w:rPr>
          <w:rFonts w:asciiTheme="majorHAnsi" w:hAnsiTheme="majorHAnsi" w:cstheme="majorHAnsi"/>
          <w:sz w:val="24"/>
          <w:szCs w:val="24"/>
        </w:rPr>
        <w:t>Raḥmān</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Bā</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Faḍl’s</w:t>
      </w:r>
      <w:proofErr w:type="spellEnd"/>
      <w:r w:rsidRPr="00EC77AC">
        <w:rPr>
          <w:rFonts w:asciiTheme="majorHAnsi" w:hAnsiTheme="majorHAnsi" w:cstheme="majorHAnsi"/>
          <w:sz w:val="24"/>
          <w:szCs w:val="24"/>
        </w:rPr>
        <w:t xml:space="preserve"> waqf, consisting of land designated for the Bani </w:t>
      </w:r>
      <w:proofErr w:type="spellStart"/>
      <w:r w:rsidRPr="00EC77AC">
        <w:rPr>
          <w:rFonts w:asciiTheme="majorHAnsi" w:hAnsiTheme="majorHAnsi" w:cstheme="majorHAnsi"/>
          <w:sz w:val="24"/>
          <w:szCs w:val="24"/>
        </w:rPr>
        <w:t>Bafadhal</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Bafadhal</w:t>
      </w:r>
      <w:proofErr w:type="spellEnd"/>
      <w:r w:rsidRPr="00EC77AC">
        <w:rPr>
          <w:rFonts w:asciiTheme="majorHAnsi" w:hAnsiTheme="majorHAnsi" w:cstheme="majorHAnsi"/>
          <w:sz w:val="24"/>
          <w:szCs w:val="24"/>
        </w:rPr>
        <w:t xml:space="preserve"> clan) in Jambi. The second waqf, also from </w:t>
      </w:r>
      <w:proofErr w:type="spellStart"/>
      <w:r w:rsidRPr="00EC77AC">
        <w:rPr>
          <w:rFonts w:asciiTheme="majorHAnsi" w:hAnsiTheme="majorHAnsi" w:cstheme="majorHAnsi"/>
          <w:sz w:val="24"/>
          <w:szCs w:val="24"/>
        </w:rPr>
        <w:t>ʻAbd</w:t>
      </w:r>
      <w:proofErr w:type="spellEnd"/>
      <w:r w:rsidRPr="00EC77AC">
        <w:rPr>
          <w:rFonts w:asciiTheme="majorHAnsi" w:hAnsiTheme="majorHAnsi" w:cstheme="majorHAnsi"/>
          <w:sz w:val="24"/>
          <w:szCs w:val="24"/>
        </w:rPr>
        <w:t xml:space="preserve"> al-</w:t>
      </w:r>
      <w:proofErr w:type="spellStart"/>
      <w:r w:rsidRPr="00EC77AC">
        <w:rPr>
          <w:rFonts w:asciiTheme="majorHAnsi" w:hAnsiTheme="majorHAnsi" w:cstheme="majorHAnsi"/>
          <w:sz w:val="24"/>
          <w:szCs w:val="24"/>
        </w:rPr>
        <w:t>Raḥmān</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Bā</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Faḍl</w:t>
      </w:r>
      <w:proofErr w:type="spellEnd"/>
      <w:r w:rsidRPr="00EC77AC">
        <w:rPr>
          <w:rFonts w:asciiTheme="majorHAnsi" w:hAnsiTheme="majorHAnsi" w:cstheme="majorHAnsi"/>
          <w:sz w:val="24"/>
          <w:szCs w:val="24"/>
        </w:rPr>
        <w:t xml:space="preserve">, is in the form of three </w:t>
      </w:r>
      <w:r w:rsidR="00663284" w:rsidRPr="00EC77AC">
        <w:rPr>
          <w:rFonts w:asciiTheme="majorHAnsi" w:hAnsiTheme="majorHAnsi" w:cstheme="majorHAnsi"/>
          <w:sz w:val="24"/>
          <w:szCs w:val="24"/>
        </w:rPr>
        <w:t>shop houses</w:t>
      </w:r>
      <w:r w:rsidRPr="00EC77AC">
        <w:rPr>
          <w:rFonts w:asciiTheme="majorHAnsi" w:hAnsiTheme="majorHAnsi" w:cstheme="majorHAnsi"/>
          <w:sz w:val="24"/>
          <w:szCs w:val="24"/>
        </w:rPr>
        <w:t xml:space="preserve"> in Jambi City, similarly intended for the extended </w:t>
      </w:r>
      <w:proofErr w:type="spellStart"/>
      <w:r w:rsidRPr="00EC77AC">
        <w:rPr>
          <w:rFonts w:asciiTheme="majorHAnsi" w:hAnsiTheme="majorHAnsi" w:cstheme="majorHAnsi"/>
          <w:sz w:val="24"/>
          <w:szCs w:val="24"/>
        </w:rPr>
        <w:t>Bafadhal</w:t>
      </w:r>
      <w:proofErr w:type="spellEnd"/>
      <w:r w:rsidRPr="00EC77AC">
        <w:rPr>
          <w:rFonts w:asciiTheme="majorHAnsi" w:hAnsiTheme="majorHAnsi" w:cstheme="majorHAnsi"/>
          <w:sz w:val="24"/>
          <w:szCs w:val="24"/>
        </w:rPr>
        <w:t xml:space="preserve"> family. The proceeds from these waqf properties are used to support the education of the Bani </w:t>
      </w:r>
      <w:proofErr w:type="spellStart"/>
      <w:r w:rsidRPr="00EC77AC">
        <w:rPr>
          <w:rFonts w:asciiTheme="majorHAnsi" w:hAnsiTheme="majorHAnsi" w:cstheme="majorHAnsi"/>
          <w:sz w:val="24"/>
          <w:szCs w:val="24"/>
        </w:rPr>
        <w:t>Bafadhal</w:t>
      </w:r>
      <w:proofErr w:type="spellEnd"/>
      <w:r w:rsidRPr="00EC77AC">
        <w:rPr>
          <w:rFonts w:asciiTheme="majorHAnsi" w:hAnsiTheme="majorHAnsi" w:cstheme="majorHAnsi"/>
          <w:sz w:val="24"/>
          <w:szCs w:val="24"/>
        </w:rPr>
        <w:t xml:space="preserve"> in Jambi, particularly those pursuing religious studies. Some of the beneficiaries have been sent to Yemen and Al-Azhar with funds generated from this waqf.</w:t>
      </w:r>
    </w:p>
    <w:p w14:paraId="284FE837" w14:textId="1D86E1E4" w:rsidR="00E35CD1" w:rsidRPr="005A62F6" w:rsidRDefault="00E35CD1" w:rsidP="005A62F6">
      <w:pPr>
        <w:pStyle w:val="ListParagraph"/>
        <w:numPr>
          <w:ilvl w:val="0"/>
          <w:numId w:val="8"/>
        </w:numPr>
        <w:spacing w:before="120" w:after="120" w:line="240" w:lineRule="auto"/>
        <w:ind w:left="426"/>
        <w:jc w:val="both"/>
        <w:rPr>
          <w:rFonts w:asciiTheme="majorHAnsi" w:hAnsiTheme="majorHAnsi" w:cstheme="majorHAnsi"/>
          <w:b/>
          <w:bCs/>
          <w:sz w:val="24"/>
          <w:szCs w:val="24"/>
        </w:rPr>
      </w:pPr>
      <w:r w:rsidRPr="005A62F6">
        <w:rPr>
          <w:rFonts w:asciiTheme="majorHAnsi" w:hAnsiTheme="majorHAnsi" w:cstheme="majorHAnsi"/>
          <w:b/>
          <w:bCs/>
          <w:sz w:val="24"/>
          <w:szCs w:val="24"/>
        </w:rPr>
        <w:t>Malaysia</w:t>
      </w:r>
    </w:p>
    <w:p w14:paraId="6160E69B" w14:textId="70AAC316" w:rsidR="00E35CD1" w:rsidRPr="007E3971" w:rsidRDefault="00E35CD1" w:rsidP="005A62F6">
      <w:pPr>
        <w:spacing w:before="120" w:after="120" w:line="240" w:lineRule="auto"/>
        <w:ind w:left="425"/>
        <w:jc w:val="both"/>
        <w:rPr>
          <w:rFonts w:asciiTheme="majorHAnsi" w:hAnsiTheme="majorHAnsi" w:cstheme="majorHAnsi"/>
          <w:sz w:val="24"/>
          <w:szCs w:val="24"/>
          <w:lang w:val="en-US"/>
        </w:rPr>
      </w:pPr>
      <w:r w:rsidRPr="00EC77AC">
        <w:rPr>
          <w:rFonts w:asciiTheme="majorHAnsi" w:hAnsiTheme="majorHAnsi" w:cstheme="majorHAnsi"/>
          <w:sz w:val="24"/>
          <w:szCs w:val="24"/>
        </w:rPr>
        <w:t xml:space="preserve">Similar to Indonesia, in Malaysia, </w:t>
      </w:r>
      <w:r w:rsidR="0048225E" w:rsidRPr="00EC77AC">
        <w:rPr>
          <w:rFonts w:asciiTheme="majorHAnsi" w:hAnsiTheme="majorHAnsi" w:cstheme="majorHAnsi"/>
          <w:i/>
          <w:iCs/>
          <w:sz w:val="24"/>
          <w:szCs w:val="24"/>
        </w:rPr>
        <w:t>waqf al-</w:t>
      </w:r>
      <w:proofErr w:type="spellStart"/>
      <w:r w:rsidR="0048225E" w:rsidRPr="00EC77AC">
        <w:rPr>
          <w:rFonts w:asciiTheme="majorHAnsi" w:hAnsiTheme="majorHAnsi" w:cstheme="majorHAnsi"/>
          <w:i/>
          <w:iCs/>
          <w:sz w:val="24"/>
          <w:szCs w:val="24"/>
        </w:rPr>
        <w:t>khayrī</w:t>
      </w:r>
      <w:proofErr w:type="spellEnd"/>
      <w:r w:rsidR="004C43B4"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is more commonly known compared to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This means that waqf for public facilities such as mosques, cemeteries, and educational institutions is far more prevalent than waqf for descendants. Nevertheless,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has certainly been practiced.</w:t>
      </w:r>
      <w:r w:rsidR="007E3971">
        <w:rPr>
          <w:rFonts w:asciiTheme="majorHAnsi" w:hAnsiTheme="majorHAnsi" w:cstheme="majorHAnsi"/>
          <w:sz w:val="24"/>
          <w:szCs w:val="24"/>
        </w:rPr>
        <w:t xml:space="preserve"> </w:t>
      </w:r>
      <w:r w:rsidRPr="00EC77AC">
        <w:rPr>
          <w:rFonts w:asciiTheme="majorHAnsi" w:hAnsiTheme="majorHAnsi" w:cstheme="majorHAnsi"/>
          <w:sz w:val="24"/>
          <w:szCs w:val="24"/>
        </w:rPr>
        <w:t xml:space="preserve">Initial data indicates that in the state of Kelantan, there was the Tengku Kaya </w:t>
      </w:r>
      <w:proofErr w:type="spellStart"/>
      <w:r w:rsidRPr="00EC77AC">
        <w:rPr>
          <w:rFonts w:asciiTheme="majorHAnsi" w:hAnsiTheme="majorHAnsi" w:cstheme="majorHAnsi"/>
          <w:sz w:val="24"/>
          <w:szCs w:val="24"/>
        </w:rPr>
        <w:t>Pahlawan</w:t>
      </w:r>
      <w:proofErr w:type="spellEnd"/>
      <w:r w:rsidRPr="00EC77AC">
        <w:rPr>
          <w:rFonts w:asciiTheme="majorHAnsi" w:hAnsiTheme="majorHAnsi" w:cstheme="majorHAnsi"/>
          <w:sz w:val="24"/>
          <w:szCs w:val="24"/>
        </w:rPr>
        <w:t xml:space="preserve"> Waqf in 1921, which was allocated to his descendants in the form of 20 lots of land (plots or parcels) consisting of residential sites and coconut plantations. Its estimated value was RM 440,344.89, equivalent to IDR 1,594,334,725.98 based on the exchange rate of rupiah to ringgit as of September 20, 2024. In addition, there was also a </w:t>
      </w:r>
      <w:r w:rsidR="00663284" w:rsidRPr="00EC77AC">
        <w:rPr>
          <w:rFonts w:asciiTheme="majorHAnsi" w:hAnsiTheme="majorHAnsi" w:cstheme="majorHAnsi"/>
          <w:sz w:val="24"/>
          <w:szCs w:val="24"/>
        </w:rPr>
        <w:t>shophouse</w:t>
      </w:r>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ruko</w:t>
      </w:r>
      <w:proofErr w:type="spellEnd"/>
      <w:r w:rsidRPr="00EC77AC">
        <w:rPr>
          <w:rFonts w:asciiTheme="majorHAnsi" w:hAnsiTheme="majorHAnsi" w:cstheme="majorHAnsi"/>
          <w:sz w:val="24"/>
          <w:szCs w:val="24"/>
        </w:rPr>
        <w:t xml:space="preserve">) valued at RM 76,000. The waqf was developed into a productive waqf by its managers and utilized to support the descendants, including for </w:t>
      </w:r>
      <w:r w:rsidRPr="00EC77AC">
        <w:rPr>
          <w:rFonts w:asciiTheme="majorHAnsi" w:hAnsiTheme="majorHAnsi" w:cstheme="majorHAnsi"/>
          <w:sz w:val="24"/>
          <w:szCs w:val="24"/>
        </w:rPr>
        <w:lastRenderedPageBreak/>
        <w:t>educational purposes</w:t>
      </w:r>
      <w:r w:rsidR="007E3971">
        <w:rPr>
          <w:rFonts w:asciiTheme="majorHAnsi" w:hAnsiTheme="majorHAnsi" w:cstheme="majorHAnsi"/>
          <w:sz w:val="24"/>
          <w:szCs w:val="24"/>
        </w:rPr>
        <w:t xml:space="preserve">. </w:t>
      </w:r>
      <w:r w:rsidRPr="00EC77AC">
        <w:rPr>
          <w:rFonts w:asciiTheme="majorHAnsi" w:hAnsiTheme="majorHAnsi" w:cstheme="majorHAnsi"/>
          <w:sz w:val="24"/>
          <w:szCs w:val="24"/>
        </w:rPr>
        <w:t xml:space="preserve">A similar case was also found in Terengganu. On June 13, 1961, Tengku Nik Maimunah endowed 25,000 hectares of land as a combination of </w:t>
      </w:r>
      <w:r w:rsidR="0048225E" w:rsidRPr="00EC77AC">
        <w:rPr>
          <w:rFonts w:asciiTheme="majorHAnsi" w:hAnsiTheme="majorHAnsi" w:cstheme="majorHAnsi"/>
          <w:i/>
          <w:iCs/>
          <w:sz w:val="24"/>
          <w:szCs w:val="24"/>
        </w:rPr>
        <w:t>waqf al-</w:t>
      </w:r>
      <w:proofErr w:type="spellStart"/>
      <w:r w:rsidR="0048225E" w:rsidRPr="00EC77AC">
        <w:rPr>
          <w:rFonts w:asciiTheme="majorHAnsi" w:hAnsiTheme="majorHAnsi" w:cstheme="majorHAnsi"/>
          <w:i/>
          <w:iCs/>
          <w:sz w:val="24"/>
          <w:szCs w:val="24"/>
        </w:rPr>
        <w:t>khayrī</w:t>
      </w:r>
      <w:proofErr w:type="spellEnd"/>
      <w:r w:rsidR="00FD7D17"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and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Five-eighths of this land area was allocated for her descendants, while the remainder was intended for religious (public) purposes. The land was later transformed into a productive enterprise, and by 2003, it generated approximately RM 0.94 million </w:t>
      </w:r>
      <w:r w:rsidR="007E3971" w:rsidRPr="00CE509C">
        <w:rPr>
          <w:rFonts w:ascii="Calibri Light" w:hAnsi="Calibri Light" w:cs="Calibri Light"/>
          <w:sz w:val="24"/>
          <w:szCs w:val="24"/>
          <w:lang w:val="id-ID"/>
        </w:rPr>
        <w:fldChar w:fldCharType="begin" w:fldLock="1"/>
      </w:r>
      <w:r w:rsidR="007E3971">
        <w:rPr>
          <w:rFonts w:ascii="Calibri Light" w:hAnsi="Calibri Light" w:cs="Calibri Light"/>
          <w:sz w:val="24"/>
          <w:szCs w:val="24"/>
          <w:lang w:val="id-ID"/>
        </w:rPr>
        <w:instrText>ADDIN CSL_CITATION {"citationItems":[{"id":"ITEM-1","itemData":{"ISSN":"2590-4396","author":[{"dropping-particle":"","family":"Suhaimi","given":"Farhana Mohamad","non-dropping-particle":"","parse-names":false,"suffix":""}],"container-title":"Malaysian Journal of Syariah and law","id":"ITEM-1","issue":"1","issued":{"date-parts":[["2018"]]},"page":"73-81","publisher":"Universiti Sains Islam Malaysia","title":"Wakaf Ahli: Peruntukan Undang-Undang dan Pelaksanaannya di Malaysia","type":"article-journal","volume":"8"},"uris":["http://www.mendeley.com/documents/?uuid=1855a2c2-26ee-467f-85fd-568377d1e529","http://www.mendeley.com/documents/?uuid=2d500825-c2be-4032-b440-08159c2a4e89"]}],"mendeley":{"formattedCitation":"(Suhaimi, 2018)","plainTextFormattedCitation":"(Suhaimi, 2018)","previouslyFormattedCitation":"(Suhaimi, 2018)"},"properties":{"noteIndex":0},"schema":"https://github.com/citation-style-language/schema/raw/master/csl-citation.json"}</w:instrText>
      </w:r>
      <w:r w:rsidR="007E3971" w:rsidRPr="00CE509C">
        <w:rPr>
          <w:rFonts w:ascii="Calibri Light" w:hAnsi="Calibri Light" w:cs="Calibri Light"/>
          <w:sz w:val="24"/>
          <w:szCs w:val="24"/>
          <w:lang w:val="id-ID"/>
        </w:rPr>
        <w:fldChar w:fldCharType="separate"/>
      </w:r>
      <w:r w:rsidR="007E3971" w:rsidRPr="00D67BB1">
        <w:rPr>
          <w:rFonts w:ascii="Calibri Light" w:hAnsi="Calibri Light" w:cs="Calibri Light"/>
          <w:noProof/>
          <w:sz w:val="24"/>
          <w:szCs w:val="24"/>
          <w:lang w:val="id-ID"/>
        </w:rPr>
        <w:t>(Suhaimi, 2018)</w:t>
      </w:r>
      <w:r w:rsidR="007E3971" w:rsidRPr="00CE509C">
        <w:rPr>
          <w:rFonts w:ascii="Calibri Light" w:hAnsi="Calibri Light" w:cs="Calibri Light"/>
          <w:sz w:val="24"/>
          <w:szCs w:val="24"/>
          <w:lang w:val="id-ID"/>
        </w:rPr>
        <w:fldChar w:fldCharType="end"/>
      </w:r>
      <w:r w:rsidR="007E3971">
        <w:rPr>
          <w:rFonts w:ascii="Calibri Light" w:hAnsi="Calibri Light" w:cs="Calibri Light"/>
          <w:sz w:val="24"/>
          <w:szCs w:val="24"/>
          <w:lang w:val="en-US"/>
        </w:rPr>
        <w:t>.</w:t>
      </w:r>
    </w:p>
    <w:p w14:paraId="68654F38" w14:textId="53403117" w:rsidR="00041DC2" w:rsidRDefault="00E35CD1"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While in Indonesia, the management of waqf is centralized under a single special law as explained earlier, in Malaysia, the regulation of waqf is entrusted to the states (equivalent to provinces in Indonesia). Each state is authorized to draft and formulate its own waqf laws. These laws are referred to as Enactments, Acts, or Ordinances, as shown in </w:t>
      </w:r>
      <w:r w:rsidR="00F54E80">
        <w:rPr>
          <w:rFonts w:asciiTheme="majorHAnsi" w:hAnsiTheme="majorHAnsi" w:cstheme="majorHAnsi"/>
          <w:sz w:val="24"/>
          <w:szCs w:val="24"/>
        </w:rPr>
        <w:t>t</w:t>
      </w:r>
      <w:r w:rsidRPr="00EC77AC">
        <w:rPr>
          <w:rFonts w:asciiTheme="majorHAnsi" w:hAnsiTheme="majorHAnsi" w:cstheme="majorHAnsi"/>
          <w:sz w:val="24"/>
          <w:szCs w:val="24"/>
        </w:rPr>
        <w:t>able 03.</w:t>
      </w:r>
    </w:p>
    <w:p w14:paraId="2D9EF052" w14:textId="77777777" w:rsidR="005A62F6" w:rsidRPr="00EC77AC" w:rsidRDefault="005A62F6" w:rsidP="005A62F6">
      <w:pPr>
        <w:spacing w:before="120" w:after="120" w:line="240" w:lineRule="auto"/>
        <w:ind w:left="425"/>
        <w:jc w:val="both"/>
        <w:rPr>
          <w:rFonts w:asciiTheme="majorHAnsi" w:hAnsiTheme="majorHAnsi" w:cstheme="majorHAnsi"/>
          <w:sz w:val="24"/>
          <w:szCs w:val="24"/>
        </w:rPr>
      </w:pPr>
    </w:p>
    <w:p w14:paraId="5554393C" w14:textId="77777777" w:rsidR="006B2A2F" w:rsidRDefault="006B2A2F" w:rsidP="00663284">
      <w:pPr>
        <w:spacing w:after="0"/>
        <w:jc w:val="center"/>
        <w:rPr>
          <w:rFonts w:asciiTheme="majorHAnsi" w:hAnsiTheme="majorHAnsi" w:cstheme="majorHAnsi"/>
          <w:b/>
          <w:bCs/>
          <w:sz w:val="24"/>
          <w:szCs w:val="24"/>
        </w:rPr>
      </w:pPr>
      <w:r w:rsidRPr="00EC77AC">
        <w:rPr>
          <w:rFonts w:asciiTheme="majorHAnsi" w:hAnsiTheme="majorHAnsi" w:cstheme="majorHAnsi"/>
          <w:b/>
          <w:bCs/>
          <w:sz w:val="24"/>
          <w:szCs w:val="24"/>
        </w:rPr>
        <w:t>Table 03: Waqf Laws in Malaysia</w:t>
      </w:r>
    </w:p>
    <w:tbl>
      <w:tblPr>
        <w:tblW w:w="8423" w:type="dxa"/>
        <w:tblInd w:w="426"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93"/>
        <w:gridCol w:w="1588"/>
        <w:gridCol w:w="6342"/>
      </w:tblGrid>
      <w:tr w:rsidR="00DB6DD0" w:rsidRPr="00122F5F" w14:paraId="407E3E36" w14:textId="77777777" w:rsidTr="005A62F6">
        <w:trPr>
          <w:trHeight w:val="249"/>
        </w:trPr>
        <w:tc>
          <w:tcPr>
            <w:tcW w:w="269" w:type="dxa"/>
            <w:shd w:val="clear" w:color="auto" w:fill="D9D9D9"/>
          </w:tcPr>
          <w:p w14:paraId="6EC0E18D" w14:textId="77777777" w:rsidR="00DB6DD0" w:rsidRPr="00122F5F" w:rsidRDefault="00DB6DD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1603" w:type="dxa"/>
            <w:shd w:val="clear" w:color="auto" w:fill="D9D9D9"/>
          </w:tcPr>
          <w:p w14:paraId="749AF4A0" w14:textId="7D562DAD" w:rsidR="00DB6DD0" w:rsidRPr="00122F5F" w:rsidRDefault="00DB6DD0" w:rsidP="00F61880">
            <w:pPr>
              <w:pStyle w:val="ListParagraph"/>
              <w:widowControl w:val="0"/>
              <w:tabs>
                <w:tab w:val="num" w:pos="851"/>
              </w:tabs>
              <w:suppressAutoHyphens/>
              <w:spacing w:after="0" w:line="240" w:lineRule="auto"/>
              <w:ind w:left="0"/>
              <w:contextualSpacing w:val="0"/>
              <w:rPr>
                <w:rFonts w:ascii="Calibri Light" w:hAnsi="Calibri Light" w:cs="Calibri Light"/>
                <w:b/>
                <w:bCs/>
                <w:szCs w:val="24"/>
              </w:rPr>
            </w:pPr>
            <w:r>
              <w:rPr>
                <w:rFonts w:ascii="Calibri Light" w:hAnsi="Calibri Light" w:cs="Calibri Light"/>
                <w:b/>
                <w:bCs/>
                <w:szCs w:val="24"/>
              </w:rPr>
              <w:t>State</w:t>
            </w:r>
          </w:p>
        </w:tc>
        <w:tc>
          <w:tcPr>
            <w:tcW w:w="6551" w:type="dxa"/>
            <w:shd w:val="clear" w:color="auto" w:fill="D9D9D9"/>
          </w:tcPr>
          <w:p w14:paraId="7899D49B" w14:textId="42A9DC34" w:rsidR="00DB6DD0" w:rsidRPr="00122F5F" w:rsidRDefault="003108A4" w:rsidP="00F61880">
            <w:pPr>
              <w:pStyle w:val="ListParagraph"/>
              <w:widowControl w:val="0"/>
              <w:tabs>
                <w:tab w:val="num" w:pos="851"/>
              </w:tabs>
              <w:suppressAutoHyphens/>
              <w:spacing w:after="0" w:line="240" w:lineRule="auto"/>
              <w:ind w:left="0"/>
              <w:contextualSpacing w:val="0"/>
              <w:rPr>
                <w:rFonts w:ascii="Calibri Light" w:hAnsi="Calibri Light" w:cs="Calibri Light"/>
                <w:b/>
                <w:bCs/>
                <w:szCs w:val="24"/>
              </w:rPr>
            </w:pPr>
            <w:r>
              <w:rPr>
                <w:rFonts w:ascii="Calibri Light" w:hAnsi="Calibri Light" w:cs="Calibri Light"/>
                <w:b/>
                <w:bCs/>
                <w:szCs w:val="24"/>
              </w:rPr>
              <w:t>Waqf Legislation</w:t>
            </w:r>
          </w:p>
        </w:tc>
      </w:tr>
      <w:tr w:rsidR="00DB6DD0" w:rsidRPr="00122F5F" w14:paraId="4488F53D" w14:textId="77777777" w:rsidTr="005A62F6">
        <w:trPr>
          <w:trHeight w:val="265"/>
        </w:trPr>
        <w:tc>
          <w:tcPr>
            <w:tcW w:w="269" w:type="dxa"/>
          </w:tcPr>
          <w:p w14:paraId="462579DB" w14:textId="77777777" w:rsidR="00DB6DD0" w:rsidRPr="00122F5F"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1603" w:type="dxa"/>
          </w:tcPr>
          <w:p w14:paraId="74D669CF" w14:textId="3115164D" w:rsidR="00DB6DD0" w:rsidRPr="00DB6DD0" w:rsidRDefault="00DB6DD0" w:rsidP="00DB6DD0">
            <w:pPr>
              <w:pStyle w:val="ListParagraph"/>
              <w:widowControl w:val="0"/>
              <w:tabs>
                <w:tab w:val="num" w:pos="851"/>
              </w:tabs>
              <w:suppressAutoHyphens/>
              <w:spacing w:after="0" w:line="240" w:lineRule="auto"/>
              <w:ind w:left="0"/>
              <w:contextualSpacing w:val="0"/>
              <w:rPr>
                <w:rFonts w:ascii="Calibri Light" w:hAnsi="Calibri Light" w:cs="Calibri Light"/>
                <w:lang w:val="en" w:eastAsia="en-GB"/>
              </w:rPr>
            </w:pPr>
            <w:r w:rsidRPr="00DB6DD0">
              <w:rPr>
                <w:rFonts w:ascii="Calibri Light" w:hAnsi="Calibri Light" w:cs="Calibri Light"/>
                <w:lang w:val="en" w:eastAsia="en-GB"/>
              </w:rPr>
              <w:t>Penang</w:t>
            </w:r>
          </w:p>
        </w:tc>
        <w:tc>
          <w:tcPr>
            <w:tcW w:w="6551" w:type="dxa"/>
            <w:vAlign w:val="center"/>
          </w:tcPr>
          <w:p w14:paraId="26C0910A" w14:textId="0A4ED462" w:rsidR="00DB6DD0" w:rsidRPr="00122F5F" w:rsidRDefault="00DB6DD0" w:rsidP="00DB6DD0">
            <w:pPr>
              <w:pStyle w:val="ListParagraph"/>
              <w:widowControl w:val="0"/>
              <w:tabs>
                <w:tab w:val="num" w:pos="851"/>
              </w:tabs>
              <w:suppressAutoHyphens/>
              <w:spacing w:after="0" w:line="240" w:lineRule="auto"/>
              <w:ind w:left="0"/>
              <w:contextualSpacing w:val="0"/>
              <w:rPr>
                <w:rFonts w:ascii="Calibri Light" w:hAnsi="Calibri Light" w:cs="Calibri Light"/>
                <w:b/>
                <w:bCs/>
              </w:rPr>
            </w:pPr>
            <w:r w:rsidRPr="00DB6DD0">
              <w:rPr>
                <w:rFonts w:asciiTheme="majorHAnsi" w:hAnsiTheme="majorHAnsi" w:cstheme="majorHAnsi"/>
              </w:rPr>
              <w:t>Enactment of Islamic Religious Administration (State of Penang) 2004</w:t>
            </w:r>
          </w:p>
        </w:tc>
      </w:tr>
      <w:tr w:rsidR="00DB6DD0" w:rsidRPr="00122F5F" w14:paraId="4513D554" w14:textId="77777777" w:rsidTr="005A62F6">
        <w:trPr>
          <w:trHeight w:val="249"/>
        </w:trPr>
        <w:tc>
          <w:tcPr>
            <w:tcW w:w="269" w:type="dxa"/>
          </w:tcPr>
          <w:p w14:paraId="5534FF5F" w14:textId="77777777" w:rsidR="00DB6DD0" w:rsidRPr="00122F5F" w:rsidRDefault="00DB6DD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1603" w:type="dxa"/>
          </w:tcPr>
          <w:p w14:paraId="5F5F9E10" w14:textId="6DC5A42B" w:rsidR="00DB6DD0" w:rsidRPr="00122F5F" w:rsidRDefault="00DB6DD0"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K</w:t>
            </w:r>
            <w:proofErr w:type="spellStart"/>
            <w:r>
              <w:rPr>
                <w:rStyle w:val="tlid-translation"/>
              </w:rPr>
              <w:t>edah</w:t>
            </w:r>
            <w:proofErr w:type="spellEnd"/>
          </w:p>
        </w:tc>
        <w:tc>
          <w:tcPr>
            <w:tcW w:w="6551" w:type="dxa"/>
          </w:tcPr>
          <w:p w14:paraId="6D35D406" w14:textId="555FC982" w:rsidR="00DB6DD0" w:rsidRPr="00122F5F" w:rsidRDefault="003108A4" w:rsidP="00620D41">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B6DD0">
              <w:rPr>
                <w:rFonts w:asciiTheme="majorHAnsi" w:hAnsiTheme="majorHAnsi" w:cstheme="majorHAnsi"/>
              </w:rPr>
              <w:t xml:space="preserve">Enactment of Islamic Legal Administration (Kedah </w:t>
            </w:r>
            <w:proofErr w:type="spellStart"/>
            <w:r w:rsidRPr="00DB6DD0">
              <w:rPr>
                <w:rFonts w:asciiTheme="majorHAnsi" w:hAnsiTheme="majorHAnsi" w:cstheme="majorHAnsi"/>
              </w:rPr>
              <w:t>Darul</w:t>
            </w:r>
            <w:proofErr w:type="spellEnd"/>
            <w:r w:rsidRPr="00DB6DD0">
              <w:rPr>
                <w:rFonts w:asciiTheme="majorHAnsi" w:hAnsiTheme="majorHAnsi" w:cstheme="majorHAnsi"/>
              </w:rPr>
              <w:t xml:space="preserve"> Aman) 2008</w:t>
            </w:r>
          </w:p>
        </w:tc>
      </w:tr>
      <w:tr w:rsidR="00DB6DD0" w:rsidRPr="00122F5F" w14:paraId="433C2A51" w14:textId="77777777" w:rsidTr="005A62F6">
        <w:trPr>
          <w:trHeight w:val="265"/>
        </w:trPr>
        <w:tc>
          <w:tcPr>
            <w:tcW w:w="269" w:type="dxa"/>
          </w:tcPr>
          <w:p w14:paraId="24EBC7C4" w14:textId="77777777" w:rsidR="00DB6DD0" w:rsidRPr="00122F5F" w:rsidRDefault="00DB6DD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1603" w:type="dxa"/>
          </w:tcPr>
          <w:p w14:paraId="11B6C755" w14:textId="2E8B24B7" w:rsidR="00DB6DD0" w:rsidRPr="00122F5F" w:rsidRDefault="00DB6DD0"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P</w:t>
            </w:r>
            <w:proofErr w:type="spellStart"/>
            <w:r>
              <w:rPr>
                <w:rStyle w:val="tlid-translation"/>
              </w:rPr>
              <w:t>erlis</w:t>
            </w:r>
            <w:proofErr w:type="spellEnd"/>
          </w:p>
        </w:tc>
        <w:tc>
          <w:tcPr>
            <w:tcW w:w="6551" w:type="dxa"/>
          </w:tcPr>
          <w:p w14:paraId="045B724A" w14:textId="60E137C4" w:rsidR="00DB6DD0" w:rsidRPr="00122F5F" w:rsidRDefault="003108A4" w:rsidP="00620D41">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B6DD0">
              <w:rPr>
                <w:rFonts w:asciiTheme="majorHAnsi" w:hAnsiTheme="majorHAnsi" w:cstheme="majorHAnsi"/>
              </w:rPr>
              <w:t>Enactment of Family Law Administration 1991</w:t>
            </w:r>
          </w:p>
        </w:tc>
      </w:tr>
      <w:tr w:rsidR="00DB6DD0" w:rsidRPr="00122F5F" w14:paraId="6D24264C" w14:textId="77777777" w:rsidTr="005A62F6">
        <w:trPr>
          <w:trHeight w:val="249"/>
        </w:trPr>
        <w:tc>
          <w:tcPr>
            <w:tcW w:w="269" w:type="dxa"/>
          </w:tcPr>
          <w:p w14:paraId="7630506C" w14:textId="77777777" w:rsidR="00DB6DD0" w:rsidRPr="00122F5F" w:rsidRDefault="00DB6DD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1603" w:type="dxa"/>
          </w:tcPr>
          <w:p w14:paraId="0AE43510" w14:textId="28589E4C" w:rsidR="00DB6DD0" w:rsidRPr="00122F5F" w:rsidRDefault="00DB6DD0"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Perak</w:t>
            </w:r>
          </w:p>
        </w:tc>
        <w:tc>
          <w:tcPr>
            <w:tcW w:w="6551" w:type="dxa"/>
          </w:tcPr>
          <w:p w14:paraId="368A27C3" w14:textId="44F0489E" w:rsidR="00DB6DD0" w:rsidRPr="00122F5F" w:rsidRDefault="003108A4" w:rsidP="00620D41">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B6DD0">
              <w:rPr>
                <w:rFonts w:asciiTheme="majorHAnsi" w:hAnsiTheme="majorHAnsi" w:cstheme="majorHAnsi"/>
              </w:rPr>
              <w:t>Waqf Enactment (State of Perak) 2015</w:t>
            </w:r>
          </w:p>
        </w:tc>
      </w:tr>
      <w:tr w:rsidR="00DB6DD0" w:rsidRPr="00122F5F" w14:paraId="4180607A" w14:textId="77777777" w:rsidTr="005A62F6">
        <w:trPr>
          <w:trHeight w:val="532"/>
        </w:trPr>
        <w:tc>
          <w:tcPr>
            <w:tcW w:w="269" w:type="dxa"/>
          </w:tcPr>
          <w:p w14:paraId="1EDE363C" w14:textId="52E539A2" w:rsidR="00DB6DD0" w:rsidRPr="00122F5F"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Pr>
                <w:rFonts w:ascii="Calibri Light" w:hAnsi="Calibri Light" w:cs="Calibri Light"/>
                <w:szCs w:val="24"/>
              </w:rPr>
              <w:t>5</w:t>
            </w:r>
            <w:r w:rsidRPr="00122F5F">
              <w:rPr>
                <w:rFonts w:ascii="Calibri Light" w:hAnsi="Calibri Light" w:cs="Calibri Light"/>
                <w:szCs w:val="24"/>
              </w:rPr>
              <w:t>.</w:t>
            </w:r>
          </w:p>
        </w:tc>
        <w:tc>
          <w:tcPr>
            <w:tcW w:w="1603" w:type="dxa"/>
          </w:tcPr>
          <w:p w14:paraId="42CC0135" w14:textId="4FCECF9E" w:rsidR="00DB6DD0" w:rsidRPr="00DB6DD0" w:rsidRDefault="00DB6DD0"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K</w:t>
            </w:r>
            <w:proofErr w:type="spellStart"/>
            <w:r>
              <w:rPr>
                <w:rStyle w:val="tlid-translation"/>
              </w:rPr>
              <w:t>e</w:t>
            </w:r>
            <w:r w:rsidR="003108A4">
              <w:rPr>
                <w:rStyle w:val="tlid-translation"/>
              </w:rPr>
              <w:t>lantan</w:t>
            </w:r>
            <w:proofErr w:type="spellEnd"/>
          </w:p>
        </w:tc>
        <w:tc>
          <w:tcPr>
            <w:tcW w:w="6551" w:type="dxa"/>
          </w:tcPr>
          <w:p w14:paraId="4DD362C1" w14:textId="7402E37B" w:rsidR="00DB6DD0" w:rsidRPr="00122F5F" w:rsidRDefault="003108A4" w:rsidP="00DB6DD0">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DB6DD0">
              <w:rPr>
                <w:rFonts w:asciiTheme="majorHAnsi" w:hAnsiTheme="majorHAnsi" w:cstheme="majorHAnsi"/>
              </w:rPr>
              <w:t>Enactment of Islamic Religious Council and Malay Customs of Kelantan 1994</w:t>
            </w:r>
          </w:p>
        </w:tc>
      </w:tr>
      <w:tr w:rsidR="00DB6DD0" w:rsidRPr="00122F5F" w14:paraId="244AF777" w14:textId="77777777" w:rsidTr="005A62F6">
        <w:trPr>
          <w:trHeight w:val="249"/>
        </w:trPr>
        <w:tc>
          <w:tcPr>
            <w:tcW w:w="269" w:type="dxa"/>
          </w:tcPr>
          <w:p w14:paraId="1603540E" w14:textId="53EB4808" w:rsidR="00DB6DD0" w:rsidRPr="00122F5F"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Pr>
                <w:rFonts w:ascii="Calibri Light" w:hAnsi="Calibri Light" w:cs="Calibri Light"/>
                <w:szCs w:val="24"/>
              </w:rPr>
              <w:t>6</w:t>
            </w:r>
            <w:r w:rsidRPr="00122F5F">
              <w:rPr>
                <w:rFonts w:ascii="Calibri Light" w:hAnsi="Calibri Light" w:cs="Calibri Light"/>
                <w:szCs w:val="24"/>
              </w:rPr>
              <w:t>.</w:t>
            </w:r>
          </w:p>
        </w:tc>
        <w:tc>
          <w:tcPr>
            <w:tcW w:w="1603" w:type="dxa"/>
          </w:tcPr>
          <w:p w14:paraId="18BC66D1" w14:textId="6EA8934B" w:rsidR="00DB6DD0"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Terengganu</w:t>
            </w:r>
          </w:p>
        </w:tc>
        <w:tc>
          <w:tcPr>
            <w:tcW w:w="6551" w:type="dxa"/>
          </w:tcPr>
          <w:p w14:paraId="0EC12F94" w14:textId="56852A04" w:rsidR="00DB6DD0" w:rsidRPr="00122F5F"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DB6DD0">
              <w:rPr>
                <w:rFonts w:asciiTheme="majorHAnsi" w:hAnsiTheme="majorHAnsi" w:cstheme="majorHAnsi"/>
              </w:rPr>
              <w:t>Waqf Enactment (State of Terengganu) 2016</w:t>
            </w:r>
          </w:p>
        </w:tc>
      </w:tr>
      <w:tr w:rsidR="00DB6DD0" w:rsidRPr="00122F5F" w14:paraId="3C935A3D" w14:textId="77777777" w:rsidTr="005A62F6">
        <w:trPr>
          <w:trHeight w:val="265"/>
        </w:trPr>
        <w:tc>
          <w:tcPr>
            <w:tcW w:w="269" w:type="dxa"/>
          </w:tcPr>
          <w:p w14:paraId="28AE4BC2" w14:textId="5473BA9E" w:rsidR="00DB6DD0" w:rsidRPr="00122F5F"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7</w:t>
            </w:r>
            <w:r w:rsidRPr="00122F5F">
              <w:rPr>
                <w:rFonts w:ascii="Calibri Light" w:hAnsi="Calibri Light" w:cs="Calibri Light"/>
                <w:szCs w:val="24"/>
              </w:rPr>
              <w:t>.</w:t>
            </w:r>
          </w:p>
        </w:tc>
        <w:tc>
          <w:tcPr>
            <w:tcW w:w="1603" w:type="dxa"/>
          </w:tcPr>
          <w:p w14:paraId="419D0EB1" w14:textId="62D09E78" w:rsidR="00DB6DD0" w:rsidRDefault="00DB6DD0"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P</w:t>
            </w:r>
            <w:r w:rsidR="003108A4">
              <w:rPr>
                <w:rStyle w:val="tlid-translation"/>
                <w:rFonts w:ascii="Calibri Light" w:hAnsi="Calibri Light" w:cs="Calibri Light"/>
                <w:lang w:val="en"/>
              </w:rPr>
              <w:t>ahang</w:t>
            </w:r>
          </w:p>
        </w:tc>
        <w:tc>
          <w:tcPr>
            <w:tcW w:w="6551" w:type="dxa"/>
          </w:tcPr>
          <w:p w14:paraId="41498580" w14:textId="7262D5F6" w:rsidR="00DB6DD0" w:rsidRPr="00122F5F"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DB6DD0">
              <w:rPr>
                <w:rFonts w:asciiTheme="majorHAnsi" w:hAnsiTheme="majorHAnsi" w:cstheme="majorHAnsi"/>
              </w:rPr>
              <w:t>Enactment of Islamic Legal Administration 1991</w:t>
            </w:r>
          </w:p>
        </w:tc>
      </w:tr>
      <w:tr w:rsidR="00DB6DD0" w:rsidRPr="00122F5F" w14:paraId="28CE3881" w14:textId="77777777" w:rsidTr="005A62F6">
        <w:trPr>
          <w:trHeight w:val="249"/>
        </w:trPr>
        <w:tc>
          <w:tcPr>
            <w:tcW w:w="269" w:type="dxa"/>
          </w:tcPr>
          <w:p w14:paraId="722E8919" w14:textId="6C12029C" w:rsidR="00DB6DD0" w:rsidRPr="00122F5F"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8</w:t>
            </w:r>
            <w:r w:rsidRPr="00122F5F">
              <w:rPr>
                <w:rFonts w:ascii="Calibri Light" w:hAnsi="Calibri Light" w:cs="Calibri Light"/>
                <w:szCs w:val="24"/>
              </w:rPr>
              <w:t>.</w:t>
            </w:r>
          </w:p>
        </w:tc>
        <w:tc>
          <w:tcPr>
            <w:tcW w:w="1603" w:type="dxa"/>
          </w:tcPr>
          <w:p w14:paraId="7E4E72E6" w14:textId="18EBB523" w:rsidR="00DB6DD0"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Selangor</w:t>
            </w:r>
          </w:p>
        </w:tc>
        <w:tc>
          <w:tcPr>
            <w:tcW w:w="6551" w:type="dxa"/>
          </w:tcPr>
          <w:p w14:paraId="229AD446" w14:textId="4CD4213A" w:rsidR="00DB6DD0" w:rsidRPr="00122F5F"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DB6DD0">
              <w:rPr>
                <w:rFonts w:asciiTheme="majorHAnsi" w:hAnsiTheme="majorHAnsi" w:cstheme="majorHAnsi"/>
              </w:rPr>
              <w:t>Waqf Enactment (State of Selangor) 2015</w:t>
            </w:r>
          </w:p>
        </w:tc>
      </w:tr>
      <w:tr w:rsidR="00DB6DD0" w:rsidRPr="00122F5F" w14:paraId="51B7C9E3" w14:textId="77777777" w:rsidTr="005A62F6">
        <w:trPr>
          <w:trHeight w:val="265"/>
        </w:trPr>
        <w:tc>
          <w:tcPr>
            <w:tcW w:w="269" w:type="dxa"/>
          </w:tcPr>
          <w:p w14:paraId="39D71B35" w14:textId="7EDBB0CB" w:rsidR="00DB6DD0" w:rsidRPr="00122F5F"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9</w:t>
            </w:r>
            <w:r w:rsidRPr="00122F5F">
              <w:rPr>
                <w:rFonts w:ascii="Calibri Light" w:hAnsi="Calibri Light" w:cs="Calibri Light"/>
                <w:szCs w:val="24"/>
              </w:rPr>
              <w:t>.</w:t>
            </w:r>
          </w:p>
        </w:tc>
        <w:tc>
          <w:tcPr>
            <w:tcW w:w="1603" w:type="dxa"/>
          </w:tcPr>
          <w:p w14:paraId="0C3B9321" w14:textId="6A38CE14" w:rsidR="00DB6DD0"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Negeri Sembilan</w:t>
            </w:r>
          </w:p>
        </w:tc>
        <w:tc>
          <w:tcPr>
            <w:tcW w:w="6551" w:type="dxa"/>
          </w:tcPr>
          <w:p w14:paraId="6488086A" w14:textId="557F9661" w:rsidR="00DB6DD0" w:rsidRPr="00122F5F"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DB6DD0">
              <w:rPr>
                <w:rFonts w:asciiTheme="majorHAnsi" w:hAnsiTheme="majorHAnsi" w:cstheme="majorHAnsi"/>
              </w:rPr>
              <w:t>Waqf Enactment (State of Negeri Sembilan) 2005</w:t>
            </w:r>
          </w:p>
        </w:tc>
      </w:tr>
      <w:tr w:rsidR="00DB6DD0" w:rsidRPr="00122F5F" w14:paraId="1D4B5E6B" w14:textId="77777777" w:rsidTr="005A62F6">
        <w:trPr>
          <w:trHeight w:val="249"/>
        </w:trPr>
        <w:tc>
          <w:tcPr>
            <w:tcW w:w="269" w:type="dxa"/>
          </w:tcPr>
          <w:p w14:paraId="0CE58A2F" w14:textId="12FDA6D0" w:rsidR="00DB6DD0" w:rsidRPr="00122F5F"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10</w:t>
            </w:r>
            <w:r w:rsidRPr="00122F5F">
              <w:rPr>
                <w:rFonts w:ascii="Calibri Light" w:hAnsi="Calibri Light" w:cs="Calibri Light"/>
                <w:szCs w:val="24"/>
              </w:rPr>
              <w:t>.</w:t>
            </w:r>
          </w:p>
        </w:tc>
        <w:tc>
          <w:tcPr>
            <w:tcW w:w="1603" w:type="dxa"/>
          </w:tcPr>
          <w:p w14:paraId="5CF2F11C" w14:textId="77250CC3" w:rsidR="00DB6DD0"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Malacca</w:t>
            </w:r>
          </w:p>
        </w:tc>
        <w:tc>
          <w:tcPr>
            <w:tcW w:w="6551" w:type="dxa"/>
          </w:tcPr>
          <w:p w14:paraId="6F189650" w14:textId="3E78E977" w:rsidR="00DB6DD0" w:rsidRPr="00122F5F"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DB6DD0">
              <w:rPr>
                <w:rFonts w:asciiTheme="majorHAnsi" w:hAnsiTheme="majorHAnsi" w:cstheme="majorHAnsi"/>
              </w:rPr>
              <w:t>Waqf Enactment (State of Malacca) 2005</w:t>
            </w:r>
          </w:p>
        </w:tc>
      </w:tr>
      <w:tr w:rsidR="00DB6DD0" w:rsidRPr="00122F5F" w14:paraId="3C987D29" w14:textId="77777777" w:rsidTr="005A62F6">
        <w:trPr>
          <w:trHeight w:val="265"/>
        </w:trPr>
        <w:tc>
          <w:tcPr>
            <w:tcW w:w="269" w:type="dxa"/>
          </w:tcPr>
          <w:p w14:paraId="330365A3" w14:textId="60A94348" w:rsidR="00DB6DD0" w:rsidRPr="00122F5F"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11</w:t>
            </w:r>
            <w:r w:rsidRPr="00122F5F">
              <w:rPr>
                <w:rFonts w:ascii="Calibri Light" w:hAnsi="Calibri Light" w:cs="Calibri Light"/>
                <w:szCs w:val="24"/>
              </w:rPr>
              <w:t>.</w:t>
            </w:r>
          </w:p>
        </w:tc>
        <w:tc>
          <w:tcPr>
            <w:tcW w:w="1603" w:type="dxa"/>
          </w:tcPr>
          <w:p w14:paraId="245EF1B0" w14:textId="66495C0C" w:rsidR="00DB6DD0"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Johor</w:t>
            </w:r>
          </w:p>
        </w:tc>
        <w:tc>
          <w:tcPr>
            <w:tcW w:w="6551" w:type="dxa"/>
          </w:tcPr>
          <w:p w14:paraId="696AADC0" w14:textId="543CB456" w:rsidR="00DB6DD0" w:rsidRPr="00122F5F"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DB6DD0">
              <w:rPr>
                <w:rFonts w:asciiTheme="majorHAnsi" w:hAnsiTheme="majorHAnsi" w:cstheme="majorHAnsi"/>
              </w:rPr>
              <w:t>Enactment of Islamic Religious Administration (State of Johor) 2003</w:t>
            </w:r>
          </w:p>
        </w:tc>
      </w:tr>
      <w:tr w:rsidR="00DB6DD0" w:rsidRPr="00122F5F" w14:paraId="0D682713" w14:textId="77777777" w:rsidTr="005A62F6">
        <w:trPr>
          <w:trHeight w:val="515"/>
        </w:trPr>
        <w:tc>
          <w:tcPr>
            <w:tcW w:w="269" w:type="dxa"/>
          </w:tcPr>
          <w:p w14:paraId="758A9710" w14:textId="79021664" w:rsidR="00DB6DD0"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12</w:t>
            </w:r>
            <w:r w:rsidRPr="00122F5F">
              <w:rPr>
                <w:rFonts w:ascii="Calibri Light" w:hAnsi="Calibri Light" w:cs="Calibri Light"/>
                <w:szCs w:val="24"/>
              </w:rPr>
              <w:t>.</w:t>
            </w:r>
          </w:p>
        </w:tc>
        <w:tc>
          <w:tcPr>
            <w:tcW w:w="1603" w:type="dxa"/>
          </w:tcPr>
          <w:p w14:paraId="60D23F84" w14:textId="0F94402D" w:rsidR="00DB6DD0"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Federal Territories</w:t>
            </w:r>
          </w:p>
        </w:tc>
        <w:tc>
          <w:tcPr>
            <w:tcW w:w="6551" w:type="dxa"/>
          </w:tcPr>
          <w:p w14:paraId="7CDB8AC8" w14:textId="7ACDA29F" w:rsidR="00DB6DD0" w:rsidRPr="00122F5F"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DB6DD0">
              <w:rPr>
                <w:rFonts w:asciiTheme="majorHAnsi" w:hAnsiTheme="majorHAnsi" w:cstheme="majorHAnsi"/>
              </w:rPr>
              <w:t>Act on Islamic Legal Administration (Federal Territories) 1993</w:t>
            </w:r>
          </w:p>
        </w:tc>
      </w:tr>
      <w:tr w:rsidR="00DB6DD0" w:rsidRPr="00122F5F" w14:paraId="37FDC1DF" w14:textId="77777777" w:rsidTr="005A62F6">
        <w:trPr>
          <w:trHeight w:val="249"/>
        </w:trPr>
        <w:tc>
          <w:tcPr>
            <w:tcW w:w="269" w:type="dxa"/>
          </w:tcPr>
          <w:p w14:paraId="0C2A8EF8" w14:textId="40D9E1F7" w:rsidR="00DB6DD0"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13</w:t>
            </w:r>
            <w:r w:rsidRPr="00122F5F">
              <w:rPr>
                <w:rFonts w:ascii="Calibri Light" w:hAnsi="Calibri Light" w:cs="Calibri Light"/>
                <w:szCs w:val="24"/>
              </w:rPr>
              <w:t>.</w:t>
            </w:r>
          </w:p>
        </w:tc>
        <w:tc>
          <w:tcPr>
            <w:tcW w:w="1603" w:type="dxa"/>
          </w:tcPr>
          <w:p w14:paraId="57BB797D" w14:textId="134AA18D" w:rsidR="00DB6DD0"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Sabah</w:t>
            </w:r>
          </w:p>
        </w:tc>
        <w:tc>
          <w:tcPr>
            <w:tcW w:w="6551" w:type="dxa"/>
          </w:tcPr>
          <w:p w14:paraId="4E308F7E" w14:textId="6D74717E" w:rsidR="00DB6DD0" w:rsidRPr="00122F5F"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DB6DD0">
              <w:rPr>
                <w:rFonts w:asciiTheme="majorHAnsi" w:hAnsiTheme="majorHAnsi" w:cstheme="majorHAnsi"/>
              </w:rPr>
              <w:t>Enactment of Islamic Legal Administration 1992</w:t>
            </w:r>
          </w:p>
        </w:tc>
      </w:tr>
      <w:tr w:rsidR="00DB6DD0" w:rsidRPr="00122F5F" w14:paraId="63334ACF" w14:textId="77777777" w:rsidTr="005A62F6">
        <w:trPr>
          <w:trHeight w:val="265"/>
        </w:trPr>
        <w:tc>
          <w:tcPr>
            <w:tcW w:w="269" w:type="dxa"/>
          </w:tcPr>
          <w:p w14:paraId="08DE8C87" w14:textId="0F6E58D0" w:rsidR="00DB6DD0" w:rsidRDefault="00DB6DD0" w:rsidP="00DB6DD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14</w:t>
            </w:r>
            <w:r w:rsidRPr="00122F5F">
              <w:rPr>
                <w:rFonts w:ascii="Calibri Light" w:hAnsi="Calibri Light" w:cs="Calibri Light"/>
                <w:szCs w:val="24"/>
              </w:rPr>
              <w:t>.</w:t>
            </w:r>
          </w:p>
        </w:tc>
        <w:tc>
          <w:tcPr>
            <w:tcW w:w="1603" w:type="dxa"/>
          </w:tcPr>
          <w:p w14:paraId="5CC1BF34" w14:textId="11828926" w:rsidR="00DB6DD0"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Pr>
                <w:rStyle w:val="tlid-translation"/>
                <w:rFonts w:ascii="Calibri Light" w:hAnsi="Calibri Light" w:cs="Calibri Light"/>
                <w:lang w:val="en"/>
              </w:rPr>
              <w:t>Sarawak</w:t>
            </w:r>
          </w:p>
        </w:tc>
        <w:tc>
          <w:tcPr>
            <w:tcW w:w="6551" w:type="dxa"/>
          </w:tcPr>
          <w:p w14:paraId="0FD11585" w14:textId="7E8B1803" w:rsidR="00DB6DD0" w:rsidRPr="00122F5F" w:rsidRDefault="003108A4" w:rsidP="00DB6DD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DB6DD0">
              <w:rPr>
                <w:rFonts w:asciiTheme="majorHAnsi" w:hAnsiTheme="majorHAnsi" w:cstheme="majorHAnsi"/>
              </w:rPr>
              <w:t>Ordinance of the Sarawak Islamic Council 2001</w:t>
            </w:r>
          </w:p>
        </w:tc>
      </w:tr>
    </w:tbl>
    <w:p w14:paraId="210690C8" w14:textId="6C27C85C" w:rsidR="009971D9" w:rsidRDefault="006B2A2F" w:rsidP="005A62F6">
      <w:pPr>
        <w:spacing w:before="120" w:after="120" w:line="240" w:lineRule="auto"/>
        <w:jc w:val="center"/>
        <w:rPr>
          <w:rFonts w:ascii="Calibri Light" w:hAnsi="Calibri Light" w:cs="Calibri Light"/>
          <w:sz w:val="24"/>
          <w:szCs w:val="24"/>
          <w:lang w:val="id-ID"/>
        </w:rPr>
      </w:pPr>
      <w:r w:rsidRPr="005A62F6">
        <w:rPr>
          <w:rFonts w:asciiTheme="majorHAnsi" w:hAnsiTheme="majorHAnsi" w:cstheme="majorHAnsi"/>
          <w:b/>
          <w:bCs/>
          <w:sz w:val="24"/>
          <w:szCs w:val="24"/>
        </w:rPr>
        <w:t>Source</w:t>
      </w:r>
      <w:r w:rsidRPr="000B141D">
        <w:rPr>
          <w:rFonts w:asciiTheme="majorHAnsi" w:hAnsiTheme="majorHAnsi" w:cstheme="majorHAnsi"/>
          <w:sz w:val="24"/>
          <w:szCs w:val="24"/>
        </w:rPr>
        <w:t>: Farhana</w:t>
      </w:r>
      <w:r w:rsidRPr="00EC77AC">
        <w:rPr>
          <w:rFonts w:asciiTheme="majorHAnsi" w:hAnsiTheme="majorHAnsi" w:cstheme="majorHAnsi"/>
          <w:sz w:val="24"/>
          <w:szCs w:val="24"/>
        </w:rPr>
        <w:t xml:space="preserve"> Mohamad </w:t>
      </w:r>
      <w:proofErr w:type="spellStart"/>
      <w:r w:rsidRPr="00EC77AC">
        <w:rPr>
          <w:rFonts w:asciiTheme="majorHAnsi" w:hAnsiTheme="majorHAnsi" w:cstheme="majorHAnsi"/>
          <w:sz w:val="24"/>
          <w:szCs w:val="24"/>
        </w:rPr>
        <w:t>Suhaimi</w:t>
      </w:r>
      <w:proofErr w:type="spellEnd"/>
      <w:r w:rsidRPr="00EC77AC">
        <w:rPr>
          <w:rFonts w:asciiTheme="majorHAnsi" w:hAnsiTheme="majorHAnsi" w:cstheme="majorHAnsi"/>
          <w:sz w:val="24"/>
          <w:szCs w:val="24"/>
        </w:rPr>
        <w:t xml:space="preserve"> </w:t>
      </w:r>
      <w:r w:rsidR="00F54E80" w:rsidRPr="00CE509C">
        <w:rPr>
          <w:rFonts w:ascii="Calibri Light" w:hAnsi="Calibri Light" w:cs="Calibri Light"/>
          <w:sz w:val="24"/>
          <w:szCs w:val="24"/>
          <w:lang w:val="id-ID"/>
        </w:rPr>
        <w:fldChar w:fldCharType="begin" w:fldLock="1"/>
      </w:r>
      <w:r w:rsidR="00F54E80">
        <w:rPr>
          <w:rFonts w:ascii="Calibri Light" w:hAnsi="Calibri Light" w:cs="Calibri Light"/>
          <w:sz w:val="24"/>
          <w:szCs w:val="24"/>
          <w:lang w:val="id-ID"/>
        </w:rPr>
        <w:instrText>ADDIN CSL_CITATION {"citationItems":[{"id":"ITEM-1","itemData":{"ISSN":"2590-4396","author":[{"dropping-particle":"","family":"Suhaimi","given":"Farhana Mohamad","non-dropping-particle":"","parse-names":false,"suffix":""}],"container-title":"Malaysian Journal of Syariah and law","id":"ITEM-1","issue":"1","issued":{"date-parts":[["2018"]]},"page":"73-81","publisher":"Universiti Sains Islam Malaysia","title":"Wakaf Ahli: Peruntukan Undang-Undang dan Pelaksanaannya di Malaysia","type":"article-journal","volume":"8"},"uris":["http://www.mendeley.com/documents/?uuid=1855a2c2-26ee-467f-85fd-568377d1e529","http://www.mendeley.com/documents/?uuid=2d500825-c2be-4032-b440-08159c2a4e89"]}],"mendeley":{"formattedCitation":"(Suhaimi, 2018)","plainTextFormattedCitation":"(Suhaimi, 2018)","previouslyFormattedCitation":"(Suhaimi, 2018)"},"properties":{"noteIndex":0},"schema":"https://github.com/citation-style-language/schema/raw/master/csl-citation.json"}</w:instrText>
      </w:r>
      <w:r w:rsidR="00F54E80" w:rsidRPr="00CE509C">
        <w:rPr>
          <w:rFonts w:ascii="Calibri Light" w:hAnsi="Calibri Light" w:cs="Calibri Light"/>
          <w:sz w:val="24"/>
          <w:szCs w:val="24"/>
          <w:lang w:val="id-ID"/>
        </w:rPr>
        <w:fldChar w:fldCharType="separate"/>
      </w:r>
      <w:r w:rsidR="00F54E80" w:rsidRPr="00D67BB1">
        <w:rPr>
          <w:rFonts w:ascii="Calibri Light" w:hAnsi="Calibri Light" w:cs="Calibri Light"/>
          <w:noProof/>
          <w:sz w:val="24"/>
          <w:szCs w:val="24"/>
          <w:lang w:val="id-ID"/>
        </w:rPr>
        <w:t>(Suhaimi, 2018)</w:t>
      </w:r>
      <w:r w:rsidR="00F54E80" w:rsidRPr="00CE509C">
        <w:rPr>
          <w:rFonts w:ascii="Calibri Light" w:hAnsi="Calibri Light" w:cs="Calibri Light"/>
          <w:sz w:val="24"/>
          <w:szCs w:val="24"/>
          <w:lang w:val="id-ID"/>
        </w:rPr>
        <w:fldChar w:fldCharType="end"/>
      </w:r>
    </w:p>
    <w:p w14:paraId="67CF1505" w14:textId="77777777" w:rsidR="005A62F6" w:rsidRPr="00EC77AC" w:rsidRDefault="005A62F6" w:rsidP="005A62F6">
      <w:pPr>
        <w:spacing w:before="120" w:after="120" w:line="240" w:lineRule="auto"/>
        <w:jc w:val="center"/>
        <w:rPr>
          <w:rFonts w:asciiTheme="majorHAnsi" w:hAnsiTheme="majorHAnsi" w:cstheme="majorHAnsi"/>
          <w:sz w:val="24"/>
          <w:szCs w:val="24"/>
        </w:rPr>
      </w:pPr>
    </w:p>
    <w:p w14:paraId="443B8495" w14:textId="0B0C94B4" w:rsidR="006B2A2F" w:rsidRPr="00EC77AC" w:rsidRDefault="006B2A2F"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The numerous laws above influence the terminology used for </w:t>
      </w:r>
      <w:r w:rsidR="005C3094" w:rsidRPr="00EC77AC">
        <w:rPr>
          <w:rFonts w:asciiTheme="majorHAnsi" w:hAnsiTheme="majorHAnsi" w:cstheme="majorHAnsi"/>
          <w:i/>
          <w:iCs/>
          <w:sz w:val="24"/>
          <w:szCs w:val="24"/>
        </w:rPr>
        <w:t>waqf al-</w:t>
      </w:r>
      <w:proofErr w:type="spellStart"/>
      <w:r w:rsidR="005C3094"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Four terms emerge that refer to </w:t>
      </w:r>
      <w:r w:rsidR="005C3094" w:rsidRPr="00EC77AC">
        <w:rPr>
          <w:rFonts w:asciiTheme="majorHAnsi" w:hAnsiTheme="majorHAnsi" w:cstheme="majorHAnsi"/>
          <w:i/>
          <w:iCs/>
          <w:sz w:val="24"/>
          <w:szCs w:val="24"/>
        </w:rPr>
        <w:t>waqf al-</w:t>
      </w:r>
      <w:proofErr w:type="spellStart"/>
      <w:r w:rsidR="005C3094"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namely: </w:t>
      </w:r>
      <w:r w:rsidR="005C3094" w:rsidRPr="00EC77AC">
        <w:rPr>
          <w:rFonts w:asciiTheme="majorHAnsi" w:hAnsiTheme="majorHAnsi" w:cstheme="majorHAnsi"/>
          <w:i/>
          <w:iCs/>
          <w:sz w:val="24"/>
          <w:szCs w:val="24"/>
        </w:rPr>
        <w:t>waqf al-</w:t>
      </w:r>
      <w:proofErr w:type="spellStart"/>
      <w:r w:rsidR="005C3094" w:rsidRPr="00EC77AC">
        <w:rPr>
          <w:rFonts w:asciiTheme="majorHAnsi" w:hAnsiTheme="majorHAnsi" w:cstheme="majorHAnsi"/>
          <w:i/>
          <w:iCs/>
          <w:sz w:val="24"/>
          <w:szCs w:val="24"/>
        </w:rPr>
        <w:t>ahlī</w:t>
      </w:r>
      <w:proofErr w:type="spellEnd"/>
      <w:r w:rsidR="005C3094"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 </w:t>
      </w:r>
      <w:proofErr w:type="spellStart"/>
      <w:r w:rsidRPr="00EC77AC">
        <w:rPr>
          <w:rFonts w:asciiTheme="majorHAnsi" w:hAnsiTheme="majorHAnsi" w:cstheme="majorHAnsi"/>
          <w:i/>
          <w:iCs/>
          <w:sz w:val="24"/>
          <w:szCs w:val="24"/>
        </w:rPr>
        <w:t>wakaf</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zurri</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i/>
          <w:iCs/>
          <w:sz w:val="24"/>
          <w:szCs w:val="24"/>
        </w:rPr>
        <w:t>wakaf</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khas</w:t>
      </w:r>
      <w:proofErr w:type="spellEnd"/>
      <w:r w:rsidRPr="00EC77AC">
        <w:rPr>
          <w:rFonts w:asciiTheme="majorHAnsi" w:hAnsiTheme="majorHAnsi" w:cstheme="majorHAnsi"/>
          <w:sz w:val="24"/>
          <w:szCs w:val="24"/>
        </w:rPr>
        <w:t xml:space="preserve">, and </w:t>
      </w:r>
      <w:proofErr w:type="spellStart"/>
      <w:r w:rsidRPr="00EC77AC">
        <w:rPr>
          <w:rFonts w:asciiTheme="majorHAnsi" w:hAnsiTheme="majorHAnsi" w:cstheme="majorHAnsi"/>
          <w:i/>
          <w:iCs/>
          <w:sz w:val="24"/>
          <w:szCs w:val="24"/>
        </w:rPr>
        <w:t>wakaf</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kepada</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ahli</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waris</w:t>
      </w:r>
      <w:proofErr w:type="spellEnd"/>
      <w:r w:rsidRPr="00EC77AC">
        <w:rPr>
          <w:rFonts w:asciiTheme="majorHAnsi" w:hAnsiTheme="majorHAnsi" w:cstheme="majorHAnsi"/>
          <w:sz w:val="24"/>
          <w:szCs w:val="24"/>
        </w:rPr>
        <w:t xml:space="preserve">. The terms </w:t>
      </w:r>
      <w:r w:rsidR="005C3094" w:rsidRPr="00EC77AC">
        <w:rPr>
          <w:rFonts w:asciiTheme="majorHAnsi" w:hAnsiTheme="majorHAnsi" w:cstheme="majorHAnsi"/>
          <w:i/>
          <w:iCs/>
          <w:sz w:val="24"/>
          <w:szCs w:val="24"/>
        </w:rPr>
        <w:t>waqf al-</w:t>
      </w:r>
      <w:proofErr w:type="spellStart"/>
      <w:r w:rsidR="005C3094" w:rsidRPr="00EC77AC">
        <w:rPr>
          <w:rFonts w:asciiTheme="majorHAnsi" w:hAnsiTheme="majorHAnsi" w:cstheme="majorHAnsi"/>
          <w:i/>
          <w:iCs/>
          <w:sz w:val="24"/>
          <w:szCs w:val="24"/>
        </w:rPr>
        <w:t>ahlī</w:t>
      </w:r>
      <w:proofErr w:type="spellEnd"/>
      <w:r w:rsidR="005C3094"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and </w:t>
      </w:r>
      <w:r w:rsidRPr="00EC77AC">
        <w:rPr>
          <w:rFonts w:asciiTheme="majorHAnsi" w:hAnsiTheme="majorHAnsi" w:cstheme="majorHAnsi"/>
          <w:i/>
          <w:iCs/>
          <w:sz w:val="24"/>
          <w:szCs w:val="24"/>
        </w:rPr>
        <w:t>wa</w:t>
      </w:r>
      <w:r w:rsidR="00190A26" w:rsidRPr="00EC77AC">
        <w:rPr>
          <w:rFonts w:asciiTheme="majorHAnsi" w:hAnsiTheme="majorHAnsi" w:cstheme="majorHAnsi"/>
          <w:i/>
          <w:iCs/>
          <w:sz w:val="24"/>
          <w:szCs w:val="24"/>
        </w:rPr>
        <w:t>q</w:t>
      </w:r>
      <w:r w:rsidRPr="00EC77AC">
        <w:rPr>
          <w:rFonts w:asciiTheme="majorHAnsi" w:hAnsiTheme="majorHAnsi" w:cstheme="majorHAnsi"/>
          <w:i/>
          <w:iCs/>
          <w:sz w:val="24"/>
          <w:szCs w:val="24"/>
        </w:rPr>
        <w:t xml:space="preserve">f </w:t>
      </w:r>
      <w:proofErr w:type="spellStart"/>
      <w:r w:rsidRPr="00EC77AC">
        <w:rPr>
          <w:rFonts w:asciiTheme="majorHAnsi" w:hAnsiTheme="majorHAnsi" w:cstheme="majorHAnsi"/>
          <w:i/>
          <w:iCs/>
          <w:sz w:val="24"/>
          <w:szCs w:val="24"/>
        </w:rPr>
        <w:t>zurri</w:t>
      </w:r>
      <w:proofErr w:type="spellEnd"/>
      <w:r w:rsidRPr="00EC77AC">
        <w:rPr>
          <w:rFonts w:asciiTheme="majorHAnsi" w:hAnsiTheme="majorHAnsi" w:cstheme="majorHAnsi"/>
          <w:sz w:val="24"/>
          <w:szCs w:val="24"/>
        </w:rPr>
        <w:t xml:space="preserve"> are used by the State of Perak. Article 10, Paragraph 1 of the Perak Waqf Enactment defines these two terms as follows:</w:t>
      </w:r>
      <w:r w:rsidR="00FA7360" w:rsidRPr="00EC77AC">
        <w:rPr>
          <w:rFonts w:asciiTheme="majorHAnsi" w:hAnsiTheme="majorHAnsi" w:cstheme="majorHAnsi"/>
          <w:sz w:val="24"/>
          <w:szCs w:val="24"/>
        </w:rPr>
        <w:t xml:space="preserve"> </w:t>
      </w:r>
      <w:r w:rsidRPr="00EC77AC">
        <w:rPr>
          <w:rFonts w:asciiTheme="majorHAnsi" w:hAnsiTheme="majorHAnsi" w:cstheme="majorHAnsi"/>
          <w:sz w:val="24"/>
          <w:szCs w:val="24"/>
        </w:rPr>
        <w:t>"</w:t>
      </w:r>
      <w:r w:rsidR="005C3094" w:rsidRPr="00EC77AC">
        <w:rPr>
          <w:rFonts w:asciiTheme="majorHAnsi" w:hAnsiTheme="majorHAnsi" w:cstheme="majorHAnsi"/>
          <w:i/>
          <w:iCs/>
          <w:sz w:val="24"/>
          <w:szCs w:val="24"/>
        </w:rPr>
        <w:t>Waqf al-</w:t>
      </w:r>
      <w:proofErr w:type="spellStart"/>
      <w:r w:rsidR="005C3094"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or </w:t>
      </w:r>
      <w:proofErr w:type="spellStart"/>
      <w:r w:rsidRPr="00EC77AC">
        <w:rPr>
          <w:rFonts w:asciiTheme="majorHAnsi" w:hAnsiTheme="majorHAnsi" w:cstheme="majorHAnsi"/>
          <w:i/>
          <w:iCs/>
          <w:sz w:val="24"/>
          <w:szCs w:val="24"/>
        </w:rPr>
        <w:t>wakaf</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zurri</w:t>
      </w:r>
      <w:proofErr w:type="spellEnd"/>
      <w:r w:rsidRPr="00EC77AC">
        <w:rPr>
          <w:rFonts w:asciiTheme="majorHAnsi" w:hAnsiTheme="majorHAnsi" w:cstheme="majorHAnsi"/>
          <w:sz w:val="24"/>
          <w:szCs w:val="24"/>
        </w:rPr>
        <w:t xml:space="preserve"> means a waqf specified by the waqif for their family or one or more particular individuals for charitable purposes."(</w:t>
      </w:r>
      <w:r w:rsidRPr="00EC77AC">
        <w:rPr>
          <w:rFonts w:asciiTheme="majorHAnsi" w:hAnsiTheme="majorHAnsi" w:cstheme="majorHAnsi"/>
          <w:i/>
          <w:iCs/>
          <w:sz w:val="24"/>
          <w:szCs w:val="24"/>
        </w:rPr>
        <w:t>Waqf Enactment of the State of Perak, 2015, Section [Article] 10, Paragraph 2</w:t>
      </w:r>
      <w:r w:rsidRPr="00EC77AC">
        <w:rPr>
          <w:rFonts w:asciiTheme="majorHAnsi" w:hAnsiTheme="majorHAnsi" w:cstheme="majorHAnsi"/>
          <w:sz w:val="24"/>
          <w:szCs w:val="24"/>
        </w:rPr>
        <w:t>).</w:t>
      </w:r>
    </w:p>
    <w:p w14:paraId="3A5A0FD6" w14:textId="4DE688B7" w:rsidR="006B2A2F" w:rsidRPr="00EC77AC" w:rsidRDefault="006B2A2F"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This differs from the </w:t>
      </w:r>
      <w:r w:rsidRPr="00EC77AC">
        <w:rPr>
          <w:rFonts w:asciiTheme="majorHAnsi" w:hAnsiTheme="majorHAnsi" w:cstheme="majorHAnsi"/>
          <w:i/>
          <w:iCs/>
          <w:sz w:val="24"/>
          <w:szCs w:val="24"/>
        </w:rPr>
        <w:t>Enactment of the Islamic Religious Council and Malay Customs of Kelantan, 1994</w:t>
      </w:r>
      <w:r w:rsidRPr="00EC77AC">
        <w:rPr>
          <w:rFonts w:asciiTheme="majorHAnsi" w:hAnsiTheme="majorHAnsi" w:cstheme="majorHAnsi"/>
          <w:sz w:val="24"/>
          <w:szCs w:val="24"/>
        </w:rPr>
        <w:t xml:space="preserve">, where </w:t>
      </w:r>
      <w:r w:rsidR="005C3094" w:rsidRPr="00EC77AC">
        <w:rPr>
          <w:rFonts w:asciiTheme="majorHAnsi" w:hAnsiTheme="majorHAnsi" w:cstheme="majorHAnsi"/>
          <w:i/>
          <w:iCs/>
          <w:sz w:val="24"/>
          <w:szCs w:val="24"/>
        </w:rPr>
        <w:t>waqf al-</w:t>
      </w:r>
      <w:proofErr w:type="spellStart"/>
      <w:r w:rsidR="005C3094" w:rsidRPr="00EC77AC">
        <w:rPr>
          <w:rFonts w:asciiTheme="majorHAnsi" w:hAnsiTheme="majorHAnsi" w:cstheme="majorHAnsi"/>
          <w:i/>
          <w:iCs/>
          <w:sz w:val="24"/>
          <w:szCs w:val="24"/>
        </w:rPr>
        <w:t>ahlī</w:t>
      </w:r>
      <w:proofErr w:type="spellEnd"/>
      <w:r w:rsidR="005C3094"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is classified as </w:t>
      </w:r>
      <w:proofErr w:type="spellStart"/>
      <w:r w:rsidRPr="00EC77AC">
        <w:rPr>
          <w:rFonts w:asciiTheme="majorHAnsi" w:hAnsiTheme="majorHAnsi" w:cstheme="majorHAnsi"/>
          <w:i/>
          <w:iCs/>
          <w:sz w:val="24"/>
          <w:szCs w:val="24"/>
        </w:rPr>
        <w:t>wakaf</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khas</w:t>
      </w:r>
      <w:proofErr w:type="spellEnd"/>
      <w:r w:rsidRPr="00EC77AC">
        <w:rPr>
          <w:rFonts w:asciiTheme="majorHAnsi" w:hAnsiTheme="majorHAnsi" w:cstheme="majorHAnsi"/>
          <w:sz w:val="24"/>
          <w:szCs w:val="24"/>
        </w:rPr>
        <w:t>:</w:t>
      </w:r>
    </w:p>
    <w:p w14:paraId="2C1E5810" w14:textId="05D4312D" w:rsidR="006B2A2F" w:rsidRPr="00EC77AC" w:rsidRDefault="006B2A2F"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w:t>
      </w:r>
      <w:proofErr w:type="spellStart"/>
      <w:r w:rsidRPr="00EC77AC">
        <w:rPr>
          <w:rFonts w:asciiTheme="majorHAnsi" w:hAnsiTheme="majorHAnsi" w:cstheme="majorHAnsi"/>
          <w:i/>
          <w:iCs/>
          <w:sz w:val="24"/>
          <w:szCs w:val="24"/>
        </w:rPr>
        <w:t>Wakaf</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khas</w:t>
      </w:r>
      <w:proofErr w:type="spellEnd"/>
      <w:r w:rsidRPr="00EC77AC">
        <w:rPr>
          <w:rFonts w:asciiTheme="majorHAnsi" w:hAnsiTheme="majorHAnsi" w:cstheme="majorHAnsi"/>
          <w:sz w:val="24"/>
          <w:szCs w:val="24"/>
        </w:rPr>
        <w:t xml:space="preserve"> means a waqf of perpetual assets, which includes any assets for religious purposes or recognized charitable purposes under Islamic law, including the assets themselves, and the income derived from those assets is given to individuals or purposes </w:t>
      </w:r>
      <w:r w:rsidRPr="00EC77AC">
        <w:rPr>
          <w:rFonts w:asciiTheme="majorHAnsi" w:hAnsiTheme="majorHAnsi" w:cstheme="majorHAnsi"/>
          <w:sz w:val="24"/>
          <w:szCs w:val="24"/>
        </w:rPr>
        <w:lastRenderedPageBreak/>
        <w:t>specified in the waqf"</w:t>
      </w:r>
      <w:r w:rsidR="005A62F6">
        <w:rPr>
          <w:rFonts w:asciiTheme="majorHAnsi" w:hAnsiTheme="majorHAnsi" w:cstheme="majorHAnsi"/>
          <w:sz w:val="24"/>
          <w:szCs w:val="24"/>
        </w:rPr>
        <w:t xml:space="preserve">. </w:t>
      </w:r>
      <w:r w:rsidRPr="00EC77AC">
        <w:rPr>
          <w:rFonts w:asciiTheme="majorHAnsi" w:hAnsiTheme="majorHAnsi" w:cstheme="majorHAnsi"/>
          <w:sz w:val="24"/>
          <w:szCs w:val="24"/>
        </w:rPr>
        <w:t>(</w:t>
      </w:r>
      <w:r w:rsidRPr="00EC77AC">
        <w:rPr>
          <w:rFonts w:asciiTheme="majorHAnsi" w:hAnsiTheme="majorHAnsi" w:cstheme="majorHAnsi"/>
          <w:i/>
          <w:iCs/>
          <w:sz w:val="24"/>
          <w:szCs w:val="24"/>
        </w:rPr>
        <w:t>Enactment of the Islamic Religious Council and Malay Customs of Kelantan, 1994, Section [Article] 2, Paragraph 1</w:t>
      </w:r>
      <w:r w:rsidRPr="00EC77AC">
        <w:rPr>
          <w:rFonts w:asciiTheme="majorHAnsi" w:hAnsiTheme="majorHAnsi" w:cstheme="majorHAnsi"/>
          <w:sz w:val="24"/>
          <w:szCs w:val="24"/>
        </w:rPr>
        <w:t>).</w:t>
      </w:r>
    </w:p>
    <w:p w14:paraId="65BDD45F" w14:textId="7107B6AF" w:rsidR="006B2A2F" w:rsidRPr="00EC77AC" w:rsidRDefault="006B2A2F"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Although the term </w:t>
      </w:r>
      <w:r w:rsidR="005C3094" w:rsidRPr="00EC77AC">
        <w:rPr>
          <w:rFonts w:asciiTheme="majorHAnsi" w:hAnsiTheme="majorHAnsi" w:cstheme="majorHAnsi"/>
          <w:i/>
          <w:iCs/>
          <w:sz w:val="24"/>
          <w:szCs w:val="24"/>
        </w:rPr>
        <w:t>waqf al-</w:t>
      </w:r>
      <w:proofErr w:type="spellStart"/>
      <w:r w:rsidR="005C3094" w:rsidRPr="00EC77AC">
        <w:rPr>
          <w:rFonts w:asciiTheme="majorHAnsi" w:hAnsiTheme="majorHAnsi" w:cstheme="majorHAnsi"/>
          <w:i/>
          <w:iCs/>
          <w:sz w:val="24"/>
          <w:szCs w:val="24"/>
        </w:rPr>
        <w:t>ahlī</w:t>
      </w:r>
      <w:proofErr w:type="spellEnd"/>
      <w:r w:rsidR="005C3094"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is not explicitly mentioned, this </w:t>
      </w:r>
      <w:proofErr w:type="spellStart"/>
      <w:r w:rsidRPr="00EC77AC">
        <w:rPr>
          <w:rFonts w:asciiTheme="majorHAnsi" w:hAnsiTheme="majorHAnsi" w:cstheme="majorHAnsi"/>
          <w:i/>
          <w:iCs/>
          <w:sz w:val="24"/>
          <w:szCs w:val="24"/>
        </w:rPr>
        <w:t>wakaf</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khas</w:t>
      </w:r>
      <w:proofErr w:type="spellEnd"/>
      <w:r w:rsidRPr="00EC77AC">
        <w:rPr>
          <w:rFonts w:asciiTheme="majorHAnsi" w:hAnsiTheme="majorHAnsi" w:cstheme="majorHAnsi"/>
          <w:sz w:val="24"/>
          <w:szCs w:val="24"/>
        </w:rPr>
        <w:t xml:space="preserve"> can still be allocated to individuals, including the family and descendants specified by the waqif. The same term is also used in the </w:t>
      </w:r>
      <w:r w:rsidRPr="00EC77AC">
        <w:rPr>
          <w:rFonts w:asciiTheme="majorHAnsi" w:hAnsiTheme="majorHAnsi" w:cstheme="majorHAnsi"/>
          <w:i/>
          <w:iCs/>
          <w:sz w:val="24"/>
          <w:szCs w:val="24"/>
        </w:rPr>
        <w:t>Islamic Legal Administration Act (Federal Territories), 1993</w:t>
      </w:r>
      <w:r w:rsidRPr="00EC77AC">
        <w:rPr>
          <w:rFonts w:asciiTheme="majorHAnsi" w:hAnsiTheme="majorHAnsi" w:cstheme="majorHAnsi"/>
          <w:sz w:val="24"/>
          <w:szCs w:val="24"/>
        </w:rPr>
        <w:t>, as follows:</w:t>
      </w:r>
      <w:r w:rsidR="005C3094" w:rsidRPr="00EC77AC">
        <w:rPr>
          <w:rFonts w:asciiTheme="majorHAnsi" w:hAnsiTheme="majorHAnsi" w:cstheme="majorHAnsi"/>
          <w:sz w:val="24"/>
          <w:szCs w:val="24"/>
        </w:rPr>
        <w:t xml:space="preserve"> </w:t>
      </w:r>
      <w:r w:rsidRPr="00EC77AC">
        <w:rPr>
          <w:rFonts w:asciiTheme="majorHAnsi" w:hAnsiTheme="majorHAnsi" w:cstheme="majorHAnsi"/>
          <w:sz w:val="24"/>
          <w:szCs w:val="24"/>
        </w:rPr>
        <w:t>"</w:t>
      </w:r>
      <w:proofErr w:type="spellStart"/>
      <w:r w:rsidRPr="00EC77AC">
        <w:rPr>
          <w:rFonts w:asciiTheme="majorHAnsi" w:hAnsiTheme="majorHAnsi" w:cstheme="majorHAnsi"/>
          <w:i/>
          <w:iCs/>
          <w:sz w:val="24"/>
          <w:szCs w:val="24"/>
        </w:rPr>
        <w:t>Wakaf</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khas</w:t>
      </w:r>
      <w:proofErr w:type="spellEnd"/>
      <w:r w:rsidRPr="00EC77AC">
        <w:rPr>
          <w:rFonts w:asciiTheme="majorHAnsi" w:hAnsiTheme="majorHAnsi" w:cstheme="majorHAnsi"/>
          <w:sz w:val="24"/>
          <w:szCs w:val="24"/>
        </w:rPr>
        <w:t xml:space="preserve"> means a perpetual or time-limited waqf of assets for religious or charitable purposes recognized under Islamic law, where the assets endowed and the income derived from them are given to individuals or for purposes specified in the waqf."</w:t>
      </w:r>
      <w:r w:rsidR="005C3094" w:rsidRPr="00EC77AC">
        <w:rPr>
          <w:rFonts w:asciiTheme="majorHAnsi" w:hAnsiTheme="majorHAnsi" w:cstheme="majorHAnsi"/>
          <w:sz w:val="24"/>
          <w:szCs w:val="24"/>
        </w:rPr>
        <w:t xml:space="preserve"> </w:t>
      </w:r>
      <w:r w:rsidRPr="00EC77AC">
        <w:rPr>
          <w:rFonts w:asciiTheme="majorHAnsi" w:hAnsiTheme="majorHAnsi" w:cstheme="majorHAnsi"/>
          <w:sz w:val="24"/>
          <w:szCs w:val="24"/>
        </w:rPr>
        <w:t>(</w:t>
      </w:r>
      <w:r w:rsidRPr="00EC77AC">
        <w:rPr>
          <w:rFonts w:asciiTheme="majorHAnsi" w:hAnsiTheme="majorHAnsi" w:cstheme="majorHAnsi"/>
          <w:i/>
          <w:iCs/>
          <w:sz w:val="24"/>
          <w:szCs w:val="24"/>
        </w:rPr>
        <w:t>Islamic Legal Administration Act [Federal Territories], 1993, Section [Article] 2, Paragraph 1</w:t>
      </w:r>
      <w:r w:rsidRPr="00EC77AC">
        <w:rPr>
          <w:rFonts w:asciiTheme="majorHAnsi" w:hAnsiTheme="majorHAnsi" w:cstheme="majorHAnsi"/>
          <w:sz w:val="24"/>
          <w:szCs w:val="24"/>
        </w:rPr>
        <w:t>).</w:t>
      </w:r>
    </w:p>
    <w:p w14:paraId="688211AB" w14:textId="7BE0F67B" w:rsidR="005C3094" w:rsidRPr="00EC77AC" w:rsidRDefault="00BD5F92"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Unlike the three states mentioned above, another term has emerged, namely </w:t>
      </w:r>
      <w:r w:rsidRPr="00EC77AC">
        <w:rPr>
          <w:rFonts w:asciiTheme="majorHAnsi" w:hAnsiTheme="majorHAnsi" w:cstheme="majorHAnsi"/>
          <w:i/>
          <w:iCs/>
          <w:sz w:val="24"/>
          <w:szCs w:val="24"/>
        </w:rPr>
        <w:t>waqf ‘to heirs’</w:t>
      </w:r>
      <w:r w:rsidRPr="00EC77AC">
        <w:rPr>
          <w:rFonts w:asciiTheme="majorHAnsi" w:hAnsiTheme="majorHAnsi" w:cstheme="majorHAnsi"/>
          <w:sz w:val="24"/>
          <w:szCs w:val="24"/>
        </w:rPr>
        <w:t xml:space="preserve">. This is found in the </w:t>
      </w:r>
      <w:r w:rsidRPr="00EC77AC">
        <w:rPr>
          <w:rFonts w:asciiTheme="majorHAnsi" w:hAnsiTheme="majorHAnsi" w:cstheme="majorHAnsi"/>
          <w:i/>
          <w:iCs/>
          <w:sz w:val="24"/>
          <w:szCs w:val="24"/>
        </w:rPr>
        <w:t>Waqf Enactment of Selangor</w:t>
      </w:r>
      <w:r w:rsidRPr="00EC77AC">
        <w:rPr>
          <w:rFonts w:asciiTheme="majorHAnsi" w:hAnsiTheme="majorHAnsi" w:cstheme="majorHAnsi"/>
          <w:sz w:val="24"/>
          <w:szCs w:val="24"/>
        </w:rPr>
        <w:t xml:space="preserve"> and </w:t>
      </w:r>
      <w:r w:rsidRPr="00EC77AC">
        <w:rPr>
          <w:rFonts w:asciiTheme="majorHAnsi" w:hAnsiTheme="majorHAnsi" w:cstheme="majorHAnsi"/>
          <w:i/>
          <w:iCs/>
          <w:sz w:val="24"/>
          <w:szCs w:val="24"/>
        </w:rPr>
        <w:t>Waqf Enactment of Terengganu</w:t>
      </w:r>
      <w:r w:rsidRPr="00EC77AC">
        <w:rPr>
          <w:rFonts w:asciiTheme="majorHAnsi" w:hAnsiTheme="majorHAnsi" w:cstheme="majorHAnsi"/>
          <w:sz w:val="24"/>
          <w:szCs w:val="24"/>
        </w:rPr>
        <w:t xml:space="preserve"> as follows:</w:t>
      </w:r>
      <w:r w:rsidR="00F52870" w:rsidRPr="00EC77AC">
        <w:rPr>
          <w:rFonts w:asciiTheme="majorHAnsi" w:hAnsiTheme="majorHAnsi" w:cstheme="majorHAnsi"/>
          <w:sz w:val="24"/>
          <w:szCs w:val="24"/>
        </w:rPr>
        <w:t xml:space="preserve"> </w:t>
      </w:r>
      <w:r w:rsidRPr="00EC77AC">
        <w:rPr>
          <w:rFonts w:asciiTheme="majorHAnsi" w:hAnsiTheme="majorHAnsi" w:cstheme="majorHAnsi"/>
          <w:sz w:val="24"/>
          <w:szCs w:val="24"/>
        </w:rPr>
        <w:t>"Any person who intends to endow a waqf may endow property to their heirs" (</w:t>
      </w:r>
      <w:r w:rsidRPr="00EC77AC">
        <w:rPr>
          <w:rFonts w:asciiTheme="majorHAnsi" w:hAnsiTheme="majorHAnsi" w:cstheme="majorHAnsi"/>
          <w:i/>
          <w:iCs/>
          <w:sz w:val="24"/>
          <w:szCs w:val="24"/>
        </w:rPr>
        <w:t>Waqf Enactment of Selangor, Section [Article] 31, Paragraph 1; Waqf Enactment of Terengganu,</w:t>
      </w:r>
      <w:r w:rsidR="00C13272">
        <w:rPr>
          <w:rFonts w:asciiTheme="majorHAnsi" w:hAnsiTheme="majorHAnsi" w:cstheme="majorHAnsi"/>
          <w:i/>
          <w:iCs/>
          <w:sz w:val="24"/>
          <w:szCs w:val="24"/>
        </w:rPr>
        <w:t xml:space="preserve"> </w:t>
      </w:r>
      <w:r w:rsidRPr="00EC77AC">
        <w:rPr>
          <w:rFonts w:asciiTheme="majorHAnsi" w:hAnsiTheme="majorHAnsi" w:cstheme="majorHAnsi"/>
          <w:i/>
          <w:iCs/>
          <w:sz w:val="24"/>
          <w:szCs w:val="24"/>
        </w:rPr>
        <w:t>Section [Article] 35, Paragraph 1</w:t>
      </w:r>
      <w:r w:rsidRPr="00EC77AC">
        <w:rPr>
          <w:rFonts w:asciiTheme="majorHAnsi" w:hAnsiTheme="majorHAnsi" w:cstheme="majorHAnsi"/>
          <w:sz w:val="24"/>
          <w:szCs w:val="24"/>
        </w:rPr>
        <w:t>).</w:t>
      </w:r>
      <w:r w:rsidR="00C13272">
        <w:rPr>
          <w:rFonts w:asciiTheme="majorHAnsi" w:hAnsiTheme="majorHAnsi" w:cstheme="majorHAnsi"/>
          <w:sz w:val="24"/>
          <w:szCs w:val="24"/>
        </w:rPr>
        <w:t xml:space="preserve"> </w:t>
      </w:r>
      <w:r w:rsidRPr="00EC77AC">
        <w:rPr>
          <w:rFonts w:asciiTheme="majorHAnsi" w:hAnsiTheme="majorHAnsi" w:cstheme="majorHAnsi"/>
          <w:sz w:val="24"/>
          <w:szCs w:val="24"/>
        </w:rPr>
        <w:t xml:space="preserve">Regardless of the various terms used in each state, </w:t>
      </w:r>
      <w:r w:rsidR="00FA7360" w:rsidRPr="00EC77AC">
        <w:rPr>
          <w:rFonts w:asciiTheme="majorHAnsi" w:hAnsiTheme="majorHAnsi" w:cstheme="majorHAnsi"/>
          <w:i/>
          <w:iCs/>
          <w:sz w:val="24"/>
          <w:szCs w:val="24"/>
        </w:rPr>
        <w:t>waqf al-</w:t>
      </w:r>
      <w:proofErr w:type="spellStart"/>
      <w:r w:rsidR="00FA7360" w:rsidRPr="00EC77AC">
        <w:rPr>
          <w:rFonts w:asciiTheme="majorHAnsi" w:hAnsiTheme="majorHAnsi" w:cstheme="majorHAnsi"/>
          <w:i/>
          <w:iCs/>
          <w:sz w:val="24"/>
          <w:szCs w:val="24"/>
        </w:rPr>
        <w:t>ahlī</w:t>
      </w:r>
      <w:proofErr w:type="spellEnd"/>
      <w:r w:rsidR="00FA7360"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has been legalized for approximately the last decade. Moreover, state laws on waqf are combined into a single framework encompassing both </w:t>
      </w:r>
      <w:r w:rsidR="00FA7360" w:rsidRPr="00EC77AC">
        <w:rPr>
          <w:rFonts w:asciiTheme="majorHAnsi" w:hAnsiTheme="majorHAnsi" w:cstheme="majorHAnsi"/>
          <w:i/>
          <w:iCs/>
          <w:sz w:val="24"/>
          <w:szCs w:val="24"/>
        </w:rPr>
        <w:t>waqf al-</w:t>
      </w:r>
      <w:proofErr w:type="spellStart"/>
      <w:r w:rsidR="00FA7360" w:rsidRPr="00EC77AC">
        <w:rPr>
          <w:rFonts w:asciiTheme="majorHAnsi" w:hAnsiTheme="majorHAnsi" w:cstheme="majorHAnsi"/>
          <w:i/>
          <w:iCs/>
          <w:sz w:val="24"/>
          <w:szCs w:val="24"/>
        </w:rPr>
        <w:t>ahlī</w:t>
      </w:r>
      <w:proofErr w:type="spellEnd"/>
      <w:r w:rsidR="00FA7360"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and </w:t>
      </w:r>
      <w:r w:rsidRPr="00EC77AC">
        <w:rPr>
          <w:rFonts w:asciiTheme="majorHAnsi" w:hAnsiTheme="majorHAnsi" w:cstheme="majorHAnsi"/>
          <w:i/>
          <w:iCs/>
          <w:sz w:val="24"/>
          <w:szCs w:val="24"/>
        </w:rPr>
        <w:t xml:space="preserve">waqf </w:t>
      </w:r>
      <w:proofErr w:type="spellStart"/>
      <w:r w:rsidR="0048225E" w:rsidRPr="00EC77AC">
        <w:rPr>
          <w:rFonts w:asciiTheme="majorHAnsi" w:hAnsiTheme="majorHAnsi" w:cstheme="majorHAnsi"/>
          <w:i/>
          <w:iCs/>
          <w:sz w:val="24"/>
          <w:szCs w:val="24"/>
        </w:rPr>
        <w:t>khayrī</w:t>
      </w:r>
      <w:proofErr w:type="spellEnd"/>
      <w:r w:rsidRPr="00EC77AC">
        <w:rPr>
          <w:rFonts w:asciiTheme="majorHAnsi" w:hAnsiTheme="majorHAnsi" w:cstheme="majorHAnsi"/>
          <w:sz w:val="24"/>
          <w:szCs w:val="24"/>
        </w:rPr>
        <w:t xml:space="preserve">. Meanwhile, for administrative compliance, waqf, whether </w:t>
      </w:r>
      <w:r w:rsidR="0048225E" w:rsidRPr="00EC77AC">
        <w:rPr>
          <w:rFonts w:asciiTheme="majorHAnsi" w:hAnsiTheme="majorHAnsi" w:cstheme="majorHAnsi"/>
          <w:i/>
          <w:iCs/>
          <w:sz w:val="24"/>
          <w:szCs w:val="24"/>
        </w:rPr>
        <w:t>waqf al-</w:t>
      </w:r>
      <w:proofErr w:type="spellStart"/>
      <w:r w:rsidR="0048225E" w:rsidRPr="00EC77AC">
        <w:rPr>
          <w:rFonts w:asciiTheme="majorHAnsi" w:hAnsiTheme="majorHAnsi" w:cstheme="majorHAnsi"/>
          <w:i/>
          <w:iCs/>
          <w:sz w:val="24"/>
          <w:szCs w:val="24"/>
        </w:rPr>
        <w:t>khayrī</w:t>
      </w:r>
      <w:proofErr w:type="spellEnd"/>
      <w:r w:rsidR="00F52870" w:rsidRPr="00EC77AC">
        <w:rPr>
          <w:rFonts w:asciiTheme="majorHAnsi" w:hAnsiTheme="majorHAnsi" w:cstheme="majorHAnsi"/>
          <w:i/>
          <w:iCs/>
          <w:sz w:val="24"/>
          <w:szCs w:val="24"/>
        </w:rPr>
        <w:t xml:space="preserve"> </w:t>
      </w:r>
      <w:r w:rsidRPr="00EC77AC">
        <w:rPr>
          <w:rFonts w:asciiTheme="majorHAnsi" w:hAnsiTheme="majorHAnsi" w:cstheme="majorHAnsi"/>
          <w:sz w:val="24"/>
          <w:szCs w:val="24"/>
        </w:rPr>
        <w:t xml:space="preserve">or </w:t>
      </w:r>
      <w:r w:rsidR="00033D3E" w:rsidRPr="00EC77AC">
        <w:rPr>
          <w:rFonts w:asciiTheme="majorHAnsi" w:hAnsiTheme="majorHAnsi" w:cstheme="majorHAnsi"/>
          <w:i/>
          <w:iCs/>
          <w:sz w:val="24"/>
          <w:szCs w:val="24"/>
        </w:rPr>
        <w:t>waqf al-</w:t>
      </w:r>
      <w:proofErr w:type="spellStart"/>
      <w:r w:rsidR="00033D3E" w:rsidRPr="00EC77AC">
        <w:rPr>
          <w:rFonts w:asciiTheme="majorHAnsi" w:hAnsiTheme="majorHAnsi" w:cstheme="majorHAnsi"/>
          <w:i/>
          <w:iCs/>
          <w:sz w:val="24"/>
          <w:szCs w:val="24"/>
        </w:rPr>
        <w:t>ahlī</w:t>
      </w:r>
      <w:proofErr w:type="spellEnd"/>
      <w:r w:rsidRPr="00EC77AC">
        <w:rPr>
          <w:rFonts w:asciiTheme="majorHAnsi" w:hAnsiTheme="majorHAnsi" w:cstheme="majorHAnsi"/>
          <w:sz w:val="24"/>
          <w:szCs w:val="24"/>
        </w:rPr>
        <w:t xml:space="preserve">, must be registered and monitored by the </w:t>
      </w:r>
      <w:r w:rsidRPr="00EC77AC">
        <w:rPr>
          <w:rFonts w:asciiTheme="majorHAnsi" w:hAnsiTheme="majorHAnsi" w:cstheme="majorHAnsi"/>
          <w:i/>
          <w:iCs/>
          <w:sz w:val="24"/>
          <w:szCs w:val="24"/>
        </w:rPr>
        <w:t>Majlis Agama Islam Negeri</w:t>
      </w:r>
      <w:r w:rsidRPr="00EC77AC">
        <w:rPr>
          <w:rFonts w:asciiTheme="majorHAnsi" w:hAnsiTheme="majorHAnsi" w:cstheme="majorHAnsi"/>
          <w:sz w:val="24"/>
          <w:szCs w:val="24"/>
        </w:rPr>
        <w:t xml:space="preserve"> (State Islamic Religious Council, MAIN) of each state.</w:t>
      </w:r>
    </w:p>
    <w:p w14:paraId="11ED61EF" w14:textId="0382C63D" w:rsidR="00BD5F92" w:rsidRPr="00EC77AC" w:rsidRDefault="00BD5F92"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Although each region has autonomy in drafting and enacting waqf laws, the following points apply:</w:t>
      </w:r>
      <w:r w:rsidR="00C13272">
        <w:rPr>
          <w:rFonts w:asciiTheme="majorHAnsi" w:hAnsiTheme="majorHAnsi" w:cstheme="majorHAnsi"/>
          <w:sz w:val="24"/>
          <w:szCs w:val="24"/>
        </w:rPr>
        <w:t xml:space="preserve"> </w:t>
      </w:r>
      <w:r w:rsidRPr="00EC77AC">
        <w:rPr>
          <w:rFonts w:asciiTheme="majorHAnsi" w:hAnsiTheme="majorHAnsi" w:cstheme="majorHAnsi"/>
          <w:sz w:val="24"/>
          <w:szCs w:val="24"/>
        </w:rPr>
        <w:t>First, at the national level, they are monitored by and subject to the regulations of the Department of Islamic Development Malaysia (</w:t>
      </w:r>
      <w:proofErr w:type="spellStart"/>
      <w:r w:rsidRPr="00EC77AC">
        <w:rPr>
          <w:rFonts w:asciiTheme="majorHAnsi" w:hAnsiTheme="majorHAnsi" w:cstheme="majorHAnsi"/>
          <w:i/>
          <w:iCs/>
          <w:sz w:val="24"/>
          <w:szCs w:val="24"/>
        </w:rPr>
        <w:t>Jabatan</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Kemajuan</w:t>
      </w:r>
      <w:proofErr w:type="spellEnd"/>
      <w:r w:rsidRPr="00EC77AC">
        <w:rPr>
          <w:rFonts w:asciiTheme="majorHAnsi" w:hAnsiTheme="majorHAnsi" w:cstheme="majorHAnsi"/>
          <w:i/>
          <w:iCs/>
          <w:sz w:val="24"/>
          <w:szCs w:val="24"/>
        </w:rPr>
        <w:t xml:space="preserve"> Islam Malaysia</w:t>
      </w:r>
      <w:r w:rsidRPr="00EC77AC">
        <w:rPr>
          <w:rFonts w:asciiTheme="majorHAnsi" w:hAnsiTheme="majorHAnsi" w:cstheme="majorHAnsi"/>
          <w:sz w:val="24"/>
          <w:szCs w:val="24"/>
        </w:rPr>
        <w:t>, JAKIM), ensuring that the laws enacted in each state are aligned and uniform</w:t>
      </w:r>
      <w:r w:rsidR="007E3971">
        <w:rPr>
          <w:rFonts w:asciiTheme="majorHAnsi" w:hAnsiTheme="majorHAnsi" w:cstheme="majorHAnsi"/>
          <w:sz w:val="24"/>
          <w:szCs w:val="24"/>
        </w:rPr>
        <w:t xml:space="preserve"> </w:t>
      </w:r>
      <w:r w:rsidR="007E3971">
        <w:rPr>
          <w:rFonts w:asciiTheme="majorHAnsi" w:hAnsiTheme="majorHAnsi" w:cstheme="majorHAnsi"/>
          <w:sz w:val="24"/>
          <w:szCs w:val="24"/>
        </w:rPr>
        <w:fldChar w:fldCharType="begin" w:fldLock="1"/>
      </w:r>
      <w:r w:rsidR="007E3971">
        <w:rPr>
          <w:rFonts w:asciiTheme="majorHAnsi" w:hAnsiTheme="majorHAnsi" w:cstheme="majorHAnsi"/>
          <w:sz w:val="24"/>
          <w:szCs w:val="24"/>
        </w:rPr>
        <w:instrText>ADDIN CSL_CITATION {"citationItems":[{"id":"ITEM-1","itemData":{"ISSN":"2682-8057","author":[{"dropping-particle":"","family":"Kader","given":"Sharifah Zubaidah Syed Abdul","non-dropping-particle":"","parse-names":false,"suffix":""}],"container-title":"Kanun: Jurnal Undang-Undang Malaysia","id":"ITEM-1","issue":"1","issued":{"date-parts":[["2016"]]},"page":"102-127","title":"Kerangka Undang-Undang Pengurusan Wakaf di Malaysia: Ke Arah Keseragaman Undang-Undang","type":"article-journal","volume":"28"},"uris":["http://www.mendeley.com/documents/?uuid=7faaf7d3-c1ce-4568-9bc1-c7a6e6e34e71"]}],"mendeley":{"formattedCitation":"(Kader, 2016)","plainTextFormattedCitation":"(Kader, 2016)","previouslyFormattedCitation":"(Kader, 2016)"},"properties":{"noteIndex":0},"schema":"https://github.com/citation-style-language/schema/raw/master/csl-citation.json"}</w:instrText>
      </w:r>
      <w:r w:rsidR="007E3971">
        <w:rPr>
          <w:rFonts w:asciiTheme="majorHAnsi" w:hAnsiTheme="majorHAnsi" w:cstheme="majorHAnsi"/>
          <w:sz w:val="24"/>
          <w:szCs w:val="24"/>
        </w:rPr>
        <w:fldChar w:fldCharType="separate"/>
      </w:r>
      <w:r w:rsidR="007E3971" w:rsidRPr="007E3971">
        <w:rPr>
          <w:rFonts w:asciiTheme="majorHAnsi" w:hAnsiTheme="majorHAnsi" w:cstheme="majorHAnsi"/>
          <w:noProof/>
          <w:sz w:val="24"/>
          <w:szCs w:val="24"/>
        </w:rPr>
        <w:t>(Kader, 2016)</w:t>
      </w:r>
      <w:r w:rsidR="007E3971">
        <w:rPr>
          <w:rFonts w:asciiTheme="majorHAnsi" w:hAnsiTheme="majorHAnsi" w:cstheme="majorHAnsi"/>
          <w:sz w:val="24"/>
          <w:szCs w:val="24"/>
        </w:rPr>
        <w:fldChar w:fldCharType="end"/>
      </w:r>
      <w:r w:rsidRPr="00EC77AC">
        <w:rPr>
          <w:rFonts w:asciiTheme="majorHAnsi" w:hAnsiTheme="majorHAnsi" w:cstheme="majorHAnsi"/>
          <w:sz w:val="24"/>
          <w:szCs w:val="24"/>
        </w:rPr>
        <w:t xml:space="preserve">. This is similar to the case in Pakistan, where each province has specific autonomy to draft waqf laws but must comply with the </w:t>
      </w:r>
      <w:proofErr w:type="spellStart"/>
      <w:r w:rsidRPr="00EC77AC">
        <w:rPr>
          <w:rFonts w:asciiTheme="majorHAnsi" w:hAnsiTheme="majorHAnsi" w:cstheme="majorHAnsi"/>
          <w:i/>
          <w:iCs/>
          <w:sz w:val="24"/>
          <w:szCs w:val="24"/>
        </w:rPr>
        <w:t>Musalmans</w:t>
      </w:r>
      <w:proofErr w:type="spellEnd"/>
      <w:r w:rsidRPr="00EC77AC">
        <w:rPr>
          <w:rFonts w:asciiTheme="majorHAnsi" w:hAnsiTheme="majorHAnsi" w:cstheme="majorHAnsi"/>
          <w:i/>
          <w:iCs/>
          <w:sz w:val="24"/>
          <w:szCs w:val="24"/>
        </w:rPr>
        <w:t xml:space="preserve"> Waqf Act No. 6 of 1913</w:t>
      </w:r>
      <w:r w:rsidRPr="00EC77AC">
        <w:rPr>
          <w:rFonts w:asciiTheme="majorHAnsi" w:hAnsiTheme="majorHAnsi" w:cstheme="majorHAnsi"/>
          <w:sz w:val="24"/>
          <w:szCs w:val="24"/>
        </w:rPr>
        <w:t xml:space="preserve">. Similar to </w:t>
      </w:r>
      <w:r w:rsidRPr="00EC77AC">
        <w:rPr>
          <w:rFonts w:asciiTheme="majorHAnsi" w:hAnsiTheme="majorHAnsi" w:cstheme="majorHAnsi"/>
          <w:i/>
          <w:iCs/>
          <w:sz w:val="24"/>
          <w:szCs w:val="24"/>
        </w:rPr>
        <w:t>Pancasila</w:t>
      </w:r>
      <w:r w:rsidRPr="00EC77AC">
        <w:rPr>
          <w:rFonts w:asciiTheme="majorHAnsi" w:hAnsiTheme="majorHAnsi" w:cstheme="majorHAnsi"/>
          <w:sz w:val="24"/>
          <w:szCs w:val="24"/>
        </w:rPr>
        <w:t xml:space="preserve"> and the 1945 Constitution (</w:t>
      </w:r>
      <w:r w:rsidRPr="00EC77AC">
        <w:rPr>
          <w:rFonts w:asciiTheme="majorHAnsi" w:hAnsiTheme="majorHAnsi" w:cstheme="majorHAnsi"/>
          <w:i/>
          <w:iCs/>
          <w:sz w:val="24"/>
          <w:szCs w:val="24"/>
        </w:rPr>
        <w:t>UUD 1945</w:t>
      </w:r>
      <w:r w:rsidRPr="00EC77AC">
        <w:rPr>
          <w:rFonts w:asciiTheme="majorHAnsi" w:hAnsiTheme="majorHAnsi" w:cstheme="majorHAnsi"/>
          <w:sz w:val="24"/>
          <w:szCs w:val="24"/>
        </w:rPr>
        <w:t>) in Indonesia, any derivative laws must not contradict these two foundational principles.</w:t>
      </w:r>
      <w:r w:rsidR="00C13272">
        <w:rPr>
          <w:rFonts w:asciiTheme="majorHAnsi" w:hAnsiTheme="majorHAnsi" w:cstheme="majorHAnsi"/>
          <w:sz w:val="24"/>
          <w:szCs w:val="24"/>
        </w:rPr>
        <w:t xml:space="preserve"> </w:t>
      </w:r>
      <w:r w:rsidRPr="00EC77AC">
        <w:rPr>
          <w:rFonts w:asciiTheme="majorHAnsi" w:hAnsiTheme="majorHAnsi" w:cstheme="majorHAnsi"/>
          <w:sz w:val="24"/>
          <w:szCs w:val="24"/>
        </w:rPr>
        <w:t xml:space="preserve">Second, at the regional level, each state has established a </w:t>
      </w:r>
      <w:r w:rsidRPr="00EC77AC">
        <w:rPr>
          <w:rFonts w:asciiTheme="majorHAnsi" w:hAnsiTheme="majorHAnsi" w:cstheme="majorHAnsi"/>
          <w:i/>
          <w:iCs/>
          <w:sz w:val="24"/>
          <w:szCs w:val="24"/>
        </w:rPr>
        <w:t>State Islamic Religious Council</w:t>
      </w:r>
      <w:r w:rsidRPr="00EC77AC">
        <w:rPr>
          <w:rFonts w:asciiTheme="majorHAnsi" w:hAnsiTheme="majorHAnsi" w:cstheme="majorHAnsi"/>
          <w:sz w:val="24"/>
          <w:szCs w:val="24"/>
        </w:rPr>
        <w:t xml:space="preserve"> (</w:t>
      </w:r>
      <w:r w:rsidRPr="00EC77AC">
        <w:rPr>
          <w:rFonts w:asciiTheme="majorHAnsi" w:hAnsiTheme="majorHAnsi" w:cstheme="majorHAnsi"/>
          <w:i/>
          <w:iCs/>
          <w:sz w:val="24"/>
          <w:szCs w:val="24"/>
        </w:rPr>
        <w:t>Majlis Agama Islam Negeri</w:t>
      </w:r>
      <w:r w:rsidRPr="00EC77AC">
        <w:rPr>
          <w:rFonts w:asciiTheme="majorHAnsi" w:hAnsiTheme="majorHAnsi" w:cstheme="majorHAnsi"/>
          <w:sz w:val="24"/>
          <w:szCs w:val="24"/>
        </w:rPr>
        <w:t xml:space="preserve">, MAIN), a government organization that initially served as the sole entity responsible for managing waqf in Malaysian states and reported directly to the rulers of each state </w:t>
      </w:r>
      <w:r w:rsidR="007E3971">
        <w:rPr>
          <w:rFonts w:asciiTheme="majorHAnsi" w:hAnsiTheme="majorHAnsi" w:cstheme="majorHAnsi"/>
          <w:sz w:val="24"/>
          <w:szCs w:val="24"/>
        </w:rPr>
        <w:fldChar w:fldCharType="begin" w:fldLock="1"/>
      </w:r>
      <w:r w:rsidR="007E3971">
        <w:rPr>
          <w:rFonts w:asciiTheme="majorHAnsi" w:hAnsiTheme="majorHAnsi" w:cstheme="majorHAnsi"/>
          <w:sz w:val="24"/>
          <w:szCs w:val="24"/>
        </w:rPr>
        <w:instrText>ADDIN CSL_CITATION {"citationItems":[{"id":"ITEM-1","itemData":{"ISBN":"9831002873","author":[{"dropping-particle":"","family":"Mahamood","given":"Siti Mashitoh","non-dropping-particle":"","parse-names":false,"suffix":""}],"id":"ITEM-1","issued":{"date-parts":[["2006"]]},"publisher":"University of Malaya Press","publisher-place":"Kuala Lumpur","title":"Waqf in Malaysia: Legal and Administrative Perspectives","type":"book"},"uris":["http://www.mendeley.com/documents/?uuid=24151cc4-7774-492a-bd5f-55bb832c7ebb"]}],"mendeley":{"formattedCitation":"(Mahamood, 2006)","plainTextFormattedCitation":"(Mahamood, 2006)","previouslyFormattedCitation":"(Mahamood, 2006)"},"properties":{"noteIndex":0},"schema":"https://github.com/citation-style-language/schema/raw/master/csl-citation.json"}</w:instrText>
      </w:r>
      <w:r w:rsidR="007E3971">
        <w:rPr>
          <w:rFonts w:asciiTheme="majorHAnsi" w:hAnsiTheme="majorHAnsi" w:cstheme="majorHAnsi"/>
          <w:sz w:val="24"/>
          <w:szCs w:val="24"/>
        </w:rPr>
        <w:fldChar w:fldCharType="separate"/>
      </w:r>
      <w:r w:rsidR="007E3971" w:rsidRPr="007E3971">
        <w:rPr>
          <w:rFonts w:asciiTheme="majorHAnsi" w:hAnsiTheme="majorHAnsi" w:cstheme="majorHAnsi"/>
          <w:noProof/>
          <w:sz w:val="24"/>
          <w:szCs w:val="24"/>
        </w:rPr>
        <w:t>(Mahamood, 2006)</w:t>
      </w:r>
      <w:r w:rsidR="007E3971">
        <w:rPr>
          <w:rFonts w:asciiTheme="majorHAnsi" w:hAnsiTheme="majorHAnsi" w:cstheme="majorHAnsi"/>
          <w:sz w:val="24"/>
          <w:szCs w:val="24"/>
        </w:rPr>
        <w:fldChar w:fldCharType="end"/>
      </w:r>
      <w:r w:rsidRPr="00EC77AC">
        <w:rPr>
          <w:rFonts w:asciiTheme="majorHAnsi" w:hAnsiTheme="majorHAnsi" w:cstheme="majorHAnsi"/>
          <w:sz w:val="24"/>
          <w:szCs w:val="24"/>
        </w:rPr>
        <w:t>. However, MAIN failed to generate optimal revenue from waqf lands due to issues of administrative effectiveness and efficiency (</w:t>
      </w:r>
      <w:proofErr w:type="spellStart"/>
      <w:r w:rsidRPr="00EC77AC">
        <w:rPr>
          <w:rFonts w:asciiTheme="majorHAnsi" w:hAnsiTheme="majorHAnsi" w:cstheme="majorHAnsi"/>
          <w:sz w:val="24"/>
          <w:szCs w:val="24"/>
        </w:rPr>
        <w:t>Norzilan</w:t>
      </w:r>
      <w:proofErr w:type="spellEnd"/>
      <w:r w:rsidRPr="00EC77AC">
        <w:rPr>
          <w:rFonts w:asciiTheme="majorHAnsi" w:hAnsiTheme="majorHAnsi" w:cstheme="majorHAnsi"/>
          <w:sz w:val="24"/>
          <w:szCs w:val="24"/>
        </w:rPr>
        <w:t>, 2018, p. 145).</w:t>
      </w:r>
      <w:r w:rsidR="00C13272">
        <w:rPr>
          <w:rFonts w:asciiTheme="majorHAnsi" w:hAnsiTheme="majorHAnsi" w:cstheme="majorHAnsi"/>
          <w:sz w:val="24"/>
          <w:szCs w:val="24"/>
        </w:rPr>
        <w:t xml:space="preserve"> </w:t>
      </w:r>
      <w:r w:rsidRPr="00EC77AC">
        <w:rPr>
          <w:rFonts w:asciiTheme="majorHAnsi" w:hAnsiTheme="majorHAnsi" w:cstheme="majorHAnsi"/>
          <w:sz w:val="24"/>
          <w:szCs w:val="24"/>
        </w:rPr>
        <w:t xml:space="preserve">Therefore, in 2004, the </w:t>
      </w:r>
      <w:r w:rsidRPr="00EC77AC">
        <w:rPr>
          <w:rFonts w:asciiTheme="majorHAnsi" w:hAnsiTheme="majorHAnsi" w:cstheme="majorHAnsi"/>
          <w:i/>
          <w:iCs/>
          <w:sz w:val="24"/>
          <w:szCs w:val="24"/>
        </w:rPr>
        <w:t>Department of Waqf, Zakat, and Hajj</w:t>
      </w:r>
      <w:r w:rsidRPr="00EC77AC">
        <w:rPr>
          <w:rFonts w:asciiTheme="majorHAnsi" w:hAnsiTheme="majorHAnsi" w:cstheme="majorHAnsi"/>
          <w:sz w:val="24"/>
          <w:szCs w:val="24"/>
        </w:rPr>
        <w:t xml:space="preserve"> (</w:t>
      </w:r>
      <w:proofErr w:type="spellStart"/>
      <w:r w:rsidRPr="00EC77AC">
        <w:rPr>
          <w:rFonts w:asciiTheme="majorHAnsi" w:hAnsiTheme="majorHAnsi" w:cstheme="majorHAnsi"/>
          <w:i/>
          <w:iCs/>
          <w:sz w:val="24"/>
          <w:szCs w:val="24"/>
        </w:rPr>
        <w:t>Jabatan</w:t>
      </w:r>
      <w:proofErr w:type="spellEnd"/>
      <w:r w:rsidRPr="00EC77AC">
        <w:rPr>
          <w:rFonts w:asciiTheme="majorHAnsi" w:hAnsiTheme="majorHAnsi" w:cstheme="majorHAnsi"/>
          <w:i/>
          <w:iCs/>
          <w:sz w:val="24"/>
          <w:szCs w:val="24"/>
        </w:rPr>
        <w:t xml:space="preserve"> </w:t>
      </w:r>
      <w:proofErr w:type="spellStart"/>
      <w:r w:rsidRPr="00EC77AC">
        <w:rPr>
          <w:rFonts w:asciiTheme="majorHAnsi" w:hAnsiTheme="majorHAnsi" w:cstheme="majorHAnsi"/>
          <w:i/>
          <w:iCs/>
          <w:sz w:val="24"/>
          <w:szCs w:val="24"/>
        </w:rPr>
        <w:t>Wakaf</w:t>
      </w:r>
      <w:proofErr w:type="spellEnd"/>
      <w:r w:rsidRPr="00EC77AC">
        <w:rPr>
          <w:rFonts w:asciiTheme="majorHAnsi" w:hAnsiTheme="majorHAnsi" w:cstheme="majorHAnsi"/>
          <w:i/>
          <w:iCs/>
          <w:sz w:val="24"/>
          <w:szCs w:val="24"/>
        </w:rPr>
        <w:t xml:space="preserve"> Zakat dan Haji</w:t>
      </w:r>
      <w:r w:rsidRPr="00EC77AC">
        <w:rPr>
          <w:rFonts w:asciiTheme="majorHAnsi" w:hAnsiTheme="majorHAnsi" w:cstheme="majorHAnsi"/>
          <w:sz w:val="24"/>
          <w:szCs w:val="24"/>
        </w:rPr>
        <w:t xml:space="preserve">, JAWHAR) was established at the national level. Its function was to assist MAIN in facilitating the administration of waqf, as well as zakat and hajj matters </w:t>
      </w:r>
      <w:r w:rsidR="00F54E80">
        <w:rPr>
          <w:rFonts w:asciiTheme="majorHAnsi" w:hAnsiTheme="majorHAnsi" w:cstheme="majorHAnsi"/>
          <w:sz w:val="24"/>
          <w:szCs w:val="24"/>
        </w:rPr>
        <w:fldChar w:fldCharType="begin" w:fldLock="1"/>
      </w:r>
      <w:r w:rsidR="00F54E80">
        <w:rPr>
          <w:rFonts w:asciiTheme="majorHAnsi" w:hAnsiTheme="majorHAnsi" w:cstheme="majorHAnsi"/>
          <w:sz w:val="24"/>
          <w:szCs w:val="24"/>
        </w:rPr>
        <w:instrText>ADDIN CSL_CITATION {"citationItems":[{"id":"ITEM-1","itemData":{"ISSN":"0828-8666","author":[{"dropping-particle":"","family":"Farhana","given":"Mohamad Suhaimi","non-dropping-particle":"","parse-names":false,"suffix":""},{"dropping-particle":"","family":"Asmak","given":"Abdur Rahman","non-dropping-particle":"","parse-names":false,"suffix":""},{"dropping-particle":"","family":"Marican","given":"Sabitha","non-dropping-particle":"","parse-names":false,"suffix":""}],"container-title":"Humanomics","id":"ITEM-1","issue":"3","issued":{"date-parts":[["2014"]]},"page":"227-254","publisher":"Emerald Group Publishing Limited","title":"The Role of Share Waqf in the Socio-Economic Development of the Muslim Community: The Malaysian Experience","type":"article-journal","volume":"30"},"uris":["http://www.mendeley.com/documents/?uuid=b6ded1f6-2c0c-4814-bed4-7e8a37054eef"]}],"mendeley":{"formattedCitation":"(Farhana et al., 2014)","plainTextFormattedCitation":"(Farhana et al., 2014)"},"properties":{"noteIndex":0},"schema":"https://github.com/citation-style-language/schema/raw/master/csl-citation.json"}</w:instrText>
      </w:r>
      <w:r w:rsidR="00F54E80">
        <w:rPr>
          <w:rFonts w:asciiTheme="majorHAnsi" w:hAnsiTheme="majorHAnsi" w:cstheme="majorHAnsi"/>
          <w:sz w:val="24"/>
          <w:szCs w:val="24"/>
        </w:rPr>
        <w:fldChar w:fldCharType="separate"/>
      </w:r>
      <w:r w:rsidR="00F54E80" w:rsidRPr="00F54E80">
        <w:rPr>
          <w:rFonts w:asciiTheme="majorHAnsi" w:hAnsiTheme="majorHAnsi" w:cstheme="majorHAnsi"/>
          <w:noProof/>
          <w:sz w:val="24"/>
          <w:szCs w:val="24"/>
        </w:rPr>
        <w:t>(Farhana et al., 2014)</w:t>
      </w:r>
      <w:r w:rsidR="00F54E80">
        <w:rPr>
          <w:rFonts w:asciiTheme="majorHAnsi" w:hAnsiTheme="majorHAnsi" w:cstheme="majorHAnsi"/>
          <w:sz w:val="24"/>
          <w:szCs w:val="24"/>
        </w:rPr>
        <w:fldChar w:fldCharType="end"/>
      </w:r>
      <w:r w:rsidR="00F54E80">
        <w:rPr>
          <w:rFonts w:asciiTheme="majorHAnsi" w:hAnsiTheme="majorHAnsi" w:cstheme="majorHAnsi"/>
          <w:sz w:val="24"/>
          <w:szCs w:val="24"/>
        </w:rPr>
        <w:t>.</w:t>
      </w:r>
    </w:p>
    <w:p w14:paraId="5AD2BB61" w14:textId="3543937D" w:rsidR="00BD5F92" w:rsidRPr="00EC77AC" w:rsidRDefault="00BD5F92" w:rsidP="005A62F6">
      <w:pPr>
        <w:spacing w:before="120" w:after="120" w:line="240" w:lineRule="auto"/>
        <w:ind w:left="425"/>
        <w:jc w:val="both"/>
        <w:rPr>
          <w:rFonts w:asciiTheme="majorHAnsi" w:hAnsiTheme="majorHAnsi" w:cstheme="majorHAnsi"/>
          <w:sz w:val="24"/>
          <w:szCs w:val="24"/>
        </w:rPr>
      </w:pPr>
      <w:r w:rsidRPr="00EC77AC">
        <w:rPr>
          <w:rFonts w:asciiTheme="majorHAnsi" w:hAnsiTheme="majorHAnsi" w:cstheme="majorHAnsi"/>
          <w:sz w:val="24"/>
          <w:szCs w:val="24"/>
        </w:rPr>
        <w:t xml:space="preserve">To further enhance the efficiency and effectiveness of the collaborative relationship between MAIN and JAWHAR, the </w:t>
      </w:r>
      <w:r w:rsidRPr="00EC77AC">
        <w:rPr>
          <w:rFonts w:asciiTheme="majorHAnsi" w:hAnsiTheme="majorHAnsi" w:cstheme="majorHAnsi"/>
          <w:i/>
          <w:iCs/>
          <w:sz w:val="24"/>
          <w:szCs w:val="24"/>
        </w:rPr>
        <w:t>Malaysian Waqf Foundation</w:t>
      </w:r>
      <w:r w:rsidRPr="00EC77AC">
        <w:rPr>
          <w:rFonts w:asciiTheme="majorHAnsi" w:hAnsiTheme="majorHAnsi" w:cstheme="majorHAnsi"/>
          <w:sz w:val="24"/>
          <w:szCs w:val="24"/>
        </w:rPr>
        <w:t xml:space="preserve"> (</w:t>
      </w:r>
      <w:r w:rsidRPr="00EC77AC">
        <w:rPr>
          <w:rFonts w:asciiTheme="majorHAnsi" w:hAnsiTheme="majorHAnsi" w:cstheme="majorHAnsi"/>
          <w:i/>
          <w:iCs/>
          <w:sz w:val="24"/>
          <w:szCs w:val="24"/>
        </w:rPr>
        <w:t>Yayasan Wakaf Malaysia</w:t>
      </w:r>
      <w:r w:rsidRPr="00EC77AC">
        <w:rPr>
          <w:rFonts w:asciiTheme="majorHAnsi" w:hAnsiTheme="majorHAnsi" w:cstheme="majorHAnsi"/>
          <w:sz w:val="24"/>
          <w:szCs w:val="24"/>
        </w:rPr>
        <w:t xml:space="preserve">, YWM) was founded in 2008. As a waqf management institution under JAWHAR, YWM is tasked with assisting MAIN in collecting waqf funds and developing them in the commercial sector as part of sustainable waqf development efforts </w:t>
      </w:r>
      <w:r w:rsidR="007E3971">
        <w:rPr>
          <w:rFonts w:asciiTheme="majorHAnsi" w:hAnsiTheme="majorHAnsi" w:cstheme="majorHAnsi"/>
          <w:sz w:val="24"/>
          <w:szCs w:val="24"/>
        </w:rPr>
        <w:fldChar w:fldCharType="begin" w:fldLock="1"/>
      </w:r>
      <w:r w:rsidR="007E3971">
        <w:rPr>
          <w:rFonts w:asciiTheme="majorHAnsi" w:hAnsiTheme="majorHAnsi" w:cstheme="majorHAnsi"/>
          <w:sz w:val="24"/>
          <w:szCs w:val="24"/>
        </w:rPr>
        <w:instrText>ADDIN CSL_CITATION {"citationItems":[{"id":"ITEM-1","itemData":{"ISSN":"2598-2540","author":[{"dropping-particle":"","family":"Rakhmat","given":"Adrianna Syariefur","non-dropping-particle":"","parse-names":false,"suffix":""},{"dropping-particle":"","family":"Beik","given":"Irfan Syauqi","non-dropping-particle":"","parse-names":false,"suffix":""}],"container-title":"ILTIZAM Journal of Shariah Economics Research","id":"ITEM-1","issue":"1","issued":{"date-parts":[["2022"]]},"page":"48-58","title":"Pengelolaan Zakat dan Wakaf di Malaysia dan Turki: Studi Komparatif","type":"article-journal","volume":"6"},"uris":["http://www.mendeley.com/documents/?uuid=0f8659a5-6eb7-4741-bd25-46fad39aa6ee"]}],"mendeley":{"formattedCitation":"(Rakhmat &amp; Beik, 2022)","plainTextFormattedCitation":"(Rakhmat &amp; Beik, 2022)","previouslyFormattedCitation":"(Rakhmat &amp; Beik, 2022)"},"properties":{"noteIndex":0},"schema":"https://github.com/citation-style-language/schema/raw/master/csl-citation.json"}</w:instrText>
      </w:r>
      <w:r w:rsidR="007E3971">
        <w:rPr>
          <w:rFonts w:asciiTheme="majorHAnsi" w:hAnsiTheme="majorHAnsi" w:cstheme="majorHAnsi"/>
          <w:sz w:val="24"/>
          <w:szCs w:val="24"/>
        </w:rPr>
        <w:fldChar w:fldCharType="separate"/>
      </w:r>
      <w:r w:rsidR="007E3971" w:rsidRPr="007E3971">
        <w:rPr>
          <w:rFonts w:asciiTheme="majorHAnsi" w:hAnsiTheme="majorHAnsi" w:cstheme="majorHAnsi"/>
          <w:noProof/>
          <w:sz w:val="24"/>
          <w:szCs w:val="24"/>
        </w:rPr>
        <w:t>(Rakhmat &amp; Beik, 2022)</w:t>
      </w:r>
      <w:r w:rsidR="007E3971">
        <w:rPr>
          <w:rFonts w:asciiTheme="majorHAnsi" w:hAnsiTheme="majorHAnsi" w:cstheme="majorHAnsi"/>
          <w:sz w:val="24"/>
          <w:szCs w:val="24"/>
        </w:rPr>
        <w:fldChar w:fldCharType="end"/>
      </w:r>
      <w:r w:rsidR="007E3971">
        <w:rPr>
          <w:rFonts w:asciiTheme="majorHAnsi" w:hAnsiTheme="majorHAnsi" w:cstheme="majorHAnsi"/>
          <w:sz w:val="24"/>
          <w:szCs w:val="24"/>
        </w:rPr>
        <w:t>.</w:t>
      </w:r>
    </w:p>
    <w:p w14:paraId="0E35F58B" w14:textId="77777777" w:rsidR="005C3094" w:rsidRDefault="005C3094" w:rsidP="005A62F6">
      <w:pPr>
        <w:spacing w:before="120" w:after="120" w:line="240" w:lineRule="auto"/>
        <w:ind w:left="425"/>
        <w:jc w:val="both"/>
        <w:rPr>
          <w:rFonts w:asciiTheme="majorHAnsi" w:hAnsiTheme="majorHAnsi" w:cstheme="majorHAnsi"/>
          <w:sz w:val="24"/>
          <w:szCs w:val="24"/>
        </w:rPr>
      </w:pPr>
    </w:p>
    <w:p w14:paraId="2059845A" w14:textId="77777777" w:rsidR="005A62F6" w:rsidRDefault="005A62F6" w:rsidP="005A62F6">
      <w:pPr>
        <w:spacing w:before="120" w:after="120" w:line="240" w:lineRule="auto"/>
        <w:ind w:left="425"/>
        <w:jc w:val="both"/>
        <w:rPr>
          <w:rFonts w:asciiTheme="majorHAnsi" w:hAnsiTheme="majorHAnsi" w:cstheme="majorHAnsi"/>
          <w:sz w:val="24"/>
          <w:szCs w:val="24"/>
        </w:rPr>
      </w:pPr>
    </w:p>
    <w:p w14:paraId="4FC6D9E8" w14:textId="77777777" w:rsidR="005A62F6" w:rsidRPr="00EC77AC" w:rsidRDefault="005A62F6" w:rsidP="005A62F6">
      <w:pPr>
        <w:spacing w:before="120" w:after="120" w:line="240" w:lineRule="auto"/>
        <w:ind w:left="425"/>
        <w:jc w:val="both"/>
        <w:rPr>
          <w:rFonts w:asciiTheme="majorHAnsi" w:hAnsiTheme="majorHAnsi" w:cstheme="majorHAnsi"/>
          <w:sz w:val="24"/>
          <w:szCs w:val="24"/>
        </w:rPr>
      </w:pPr>
    </w:p>
    <w:p w14:paraId="0861D5AF" w14:textId="77777777" w:rsidR="00BD5F92" w:rsidRPr="00EC77AC" w:rsidRDefault="00BD5F92" w:rsidP="00190A26">
      <w:pPr>
        <w:spacing w:after="0"/>
        <w:jc w:val="center"/>
        <w:rPr>
          <w:rFonts w:asciiTheme="majorHAnsi" w:hAnsiTheme="majorHAnsi" w:cstheme="majorHAnsi"/>
          <w:b/>
          <w:bCs/>
          <w:sz w:val="24"/>
          <w:szCs w:val="24"/>
        </w:rPr>
      </w:pPr>
      <w:r w:rsidRPr="00EC77AC">
        <w:rPr>
          <w:rFonts w:asciiTheme="majorHAnsi" w:hAnsiTheme="majorHAnsi" w:cstheme="majorHAnsi"/>
          <w:b/>
          <w:bCs/>
          <w:sz w:val="24"/>
          <w:szCs w:val="24"/>
        </w:rPr>
        <w:t>Figure 01. Coordination Line of Waqf Institutions in Malaysia.</w:t>
      </w:r>
    </w:p>
    <w:p w14:paraId="3D09C334" w14:textId="77777777" w:rsidR="005C3094" w:rsidRPr="00EC77AC" w:rsidRDefault="005C3094" w:rsidP="001432A5">
      <w:pPr>
        <w:spacing w:after="0"/>
        <w:jc w:val="both"/>
        <w:rPr>
          <w:rFonts w:asciiTheme="majorHAnsi" w:hAnsiTheme="majorHAnsi" w:cstheme="majorHAnsi"/>
          <w:sz w:val="24"/>
          <w:szCs w:val="24"/>
        </w:rPr>
      </w:pPr>
    </w:p>
    <w:p w14:paraId="5BE43DC3" w14:textId="720EE425" w:rsidR="00BD5F92" w:rsidRPr="00EC77AC" w:rsidRDefault="00BD5F92" w:rsidP="00190A26">
      <w:pPr>
        <w:spacing w:after="0"/>
        <w:jc w:val="center"/>
        <w:rPr>
          <w:rFonts w:asciiTheme="majorHAnsi" w:hAnsiTheme="majorHAnsi" w:cstheme="majorHAnsi"/>
          <w:sz w:val="24"/>
          <w:szCs w:val="24"/>
        </w:rPr>
      </w:pPr>
      <w:r w:rsidRPr="00EC77AC">
        <w:rPr>
          <w:rStyle w:val="markedcontent"/>
          <w:rFonts w:asciiTheme="majorHAnsi" w:hAnsiTheme="majorHAnsi" w:cstheme="majorHAnsi"/>
          <w:noProof/>
          <w:sz w:val="24"/>
          <w:szCs w:val="24"/>
          <w:lang w:val="id-ID"/>
        </w:rPr>
        <w:drawing>
          <wp:inline distT="0" distB="0" distL="0" distR="0" wp14:anchorId="4A941156" wp14:editId="0CC80FB2">
            <wp:extent cx="3981450" cy="2129155"/>
            <wp:effectExtent l="0" t="0" r="0" b="4445"/>
            <wp:docPr id="4853503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1450" cy="2129155"/>
                    </a:xfrm>
                    <a:prstGeom prst="rect">
                      <a:avLst/>
                    </a:prstGeom>
                    <a:noFill/>
                    <a:ln>
                      <a:noFill/>
                    </a:ln>
                  </pic:spPr>
                </pic:pic>
              </a:graphicData>
            </a:graphic>
          </wp:inline>
        </w:drawing>
      </w:r>
    </w:p>
    <w:p w14:paraId="2C4F4FDA" w14:textId="77777777" w:rsidR="00BD5F92" w:rsidRPr="00EC77AC" w:rsidRDefault="00BD5F92" w:rsidP="005E5B49">
      <w:pPr>
        <w:spacing w:after="0"/>
        <w:jc w:val="center"/>
        <w:rPr>
          <w:rFonts w:asciiTheme="majorHAnsi" w:hAnsiTheme="majorHAnsi" w:cstheme="majorHAnsi"/>
          <w:sz w:val="24"/>
          <w:szCs w:val="24"/>
        </w:rPr>
      </w:pPr>
      <w:r w:rsidRPr="00EC77AC">
        <w:rPr>
          <w:rFonts w:asciiTheme="majorHAnsi" w:hAnsiTheme="majorHAnsi" w:cstheme="majorHAnsi"/>
          <w:b/>
          <w:bCs/>
          <w:sz w:val="24"/>
          <w:szCs w:val="24"/>
        </w:rPr>
        <w:t>Source:</w:t>
      </w:r>
      <w:r w:rsidRPr="00EC77AC">
        <w:rPr>
          <w:rFonts w:asciiTheme="majorHAnsi" w:hAnsiTheme="majorHAnsi" w:cstheme="majorHAnsi"/>
          <w:sz w:val="24"/>
          <w:szCs w:val="24"/>
        </w:rPr>
        <w:t xml:space="preserve"> Nur </w:t>
      </w:r>
      <w:proofErr w:type="spellStart"/>
      <w:r w:rsidRPr="00EC77AC">
        <w:rPr>
          <w:rFonts w:asciiTheme="majorHAnsi" w:hAnsiTheme="majorHAnsi" w:cstheme="majorHAnsi"/>
          <w:sz w:val="24"/>
          <w:szCs w:val="24"/>
        </w:rPr>
        <w:t>Izzati</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Norzilan</w:t>
      </w:r>
      <w:proofErr w:type="spellEnd"/>
      <w:r w:rsidRPr="00EC77AC">
        <w:rPr>
          <w:rFonts w:asciiTheme="majorHAnsi" w:hAnsiTheme="majorHAnsi" w:cstheme="majorHAnsi"/>
          <w:sz w:val="24"/>
          <w:szCs w:val="24"/>
        </w:rPr>
        <w:t xml:space="preserve"> (</w:t>
      </w:r>
      <w:proofErr w:type="spellStart"/>
      <w:r w:rsidRPr="00EC77AC">
        <w:rPr>
          <w:rFonts w:asciiTheme="majorHAnsi" w:hAnsiTheme="majorHAnsi" w:cstheme="majorHAnsi"/>
          <w:sz w:val="24"/>
          <w:szCs w:val="24"/>
        </w:rPr>
        <w:t>Norzilan</w:t>
      </w:r>
      <w:proofErr w:type="spellEnd"/>
      <w:r w:rsidRPr="00EC77AC">
        <w:rPr>
          <w:rFonts w:asciiTheme="majorHAnsi" w:hAnsiTheme="majorHAnsi" w:cstheme="majorHAnsi"/>
          <w:sz w:val="24"/>
          <w:szCs w:val="24"/>
        </w:rPr>
        <w:t>, 2018, p. 145).</w:t>
      </w:r>
    </w:p>
    <w:p w14:paraId="63114A5C" w14:textId="77777777" w:rsidR="005C3094" w:rsidRPr="00EC77AC" w:rsidRDefault="005C3094" w:rsidP="001432A5">
      <w:pPr>
        <w:spacing w:after="0"/>
        <w:jc w:val="both"/>
        <w:rPr>
          <w:rFonts w:asciiTheme="majorHAnsi" w:hAnsiTheme="majorHAnsi" w:cstheme="majorHAnsi"/>
          <w:sz w:val="24"/>
          <w:szCs w:val="24"/>
        </w:rPr>
      </w:pPr>
    </w:p>
    <w:p w14:paraId="0D948EE8" w14:textId="1AA26E41" w:rsidR="007D4D3E" w:rsidRDefault="00AF3C3E" w:rsidP="005A62F6">
      <w:pPr>
        <w:spacing w:after="0"/>
        <w:jc w:val="both"/>
        <w:rPr>
          <w:rFonts w:asciiTheme="majorHAnsi" w:hAnsiTheme="majorHAnsi" w:cstheme="majorHAnsi"/>
          <w:sz w:val="24"/>
          <w:szCs w:val="24"/>
        </w:rPr>
      </w:pPr>
      <w:r w:rsidRPr="00EC77AC">
        <w:rPr>
          <w:rFonts w:asciiTheme="majorHAnsi" w:hAnsiTheme="majorHAnsi" w:cstheme="majorHAnsi"/>
          <w:sz w:val="24"/>
          <w:szCs w:val="24"/>
        </w:rPr>
        <w:t>Good coordination between regions has been proven effective in collecting waqf funds. The combination of charitable waqf and family waqf in the form of cash waqf from 2010 to 2019 showed a significant increase, as shown in the following table:</w:t>
      </w:r>
    </w:p>
    <w:p w14:paraId="524BDD76" w14:textId="77777777" w:rsidR="007D4D3E" w:rsidRPr="00EC77AC" w:rsidRDefault="007D4D3E" w:rsidP="001432A5">
      <w:pPr>
        <w:spacing w:after="0"/>
        <w:jc w:val="both"/>
        <w:rPr>
          <w:rFonts w:asciiTheme="majorHAnsi" w:hAnsiTheme="majorHAnsi" w:cstheme="majorHAnsi"/>
          <w:sz w:val="24"/>
          <w:szCs w:val="24"/>
        </w:rPr>
      </w:pPr>
    </w:p>
    <w:p w14:paraId="7159A6F3" w14:textId="77777777" w:rsidR="00AF3C3E" w:rsidRDefault="00AF3C3E" w:rsidP="005E5B49">
      <w:pPr>
        <w:spacing w:after="0"/>
        <w:jc w:val="center"/>
        <w:rPr>
          <w:rFonts w:asciiTheme="majorHAnsi" w:hAnsiTheme="majorHAnsi" w:cstheme="majorHAnsi"/>
          <w:b/>
          <w:bCs/>
          <w:sz w:val="24"/>
          <w:szCs w:val="24"/>
        </w:rPr>
      </w:pPr>
      <w:r w:rsidRPr="00EC77AC">
        <w:rPr>
          <w:rFonts w:asciiTheme="majorHAnsi" w:hAnsiTheme="majorHAnsi" w:cstheme="majorHAnsi"/>
          <w:b/>
          <w:bCs/>
          <w:sz w:val="24"/>
          <w:szCs w:val="24"/>
        </w:rPr>
        <w:t>Table 04. Cash Waqf (Combination of Charitable and Family Waqf)</w:t>
      </w:r>
    </w:p>
    <w:tbl>
      <w:tblPr>
        <w:tblW w:w="5954"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493"/>
        <w:gridCol w:w="1208"/>
        <w:gridCol w:w="1701"/>
        <w:gridCol w:w="2552"/>
      </w:tblGrid>
      <w:tr w:rsidR="00701AE8" w:rsidRPr="00122F5F" w14:paraId="221BA4D5" w14:textId="77777777" w:rsidTr="00701AE8">
        <w:trPr>
          <w:jc w:val="center"/>
        </w:trPr>
        <w:tc>
          <w:tcPr>
            <w:tcW w:w="493" w:type="dxa"/>
            <w:vMerge w:val="restart"/>
            <w:shd w:val="clear" w:color="auto" w:fill="D9D9D9"/>
          </w:tcPr>
          <w:p w14:paraId="29150317"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1208" w:type="dxa"/>
            <w:vMerge w:val="restart"/>
            <w:shd w:val="clear" w:color="auto" w:fill="D9D9D9"/>
          </w:tcPr>
          <w:p w14:paraId="26244EF7" w14:textId="77777777" w:rsidR="00701AE8"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Cs w:val="24"/>
              </w:rPr>
              <w:t>Chapter</w:t>
            </w:r>
          </w:p>
        </w:tc>
        <w:tc>
          <w:tcPr>
            <w:tcW w:w="1701" w:type="dxa"/>
            <w:shd w:val="clear" w:color="auto" w:fill="D9D9D9"/>
          </w:tcPr>
          <w:p w14:paraId="59F629C1" w14:textId="30287C0D"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Cs w:val="24"/>
              </w:rPr>
              <w:t>A</w:t>
            </w:r>
            <w:r>
              <w:rPr>
                <w:rFonts w:ascii="Calibri Light" w:hAnsi="Calibri Light" w:cs="Calibri Light"/>
                <w:b/>
                <w:bCs/>
                <w:szCs w:val="24"/>
              </w:rPr>
              <w:t>mount</w:t>
            </w:r>
          </w:p>
        </w:tc>
        <w:tc>
          <w:tcPr>
            <w:tcW w:w="2552" w:type="dxa"/>
            <w:shd w:val="clear" w:color="auto" w:fill="D9D9D9"/>
          </w:tcPr>
          <w:p w14:paraId="53ACAAA7" w14:textId="07967193"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p>
        </w:tc>
      </w:tr>
      <w:tr w:rsidR="00701AE8" w:rsidRPr="00122F5F" w14:paraId="40CC47EA" w14:textId="77777777" w:rsidTr="00701AE8">
        <w:trPr>
          <w:jc w:val="center"/>
        </w:trPr>
        <w:tc>
          <w:tcPr>
            <w:tcW w:w="493" w:type="dxa"/>
            <w:vMerge/>
            <w:shd w:val="clear" w:color="auto" w:fill="D9D9D9"/>
          </w:tcPr>
          <w:p w14:paraId="71E8DB7E"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p>
        </w:tc>
        <w:tc>
          <w:tcPr>
            <w:tcW w:w="1208" w:type="dxa"/>
            <w:vMerge/>
            <w:shd w:val="clear" w:color="auto" w:fill="D9D9D9"/>
          </w:tcPr>
          <w:p w14:paraId="0D396DC2" w14:textId="77777777" w:rsidR="00701AE8"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p>
        </w:tc>
        <w:tc>
          <w:tcPr>
            <w:tcW w:w="1701" w:type="dxa"/>
            <w:shd w:val="clear" w:color="auto" w:fill="D9D9D9"/>
          </w:tcPr>
          <w:p w14:paraId="6F345E0D" w14:textId="585C66C7" w:rsidR="00701AE8"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Cs w:val="24"/>
              </w:rPr>
              <w:t>RM</w:t>
            </w:r>
          </w:p>
        </w:tc>
        <w:tc>
          <w:tcPr>
            <w:tcW w:w="2552" w:type="dxa"/>
            <w:shd w:val="clear" w:color="auto" w:fill="D9D9D9"/>
          </w:tcPr>
          <w:p w14:paraId="470909DD" w14:textId="520DD46F" w:rsidR="00701AE8"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proofErr w:type="spellStart"/>
            <w:r>
              <w:rPr>
                <w:rFonts w:ascii="Calibri Light" w:hAnsi="Calibri Light" w:cs="Calibri Light"/>
                <w:b/>
                <w:bCs/>
                <w:szCs w:val="24"/>
              </w:rPr>
              <w:t>Conversionn</w:t>
            </w:r>
            <w:proofErr w:type="spellEnd"/>
            <w:r>
              <w:rPr>
                <w:rFonts w:ascii="Calibri Light" w:hAnsi="Calibri Light" w:cs="Calibri Light"/>
                <w:b/>
                <w:bCs/>
                <w:szCs w:val="24"/>
              </w:rPr>
              <w:t xml:space="preserve"> to RP</w:t>
            </w:r>
          </w:p>
        </w:tc>
      </w:tr>
      <w:tr w:rsidR="00701AE8" w:rsidRPr="00122F5F" w14:paraId="7706F974" w14:textId="77777777" w:rsidTr="00701AE8">
        <w:trPr>
          <w:jc w:val="center"/>
        </w:trPr>
        <w:tc>
          <w:tcPr>
            <w:tcW w:w="493" w:type="dxa"/>
          </w:tcPr>
          <w:p w14:paraId="198F42E4"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1208" w:type="dxa"/>
          </w:tcPr>
          <w:p w14:paraId="2805F18E" w14:textId="2C775C8B" w:rsidR="00701AE8" w:rsidRPr="00DB6DD0"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lang w:val="en" w:eastAsia="en-GB"/>
              </w:rPr>
            </w:pPr>
            <w:r>
              <w:rPr>
                <w:rFonts w:ascii="Calibri Light" w:hAnsi="Calibri Light" w:cs="Calibri Light"/>
                <w:lang w:val="en" w:eastAsia="en-GB"/>
              </w:rPr>
              <w:t>2010</w:t>
            </w:r>
          </w:p>
        </w:tc>
        <w:tc>
          <w:tcPr>
            <w:tcW w:w="1701" w:type="dxa"/>
          </w:tcPr>
          <w:p w14:paraId="0710AE6E" w14:textId="7A70ADDF" w:rsidR="00701AE8" w:rsidRPr="00DB6DD0" w:rsidRDefault="00701AE8" w:rsidP="00701AE8">
            <w:pPr>
              <w:pStyle w:val="ListParagraph"/>
              <w:widowControl w:val="0"/>
              <w:tabs>
                <w:tab w:val="num" w:pos="851"/>
              </w:tabs>
              <w:suppressAutoHyphens/>
              <w:spacing w:after="0" w:line="240" w:lineRule="auto"/>
              <w:ind w:left="0"/>
              <w:contextualSpacing w:val="0"/>
              <w:jc w:val="center"/>
              <w:rPr>
                <w:rFonts w:ascii="Calibri Light" w:hAnsi="Calibri Light" w:cs="Calibri Light"/>
                <w:lang w:val="en" w:eastAsia="en-GB"/>
              </w:rPr>
            </w:pPr>
            <w:r w:rsidRPr="00701AE8">
              <w:rPr>
                <w:rFonts w:ascii="Calibri Light" w:hAnsi="Calibri Light" w:cs="Calibri Light"/>
                <w:lang w:val="en" w:eastAsia="en-GB"/>
              </w:rPr>
              <w:t>399.923,80</w:t>
            </w:r>
          </w:p>
        </w:tc>
        <w:tc>
          <w:tcPr>
            <w:tcW w:w="2552" w:type="dxa"/>
            <w:vAlign w:val="center"/>
          </w:tcPr>
          <w:p w14:paraId="26005D45" w14:textId="49D0DD28" w:rsidR="00701AE8" w:rsidRPr="00F61880" w:rsidRDefault="00701AE8" w:rsidP="00701AE8">
            <w:pPr>
              <w:pStyle w:val="ListParagraph"/>
              <w:widowControl w:val="0"/>
              <w:tabs>
                <w:tab w:val="num" w:pos="851"/>
              </w:tabs>
              <w:suppressAutoHyphens/>
              <w:spacing w:after="0" w:line="240" w:lineRule="auto"/>
              <w:ind w:left="0"/>
              <w:contextualSpacing w:val="0"/>
              <w:jc w:val="center"/>
              <w:rPr>
                <w:rFonts w:ascii="Calibri Light" w:hAnsi="Calibri Light" w:cs="Calibri Light"/>
              </w:rPr>
            </w:pPr>
            <w:r w:rsidRPr="00701AE8">
              <w:rPr>
                <w:rFonts w:ascii="Calibri Light" w:hAnsi="Calibri Light" w:cs="Calibri Light"/>
              </w:rPr>
              <w:t>1.290.518.109,46</w:t>
            </w:r>
          </w:p>
        </w:tc>
      </w:tr>
      <w:tr w:rsidR="00701AE8" w:rsidRPr="00122F5F" w14:paraId="3FA21F59" w14:textId="77777777" w:rsidTr="00701AE8">
        <w:trPr>
          <w:jc w:val="center"/>
        </w:trPr>
        <w:tc>
          <w:tcPr>
            <w:tcW w:w="493" w:type="dxa"/>
          </w:tcPr>
          <w:p w14:paraId="619CCBBA"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1208" w:type="dxa"/>
          </w:tcPr>
          <w:p w14:paraId="574090AF" w14:textId="31476F3E" w:rsidR="00701AE8" w:rsidRDefault="00701AE8" w:rsidP="00620D41">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w:t>
            </w:r>
            <w:r>
              <w:rPr>
                <w:rStyle w:val="tlid-translation"/>
                <w:lang w:val="en"/>
              </w:rPr>
              <w:t>011</w:t>
            </w:r>
          </w:p>
        </w:tc>
        <w:tc>
          <w:tcPr>
            <w:tcW w:w="1701" w:type="dxa"/>
          </w:tcPr>
          <w:p w14:paraId="62FB7BEA" w14:textId="05975CB8" w:rsidR="00701AE8" w:rsidRPr="00122F5F"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396.318,17</w:t>
            </w:r>
          </w:p>
        </w:tc>
        <w:tc>
          <w:tcPr>
            <w:tcW w:w="2552" w:type="dxa"/>
          </w:tcPr>
          <w:p w14:paraId="64CDA0E3" w14:textId="2D0D75B1" w:rsidR="00701AE8" w:rsidRPr="00F61880" w:rsidRDefault="00701AE8" w:rsidP="00701AE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01AE8">
              <w:rPr>
                <w:rFonts w:ascii="Calibri Light" w:hAnsi="Calibri Light" w:cs="Calibri Light"/>
                <w:szCs w:val="24"/>
              </w:rPr>
              <w:t>1.278.883.065,95</w:t>
            </w:r>
          </w:p>
        </w:tc>
      </w:tr>
      <w:tr w:rsidR="00701AE8" w:rsidRPr="00122F5F" w14:paraId="1C42ECF5" w14:textId="77777777" w:rsidTr="00701AE8">
        <w:trPr>
          <w:jc w:val="center"/>
        </w:trPr>
        <w:tc>
          <w:tcPr>
            <w:tcW w:w="493" w:type="dxa"/>
          </w:tcPr>
          <w:p w14:paraId="49996EFA"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1208" w:type="dxa"/>
          </w:tcPr>
          <w:p w14:paraId="1E4337E7" w14:textId="3E8426AF" w:rsidR="00701AE8" w:rsidRDefault="00701AE8" w:rsidP="00620D41">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w:t>
            </w:r>
            <w:r>
              <w:rPr>
                <w:rStyle w:val="tlid-translation"/>
                <w:lang w:val="en"/>
              </w:rPr>
              <w:t>012</w:t>
            </w:r>
          </w:p>
        </w:tc>
        <w:tc>
          <w:tcPr>
            <w:tcW w:w="1701" w:type="dxa"/>
          </w:tcPr>
          <w:p w14:paraId="13C44C8C" w14:textId="6E601BAA" w:rsidR="00701AE8" w:rsidRPr="00122F5F"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445.078,52</w:t>
            </w:r>
          </w:p>
        </w:tc>
        <w:tc>
          <w:tcPr>
            <w:tcW w:w="2552" w:type="dxa"/>
          </w:tcPr>
          <w:p w14:paraId="6CB9501A" w14:textId="6E404F75" w:rsidR="00701AE8" w:rsidRPr="00122F5F" w:rsidRDefault="00701AE8" w:rsidP="00701AE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01AE8">
              <w:rPr>
                <w:rFonts w:ascii="Calibri Light" w:hAnsi="Calibri Light" w:cs="Calibri Light"/>
                <w:szCs w:val="24"/>
              </w:rPr>
              <w:t>1.436.228.326,97</w:t>
            </w:r>
          </w:p>
        </w:tc>
      </w:tr>
      <w:tr w:rsidR="00701AE8" w:rsidRPr="00122F5F" w14:paraId="08DDE4EA" w14:textId="77777777" w:rsidTr="00701AE8">
        <w:trPr>
          <w:jc w:val="center"/>
        </w:trPr>
        <w:tc>
          <w:tcPr>
            <w:tcW w:w="493" w:type="dxa"/>
          </w:tcPr>
          <w:p w14:paraId="4E89420D"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1208" w:type="dxa"/>
          </w:tcPr>
          <w:p w14:paraId="02B7DEC5" w14:textId="62FBAAE4" w:rsidR="00701AE8" w:rsidRDefault="00701AE8" w:rsidP="00620D41">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w:t>
            </w:r>
            <w:r>
              <w:rPr>
                <w:rStyle w:val="tlid-translation"/>
                <w:lang w:val="en"/>
              </w:rPr>
              <w:t>013</w:t>
            </w:r>
          </w:p>
        </w:tc>
        <w:tc>
          <w:tcPr>
            <w:tcW w:w="1701" w:type="dxa"/>
          </w:tcPr>
          <w:p w14:paraId="62E9CA36" w14:textId="4BEFA012" w:rsidR="00701AE8" w:rsidRPr="00122F5F"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988.651,74</w:t>
            </w:r>
          </w:p>
        </w:tc>
        <w:tc>
          <w:tcPr>
            <w:tcW w:w="2552" w:type="dxa"/>
          </w:tcPr>
          <w:p w14:paraId="3DFF5EA0" w14:textId="29364B03" w:rsidR="00701AE8" w:rsidRPr="00701AE8" w:rsidRDefault="00701AE8" w:rsidP="00701AE8">
            <w:pPr>
              <w:widowControl w:val="0"/>
              <w:tabs>
                <w:tab w:val="num" w:pos="851"/>
              </w:tabs>
              <w:suppressAutoHyphens/>
              <w:spacing w:after="0" w:line="240" w:lineRule="auto"/>
              <w:jc w:val="center"/>
              <w:rPr>
                <w:rFonts w:ascii="Calibri Light" w:hAnsi="Calibri Light" w:cs="Calibri Light"/>
                <w:szCs w:val="24"/>
              </w:rPr>
            </w:pPr>
            <w:r w:rsidRPr="00701AE8">
              <w:rPr>
                <w:rFonts w:ascii="Calibri Light" w:hAnsi="Calibri Light" w:cs="Calibri Light"/>
                <w:szCs w:val="24"/>
              </w:rPr>
              <w:t>3.190.290.186,32</w:t>
            </w:r>
          </w:p>
        </w:tc>
      </w:tr>
      <w:tr w:rsidR="00701AE8" w:rsidRPr="00122F5F" w14:paraId="3B1331D6" w14:textId="77777777" w:rsidTr="00701AE8">
        <w:trPr>
          <w:jc w:val="center"/>
        </w:trPr>
        <w:tc>
          <w:tcPr>
            <w:tcW w:w="493" w:type="dxa"/>
          </w:tcPr>
          <w:p w14:paraId="43A38EBE"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Pr>
                <w:rFonts w:ascii="Calibri Light" w:hAnsi="Calibri Light" w:cs="Calibri Light"/>
                <w:szCs w:val="24"/>
              </w:rPr>
              <w:t>5</w:t>
            </w:r>
            <w:r w:rsidRPr="00122F5F">
              <w:rPr>
                <w:rFonts w:ascii="Calibri Light" w:hAnsi="Calibri Light" w:cs="Calibri Light"/>
                <w:szCs w:val="24"/>
              </w:rPr>
              <w:t>.</w:t>
            </w:r>
          </w:p>
        </w:tc>
        <w:tc>
          <w:tcPr>
            <w:tcW w:w="1208" w:type="dxa"/>
          </w:tcPr>
          <w:p w14:paraId="74A7EF87" w14:textId="7AE9CF71" w:rsidR="00701AE8" w:rsidRDefault="00701AE8" w:rsidP="00620D41">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w:t>
            </w:r>
            <w:r>
              <w:rPr>
                <w:rStyle w:val="tlid-translation"/>
                <w:lang w:val="en"/>
              </w:rPr>
              <w:t>014</w:t>
            </w:r>
          </w:p>
        </w:tc>
        <w:tc>
          <w:tcPr>
            <w:tcW w:w="1701" w:type="dxa"/>
          </w:tcPr>
          <w:p w14:paraId="699D0C72" w14:textId="17EF8182" w:rsidR="00701AE8" w:rsidRPr="00DB6DD0"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2.063.153,72</w:t>
            </w:r>
          </w:p>
        </w:tc>
        <w:tc>
          <w:tcPr>
            <w:tcW w:w="2552" w:type="dxa"/>
          </w:tcPr>
          <w:p w14:paraId="48F35BBD" w14:textId="38BC1349" w:rsidR="00701AE8" w:rsidRPr="00701AE8" w:rsidRDefault="00701AE8" w:rsidP="00701AE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01AE8">
              <w:rPr>
                <w:rFonts w:ascii="Calibri Light" w:hAnsi="Calibri Light" w:cs="Calibri Light"/>
                <w:szCs w:val="24"/>
              </w:rPr>
              <w:t>6.657.611.370,61</w:t>
            </w:r>
          </w:p>
        </w:tc>
      </w:tr>
      <w:tr w:rsidR="00701AE8" w:rsidRPr="00122F5F" w14:paraId="23545393" w14:textId="77777777" w:rsidTr="00701AE8">
        <w:trPr>
          <w:jc w:val="center"/>
        </w:trPr>
        <w:tc>
          <w:tcPr>
            <w:tcW w:w="493" w:type="dxa"/>
          </w:tcPr>
          <w:p w14:paraId="6A6B9FDA"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Pr>
                <w:rFonts w:ascii="Calibri Light" w:hAnsi="Calibri Light" w:cs="Calibri Light"/>
                <w:szCs w:val="24"/>
              </w:rPr>
              <w:t>6</w:t>
            </w:r>
            <w:r w:rsidRPr="00122F5F">
              <w:rPr>
                <w:rFonts w:ascii="Calibri Light" w:hAnsi="Calibri Light" w:cs="Calibri Light"/>
                <w:szCs w:val="24"/>
              </w:rPr>
              <w:t>.</w:t>
            </w:r>
          </w:p>
        </w:tc>
        <w:tc>
          <w:tcPr>
            <w:tcW w:w="1208" w:type="dxa"/>
          </w:tcPr>
          <w:p w14:paraId="3DE0687B" w14:textId="349D37EF" w:rsidR="00701AE8" w:rsidRDefault="00701AE8" w:rsidP="00620D41">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w:t>
            </w:r>
            <w:r>
              <w:rPr>
                <w:rStyle w:val="tlid-translation"/>
                <w:lang w:val="en"/>
              </w:rPr>
              <w:t>015</w:t>
            </w:r>
          </w:p>
        </w:tc>
        <w:tc>
          <w:tcPr>
            <w:tcW w:w="1701" w:type="dxa"/>
          </w:tcPr>
          <w:p w14:paraId="6514FAF1" w14:textId="0A39C9DC" w:rsid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2.034.494,72</w:t>
            </w:r>
          </w:p>
        </w:tc>
        <w:tc>
          <w:tcPr>
            <w:tcW w:w="2552" w:type="dxa"/>
          </w:tcPr>
          <w:p w14:paraId="70EBDB98" w14:textId="78845439" w:rsidR="00701AE8" w:rsidRP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6.565.131.356,92</w:t>
            </w:r>
          </w:p>
        </w:tc>
      </w:tr>
      <w:tr w:rsidR="00701AE8" w:rsidRPr="00122F5F" w14:paraId="72C22FE9" w14:textId="77777777" w:rsidTr="00701AE8">
        <w:trPr>
          <w:jc w:val="center"/>
        </w:trPr>
        <w:tc>
          <w:tcPr>
            <w:tcW w:w="493" w:type="dxa"/>
          </w:tcPr>
          <w:p w14:paraId="751703E5"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7</w:t>
            </w:r>
            <w:r w:rsidRPr="00122F5F">
              <w:rPr>
                <w:rFonts w:ascii="Calibri Light" w:hAnsi="Calibri Light" w:cs="Calibri Light"/>
                <w:szCs w:val="24"/>
              </w:rPr>
              <w:t>.</w:t>
            </w:r>
          </w:p>
        </w:tc>
        <w:tc>
          <w:tcPr>
            <w:tcW w:w="1208" w:type="dxa"/>
          </w:tcPr>
          <w:p w14:paraId="0EFD4BB3" w14:textId="7AB8DFC0" w:rsidR="00701AE8" w:rsidRDefault="00701AE8" w:rsidP="00620D41">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2016</w:t>
            </w:r>
          </w:p>
        </w:tc>
        <w:tc>
          <w:tcPr>
            <w:tcW w:w="1701" w:type="dxa"/>
          </w:tcPr>
          <w:p w14:paraId="264DCDE6" w14:textId="44D4B11C" w:rsid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2.184.805,45</w:t>
            </w:r>
          </w:p>
        </w:tc>
        <w:tc>
          <w:tcPr>
            <w:tcW w:w="2552" w:type="dxa"/>
          </w:tcPr>
          <w:p w14:paraId="11E0A90E" w14:textId="4C48A608" w:rsidR="00701AE8" w:rsidRP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7.050.170.554,66</w:t>
            </w:r>
          </w:p>
        </w:tc>
      </w:tr>
      <w:tr w:rsidR="00701AE8" w:rsidRPr="00122F5F" w14:paraId="3E9FD760" w14:textId="77777777" w:rsidTr="00701AE8">
        <w:trPr>
          <w:jc w:val="center"/>
        </w:trPr>
        <w:tc>
          <w:tcPr>
            <w:tcW w:w="493" w:type="dxa"/>
          </w:tcPr>
          <w:p w14:paraId="1EB4F5D5"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8</w:t>
            </w:r>
            <w:r w:rsidRPr="00122F5F">
              <w:rPr>
                <w:rFonts w:ascii="Calibri Light" w:hAnsi="Calibri Light" w:cs="Calibri Light"/>
                <w:szCs w:val="24"/>
              </w:rPr>
              <w:t>.</w:t>
            </w:r>
          </w:p>
        </w:tc>
        <w:tc>
          <w:tcPr>
            <w:tcW w:w="1208" w:type="dxa"/>
          </w:tcPr>
          <w:p w14:paraId="1F47AD58" w14:textId="291B04EA" w:rsidR="00701AE8" w:rsidRDefault="00701AE8" w:rsidP="00620D41">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2017</w:t>
            </w:r>
          </w:p>
        </w:tc>
        <w:tc>
          <w:tcPr>
            <w:tcW w:w="1701" w:type="dxa"/>
          </w:tcPr>
          <w:p w14:paraId="1BD1CEF4" w14:textId="637BC8F7" w:rsid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2.667.079,56</w:t>
            </w:r>
          </w:p>
        </w:tc>
        <w:tc>
          <w:tcPr>
            <w:tcW w:w="2552" w:type="dxa"/>
          </w:tcPr>
          <w:p w14:paraId="5AFD3324" w14:textId="1DCF1384" w:rsidR="00701AE8" w:rsidRP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8.606.425.702,96</w:t>
            </w:r>
          </w:p>
        </w:tc>
      </w:tr>
      <w:tr w:rsidR="00701AE8" w:rsidRPr="00122F5F" w14:paraId="426BA8C4" w14:textId="77777777" w:rsidTr="00701AE8">
        <w:trPr>
          <w:jc w:val="center"/>
        </w:trPr>
        <w:tc>
          <w:tcPr>
            <w:tcW w:w="493" w:type="dxa"/>
          </w:tcPr>
          <w:p w14:paraId="15165BEA"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9</w:t>
            </w:r>
            <w:r w:rsidRPr="00122F5F">
              <w:rPr>
                <w:rFonts w:ascii="Calibri Light" w:hAnsi="Calibri Light" w:cs="Calibri Light"/>
                <w:szCs w:val="24"/>
              </w:rPr>
              <w:t>.</w:t>
            </w:r>
          </w:p>
        </w:tc>
        <w:tc>
          <w:tcPr>
            <w:tcW w:w="1208" w:type="dxa"/>
          </w:tcPr>
          <w:p w14:paraId="15D0D1EA" w14:textId="2C96DA81" w:rsidR="00701AE8" w:rsidRDefault="00701AE8" w:rsidP="00620D41">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2018</w:t>
            </w:r>
          </w:p>
        </w:tc>
        <w:tc>
          <w:tcPr>
            <w:tcW w:w="1701" w:type="dxa"/>
          </w:tcPr>
          <w:p w14:paraId="0711B070" w14:textId="6329C222" w:rsid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2.781.107,54</w:t>
            </w:r>
          </w:p>
        </w:tc>
        <w:tc>
          <w:tcPr>
            <w:tcW w:w="2552" w:type="dxa"/>
          </w:tcPr>
          <w:p w14:paraId="4CAA7587" w14:textId="240D284C" w:rsidR="00701AE8" w:rsidRP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8.974.383.731,90</w:t>
            </w:r>
          </w:p>
        </w:tc>
      </w:tr>
      <w:tr w:rsidR="00701AE8" w:rsidRPr="00122F5F" w14:paraId="634D8BA7" w14:textId="77777777" w:rsidTr="00701AE8">
        <w:trPr>
          <w:jc w:val="center"/>
        </w:trPr>
        <w:tc>
          <w:tcPr>
            <w:tcW w:w="493" w:type="dxa"/>
          </w:tcPr>
          <w:p w14:paraId="3736302F" w14:textId="77777777" w:rsidR="00701AE8" w:rsidRPr="00122F5F" w:rsidRDefault="00701AE8"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10</w:t>
            </w:r>
            <w:r w:rsidRPr="00122F5F">
              <w:rPr>
                <w:rFonts w:ascii="Calibri Light" w:hAnsi="Calibri Light" w:cs="Calibri Light"/>
                <w:szCs w:val="24"/>
              </w:rPr>
              <w:t>.</w:t>
            </w:r>
          </w:p>
        </w:tc>
        <w:tc>
          <w:tcPr>
            <w:tcW w:w="1208" w:type="dxa"/>
          </w:tcPr>
          <w:p w14:paraId="34E351C4" w14:textId="130A4CD0" w:rsidR="00701AE8" w:rsidRDefault="00701AE8" w:rsidP="00620D41">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Pr>
                <w:rStyle w:val="tlid-translation"/>
                <w:rFonts w:ascii="Calibri Light" w:hAnsi="Calibri Light" w:cs="Calibri Light"/>
                <w:lang w:val="en"/>
              </w:rPr>
              <w:t>2019</w:t>
            </w:r>
          </w:p>
        </w:tc>
        <w:tc>
          <w:tcPr>
            <w:tcW w:w="1701" w:type="dxa"/>
          </w:tcPr>
          <w:p w14:paraId="0FC4AC1D" w14:textId="560A496D" w:rsid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2.850.942,82</w:t>
            </w:r>
          </w:p>
        </w:tc>
        <w:tc>
          <w:tcPr>
            <w:tcW w:w="2552" w:type="dxa"/>
          </w:tcPr>
          <w:p w14:paraId="070B9B32" w14:textId="056A5F58" w:rsidR="00701AE8" w:rsidRPr="00701AE8" w:rsidRDefault="00701AE8" w:rsidP="00701AE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701AE8">
              <w:rPr>
                <w:rStyle w:val="tlid-translation"/>
                <w:rFonts w:ascii="Calibri Light" w:hAnsi="Calibri Light" w:cs="Calibri Light"/>
                <w:lang w:val="en"/>
              </w:rPr>
              <w:t>9.199.735.895,29</w:t>
            </w:r>
          </w:p>
        </w:tc>
      </w:tr>
    </w:tbl>
    <w:p w14:paraId="2C4C830C" w14:textId="4E7C4C01" w:rsidR="00C13272" w:rsidRDefault="00C13272" w:rsidP="005A62F6">
      <w:pPr>
        <w:spacing w:before="120" w:after="120" w:line="240" w:lineRule="auto"/>
        <w:jc w:val="center"/>
        <w:rPr>
          <w:rFonts w:asciiTheme="majorHAnsi" w:hAnsiTheme="majorHAnsi" w:cstheme="majorHAnsi"/>
          <w:sz w:val="24"/>
          <w:szCs w:val="24"/>
        </w:rPr>
      </w:pPr>
      <w:r w:rsidRPr="00C13272">
        <w:rPr>
          <w:rFonts w:asciiTheme="majorHAnsi" w:hAnsiTheme="majorHAnsi" w:cstheme="majorHAnsi"/>
          <w:b/>
          <w:bCs/>
          <w:sz w:val="24"/>
          <w:szCs w:val="24"/>
        </w:rPr>
        <w:t>Source</w:t>
      </w:r>
      <w:r>
        <w:rPr>
          <w:rFonts w:asciiTheme="majorHAnsi" w:hAnsiTheme="majorHAnsi" w:cstheme="majorHAnsi"/>
          <w:sz w:val="24"/>
          <w:szCs w:val="24"/>
        </w:rPr>
        <w:t>:</w:t>
      </w:r>
      <w:r w:rsidRPr="00C13272">
        <w:rPr>
          <w:rFonts w:asciiTheme="majorHAnsi" w:hAnsiTheme="majorHAnsi" w:cstheme="majorHAnsi"/>
          <w:sz w:val="24"/>
          <w:szCs w:val="24"/>
        </w:rPr>
        <w:t xml:space="preserve"> Malaysian Waqf Foundation</w:t>
      </w:r>
    </w:p>
    <w:p w14:paraId="384B64FB" w14:textId="3FC8B12F" w:rsidR="00AF3C3E" w:rsidRPr="00EC77AC" w:rsidRDefault="00C13272" w:rsidP="00181536">
      <w:pPr>
        <w:spacing w:before="120" w:after="120" w:line="240" w:lineRule="auto"/>
        <w:ind w:left="425"/>
        <w:jc w:val="center"/>
        <w:rPr>
          <w:rFonts w:asciiTheme="majorHAnsi" w:hAnsiTheme="majorHAnsi" w:cstheme="majorHAnsi"/>
          <w:sz w:val="24"/>
          <w:szCs w:val="24"/>
        </w:rPr>
      </w:pPr>
      <w:r w:rsidRPr="00C13272">
        <w:rPr>
          <w:rFonts w:asciiTheme="majorHAnsi" w:hAnsiTheme="majorHAnsi" w:cstheme="majorHAnsi"/>
          <w:b/>
          <w:bCs/>
          <w:sz w:val="24"/>
          <w:szCs w:val="24"/>
        </w:rPr>
        <w:t>Note</w:t>
      </w:r>
      <w:r w:rsidRPr="00C13272">
        <w:rPr>
          <w:rFonts w:asciiTheme="majorHAnsi" w:hAnsiTheme="majorHAnsi" w:cstheme="majorHAnsi"/>
          <w:sz w:val="24"/>
          <w:szCs w:val="24"/>
        </w:rPr>
        <w:t>: 1 RM as of September 20, 2024 = Rp. 3,602.51</w:t>
      </w:r>
    </w:p>
    <w:p w14:paraId="366C66D6" w14:textId="67D8AD64" w:rsidR="005C3094" w:rsidRPr="00181536" w:rsidRDefault="00AF3C3E" w:rsidP="00181536">
      <w:pPr>
        <w:pStyle w:val="ListParagraph"/>
        <w:numPr>
          <w:ilvl w:val="0"/>
          <w:numId w:val="8"/>
        </w:numPr>
        <w:spacing w:before="120" w:after="120" w:line="240" w:lineRule="auto"/>
        <w:ind w:left="0"/>
        <w:jc w:val="both"/>
        <w:rPr>
          <w:rFonts w:asciiTheme="majorHAnsi" w:hAnsiTheme="majorHAnsi" w:cstheme="majorHAnsi"/>
          <w:b/>
          <w:bCs/>
          <w:sz w:val="24"/>
          <w:szCs w:val="24"/>
        </w:rPr>
      </w:pPr>
      <w:r w:rsidRPr="00181536">
        <w:rPr>
          <w:rFonts w:asciiTheme="majorHAnsi" w:hAnsiTheme="majorHAnsi" w:cstheme="majorHAnsi"/>
          <w:b/>
          <w:bCs/>
          <w:sz w:val="24"/>
          <w:szCs w:val="24"/>
        </w:rPr>
        <w:t>Singapore</w:t>
      </w:r>
    </w:p>
    <w:p w14:paraId="6E1FB0F9" w14:textId="4E13B5B6" w:rsidR="00AF3C3E" w:rsidRPr="00EC77AC" w:rsidRDefault="00AF3C3E" w:rsidP="00181536">
      <w:pPr>
        <w:spacing w:before="120" w:after="120" w:line="240" w:lineRule="auto"/>
        <w:jc w:val="both"/>
        <w:rPr>
          <w:rFonts w:asciiTheme="majorHAnsi" w:hAnsiTheme="majorHAnsi" w:cstheme="majorHAnsi"/>
          <w:sz w:val="24"/>
          <w:szCs w:val="24"/>
        </w:rPr>
      </w:pPr>
      <w:r w:rsidRPr="00EC77AC">
        <w:rPr>
          <w:rFonts w:asciiTheme="majorHAnsi" w:hAnsiTheme="majorHAnsi" w:cstheme="majorHAnsi"/>
          <w:sz w:val="24"/>
          <w:szCs w:val="24"/>
        </w:rPr>
        <w:t>The issue of the legal implementation of Islamic law in Singapore, including waqf, is regulated under The Administration of Muslim Law Act (AMLA). It was enacted through Act No. 27 of 1966 and has been in effect since July 1, 1968. AMLA consists of 10 (ten) chapters and 146 (one hundred and forty-six) sections, which cover topics such as waqf, marriage, divorce, inheritance, hajj, zakat, and others. Specifically, the details about zakat are explained in the following table:</w:t>
      </w:r>
    </w:p>
    <w:p w14:paraId="72B55D40" w14:textId="77777777" w:rsidR="00C13272" w:rsidRPr="00EC77AC" w:rsidRDefault="00C13272" w:rsidP="005C3094">
      <w:pPr>
        <w:spacing w:after="0"/>
        <w:jc w:val="both"/>
        <w:rPr>
          <w:rFonts w:asciiTheme="majorHAnsi" w:hAnsiTheme="majorHAnsi" w:cstheme="majorHAnsi"/>
          <w:sz w:val="24"/>
          <w:szCs w:val="24"/>
        </w:rPr>
      </w:pPr>
    </w:p>
    <w:p w14:paraId="334D7676" w14:textId="77777777" w:rsidR="00D17543" w:rsidRDefault="00D17543" w:rsidP="00B00F5C">
      <w:pPr>
        <w:spacing w:after="0"/>
        <w:jc w:val="center"/>
        <w:rPr>
          <w:rFonts w:asciiTheme="majorHAnsi" w:hAnsiTheme="majorHAnsi" w:cstheme="majorHAnsi"/>
          <w:b/>
          <w:bCs/>
          <w:sz w:val="24"/>
          <w:szCs w:val="24"/>
        </w:rPr>
      </w:pPr>
      <w:r w:rsidRPr="00EC77AC">
        <w:rPr>
          <w:rFonts w:asciiTheme="majorHAnsi" w:hAnsiTheme="majorHAnsi" w:cstheme="majorHAnsi"/>
          <w:b/>
          <w:bCs/>
          <w:sz w:val="24"/>
          <w:szCs w:val="24"/>
        </w:rPr>
        <w:lastRenderedPageBreak/>
        <w:t>Table 05. AMLA (Specifically Concerning Zakat)</w:t>
      </w:r>
    </w:p>
    <w:tbl>
      <w:tblPr>
        <w:tblW w:w="8364"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493"/>
        <w:gridCol w:w="2626"/>
        <w:gridCol w:w="5245"/>
      </w:tblGrid>
      <w:tr w:rsidR="00F61880" w:rsidRPr="00701AE8" w14:paraId="0CD0B1BE" w14:textId="77777777" w:rsidTr="00701AE8">
        <w:trPr>
          <w:jc w:val="center"/>
        </w:trPr>
        <w:tc>
          <w:tcPr>
            <w:tcW w:w="493" w:type="dxa"/>
            <w:shd w:val="clear" w:color="auto" w:fill="D9D9D9"/>
          </w:tcPr>
          <w:p w14:paraId="30D2F5F3" w14:textId="77777777" w:rsidR="00F61880" w:rsidRPr="00701AE8"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rPr>
            </w:pPr>
            <w:r w:rsidRPr="00701AE8">
              <w:rPr>
                <w:rFonts w:ascii="Calibri Light" w:hAnsi="Calibri Light" w:cs="Calibri Light"/>
                <w:b/>
                <w:bCs/>
              </w:rPr>
              <w:t>No</w:t>
            </w:r>
          </w:p>
        </w:tc>
        <w:tc>
          <w:tcPr>
            <w:tcW w:w="2626" w:type="dxa"/>
            <w:shd w:val="clear" w:color="auto" w:fill="D9D9D9"/>
          </w:tcPr>
          <w:p w14:paraId="2B6183C5" w14:textId="4445F32B" w:rsidR="00F61880" w:rsidRPr="00701AE8"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rPr>
            </w:pPr>
            <w:r w:rsidRPr="00701AE8">
              <w:rPr>
                <w:rFonts w:ascii="Calibri Light" w:hAnsi="Calibri Light" w:cs="Calibri Light"/>
                <w:b/>
                <w:bCs/>
              </w:rPr>
              <w:t>Section</w:t>
            </w:r>
          </w:p>
        </w:tc>
        <w:tc>
          <w:tcPr>
            <w:tcW w:w="5245" w:type="dxa"/>
            <w:shd w:val="clear" w:color="auto" w:fill="D9D9D9"/>
          </w:tcPr>
          <w:p w14:paraId="5708EF49" w14:textId="63A49D4A" w:rsidR="00F61880" w:rsidRPr="00701AE8"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rPr>
            </w:pPr>
            <w:r w:rsidRPr="00701AE8">
              <w:rPr>
                <w:rFonts w:ascii="Calibri Light" w:hAnsi="Calibri Light" w:cs="Calibri Light"/>
                <w:b/>
                <w:bCs/>
              </w:rPr>
              <w:t>Regulation</w:t>
            </w:r>
          </w:p>
        </w:tc>
      </w:tr>
      <w:tr w:rsidR="00F61880" w:rsidRPr="00701AE8" w14:paraId="2B3C49BB" w14:textId="77777777" w:rsidTr="00701AE8">
        <w:trPr>
          <w:jc w:val="center"/>
        </w:trPr>
        <w:tc>
          <w:tcPr>
            <w:tcW w:w="493" w:type="dxa"/>
          </w:tcPr>
          <w:p w14:paraId="3D3F80EB" w14:textId="77777777" w:rsidR="00F61880" w:rsidRPr="00701AE8"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b/>
                <w:bCs/>
              </w:rPr>
            </w:pPr>
            <w:r w:rsidRPr="00701AE8">
              <w:rPr>
                <w:rFonts w:ascii="Calibri Light" w:hAnsi="Calibri Light" w:cs="Calibri Light"/>
                <w:b/>
                <w:bCs/>
              </w:rPr>
              <w:t>1.</w:t>
            </w:r>
          </w:p>
        </w:tc>
        <w:tc>
          <w:tcPr>
            <w:tcW w:w="2626" w:type="dxa"/>
          </w:tcPr>
          <w:p w14:paraId="1519658D" w14:textId="246404A3" w:rsidR="00F61880" w:rsidRPr="00701AE8" w:rsidRDefault="00701AE8" w:rsidP="00C13272">
            <w:pPr>
              <w:pStyle w:val="ListParagraph"/>
              <w:widowControl w:val="0"/>
              <w:tabs>
                <w:tab w:val="num" w:pos="851"/>
              </w:tabs>
              <w:suppressAutoHyphens/>
              <w:spacing w:after="0" w:line="240" w:lineRule="auto"/>
              <w:ind w:left="0"/>
              <w:contextualSpacing w:val="0"/>
              <w:rPr>
                <w:rFonts w:ascii="Calibri Light" w:hAnsi="Calibri Light" w:cs="Calibri Light"/>
                <w:lang w:val="en" w:eastAsia="en-GB"/>
              </w:rPr>
            </w:pPr>
            <w:r w:rsidRPr="00701AE8">
              <w:rPr>
                <w:rFonts w:ascii="Calibri Light" w:hAnsi="Calibri Light" w:cs="Calibri Light"/>
                <w:lang w:val="en" w:eastAsia="en-GB"/>
              </w:rPr>
              <w:t>Section 64, Paragraph 1</w:t>
            </w:r>
          </w:p>
        </w:tc>
        <w:tc>
          <w:tcPr>
            <w:tcW w:w="5245" w:type="dxa"/>
            <w:vAlign w:val="center"/>
          </w:tcPr>
          <w:p w14:paraId="0A599F2D" w14:textId="296D3AC6" w:rsidR="00F61880" w:rsidRPr="00701AE8" w:rsidRDefault="00701AE8" w:rsidP="00620D41">
            <w:pPr>
              <w:pStyle w:val="ListParagraph"/>
              <w:widowControl w:val="0"/>
              <w:tabs>
                <w:tab w:val="num" w:pos="851"/>
              </w:tabs>
              <w:suppressAutoHyphens/>
              <w:spacing w:after="0" w:line="240" w:lineRule="auto"/>
              <w:ind w:left="0"/>
              <w:contextualSpacing w:val="0"/>
              <w:rPr>
                <w:rFonts w:ascii="Calibri Light" w:hAnsi="Calibri Light" w:cs="Calibri Light"/>
              </w:rPr>
            </w:pPr>
            <w:r w:rsidRPr="00701AE8">
              <w:rPr>
                <w:rFonts w:asciiTheme="majorHAnsi" w:hAnsiTheme="majorHAnsi" w:cstheme="majorHAnsi"/>
              </w:rPr>
              <w:t>Registration of Waqf</w:t>
            </w:r>
          </w:p>
        </w:tc>
      </w:tr>
      <w:tr w:rsidR="00F61880" w:rsidRPr="00701AE8" w14:paraId="7CC39B1C" w14:textId="77777777" w:rsidTr="00701AE8">
        <w:trPr>
          <w:jc w:val="center"/>
        </w:trPr>
        <w:tc>
          <w:tcPr>
            <w:tcW w:w="493" w:type="dxa"/>
          </w:tcPr>
          <w:p w14:paraId="42E5503E" w14:textId="77777777" w:rsidR="00F61880" w:rsidRPr="00701AE8"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rPr>
            </w:pPr>
            <w:r w:rsidRPr="00701AE8">
              <w:rPr>
                <w:rFonts w:ascii="Calibri Light" w:hAnsi="Calibri Light" w:cs="Calibri Light"/>
              </w:rPr>
              <w:t>2.</w:t>
            </w:r>
          </w:p>
        </w:tc>
        <w:tc>
          <w:tcPr>
            <w:tcW w:w="2626" w:type="dxa"/>
          </w:tcPr>
          <w:p w14:paraId="3DB3844B" w14:textId="61B396C3" w:rsidR="00F61880" w:rsidRPr="00701AE8" w:rsidRDefault="00701AE8" w:rsidP="00C1327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701AE8">
              <w:rPr>
                <w:rStyle w:val="tlid-translation"/>
                <w:rFonts w:ascii="Calibri Light" w:hAnsi="Calibri Light" w:cs="Calibri Light"/>
                <w:lang w:val="en"/>
              </w:rPr>
              <w:t xml:space="preserve">Section 64, Paragraph </w:t>
            </w:r>
            <w:r w:rsidRPr="00701AE8">
              <w:rPr>
                <w:rStyle w:val="tlid-translation"/>
                <w:rFonts w:ascii="Calibri Light" w:hAnsi="Calibri Light" w:cs="Calibri Light"/>
                <w:lang w:val="en"/>
              </w:rPr>
              <w:t>2</w:t>
            </w:r>
          </w:p>
        </w:tc>
        <w:tc>
          <w:tcPr>
            <w:tcW w:w="5245" w:type="dxa"/>
          </w:tcPr>
          <w:p w14:paraId="2AE70BFC" w14:textId="27E17D8E" w:rsidR="00F61880" w:rsidRPr="00701AE8" w:rsidRDefault="00701AE8" w:rsidP="00620D41">
            <w:pPr>
              <w:pStyle w:val="ListParagraph"/>
              <w:widowControl w:val="0"/>
              <w:tabs>
                <w:tab w:val="num" w:pos="851"/>
              </w:tabs>
              <w:suppressAutoHyphens/>
              <w:spacing w:after="0" w:line="240" w:lineRule="auto"/>
              <w:ind w:left="0"/>
              <w:contextualSpacing w:val="0"/>
              <w:rPr>
                <w:rFonts w:ascii="Calibri Light" w:hAnsi="Calibri Light" w:cs="Calibri Light"/>
              </w:rPr>
            </w:pPr>
            <w:r w:rsidRPr="00701AE8">
              <w:rPr>
                <w:rFonts w:asciiTheme="majorHAnsi" w:hAnsiTheme="majorHAnsi" w:cstheme="majorHAnsi"/>
              </w:rPr>
              <w:t xml:space="preserve">Implementation of waqf registration by </w:t>
            </w:r>
            <w:proofErr w:type="spellStart"/>
            <w:r w:rsidRPr="00701AE8">
              <w:rPr>
                <w:rFonts w:asciiTheme="majorHAnsi" w:hAnsiTheme="majorHAnsi" w:cstheme="majorHAnsi"/>
              </w:rPr>
              <w:t>Muwatallī</w:t>
            </w:r>
            <w:proofErr w:type="spellEnd"/>
          </w:p>
        </w:tc>
      </w:tr>
      <w:tr w:rsidR="00F61880" w:rsidRPr="00701AE8" w14:paraId="165EC6FB" w14:textId="77777777" w:rsidTr="00701AE8">
        <w:trPr>
          <w:jc w:val="center"/>
        </w:trPr>
        <w:tc>
          <w:tcPr>
            <w:tcW w:w="493" w:type="dxa"/>
          </w:tcPr>
          <w:p w14:paraId="772275D5" w14:textId="77777777" w:rsidR="00F61880" w:rsidRPr="00701AE8"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rPr>
            </w:pPr>
            <w:r w:rsidRPr="00701AE8">
              <w:rPr>
                <w:rFonts w:ascii="Calibri Light" w:hAnsi="Calibri Light" w:cs="Calibri Light"/>
              </w:rPr>
              <w:t>3.</w:t>
            </w:r>
          </w:p>
        </w:tc>
        <w:tc>
          <w:tcPr>
            <w:tcW w:w="2626" w:type="dxa"/>
          </w:tcPr>
          <w:p w14:paraId="69B72E08" w14:textId="4B69A484" w:rsidR="00F61880" w:rsidRPr="00701AE8" w:rsidRDefault="00701AE8" w:rsidP="00C1327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701AE8">
              <w:rPr>
                <w:rStyle w:val="tlid-translation"/>
                <w:rFonts w:ascii="Calibri Light" w:hAnsi="Calibri Light" w:cs="Calibri Light"/>
                <w:lang w:val="en"/>
              </w:rPr>
              <w:t xml:space="preserve">Section 64, Paragraph </w:t>
            </w:r>
            <w:r w:rsidRPr="00701AE8">
              <w:rPr>
                <w:rStyle w:val="tlid-translation"/>
                <w:rFonts w:ascii="Calibri Light" w:hAnsi="Calibri Light" w:cs="Calibri Light"/>
                <w:lang w:val="en"/>
              </w:rPr>
              <w:t>3-8</w:t>
            </w:r>
          </w:p>
        </w:tc>
        <w:tc>
          <w:tcPr>
            <w:tcW w:w="5245" w:type="dxa"/>
          </w:tcPr>
          <w:p w14:paraId="336DCD03" w14:textId="05E9EA27" w:rsidR="00F61880" w:rsidRPr="00701AE8" w:rsidRDefault="00701AE8" w:rsidP="00620D41">
            <w:pPr>
              <w:pStyle w:val="ListParagraph"/>
              <w:widowControl w:val="0"/>
              <w:tabs>
                <w:tab w:val="num" w:pos="851"/>
              </w:tabs>
              <w:suppressAutoHyphens/>
              <w:spacing w:after="0" w:line="240" w:lineRule="auto"/>
              <w:ind w:left="0"/>
              <w:contextualSpacing w:val="0"/>
              <w:rPr>
                <w:rFonts w:ascii="Calibri Light" w:hAnsi="Calibri Light" w:cs="Calibri Light"/>
              </w:rPr>
            </w:pPr>
            <w:r w:rsidRPr="00701AE8">
              <w:rPr>
                <w:rFonts w:ascii="Calibri Light" w:hAnsi="Calibri Light" w:cs="Calibri Light"/>
              </w:rPr>
              <w:t>Procedures and requirements for waqf registration</w:t>
            </w:r>
          </w:p>
        </w:tc>
      </w:tr>
      <w:tr w:rsidR="00F61880" w:rsidRPr="00701AE8" w14:paraId="17CFA309" w14:textId="77777777" w:rsidTr="00701AE8">
        <w:trPr>
          <w:jc w:val="center"/>
        </w:trPr>
        <w:tc>
          <w:tcPr>
            <w:tcW w:w="493" w:type="dxa"/>
          </w:tcPr>
          <w:p w14:paraId="4D044B52" w14:textId="77777777" w:rsidR="00F61880" w:rsidRPr="00701AE8"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rPr>
            </w:pPr>
            <w:r w:rsidRPr="00701AE8">
              <w:rPr>
                <w:rFonts w:ascii="Calibri Light" w:hAnsi="Calibri Light" w:cs="Calibri Light"/>
              </w:rPr>
              <w:t>4.</w:t>
            </w:r>
          </w:p>
        </w:tc>
        <w:tc>
          <w:tcPr>
            <w:tcW w:w="2626" w:type="dxa"/>
          </w:tcPr>
          <w:p w14:paraId="49FF6C16" w14:textId="6B2DE66D" w:rsidR="00F61880" w:rsidRPr="00701AE8" w:rsidRDefault="00701AE8" w:rsidP="00C1327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701AE8">
              <w:rPr>
                <w:rStyle w:val="tlid-translation"/>
                <w:rFonts w:ascii="Calibri Light" w:hAnsi="Calibri Light" w:cs="Calibri Light"/>
                <w:lang w:val="en"/>
              </w:rPr>
              <w:t xml:space="preserve">Section 64, Paragraph </w:t>
            </w:r>
            <w:r w:rsidRPr="00701AE8">
              <w:rPr>
                <w:rStyle w:val="tlid-translation"/>
                <w:rFonts w:ascii="Calibri Light" w:hAnsi="Calibri Light" w:cs="Calibri Light"/>
                <w:lang w:val="en"/>
              </w:rPr>
              <w:t>9-10</w:t>
            </w:r>
          </w:p>
        </w:tc>
        <w:tc>
          <w:tcPr>
            <w:tcW w:w="5245" w:type="dxa"/>
          </w:tcPr>
          <w:p w14:paraId="66E26F2B" w14:textId="318D009D" w:rsidR="00F61880" w:rsidRPr="00701AE8" w:rsidRDefault="00701AE8" w:rsidP="00620D41">
            <w:pPr>
              <w:pStyle w:val="ListParagraph"/>
              <w:widowControl w:val="0"/>
              <w:tabs>
                <w:tab w:val="num" w:pos="851"/>
              </w:tabs>
              <w:suppressAutoHyphens/>
              <w:spacing w:after="0" w:line="240" w:lineRule="auto"/>
              <w:ind w:left="0"/>
              <w:contextualSpacing w:val="0"/>
              <w:rPr>
                <w:rFonts w:ascii="Calibri Light" w:hAnsi="Calibri Light" w:cs="Calibri Light"/>
              </w:rPr>
            </w:pPr>
            <w:r w:rsidRPr="00701AE8">
              <w:rPr>
                <w:rFonts w:ascii="Calibri Light" w:hAnsi="Calibri Light" w:cs="Calibri Light"/>
              </w:rPr>
              <w:t>Recording and documentation of waqf</w:t>
            </w:r>
          </w:p>
        </w:tc>
      </w:tr>
      <w:tr w:rsidR="00F61880" w:rsidRPr="00701AE8" w14:paraId="4B82418A" w14:textId="77777777" w:rsidTr="00701AE8">
        <w:trPr>
          <w:jc w:val="center"/>
        </w:trPr>
        <w:tc>
          <w:tcPr>
            <w:tcW w:w="493" w:type="dxa"/>
          </w:tcPr>
          <w:p w14:paraId="13AE3EA7" w14:textId="77777777" w:rsidR="00F61880" w:rsidRPr="00701AE8"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i/>
                <w:iCs/>
              </w:rPr>
            </w:pPr>
            <w:r w:rsidRPr="00701AE8">
              <w:rPr>
                <w:rFonts w:ascii="Calibri Light" w:hAnsi="Calibri Light" w:cs="Calibri Light"/>
              </w:rPr>
              <w:t>5.</w:t>
            </w:r>
          </w:p>
        </w:tc>
        <w:tc>
          <w:tcPr>
            <w:tcW w:w="2626" w:type="dxa"/>
          </w:tcPr>
          <w:p w14:paraId="6D78A045" w14:textId="21E0FBCD" w:rsidR="00F61880" w:rsidRPr="00701AE8" w:rsidRDefault="00701AE8" w:rsidP="00C1327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701AE8">
              <w:rPr>
                <w:rStyle w:val="tlid-translation"/>
                <w:rFonts w:ascii="Calibri Light" w:hAnsi="Calibri Light" w:cs="Calibri Light"/>
                <w:lang w:val="en"/>
              </w:rPr>
              <w:t xml:space="preserve">Section 64, Paragraph </w:t>
            </w:r>
            <w:r w:rsidRPr="00701AE8">
              <w:rPr>
                <w:rStyle w:val="tlid-translation"/>
                <w:rFonts w:ascii="Calibri Light" w:hAnsi="Calibri Light" w:cs="Calibri Light"/>
                <w:lang w:val="en"/>
              </w:rPr>
              <w:t>11</w:t>
            </w:r>
          </w:p>
        </w:tc>
        <w:tc>
          <w:tcPr>
            <w:tcW w:w="5245" w:type="dxa"/>
          </w:tcPr>
          <w:p w14:paraId="47A9788B" w14:textId="14BE0F02" w:rsidR="00F61880" w:rsidRPr="00701AE8" w:rsidRDefault="00701AE8" w:rsidP="00620D41">
            <w:pPr>
              <w:pStyle w:val="ListParagraph"/>
              <w:widowControl w:val="0"/>
              <w:tabs>
                <w:tab w:val="num" w:pos="851"/>
              </w:tabs>
              <w:suppressAutoHyphens/>
              <w:spacing w:after="0" w:line="240" w:lineRule="auto"/>
              <w:ind w:left="0"/>
              <w:contextualSpacing w:val="0"/>
              <w:rPr>
                <w:rFonts w:ascii="Calibri Light" w:hAnsi="Calibri Light" w:cs="Calibri Light"/>
              </w:rPr>
            </w:pPr>
            <w:r w:rsidRPr="00701AE8">
              <w:rPr>
                <w:rFonts w:ascii="Calibri Light" w:hAnsi="Calibri Light" w:cs="Calibri Light"/>
              </w:rPr>
              <w:t>Sanctions and fines</w:t>
            </w:r>
          </w:p>
        </w:tc>
      </w:tr>
      <w:tr w:rsidR="00F61880" w:rsidRPr="00701AE8" w14:paraId="7B81809B" w14:textId="77777777" w:rsidTr="00701AE8">
        <w:trPr>
          <w:jc w:val="center"/>
        </w:trPr>
        <w:tc>
          <w:tcPr>
            <w:tcW w:w="493" w:type="dxa"/>
          </w:tcPr>
          <w:p w14:paraId="5F192B30" w14:textId="77777777" w:rsidR="00F61880" w:rsidRPr="00701AE8" w:rsidRDefault="00F61880" w:rsidP="00620D41">
            <w:pPr>
              <w:pStyle w:val="ListParagraph"/>
              <w:widowControl w:val="0"/>
              <w:tabs>
                <w:tab w:val="num" w:pos="851"/>
              </w:tabs>
              <w:suppressAutoHyphens/>
              <w:spacing w:after="0" w:line="240" w:lineRule="auto"/>
              <w:ind w:left="0"/>
              <w:contextualSpacing w:val="0"/>
              <w:jc w:val="center"/>
              <w:rPr>
                <w:rFonts w:ascii="Calibri Light" w:hAnsi="Calibri Light" w:cs="Calibri Light"/>
                <w:i/>
                <w:iCs/>
              </w:rPr>
            </w:pPr>
            <w:r w:rsidRPr="00701AE8">
              <w:rPr>
                <w:rFonts w:ascii="Calibri Light" w:hAnsi="Calibri Light" w:cs="Calibri Light"/>
              </w:rPr>
              <w:t>6.</w:t>
            </w:r>
          </w:p>
        </w:tc>
        <w:tc>
          <w:tcPr>
            <w:tcW w:w="2626" w:type="dxa"/>
          </w:tcPr>
          <w:p w14:paraId="4479BE4E" w14:textId="39208E9E" w:rsidR="00F61880" w:rsidRPr="00701AE8" w:rsidRDefault="00701AE8" w:rsidP="00C1327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701AE8">
              <w:rPr>
                <w:rStyle w:val="tlid-translation"/>
                <w:rFonts w:ascii="Calibri Light" w:hAnsi="Calibri Light" w:cs="Calibri Light"/>
                <w:lang w:val="en"/>
              </w:rPr>
              <w:t xml:space="preserve">Section 64, Paragraph </w:t>
            </w:r>
            <w:r w:rsidRPr="00701AE8">
              <w:rPr>
                <w:rStyle w:val="tlid-translation"/>
                <w:rFonts w:ascii="Calibri Light" w:hAnsi="Calibri Light" w:cs="Calibri Light"/>
                <w:lang w:val="en"/>
              </w:rPr>
              <w:t>12</w:t>
            </w:r>
          </w:p>
        </w:tc>
        <w:tc>
          <w:tcPr>
            <w:tcW w:w="5245" w:type="dxa"/>
          </w:tcPr>
          <w:p w14:paraId="0D867D4C" w14:textId="6D9E841C" w:rsidR="00F61880" w:rsidRPr="00701AE8" w:rsidRDefault="00701AE8" w:rsidP="00620D4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701AE8">
              <w:rPr>
                <w:rStyle w:val="tlid-translation"/>
                <w:rFonts w:ascii="Calibri Light" w:hAnsi="Calibri Light" w:cs="Calibri Light"/>
                <w:i/>
                <w:iCs/>
                <w:lang w:val="en"/>
              </w:rPr>
              <w:t>Islamic Religious Council and Waqf Management Control</w:t>
            </w:r>
          </w:p>
        </w:tc>
      </w:tr>
    </w:tbl>
    <w:p w14:paraId="02395CC8" w14:textId="77777777" w:rsidR="00AF3C3E" w:rsidRPr="00EC77AC" w:rsidRDefault="00AF3C3E" w:rsidP="001432A5">
      <w:pPr>
        <w:spacing w:after="0"/>
        <w:jc w:val="both"/>
        <w:rPr>
          <w:rFonts w:asciiTheme="majorHAnsi" w:hAnsiTheme="majorHAnsi" w:cstheme="majorHAnsi"/>
          <w:sz w:val="24"/>
          <w:szCs w:val="24"/>
        </w:rPr>
      </w:pPr>
    </w:p>
    <w:p w14:paraId="43C248AD" w14:textId="77777777" w:rsidR="005C3094" w:rsidRPr="00EC77AC" w:rsidRDefault="00D17543" w:rsidP="00DD3F28">
      <w:pPr>
        <w:spacing w:after="100" w:afterAutospacing="1"/>
        <w:jc w:val="both"/>
        <w:rPr>
          <w:rFonts w:asciiTheme="majorHAnsi" w:hAnsiTheme="majorHAnsi" w:cstheme="majorHAnsi"/>
          <w:sz w:val="24"/>
          <w:szCs w:val="24"/>
        </w:rPr>
      </w:pPr>
      <w:r w:rsidRPr="00EC77AC">
        <w:rPr>
          <w:rFonts w:asciiTheme="majorHAnsi" w:hAnsiTheme="majorHAnsi" w:cstheme="majorHAnsi"/>
          <w:sz w:val="24"/>
          <w:szCs w:val="24"/>
        </w:rPr>
        <w:t>Before AMLA was enacted, waqf in Singapore was regulated under the Muhammadan and Hindu Endowments Ordinance, which was enacted on September 8, 1905. Since the enactment of AMLA, the authority for the management of waqf has been delegated to the Islamic Religious Council (MUIS) (AMLA, Chapter IV, Section 58, 1968).</w:t>
      </w:r>
    </w:p>
    <w:p w14:paraId="1F7B161D" w14:textId="6400B259" w:rsidR="00D17543" w:rsidRPr="00EC77AC" w:rsidRDefault="00F61880" w:rsidP="00DD3F28">
      <w:pPr>
        <w:spacing w:after="100" w:afterAutospacing="1"/>
        <w:jc w:val="both"/>
        <w:rPr>
          <w:rFonts w:asciiTheme="majorHAnsi" w:hAnsiTheme="majorHAnsi" w:cstheme="majorHAnsi"/>
          <w:sz w:val="24"/>
          <w:szCs w:val="24"/>
        </w:rPr>
      </w:pPr>
      <w:r w:rsidRPr="00F61880">
        <w:rPr>
          <w:rFonts w:asciiTheme="majorHAnsi" w:hAnsiTheme="majorHAnsi" w:cstheme="majorHAnsi"/>
          <w:sz w:val="24"/>
          <w:szCs w:val="24"/>
        </w:rPr>
        <w:t xml:space="preserve">AMLA divides waqf into two forms: </w:t>
      </w:r>
      <w:r w:rsidRPr="00F61880">
        <w:rPr>
          <w:rFonts w:asciiTheme="majorHAnsi" w:hAnsiTheme="majorHAnsi" w:cstheme="majorHAnsi"/>
          <w:i/>
          <w:iCs/>
          <w:sz w:val="24"/>
          <w:szCs w:val="24"/>
        </w:rPr>
        <w:t>waqf 'am</w:t>
      </w:r>
      <w:r w:rsidRPr="00F61880">
        <w:rPr>
          <w:rFonts w:asciiTheme="majorHAnsi" w:hAnsiTheme="majorHAnsi" w:cstheme="majorHAnsi"/>
          <w:sz w:val="24"/>
          <w:szCs w:val="24"/>
        </w:rPr>
        <w:t xml:space="preserve"> (general) and </w:t>
      </w:r>
      <w:r w:rsidRPr="00F61880">
        <w:rPr>
          <w:rFonts w:asciiTheme="majorHAnsi" w:hAnsiTheme="majorHAnsi" w:cstheme="majorHAnsi"/>
          <w:i/>
          <w:iCs/>
          <w:sz w:val="24"/>
          <w:szCs w:val="24"/>
        </w:rPr>
        <w:t xml:space="preserve">waqf </w:t>
      </w:r>
      <w:proofErr w:type="spellStart"/>
      <w:r w:rsidRPr="00F61880">
        <w:rPr>
          <w:rFonts w:asciiTheme="majorHAnsi" w:hAnsiTheme="majorHAnsi" w:cstheme="majorHAnsi"/>
          <w:i/>
          <w:iCs/>
          <w:sz w:val="24"/>
          <w:szCs w:val="24"/>
        </w:rPr>
        <w:t>khas</w:t>
      </w:r>
      <w:proofErr w:type="spellEnd"/>
      <w:r w:rsidRPr="00F61880">
        <w:rPr>
          <w:rFonts w:asciiTheme="majorHAnsi" w:hAnsiTheme="majorHAnsi" w:cstheme="majorHAnsi"/>
          <w:sz w:val="24"/>
          <w:szCs w:val="24"/>
        </w:rPr>
        <w:t xml:space="preserve"> (specific) (AMLA, Section 2). In summary, </w:t>
      </w:r>
      <w:r w:rsidRPr="00F61880">
        <w:rPr>
          <w:rFonts w:asciiTheme="majorHAnsi" w:hAnsiTheme="majorHAnsi" w:cstheme="majorHAnsi"/>
          <w:i/>
          <w:iCs/>
          <w:sz w:val="24"/>
          <w:szCs w:val="24"/>
        </w:rPr>
        <w:t>waqf 'am</w:t>
      </w:r>
      <w:r w:rsidRPr="00F61880">
        <w:rPr>
          <w:rFonts w:asciiTheme="majorHAnsi" w:hAnsiTheme="majorHAnsi" w:cstheme="majorHAnsi"/>
          <w:sz w:val="24"/>
          <w:szCs w:val="24"/>
        </w:rPr>
        <w:t xml:space="preserve"> is public </w:t>
      </w:r>
      <w:r w:rsidRPr="00F61880">
        <w:rPr>
          <w:rFonts w:asciiTheme="majorHAnsi" w:hAnsiTheme="majorHAnsi" w:cstheme="majorHAnsi"/>
          <w:i/>
          <w:iCs/>
          <w:sz w:val="24"/>
          <w:szCs w:val="24"/>
        </w:rPr>
        <w:t>waqf</w:t>
      </w:r>
      <w:r w:rsidRPr="00F61880">
        <w:rPr>
          <w:rFonts w:asciiTheme="majorHAnsi" w:hAnsiTheme="majorHAnsi" w:cstheme="majorHAnsi"/>
          <w:sz w:val="24"/>
          <w:szCs w:val="24"/>
        </w:rPr>
        <w:t xml:space="preserve"> or </w:t>
      </w:r>
      <w:r w:rsidRPr="00F61880">
        <w:rPr>
          <w:rFonts w:asciiTheme="majorHAnsi" w:hAnsiTheme="majorHAnsi" w:cstheme="majorHAnsi"/>
          <w:i/>
          <w:iCs/>
          <w:sz w:val="24"/>
          <w:szCs w:val="24"/>
        </w:rPr>
        <w:t>waqf al-</w:t>
      </w:r>
      <w:proofErr w:type="spellStart"/>
      <w:r w:rsidRPr="00F61880">
        <w:rPr>
          <w:rFonts w:asciiTheme="majorHAnsi" w:hAnsiTheme="majorHAnsi" w:cstheme="majorHAnsi"/>
          <w:i/>
          <w:iCs/>
          <w:sz w:val="24"/>
          <w:szCs w:val="24"/>
        </w:rPr>
        <w:t>khayrī</w:t>
      </w:r>
      <w:proofErr w:type="spellEnd"/>
      <w:r w:rsidRPr="00F61880">
        <w:rPr>
          <w:rFonts w:asciiTheme="majorHAnsi" w:hAnsiTheme="majorHAnsi" w:cstheme="majorHAnsi"/>
          <w:sz w:val="24"/>
          <w:szCs w:val="24"/>
        </w:rPr>
        <w:t xml:space="preserve"> in the Indonesian context, while </w:t>
      </w:r>
      <w:r w:rsidRPr="00F61880">
        <w:rPr>
          <w:rFonts w:asciiTheme="majorHAnsi" w:hAnsiTheme="majorHAnsi" w:cstheme="majorHAnsi"/>
          <w:i/>
          <w:iCs/>
          <w:sz w:val="24"/>
          <w:szCs w:val="24"/>
        </w:rPr>
        <w:t xml:space="preserve">waqf </w:t>
      </w:r>
      <w:proofErr w:type="spellStart"/>
      <w:r w:rsidRPr="00F61880">
        <w:rPr>
          <w:rFonts w:asciiTheme="majorHAnsi" w:hAnsiTheme="majorHAnsi" w:cstheme="majorHAnsi"/>
          <w:i/>
          <w:iCs/>
          <w:sz w:val="24"/>
          <w:szCs w:val="24"/>
        </w:rPr>
        <w:t>khas</w:t>
      </w:r>
      <w:proofErr w:type="spellEnd"/>
      <w:r w:rsidRPr="00F61880">
        <w:rPr>
          <w:rFonts w:asciiTheme="majorHAnsi" w:hAnsiTheme="majorHAnsi" w:cstheme="majorHAnsi"/>
          <w:sz w:val="24"/>
          <w:szCs w:val="24"/>
        </w:rPr>
        <w:t xml:space="preserve"> is a specific waqf intended according to the wishes of the waqif, which could be for family or other purposes. Initially, not all waqf was managed by MUIS; some were in private hands, which led to poor management systems, the emergence of mismanagement of waqf assets, and the sale of waqf property without MUIS’s consent (Pertiwi et al., 2019). This situation caused waqf management in Singapore to be unmonitored, both for public </w:t>
      </w:r>
      <w:r w:rsidRPr="00F61880">
        <w:rPr>
          <w:rFonts w:asciiTheme="majorHAnsi" w:hAnsiTheme="majorHAnsi" w:cstheme="majorHAnsi"/>
          <w:i/>
          <w:iCs/>
          <w:sz w:val="24"/>
          <w:szCs w:val="24"/>
        </w:rPr>
        <w:t>waqf</w:t>
      </w:r>
      <w:r w:rsidRPr="00F61880">
        <w:rPr>
          <w:rFonts w:asciiTheme="majorHAnsi" w:hAnsiTheme="majorHAnsi" w:cstheme="majorHAnsi"/>
          <w:sz w:val="24"/>
          <w:szCs w:val="24"/>
        </w:rPr>
        <w:t xml:space="preserve"> and </w:t>
      </w:r>
      <w:r w:rsidRPr="00F61880">
        <w:rPr>
          <w:rFonts w:asciiTheme="majorHAnsi" w:hAnsiTheme="majorHAnsi" w:cstheme="majorHAnsi"/>
          <w:i/>
          <w:iCs/>
          <w:sz w:val="24"/>
          <w:szCs w:val="24"/>
        </w:rPr>
        <w:t>waqf al-</w:t>
      </w:r>
      <w:proofErr w:type="spellStart"/>
      <w:r w:rsidRPr="00F61880">
        <w:rPr>
          <w:rFonts w:asciiTheme="majorHAnsi" w:hAnsiTheme="majorHAnsi" w:cstheme="majorHAnsi"/>
          <w:i/>
          <w:iCs/>
          <w:sz w:val="24"/>
          <w:szCs w:val="24"/>
        </w:rPr>
        <w:t>ahlī</w:t>
      </w:r>
      <w:proofErr w:type="spellEnd"/>
      <w:r w:rsidRPr="00F61880">
        <w:rPr>
          <w:rFonts w:asciiTheme="majorHAnsi" w:hAnsiTheme="majorHAnsi" w:cstheme="majorHAnsi"/>
          <w:sz w:val="24"/>
          <w:szCs w:val="24"/>
        </w:rPr>
        <w:t xml:space="preserve">, and this persisted for many years. As a result, AMLA was amended several times and reached the point where sanctions and fines were imposed on those who failed to register </w:t>
      </w:r>
      <w:r w:rsidRPr="00F61880">
        <w:rPr>
          <w:rFonts w:asciiTheme="majorHAnsi" w:hAnsiTheme="majorHAnsi" w:cstheme="majorHAnsi"/>
          <w:i/>
          <w:iCs/>
          <w:sz w:val="24"/>
          <w:szCs w:val="24"/>
        </w:rPr>
        <w:t>waqf</w:t>
      </w:r>
      <w:r w:rsidRPr="00F61880">
        <w:rPr>
          <w:rFonts w:asciiTheme="majorHAnsi" w:hAnsiTheme="majorHAnsi" w:cstheme="majorHAnsi"/>
          <w:sz w:val="24"/>
          <w:szCs w:val="24"/>
        </w:rPr>
        <w:t xml:space="preserve"> property, whether 'am or </w:t>
      </w:r>
      <w:proofErr w:type="spellStart"/>
      <w:r w:rsidRPr="00F61880">
        <w:rPr>
          <w:rFonts w:asciiTheme="majorHAnsi" w:hAnsiTheme="majorHAnsi" w:cstheme="majorHAnsi"/>
          <w:sz w:val="24"/>
          <w:szCs w:val="24"/>
        </w:rPr>
        <w:t>khas</w:t>
      </w:r>
      <w:proofErr w:type="spellEnd"/>
      <w:r w:rsidRPr="00F61880">
        <w:rPr>
          <w:rFonts w:asciiTheme="majorHAnsi" w:hAnsiTheme="majorHAnsi" w:cstheme="majorHAnsi"/>
          <w:sz w:val="24"/>
          <w:szCs w:val="24"/>
        </w:rPr>
        <w:t xml:space="preserve">. If a </w:t>
      </w:r>
      <w:r w:rsidRPr="00F61880">
        <w:rPr>
          <w:rFonts w:asciiTheme="majorHAnsi" w:hAnsiTheme="majorHAnsi" w:cstheme="majorHAnsi"/>
          <w:i/>
          <w:iCs/>
          <w:sz w:val="24"/>
          <w:szCs w:val="24"/>
        </w:rPr>
        <w:t>mutawalli (waqf</w:t>
      </w:r>
      <w:r w:rsidRPr="00F61880">
        <w:rPr>
          <w:rFonts w:asciiTheme="majorHAnsi" w:hAnsiTheme="majorHAnsi" w:cstheme="majorHAnsi"/>
          <w:sz w:val="24"/>
          <w:szCs w:val="24"/>
        </w:rPr>
        <w:t xml:space="preserve"> manager) did not register the waqf or provided false information that made it impossible to inspect the waqf property, such actions, according to AMLA Section 64, Paragraph 11, were considered a criminal offense, punishable by a fine of up to $5000, imprisonment for no more than 12 months, or both (AMLA, Section 64, Paragraph 11)</w:t>
      </w:r>
      <w:r w:rsidR="00D17543" w:rsidRPr="00EC77AC">
        <w:rPr>
          <w:rFonts w:asciiTheme="majorHAnsi" w:hAnsiTheme="majorHAnsi" w:cstheme="majorHAnsi"/>
          <w:sz w:val="24"/>
          <w:szCs w:val="24"/>
        </w:rPr>
        <w:t>.</w:t>
      </w:r>
    </w:p>
    <w:p w14:paraId="68EDC1B4" w14:textId="77777777" w:rsidR="00C13272" w:rsidRDefault="00D17543" w:rsidP="00C13272">
      <w:pPr>
        <w:spacing w:after="100" w:afterAutospacing="1"/>
        <w:jc w:val="both"/>
        <w:rPr>
          <w:rFonts w:asciiTheme="majorHAnsi" w:hAnsiTheme="majorHAnsi" w:cstheme="majorHAnsi"/>
          <w:sz w:val="24"/>
          <w:szCs w:val="24"/>
        </w:rPr>
      </w:pPr>
      <w:r w:rsidRPr="00EC77AC">
        <w:rPr>
          <w:rFonts w:asciiTheme="majorHAnsi" w:hAnsiTheme="majorHAnsi" w:cstheme="majorHAnsi"/>
          <w:sz w:val="24"/>
          <w:szCs w:val="24"/>
        </w:rPr>
        <w:t xml:space="preserve">In the context of waqf regulation in Indonesia, the </w:t>
      </w:r>
      <w:proofErr w:type="spellStart"/>
      <w:r w:rsidRPr="00EC77AC">
        <w:rPr>
          <w:rFonts w:asciiTheme="majorHAnsi" w:hAnsiTheme="majorHAnsi" w:cstheme="majorHAnsi"/>
          <w:i/>
          <w:iCs/>
          <w:sz w:val="24"/>
          <w:szCs w:val="24"/>
        </w:rPr>
        <w:t>muwalli</w:t>
      </w:r>
      <w:proofErr w:type="spellEnd"/>
      <w:r w:rsidRPr="00EC77AC">
        <w:rPr>
          <w:rFonts w:asciiTheme="majorHAnsi" w:hAnsiTheme="majorHAnsi" w:cstheme="majorHAnsi"/>
          <w:sz w:val="24"/>
          <w:szCs w:val="24"/>
        </w:rPr>
        <w:t xml:space="preserve"> (known as </w:t>
      </w:r>
      <w:r w:rsidRPr="00EC77AC">
        <w:rPr>
          <w:rFonts w:asciiTheme="majorHAnsi" w:hAnsiTheme="majorHAnsi" w:cstheme="majorHAnsi"/>
          <w:i/>
          <w:iCs/>
          <w:sz w:val="24"/>
          <w:szCs w:val="24"/>
        </w:rPr>
        <w:t>nazir</w:t>
      </w:r>
      <w:r w:rsidRPr="00EC77AC">
        <w:rPr>
          <w:rFonts w:asciiTheme="majorHAnsi" w:hAnsiTheme="majorHAnsi" w:cstheme="majorHAnsi"/>
          <w:sz w:val="24"/>
          <w:szCs w:val="24"/>
        </w:rPr>
        <w:t xml:space="preserve">) has a legal obligation to register waqf assets with the Islamic Religious Council of Singapore (MUIS), as stipulated in Sections 64(1) and 64(2) of the relevant law. This registration process requires the </w:t>
      </w:r>
      <w:proofErr w:type="spellStart"/>
      <w:r w:rsidRPr="00EC77AC">
        <w:rPr>
          <w:rFonts w:asciiTheme="majorHAnsi" w:hAnsiTheme="majorHAnsi" w:cstheme="majorHAnsi"/>
          <w:i/>
          <w:iCs/>
          <w:sz w:val="24"/>
          <w:szCs w:val="24"/>
        </w:rPr>
        <w:t>muwalli</w:t>
      </w:r>
      <w:proofErr w:type="spellEnd"/>
      <w:r w:rsidRPr="00EC77AC">
        <w:rPr>
          <w:rFonts w:asciiTheme="majorHAnsi" w:hAnsiTheme="majorHAnsi" w:cstheme="majorHAnsi"/>
          <w:sz w:val="24"/>
          <w:szCs w:val="24"/>
        </w:rPr>
        <w:t xml:space="preserve"> to submit comprehensive documentation, including the specifications of the waqf terms, an annual financial report covering income and projected expenses, the </w:t>
      </w:r>
      <w:proofErr w:type="spellStart"/>
      <w:r w:rsidRPr="00EC77AC">
        <w:rPr>
          <w:rFonts w:asciiTheme="majorHAnsi" w:hAnsiTheme="majorHAnsi" w:cstheme="majorHAnsi"/>
          <w:i/>
          <w:iCs/>
          <w:sz w:val="24"/>
          <w:szCs w:val="24"/>
        </w:rPr>
        <w:t>muwalli</w:t>
      </w:r>
      <w:r w:rsidRPr="00EC77AC">
        <w:rPr>
          <w:rFonts w:asciiTheme="majorHAnsi" w:hAnsiTheme="majorHAnsi" w:cstheme="majorHAnsi"/>
          <w:sz w:val="24"/>
          <w:szCs w:val="24"/>
        </w:rPr>
        <w:t>'s</w:t>
      </w:r>
      <w:proofErr w:type="spellEnd"/>
      <w:r w:rsidRPr="00EC77AC">
        <w:rPr>
          <w:rFonts w:asciiTheme="majorHAnsi" w:hAnsiTheme="majorHAnsi" w:cstheme="majorHAnsi"/>
          <w:sz w:val="24"/>
          <w:szCs w:val="24"/>
        </w:rPr>
        <w:t xml:space="preserve"> remuneration, and authentic proof of ownership of the waqf assets (Section 64(3)).</w:t>
      </w:r>
    </w:p>
    <w:p w14:paraId="3535718D" w14:textId="4C508A5D" w:rsidR="005C3094" w:rsidRPr="00EC77AC" w:rsidRDefault="00C13272" w:rsidP="00C13272">
      <w:pPr>
        <w:spacing w:after="100" w:afterAutospacing="1"/>
        <w:jc w:val="both"/>
        <w:rPr>
          <w:rFonts w:asciiTheme="majorHAnsi" w:hAnsiTheme="majorHAnsi" w:cstheme="majorHAnsi"/>
          <w:sz w:val="24"/>
          <w:szCs w:val="24"/>
        </w:rPr>
      </w:pPr>
      <w:r w:rsidRPr="00C13272">
        <w:rPr>
          <w:rFonts w:asciiTheme="majorHAnsi" w:hAnsiTheme="majorHAnsi" w:cstheme="majorHAnsi"/>
          <w:sz w:val="24"/>
          <w:szCs w:val="24"/>
        </w:rPr>
        <w:t>After the registration application and supporting documentation are submitted, MUIS conducts a field verification procedure to ensure consistency between the information provided and the actual condition of the waqf assets. Subsequently, MUIS records and archives waqf data systematically, including the implementation of an electronic documentation system. This mechanism has been explicitly outlined in the Administration of Muslim Law Act (AMLA), particularly in Sections 64(9-10).</w:t>
      </w:r>
      <w:r>
        <w:rPr>
          <w:rFonts w:asciiTheme="majorHAnsi" w:hAnsiTheme="majorHAnsi" w:cstheme="majorHAnsi"/>
          <w:sz w:val="24"/>
          <w:szCs w:val="24"/>
        </w:rPr>
        <w:t xml:space="preserve"> </w:t>
      </w:r>
      <w:r w:rsidR="00D17543" w:rsidRPr="00EC77AC">
        <w:rPr>
          <w:rFonts w:asciiTheme="majorHAnsi" w:hAnsiTheme="majorHAnsi" w:cstheme="majorHAnsi"/>
          <w:sz w:val="24"/>
          <w:szCs w:val="24"/>
        </w:rPr>
        <w:t xml:space="preserve">This regulation reflects efforts to institutionalize and standardize waqf management, with an emphasis on transparency, accountability, and administrative efficiency. Through this structured procedure, it is hoped that a more </w:t>
      </w:r>
      <w:r w:rsidR="00D17543" w:rsidRPr="00EC77AC">
        <w:rPr>
          <w:rFonts w:asciiTheme="majorHAnsi" w:hAnsiTheme="majorHAnsi" w:cstheme="majorHAnsi"/>
          <w:sz w:val="24"/>
          <w:szCs w:val="24"/>
        </w:rPr>
        <w:lastRenderedPageBreak/>
        <w:t>professional waqf governance system, in line with Sharia principles and modern demands, can be achieved.</w:t>
      </w:r>
    </w:p>
    <w:p w14:paraId="11B41975" w14:textId="1BCF7A47" w:rsidR="00D17543" w:rsidRPr="00EC77AC" w:rsidRDefault="00D17543" w:rsidP="001432A5">
      <w:pPr>
        <w:spacing w:after="0"/>
        <w:jc w:val="both"/>
        <w:rPr>
          <w:rFonts w:asciiTheme="majorHAnsi" w:hAnsiTheme="majorHAnsi" w:cstheme="majorHAnsi"/>
          <w:sz w:val="24"/>
          <w:szCs w:val="24"/>
        </w:rPr>
      </w:pPr>
      <w:r w:rsidRPr="00EC77AC">
        <w:rPr>
          <w:rFonts w:asciiTheme="majorHAnsi" w:hAnsiTheme="majorHAnsi" w:cstheme="majorHAnsi"/>
          <w:sz w:val="24"/>
          <w:szCs w:val="24"/>
        </w:rPr>
        <w:t xml:space="preserve">The firm sanctions and fines imposed on those who fail to register waqf with MUIS, along with good management, have made Singapore the leading country in terms of the utilization of waqf funds in 2005. In 1968, only 6 waqfs were registered with MUIS. By the year 2000, all 100 waqfs were registered, giving MUIS a complete database of all waqf properties, income, expenditure information, and disbursements, serving as crucial information for more effective and efficient waqf management </w:t>
      </w:r>
      <w:r w:rsidR="007E3971">
        <w:rPr>
          <w:rFonts w:asciiTheme="majorHAnsi" w:hAnsiTheme="majorHAnsi" w:cstheme="majorHAnsi"/>
          <w:sz w:val="24"/>
          <w:szCs w:val="24"/>
        </w:rPr>
        <w:fldChar w:fldCharType="begin" w:fldLock="1"/>
      </w:r>
      <w:r w:rsidR="007E3971">
        <w:rPr>
          <w:rFonts w:asciiTheme="majorHAnsi" w:hAnsiTheme="majorHAnsi" w:cstheme="majorHAnsi"/>
          <w:sz w:val="24"/>
          <w:szCs w:val="24"/>
        </w:rPr>
        <w:instrText>ADDIN CSL_CITATION {"citationItems":[{"id":"ITEM-1","itemData":{"author":[{"dropping-particle":"","family":"Karim","given":"Shamsiah Abdul","non-dropping-particle":"","parse-names":false,"suffix":""}],"container-title":"Essential readings in contemporary waqf issues","id":"ITEM-1","issued":{"date-parts":[["2011"]]},"page":"113-123","publisher":"Kuala Lumpur: Cert publications Sdn. Bhd","title":"Contemporary Waqf Administration and Development in Singapore: Challenges and Prospects","type":"article"},"uris":["http://www.mendeley.com/documents/?uuid=0cfc69e9-9c09-48d1-a54c-9313fd4c94f0"]}],"mendeley":{"formattedCitation":"(Karim, 2011)","plainTextFormattedCitation":"(Karim, 2011)","previouslyFormattedCitation":"(Karim, 2011)"},"properties":{"noteIndex":0},"schema":"https://github.com/citation-style-language/schema/raw/master/csl-citation.json"}</w:instrText>
      </w:r>
      <w:r w:rsidR="007E3971">
        <w:rPr>
          <w:rFonts w:asciiTheme="majorHAnsi" w:hAnsiTheme="majorHAnsi" w:cstheme="majorHAnsi"/>
          <w:sz w:val="24"/>
          <w:szCs w:val="24"/>
        </w:rPr>
        <w:fldChar w:fldCharType="separate"/>
      </w:r>
      <w:r w:rsidR="007E3971" w:rsidRPr="007E3971">
        <w:rPr>
          <w:rFonts w:asciiTheme="majorHAnsi" w:hAnsiTheme="majorHAnsi" w:cstheme="majorHAnsi"/>
          <w:noProof/>
          <w:sz w:val="24"/>
          <w:szCs w:val="24"/>
        </w:rPr>
        <w:t>(Karim, 2011)</w:t>
      </w:r>
      <w:r w:rsidR="007E3971">
        <w:rPr>
          <w:rFonts w:asciiTheme="majorHAnsi" w:hAnsiTheme="majorHAnsi" w:cstheme="majorHAnsi"/>
          <w:sz w:val="24"/>
          <w:szCs w:val="24"/>
        </w:rPr>
        <w:fldChar w:fldCharType="end"/>
      </w:r>
      <w:r w:rsidR="007E3971">
        <w:rPr>
          <w:rFonts w:asciiTheme="majorHAnsi" w:hAnsiTheme="majorHAnsi" w:cstheme="majorHAnsi"/>
          <w:sz w:val="24"/>
          <w:szCs w:val="24"/>
        </w:rPr>
        <w:t>.</w:t>
      </w:r>
    </w:p>
    <w:p w14:paraId="51CE4F94" w14:textId="77777777" w:rsidR="005C3094" w:rsidRPr="00EC77AC" w:rsidRDefault="005C3094" w:rsidP="001432A5">
      <w:pPr>
        <w:spacing w:after="0"/>
        <w:jc w:val="both"/>
        <w:rPr>
          <w:rFonts w:asciiTheme="majorHAnsi" w:hAnsiTheme="majorHAnsi" w:cstheme="majorHAnsi"/>
          <w:sz w:val="24"/>
          <w:szCs w:val="24"/>
        </w:rPr>
      </w:pPr>
    </w:p>
    <w:p w14:paraId="79EDECDF" w14:textId="54DA81EE" w:rsidR="00EB035B" w:rsidRPr="00EC77AC" w:rsidRDefault="00EB035B" w:rsidP="006006A4">
      <w:pPr>
        <w:spacing w:after="0"/>
        <w:jc w:val="center"/>
        <w:rPr>
          <w:rFonts w:asciiTheme="majorHAnsi" w:hAnsiTheme="majorHAnsi" w:cstheme="majorHAnsi"/>
          <w:sz w:val="24"/>
          <w:szCs w:val="24"/>
        </w:rPr>
      </w:pPr>
      <w:r w:rsidRPr="00EC77AC">
        <w:rPr>
          <w:rFonts w:asciiTheme="majorHAnsi" w:hAnsiTheme="majorHAnsi" w:cstheme="majorHAnsi"/>
          <w:sz w:val="24"/>
          <w:szCs w:val="24"/>
        </w:rPr>
        <w:t>Figure 02. Utilization of Waqf Funds</w:t>
      </w:r>
      <w:r w:rsidRPr="00EC77AC">
        <w:rPr>
          <w:rFonts w:asciiTheme="majorHAnsi" w:hAnsiTheme="majorHAnsi" w:cstheme="majorHAnsi"/>
          <w:sz w:val="24"/>
          <w:szCs w:val="24"/>
        </w:rPr>
        <w:br/>
      </w:r>
      <w:r w:rsidRPr="00EC77AC">
        <w:rPr>
          <w:rFonts w:asciiTheme="majorHAnsi" w:hAnsiTheme="majorHAnsi" w:cstheme="majorHAnsi"/>
          <w:noProof/>
          <w:sz w:val="24"/>
          <w:szCs w:val="24"/>
          <w:lang w:val="id-ID"/>
        </w:rPr>
        <w:drawing>
          <wp:inline distT="0" distB="0" distL="0" distR="0" wp14:anchorId="4EFBA443" wp14:editId="490117BB">
            <wp:extent cx="3548380" cy="2438400"/>
            <wp:effectExtent l="0" t="0" r="0" b="0"/>
            <wp:docPr id="5498209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48380" cy="2438400"/>
                    </a:xfrm>
                    <a:prstGeom prst="rect">
                      <a:avLst/>
                    </a:prstGeom>
                    <a:noFill/>
                    <a:ln>
                      <a:noFill/>
                    </a:ln>
                  </pic:spPr>
                </pic:pic>
              </a:graphicData>
            </a:graphic>
          </wp:inline>
        </w:drawing>
      </w:r>
    </w:p>
    <w:p w14:paraId="37A51622" w14:textId="77777777" w:rsidR="00EB035B" w:rsidRPr="00EC77AC" w:rsidRDefault="00EB035B" w:rsidP="00DD3F28">
      <w:pPr>
        <w:spacing w:after="0"/>
        <w:jc w:val="center"/>
        <w:rPr>
          <w:rFonts w:asciiTheme="majorHAnsi" w:hAnsiTheme="majorHAnsi" w:cstheme="majorHAnsi"/>
          <w:sz w:val="24"/>
          <w:szCs w:val="24"/>
        </w:rPr>
      </w:pPr>
      <w:r w:rsidRPr="00EC77AC">
        <w:rPr>
          <w:rFonts w:asciiTheme="majorHAnsi" w:hAnsiTheme="majorHAnsi" w:cstheme="majorHAnsi"/>
          <w:sz w:val="24"/>
          <w:szCs w:val="24"/>
        </w:rPr>
        <w:t>Source: (Abdul Karim, 2007).</w:t>
      </w:r>
    </w:p>
    <w:p w14:paraId="323BFA17" w14:textId="77777777" w:rsidR="00D17543" w:rsidRPr="00EC77AC" w:rsidRDefault="00D17543" w:rsidP="001432A5">
      <w:pPr>
        <w:spacing w:after="0"/>
        <w:jc w:val="both"/>
        <w:rPr>
          <w:rFonts w:asciiTheme="majorHAnsi" w:hAnsiTheme="majorHAnsi" w:cstheme="majorHAnsi"/>
          <w:sz w:val="24"/>
          <w:szCs w:val="24"/>
        </w:rPr>
      </w:pPr>
    </w:p>
    <w:p w14:paraId="50DB0ED7" w14:textId="13731801" w:rsidR="00EB035B" w:rsidRPr="00EC77AC" w:rsidRDefault="00EB035B" w:rsidP="001432A5">
      <w:pPr>
        <w:spacing w:after="0"/>
        <w:jc w:val="both"/>
        <w:rPr>
          <w:rFonts w:asciiTheme="majorHAnsi" w:hAnsiTheme="majorHAnsi" w:cstheme="majorHAnsi"/>
          <w:sz w:val="24"/>
          <w:szCs w:val="24"/>
        </w:rPr>
      </w:pPr>
      <w:r w:rsidRPr="00EC77AC">
        <w:rPr>
          <w:rFonts w:asciiTheme="majorHAnsi" w:hAnsiTheme="majorHAnsi" w:cstheme="majorHAnsi"/>
          <w:sz w:val="24"/>
          <w:szCs w:val="24"/>
        </w:rPr>
        <w:t xml:space="preserve">Based on the data above, the utilization of waqf funds in Indonesia remains significantly lower compared to Singapore, with a 90% gap despite Indonesia's waqf potential, both </w:t>
      </w:r>
      <w:r w:rsidR="0048225E" w:rsidRPr="00EC77AC">
        <w:rPr>
          <w:rFonts w:asciiTheme="majorHAnsi" w:hAnsiTheme="majorHAnsi" w:cstheme="majorHAnsi"/>
          <w:i/>
          <w:iCs/>
          <w:sz w:val="24"/>
          <w:szCs w:val="24"/>
        </w:rPr>
        <w:t>waqf al-</w:t>
      </w:r>
      <w:proofErr w:type="spellStart"/>
      <w:r w:rsidR="0048225E" w:rsidRPr="00EC77AC">
        <w:rPr>
          <w:rFonts w:asciiTheme="majorHAnsi" w:hAnsiTheme="majorHAnsi" w:cstheme="majorHAnsi"/>
          <w:i/>
          <w:iCs/>
          <w:sz w:val="24"/>
          <w:szCs w:val="24"/>
        </w:rPr>
        <w:t>khayrī</w:t>
      </w:r>
      <w:proofErr w:type="spellEnd"/>
      <w:r w:rsidR="00F52870"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and </w:t>
      </w:r>
      <w:r w:rsidR="00F52870" w:rsidRPr="00EC77AC">
        <w:rPr>
          <w:rFonts w:asciiTheme="majorHAnsi" w:hAnsiTheme="majorHAnsi" w:cstheme="majorHAnsi"/>
          <w:i/>
          <w:iCs/>
          <w:sz w:val="24"/>
          <w:szCs w:val="24"/>
        </w:rPr>
        <w:t>waqf al-</w:t>
      </w:r>
      <w:proofErr w:type="spellStart"/>
      <w:r w:rsidRPr="00EC77AC">
        <w:rPr>
          <w:rFonts w:asciiTheme="majorHAnsi" w:hAnsiTheme="majorHAnsi" w:cstheme="majorHAnsi"/>
          <w:i/>
          <w:iCs/>
          <w:sz w:val="24"/>
          <w:szCs w:val="24"/>
        </w:rPr>
        <w:t>ahl</w:t>
      </w:r>
      <w:r w:rsidR="00F52870" w:rsidRPr="00EC77AC">
        <w:rPr>
          <w:rFonts w:asciiTheme="majorHAnsi" w:hAnsiTheme="majorHAnsi" w:cstheme="majorHAnsi"/>
          <w:i/>
          <w:iCs/>
          <w:sz w:val="24"/>
          <w:szCs w:val="24"/>
        </w:rPr>
        <w:t>ī</w:t>
      </w:r>
      <w:proofErr w:type="spellEnd"/>
      <w:r w:rsidRPr="00EC77AC">
        <w:rPr>
          <w:rFonts w:asciiTheme="majorHAnsi" w:hAnsiTheme="majorHAnsi" w:cstheme="majorHAnsi"/>
          <w:sz w:val="24"/>
          <w:szCs w:val="24"/>
        </w:rPr>
        <w:t xml:space="preserve">, being far greater than Singapore's. Regardless of this ranking, these findings significantly contribute to refuting groups that consider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as </w:t>
      </w:r>
      <w:proofErr w:type="spellStart"/>
      <w:r w:rsidRPr="00EC77AC">
        <w:rPr>
          <w:rFonts w:asciiTheme="majorHAnsi" w:hAnsiTheme="majorHAnsi" w:cstheme="majorHAnsi"/>
          <w:sz w:val="24"/>
          <w:szCs w:val="24"/>
        </w:rPr>
        <w:t>bid'ah</w:t>
      </w:r>
      <w:proofErr w:type="spellEnd"/>
      <w:r w:rsidRPr="00EC77AC">
        <w:rPr>
          <w:rFonts w:asciiTheme="majorHAnsi" w:hAnsiTheme="majorHAnsi" w:cstheme="majorHAnsi"/>
          <w:sz w:val="24"/>
          <w:szCs w:val="24"/>
        </w:rPr>
        <w:t xml:space="preserve">. The benefits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can significantly contribute to the welfare of the ummah if managed properly.</w:t>
      </w:r>
    </w:p>
    <w:p w14:paraId="3174A955" w14:textId="77777777" w:rsidR="00EB035B" w:rsidRPr="00EC77AC" w:rsidRDefault="00EB035B" w:rsidP="001432A5">
      <w:pPr>
        <w:spacing w:after="0"/>
        <w:jc w:val="both"/>
        <w:rPr>
          <w:rFonts w:asciiTheme="majorHAnsi" w:hAnsiTheme="majorHAnsi" w:cstheme="majorHAnsi"/>
          <w:sz w:val="24"/>
          <w:szCs w:val="24"/>
        </w:rPr>
      </w:pPr>
    </w:p>
    <w:p w14:paraId="6E6A105C" w14:textId="3FF139A8" w:rsidR="00094584" w:rsidRPr="00181536" w:rsidRDefault="00094584" w:rsidP="00094584">
      <w:pPr>
        <w:spacing w:before="120" w:after="120"/>
        <w:ind w:left="-284" w:hanging="142"/>
        <w:rPr>
          <w:rFonts w:ascii="Calibri Light" w:hAnsi="Calibri Light" w:cs="Calibri Light"/>
          <w:b/>
          <w:sz w:val="24"/>
          <w:szCs w:val="24"/>
          <w:lang w:val="id-ID"/>
        </w:rPr>
      </w:pPr>
      <w:r>
        <w:rPr>
          <w:rFonts w:ascii="Calibri Light" w:hAnsi="Calibri Light" w:cs="Calibri Light"/>
          <w:b/>
          <w:sz w:val="24"/>
          <w:szCs w:val="24"/>
        </w:rPr>
        <w:t>I</w:t>
      </w:r>
      <w:r>
        <w:rPr>
          <w:rFonts w:ascii="Calibri Light" w:hAnsi="Calibri Light" w:cs="Calibri Light"/>
          <w:b/>
          <w:sz w:val="24"/>
          <w:szCs w:val="24"/>
        </w:rPr>
        <w:t>V</w:t>
      </w:r>
      <w:r w:rsidRPr="00122F5F">
        <w:rPr>
          <w:rFonts w:ascii="Calibri Light" w:hAnsi="Calibri Light" w:cs="Calibri Light"/>
          <w:b/>
          <w:sz w:val="24"/>
          <w:szCs w:val="24"/>
          <w:lang w:val="id-ID"/>
        </w:rPr>
        <w:t xml:space="preserve">.  </w:t>
      </w:r>
      <w:r w:rsidRPr="00122F5F">
        <w:rPr>
          <w:rFonts w:ascii="Calibri Light" w:hAnsi="Calibri Light" w:cs="Calibri Light"/>
          <w:b/>
          <w:sz w:val="24"/>
          <w:szCs w:val="24"/>
        </w:rPr>
        <w:t xml:space="preserve">CONCLUSION </w:t>
      </w:r>
    </w:p>
    <w:p w14:paraId="51FCD1FE" w14:textId="4F31C1CB" w:rsidR="009D0080" w:rsidRDefault="00EB035B" w:rsidP="00181536">
      <w:pPr>
        <w:spacing w:after="100" w:afterAutospacing="1"/>
        <w:jc w:val="both"/>
        <w:rPr>
          <w:rFonts w:asciiTheme="majorHAnsi" w:hAnsiTheme="majorHAnsi" w:cstheme="majorHAnsi"/>
          <w:sz w:val="24"/>
          <w:szCs w:val="24"/>
        </w:rPr>
      </w:pPr>
      <w:r w:rsidRPr="00EC77AC">
        <w:rPr>
          <w:rFonts w:asciiTheme="majorHAnsi" w:hAnsiTheme="majorHAnsi" w:cstheme="majorHAnsi"/>
          <w:sz w:val="24"/>
          <w:szCs w:val="24"/>
        </w:rPr>
        <w:t xml:space="preserve">From the discussion above, it can be concluded that the differences in the legality of </w:t>
      </w:r>
      <w:r w:rsidR="00E7738B" w:rsidRPr="00EC77AC">
        <w:rPr>
          <w:rFonts w:asciiTheme="majorHAnsi" w:hAnsiTheme="majorHAnsi" w:cstheme="majorHAnsi"/>
          <w:sz w:val="24"/>
          <w:szCs w:val="24"/>
        </w:rPr>
        <w:t>waqf al-</w:t>
      </w:r>
      <w:proofErr w:type="spellStart"/>
      <w:r w:rsidR="00E7738B" w:rsidRPr="00EC77AC">
        <w:rPr>
          <w:rFonts w:asciiTheme="majorHAnsi" w:hAnsiTheme="majorHAnsi" w:cstheme="majorHAnsi"/>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across several countries are primarily influenced by economic, social, and political factors, as well as misunderstandings about the purpose of waqf, rather than religious factors. Although some consider it </w:t>
      </w:r>
      <w:proofErr w:type="spellStart"/>
      <w:r w:rsidRPr="00EC77AC">
        <w:rPr>
          <w:rFonts w:asciiTheme="majorHAnsi" w:hAnsiTheme="majorHAnsi" w:cstheme="majorHAnsi"/>
          <w:sz w:val="24"/>
          <w:szCs w:val="24"/>
        </w:rPr>
        <w:t>bid'ah</w:t>
      </w:r>
      <w:proofErr w:type="spellEnd"/>
      <w:r w:rsidRPr="00EC77AC">
        <w:rPr>
          <w:rFonts w:asciiTheme="majorHAnsi" w:hAnsiTheme="majorHAnsi" w:cstheme="majorHAnsi"/>
          <w:sz w:val="24"/>
          <w:szCs w:val="24"/>
        </w:rPr>
        <w:t xml:space="preserve">, this notion has been rejected by the majority of scholars. Therefore, Indonesia, Malaysia, and Singapore have opted to follow the majority opinion. All three countries require the registration of both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and </w:t>
      </w:r>
      <w:r w:rsidR="0048225E" w:rsidRPr="00EC77AC">
        <w:rPr>
          <w:rFonts w:asciiTheme="majorHAnsi" w:hAnsiTheme="majorHAnsi" w:cstheme="majorHAnsi"/>
          <w:i/>
          <w:iCs/>
          <w:sz w:val="24"/>
          <w:szCs w:val="24"/>
        </w:rPr>
        <w:t>waqf al-</w:t>
      </w:r>
      <w:proofErr w:type="spellStart"/>
      <w:r w:rsidR="0048225E" w:rsidRPr="00EC77AC">
        <w:rPr>
          <w:rFonts w:asciiTheme="majorHAnsi" w:hAnsiTheme="majorHAnsi" w:cstheme="majorHAnsi"/>
          <w:i/>
          <w:iCs/>
          <w:sz w:val="24"/>
          <w:szCs w:val="24"/>
        </w:rPr>
        <w:t>khayrī</w:t>
      </w:r>
      <w:proofErr w:type="spellEnd"/>
      <w:r w:rsidRPr="00EC77AC">
        <w:rPr>
          <w:rFonts w:asciiTheme="majorHAnsi" w:hAnsiTheme="majorHAnsi" w:cstheme="majorHAnsi"/>
          <w:sz w:val="24"/>
          <w:szCs w:val="24"/>
        </w:rPr>
        <w:t>. However, there are significant differences in law enforcement. Singapore imposes strict penalties and fines for non-compliance with waqf registration and reporting obligations, while Indonesia and Malaysia have not implemented similar sanctions. Consequently, the administration and productivity of waqf funds in Singapore demonstrate higher efficiency compared to the other two countries.</w:t>
      </w:r>
      <w:r w:rsidR="007E3971">
        <w:rPr>
          <w:rFonts w:asciiTheme="majorHAnsi" w:hAnsiTheme="majorHAnsi" w:cstheme="majorHAnsi"/>
          <w:sz w:val="24"/>
          <w:szCs w:val="24"/>
        </w:rPr>
        <w:t xml:space="preserve"> </w:t>
      </w:r>
      <w:r w:rsidRPr="00EC77AC">
        <w:rPr>
          <w:rFonts w:asciiTheme="majorHAnsi" w:hAnsiTheme="majorHAnsi" w:cstheme="majorHAnsi"/>
          <w:sz w:val="24"/>
          <w:szCs w:val="24"/>
        </w:rPr>
        <w:t xml:space="preserve">These </w:t>
      </w:r>
      <w:r w:rsidRPr="00EC77AC">
        <w:rPr>
          <w:rFonts w:asciiTheme="majorHAnsi" w:hAnsiTheme="majorHAnsi" w:cstheme="majorHAnsi"/>
          <w:sz w:val="24"/>
          <w:szCs w:val="24"/>
        </w:rPr>
        <w:lastRenderedPageBreak/>
        <w:t xml:space="preserve">findings contribute to the development of insights into waqf management and implicitly refute the perception that </w:t>
      </w:r>
      <w:r w:rsidR="00E7738B" w:rsidRPr="00EC77AC">
        <w:rPr>
          <w:rFonts w:asciiTheme="majorHAnsi" w:hAnsiTheme="majorHAnsi" w:cstheme="majorHAnsi"/>
          <w:sz w:val="24"/>
          <w:szCs w:val="24"/>
        </w:rPr>
        <w:t>waqf al-</w:t>
      </w:r>
      <w:proofErr w:type="spellStart"/>
      <w:r w:rsidR="00E7738B" w:rsidRPr="00EC77AC">
        <w:rPr>
          <w:rFonts w:asciiTheme="majorHAnsi" w:hAnsiTheme="majorHAnsi" w:cstheme="majorHAnsi"/>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is </w:t>
      </w:r>
      <w:proofErr w:type="spellStart"/>
      <w:r w:rsidRPr="00EC77AC">
        <w:rPr>
          <w:rFonts w:asciiTheme="majorHAnsi" w:hAnsiTheme="majorHAnsi" w:cstheme="majorHAnsi"/>
          <w:sz w:val="24"/>
          <w:szCs w:val="24"/>
        </w:rPr>
        <w:t>bid'ah</w:t>
      </w:r>
      <w:proofErr w:type="spellEnd"/>
      <w:r w:rsidRPr="00EC77AC">
        <w:rPr>
          <w:rFonts w:asciiTheme="majorHAnsi" w:hAnsiTheme="majorHAnsi" w:cstheme="majorHAnsi"/>
          <w:sz w:val="24"/>
          <w:szCs w:val="24"/>
        </w:rPr>
        <w:t xml:space="preserve">. This study demonstrates that </w:t>
      </w:r>
      <w:r w:rsidR="00E7738B" w:rsidRPr="00EC77AC">
        <w:rPr>
          <w:rFonts w:asciiTheme="majorHAnsi" w:hAnsiTheme="majorHAnsi" w:cstheme="majorHAnsi"/>
          <w:sz w:val="24"/>
          <w:szCs w:val="24"/>
        </w:rPr>
        <w:t>waqf al-</w:t>
      </w:r>
      <w:proofErr w:type="spellStart"/>
      <w:r w:rsidR="00E7738B" w:rsidRPr="00EC77AC">
        <w:rPr>
          <w:rFonts w:asciiTheme="majorHAnsi" w:hAnsiTheme="majorHAnsi" w:cstheme="majorHAnsi"/>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 xml:space="preserve">when effectively managed, can significantly contribute to the welfare of the ummah. The implications of this research emphasize the importance of good governance and a comprehensive legal framework in optimizing the potential of </w:t>
      </w:r>
      <w:r w:rsidR="00E7738B" w:rsidRPr="00EC77AC">
        <w:rPr>
          <w:rFonts w:asciiTheme="majorHAnsi" w:hAnsiTheme="majorHAnsi" w:cstheme="majorHAnsi"/>
          <w:i/>
          <w:iCs/>
          <w:sz w:val="24"/>
          <w:szCs w:val="24"/>
        </w:rPr>
        <w:t>waqf al-</w:t>
      </w:r>
      <w:proofErr w:type="spellStart"/>
      <w:r w:rsidR="00E7738B" w:rsidRPr="00EC77AC">
        <w:rPr>
          <w:rFonts w:asciiTheme="majorHAnsi" w:hAnsiTheme="majorHAnsi" w:cstheme="majorHAnsi"/>
          <w:i/>
          <w:iCs/>
          <w:sz w:val="24"/>
          <w:szCs w:val="24"/>
        </w:rPr>
        <w:t>ahlī</w:t>
      </w:r>
      <w:proofErr w:type="spellEnd"/>
      <w:r w:rsidR="00E7738B" w:rsidRPr="00EC77AC">
        <w:rPr>
          <w:rFonts w:asciiTheme="majorHAnsi" w:hAnsiTheme="majorHAnsi" w:cstheme="majorHAnsi"/>
          <w:sz w:val="24"/>
          <w:szCs w:val="24"/>
        </w:rPr>
        <w:t xml:space="preserve"> </w:t>
      </w:r>
      <w:r w:rsidRPr="00EC77AC">
        <w:rPr>
          <w:rFonts w:asciiTheme="majorHAnsi" w:hAnsiTheme="majorHAnsi" w:cstheme="majorHAnsi"/>
          <w:sz w:val="24"/>
          <w:szCs w:val="24"/>
        </w:rPr>
        <w:t>as an instrument for socio-economic development.</w:t>
      </w:r>
    </w:p>
    <w:p w14:paraId="6DC36A00" w14:textId="193575A2" w:rsidR="00181536" w:rsidRPr="00181536" w:rsidRDefault="00181536" w:rsidP="00181536">
      <w:pPr>
        <w:spacing w:before="120" w:after="120"/>
        <w:ind w:left="-284" w:hanging="142"/>
        <w:rPr>
          <w:rFonts w:ascii="Calibri Light" w:hAnsi="Calibri Light" w:cs="Calibri Light"/>
          <w:b/>
          <w:sz w:val="24"/>
          <w:szCs w:val="24"/>
          <w:lang w:val="id-ID"/>
        </w:rPr>
      </w:pPr>
      <w:r>
        <w:rPr>
          <w:rFonts w:ascii="Calibri Light" w:hAnsi="Calibri Light" w:cs="Calibri Light"/>
          <w:b/>
          <w:sz w:val="24"/>
          <w:szCs w:val="24"/>
        </w:rPr>
        <w:t>V</w:t>
      </w:r>
      <w:r w:rsidRPr="00122F5F">
        <w:rPr>
          <w:rFonts w:ascii="Calibri Light" w:hAnsi="Calibri Light" w:cs="Calibri Light"/>
          <w:b/>
          <w:sz w:val="24"/>
          <w:szCs w:val="24"/>
          <w:lang w:val="id-ID"/>
        </w:rPr>
        <w:t>.  RE</w:t>
      </w:r>
      <w:r>
        <w:rPr>
          <w:rFonts w:ascii="Calibri Light" w:hAnsi="Calibri Light" w:cs="Calibri Light"/>
          <w:b/>
          <w:sz w:val="24"/>
          <w:szCs w:val="24"/>
          <w:lang w:val="en-US"/>
        </w:rPr>
        <w:t>FERENCES</w:t>
      </w:r>
      <w:r w:rsidRPr="00122F5F">
        <w:rPr>
          <w:rFonts w:ascii="Calibri Light" w:hAnsi="Calibri Light" w:cs="Calibri Light"/>
          <w:b/>
          <w:sz w:val="24"/>
          <w:szCs w:val="24"/>
        </w:rPr>
        <w:t xml:space="preserve"> </w:t>
      </w:r>
    </w:p>
    <w:p w14:paraId="719E5D77" w14:textId="57CD8C0D" w:rsidR="00F54E80" w:rsidRPr="00181536" w:rsidRDefault="007E3971"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sz w:val="24"/>
          <w:szCs w:val="24"/>
        </w:rPr>
        <w:fldChar w:fldCharType="begin" w:fldLock="1"/>
      </w:r>
      <w:r w:rsidRPr="00181536">
        <w:rPr>
          <w:rFonts w:ascii="Calibri Light" w:hAnsi="Calibri Light" w:cs="Calibri Light"/>
          <w:noProof/>
          <w:sz w:val="24"/>
          <w:szCs w:val="24"/>
        </w:rPr>
        <w:instrText xml:space="preserve">ADDIN Mendeley Bibliography CSL_BIBLIOGRAPHY </w:instrText>
      </w:r>
      <w:r w:rsidRPr="00181536">
        <w:rPr>
          <w:rFonts w:ascii="Calibri Light" w:hAnsi="Calibri Light" w:cs="Calibri Light"/>
          <w:noProof/>
          <w:sz w:val="24"/>
          <w:szCs w:val="24"/>
        </w:rPr>
        <w:fldChar w:fldCharType="separate"/>
      </w:r>
      <w:r w:rsidR="00F54E80" w:rsidRPr="00181536">
        <w:rPr>
          <w:rFonts w:ascii="Calibri Light" w:hAnsi="Calibri Light" w:cs="Calibri Light"/>
          <w:noProof/>
          <w:kern w:val="0"/>
          <w:sz w:val="24"/>
          <w:lang w:val="en-GB"/>
        </w:rPr>
        <w:t xml:space="preserve">Ab Hamid, M. H., Rani, M. A. M., Ahmad, I., Adenan, F., &amp; Arif, M. I. A. M. (2023). The Development of Waqf Zurri through the Family Foundations Model. </w:t>
      </w:r>
      <w:r w:rsidR="00F54E80" w:rsidRPr="00181536">
        <w:rPr>
          <w:rFonts w:ascii="Calibri Light" w:hAnsi="Calibri Light" w:cs="Calibri Light"/>
          <w:i/>
          <w:iCs/>
          <w:noProof/>
          <w:kern w:val="0"/>
          <w:sz w:val="24"/>
          <w:lang w:val="en-GB"/>
        </w:rPr>
        <w:t>Al-Qanatir: International Journal of Islamic Studies</w:t>
      </w:r>
      <w:r w:rsidR="00F54E80" w:rsidRPr="00181536">
        <w:rPr>
          <w:rFonts w:ascii="Calibri Light" w:hAnsi="Calibri Light" w:cs="Calibri Light"/>
          <w:noProof/>
          <w:kern w:val="0"/>
          <w:sz w:val="24"/>
          <w:lang w:val="en-GB"/>
        </w:rPr>
        <w:t xml:space="preserve">, </w:t>
      </w:r>
      <w:r w:rsidR="00F54E80" w:rsidRPr="00181536">
        <w:rPr>
          <w:rFonts w:ascii="Calibri Light" w:hAnsi="Calibri Light" w:cs="Calibri Light"/>
          <w:i/>
          <w:iCs/>
          <w:noProof/>
          <w:kern w:val="0"/>
          <w:sz w:val="24"/>
          <w:lang w:val="en-GB"/>
        </w:rPr>
        <w:t>30</w:t>
      </w:r>
      <w:r w:rsidR="00F54E80" w:rsidRPr="00181536">
        <w:rPr>
          <w:rFonts w:ascii="Calibri Light" w:hAnsi="Calibri Light" w:cs="Calibri Light"/>
          <w:noProof/>
          <w:kern w:val="0"/>
          <w:sz w:val="24"/>
          <w:lang w:val="en-GB"/>
        </w:rPr>
        <w:t>(2), 364–374.</w:t>
      </w:r>
    </w:p>
    <w:p w14:paraId="63749AC2"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Ab Rahman, M. F., Abdullah Thaidi, H. ‘Azeemi, Mohamad Suhaimi, F., &amp; Ab Rahim, S. F. (2024). Proposed Temporary Waqf Model for Family Waqf Implementation in Malaysia. </w:t>
      </w:r>
      <w:r w:rsidRPr="00181536">
        <w:rPr>
          <w:rFonts w:ascii="Calibri Light" w:hAnsi="Calibri Light" w:cs="Calibri Light"/>
          <w:i/>
          <w:iCs/>
          <w:noProof/>
          <w:kern w:val="0"/>
          <w:sz w:val="24"/>
          <w:lang w:val="en-GB"/>
        </w:rPr>
        <w:t>Journal of Islamic Accounting and Business Research</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15</w:t>
      </w:r>
      <w:r w:rsidRPr="00181536">
        <w:rPr>
          <w:rFonts w:ascii="Calibri Light" w:hAnsi="Calibri Light" w:cs="Calibri Light"/>
          <w:noProof/>
          <w:kern w:val="0"/>
          <w:sz w:val="24"/>
          <w:lang w:val="en-GB"/>
        </w:rPr>
        <w:t>(1), 56–78.</w:t>
      </w:r>
    </w:p>
    <w:p w14:paraId="0B62007D"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Abbasi, M., &amp; Abbasi, M. Z. (2013). </w:t>
      </w:r>
      <w:r w:rsidRPr="00181536">
        <w:rPr>
          <w:rFonts w:ascii="Calibri Light" w:hAnsi="Calibri Light" w:cs="Calibri Light"/>
          <w:i/>
          <w:iCs/>
          <w:noProof/>
          <w:kern w:val="0"/>
          <w:sz w:val="24"/>
          <w:lang w:val="en-GB"/>
        </w:rPr>
        <w:t>Sharī’a under the English Legal System in British India: Awqāf (endowments) in the Making of Anglo-Muhammadan Law</w:t>
      </w:r>
      <w:r w:rsidRPr="00181536">
        <w:rPr>
          <w:rFonts w:ascii="Calibri Light" w:hAnsi="Calibri Light" w:cs="Calibri Light"/>
          <w:noProof/>
          <w:kern w:val="0"/>
          <w:sz w:val="24"/>
          <w:lang w:val="en-GB"/>
        </w:rPr>
        <w:t>. Oxford University.</w:t>
      </w:r>
    </w:p>
    <w:p w14:paraId="49B96020"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Abbasi, M. Z. (2012). The Classical Islamic Law of Waqf: A Concise Introduction. </w:t>
      </w:r>
      <w:r w:rsidRPr="00181536">
        <w:rPr>
          <w:rFonts w:ascii="Calibri Light" w:hAnsi="Calibri Light" w:cs="Calibri Light"/>
          <w:i/>
          <w:iCs/>
          <w:noProof/>
          <w:kern w:val="0"/>
          <w:sz w:val="24"/>
          <w:lang w:val="en-GB"/>
        </w:rPr>
        <w:t>Arab Law Quarterly</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26</w:t>
      </w:r>
      <w:r w:rsidRPr="00181536">
        <w:rPr>
          <w:rFonts w:ascii="Calibri Light" w:hAnsi="Calibri Light" w:cs="Calibri Light"/>
          <w:noProof/>
          <w:kern w:val="0"/>
          <w:sz w:val="24"/>
          <w:lang w:val="en-GB"/>
        </w:rPr>
        <w:t>(2), 121–153.</w:t>
      </w:r>
    </w:p>
    <w:p w14:paraId="67A9859D"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Abbasi, M. Z. (2021). Case Studies of Waqf in Pakistan. In </w:t>
      </w:r>
      <w:r w:rsidRPr="00181536">
        <w:rPr>
          <w:rFonts w:ascii="Calibri Light" w:hAnsi="Calibri Light" w:cs="Calibri Light"/>
          <w:i/>
          <w:iCs/>
          <w:noProof/>
          <w:kern w:val="0"/>
          <w:sz w:val="24"/>
          <w:lang w:val="en-GB"/>
        </w:rPr>
        <w:t>Waqf Development and Innovation</w:t>
      </w:r>
      <w:r w:rsidRPr="00181536">
        <w:rPr>
          <w:rFonts w:ascii="Calibri Light" w:hAnsi="Calibri Light" w:cs="Calibri Light"/>
          <w:noProof/>
          <w:kern w:val="0"/>
          <w:sz w:val="24"/>
          <w:lang w:val="en-GB"/>
        </w:rPr>
        <w:t xml:space="preserve"> (pp. 256–268). Routledge.</w:t>
      </w:r>
    </w:p>
    <w:p w14:paraId="6D77B7A4"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Abdul-Karim, S. (2010). </w:t>
      </w:r>
      <w:r w:rsidRPr="00181536">
        <w:rPr>
          <w:rFonts w:ascii="Calibri Light" w:hAnsi="Calibri Light" w:cs="Calibri Light"/>
          <w:i/>
          <w:iCs/>
          <w:noProof/>
          <w:kern w:val="0"/>
          <w:sz w:val="24"/>
          <w:lang w:val="en-GB"/>
        </w:rPr>
        <w:t>Contemporary Shari’ah Structuring for the Development and Management of Waqf assets in Singapore</w:t>
      </w:r>
      <w:r w:rsidRPr="00181536">
        <w:rPr>
          <w:rFonts w:ascii="Calibri Light" w:hAnsi="Calibri Light" w:cs="Calibri Light"/>
          <w:noProof/>
          <w:kern w:val="0"/>
          <w:sz w:val="24"/>
          <w:lang w:val="en-GB"/>
        </w:rPr>
        <w:t>. Durham University.</w:t>
      </w:r>
    </w:p>
    <w:p w14:paraId="24CD0617"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Al-‘Alāwayn, F. A. (2011). </w:t>
      </w:r>
      <w:r w:rsidRPr="00181536">
        <w:rPr>
          <w:rFonts w:ascii="Calibri Light" w:hAnsi="Calibri Light" w:cs="Calibri Light"/>
          <w:i/>
          <w:iCs/>
          <w:noProof/>
          <w:kern w:val="0"/>
          <w:sz w:val="24"/>
          <w:lang w:val="en-GB"/>
        </w:rPr>
        <w:t>al-Waqf al-Dhurrī wa Taṭbīquhā al-Muʻāṣir: Dirāsah Fiqhiyyah Muqāranah</w:t>
      </w:r>
      <w:r w:rsidRPr="00181536">
        <w:rPr>
          <w:rFonts w:ascii="Calibri Light" w:hAnsi="Calibri Light" w:cs="Calibri Light"/>
          <w:noProof/>
          <w:kern w:val="0"/>
          <w:sz w:val="24"/>
          <w:lang w:val="en-GB"/>
        </w:rPr>
        <w:t>. Jāmiʻah al-‘Ulūm al-Islāmiyyah al-‘Ālamiyyah, Jordan.</w:t>
      </w:r>
    </w:p>
    <w:p w14:paraId="686F6F67"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Al-Farsī, ʻĀṣim Ḥammād. (2023). Arkān al-Waqf al-Ahlī wa Shurūṭuhu: Dirāsah Fiqhiyyah Muqāranah. </w:t>
      </w:r>
      <w:r w:rsidRPr="00181536">
        <w:rPr>
          <w:rFonts w:ascii="Calibri Light" w:hAnsi="Calibri Light" w:cs="Calibri Light"/>
          <w:i/>
          <w:iCs/>
          <w:noProof/>
          <w:kern w:val="0"/>
          <w:sz w:val="24"/>
          <w:lang w:val="en-GB"/>
        </w:rPr>
        <w:t>Al-Majallah Al-ʻArabiyyah Li Al-Dirāsāt Al-Islāmiyyah Wa Al-Sharʻiyyah</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7</w:t>
      </w:r>
      <w:r w:rsidRPr="00181536">
        <w:rPr>
          <w:rFonts w:ascii="Calibri Light" w:hAnsi="Calibri Light" w:cs="Calibri Light"/>
          <w:noProof/>
          <w:kern w:val="0"/>
          <w:sz w:val="24"/>
          <w:lang w:val="en-GB"/>
        </w:rPr>
        <w:t>(22), 99–132.</w:t>
      </w:r>
    </w:p>
    <w:p w14:paraId="1611B476"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Al-ʻAsqalānī, I. Ḥajr. (1379). </w:t>
      </w:r>
      <w:r w:rsidRPr="00181536">
        <w:rPr>
          <w:rFonts w:ascii="Calibri Light" w:hAnsi="Calibri Light" w:cs="Calibri Light"/>
          <w:i/>
          <w:iCs/>
          <w:noProof/>
          <w:kern w:val="0"/>
          <w:sz w:val="24"/>
          <w:lang w:val="en-GB"/>
        </w:rPr>
        <w:t>Fatḥ al-Bārī Shārḥ Ṣaḥīḥ al-Bukhārī</w:t>
      </w:r>
      <w:r w:rsidRPr="00181536">
        <w:rPr>
          <w:rFonts w:ascii="Calibri Light" w:hAnsi="Calibri Light" w:cs="Calibri Light"/>
          <w:noProof/>
          <w:kern w:val="0"/>
          <w:sz w:val="24"/>
          <w:lang w:val="en-GB"/>
        </w:rPr>
        <w:t>. Dār al-Maʻrifah.</w:t>
      </w:r>
    </w:p>
    <w:p w14:paraId="4044D7E0"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Al-Nawawī. (1396). </w:t>
      </w:r>
      <w:r w:rsidRPr="00181536">
        <w:rPr>
          <w:rFonts w:ascii="Calibri Light" w:hAnsi="Calibri Light" w:cs="Calibri Light"/>
          <w:i/>
          <w:iCs/>
          <w:noProof/>
          <w:kern w:val="0"/>
          <w:sz w:val="24"/>
          <w:lang w:val="en-GB"/>
        </w:rPr>
        <w:t>al-Minhāj Sharḥ Ṣaḥīḥ Muslim</w:t>
      </w:r>
      <w:r w:rsidRPr="00181536">
        <w:rPr>
          <w:rFonts w:ascii="Calibri Light" w:hAnsi="Calibri Light" w:cs="Calibri Light"/>
          <w:noProof/>
          <w:kern w:val="0"/>
          <w:sz w:val="24"/>
          <w:lang w:val="en-GB"/>
        </w:rPr>
        <w:t xml:space="preserve"> (M. F. ʻAbd Al-Bāqī (ed.)). Dār Iḥyā’ al-Turāth al-ʻArabī.</w:t>
      </w:r>
    </w:p>
    <w:p w14:paraId="2C1A9161" w14:textId="3F45D4E8"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Al-Wahhāb, M. ibn ‘Abd. (n.d.). Ibṭāl al-Waqf al-Ahlī. </w:t>
      </w:r>
      <w:r w:rsidRPr="00181536">
        <w:rPr>
          <w:rFonts w:ascii="Calibri Light" w:hAnsi="Calibri Light" w:cs="Calibri Light"/>
          <w:i/>
          <w:iCs/>
          <w:noProof/>
          <w:kern w:val="0"/>
          <w:sz w:val="24"/>
          <w:lang w:val="en-GB"/>
        </w:rPr>
        <w:t>Majallah Al-Manār</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29</w:t>
      </w:r>
      <w:r w:rsidRPr="00181536">
        <w:rPr>
          <w:rFonts w:ascii="Calibri Light" w:hAnsi="Calibri Light" w:cs="Calibri Light"/>
          <w:noProof/>
          <w:kern w:val="0"/>
          <w:sz w:val="24"/>
          <w:lang w:val="en-GB"/>
        </w:rPr>
        <w:t xml:space="preserve">, 36. </w:t>
      </w:r>
      <w:hyperlink r:id="rId14" w:history="1">
        <w:r w:rsidRPr="00094584">
          <w:rPr>
            <w:rStyle w:val="Hyperlink"/>
            <w:rFonts w:ascii="Calibri Light" w:hAnsi="Calibri Light" w:cs="Calibri Light"/>
            <w:noProof/>
            <w:kern w:val="0"/>
            <w:sz w:val="24"/>
            <w:lang w:val="en-GB"/>
          </w:rPr>
          <w:t>https://doi.org/https://shamela.ws/book/6947/3854</w:t>
        </w:r>
      </w:hyperlink>
    </w:p>
    <w:p w14:paraId="12480A63"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Al-Zarqā’, M. A. (1344). </w:t>
      </w:r>
      <w:r w:rsidRPr="00181536">
        <w:rPr>
          <w:rFonts w:ascii="Calibri Light" w:hAnsi="Calibri Light" w:cs="Calibri Light"/>
          <w:i/>
          <w:iCs/>
          <w:noProof/>
          <w:kern w:val="0"/>
          <w:sz w:val="24"/>
          <w:lang w:val="en-GB"/>
        </w:rPr>
        <w:t>al-Shams al-Jāliyyah fī al-Rad ‘alā Man Uftiyā bi Buṭlān Awqāf al-Dhurriyyah</w:t>
      </w:r>
      <w:r w:rsidRPr="00181536">
        <w:rPr>
          <w:rFonts w:ascii="Calibri Light" w:hAnsi="Calibri Light" w:cs="Calibri Light"/>
          <w:noProof/>
          <w:kern w:val="0"/>
          <w:sz w:val="24"/>
          <w:lang w:val="en-GB"/>
        </w:rPr>
        <w:t>. al-Maṭbaʻah al- ʻIlmiyyah.</w:t>
      </w:r>
    </w:p>
    <w:p w14:paraId="70C32AC3"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Al-Zarqā, M. (1998). </w:t>
      </w:r>
      <w:r w:rsidRPr="00181536">
        <w:rPr>
          <w:rFonts w:ascii="Calibri Light" w:hAnsi="Calibri Light" w:cs="Calibri Light"/>
          <w:i/>
          <w:iCs/>
          <w:noProof/>
          <w:kern w:val="0"/>
          <w:sz w:val="24"/>
          <w:lang w:val="en-GB"/>
        </w:rPr>
        <w:t>Aḥkām al-Awqāf</w:t>
      </w:r>
      <w:r w:rsidRPr="00181536">
        <w:rPr>
          <w:rFonts w:ascii="Calibri Light" w:hAnsi="Calibri Light" w:cs="Calibri Light"/>
          <w:noProof/>
          <w:kern w:val="0"/>
          <w:sz w:val="24"/>
          <w:lang w:val="en-GB"/>
        </w:rPr>
        <w:t>. Dar ‘Amār.</w:t>
      </w:r>
    </w:p>
    <w:p w14:paraId="0A4C80E4"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Cizakca, M. (1998). Awqaf in History and its Implications for Modern Islamic Economies. </w:t>
      </w:r>
      <w:r w:rsidRPr="00181536">
        <w:rPr>
          <w:rFonts w:ascii="Calibri Light" w:hAnsi="Calibri Light" w:cs="Calibri Light"/>
          <w:i/>
          <w:iCs/>
          <w:noProof/>
          <w:kern w:val="0"/>
          <w:sz w:val="24"/>
          <w:lang w:val="en-GB"/>
        </w:rPr>
        <w:t>Islamic Economic Studies</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6</w:t>
      </w:r>
      <w:r w:rsidRPr="00181536">
        <w:rPr>
          <w:rFonts w:ascii="Calibri Light" w:hAnsi="Calibri Light" w:cs="Calibri Light"/>
          <w:noProof/>
          <w:kern w:val="0"/>
          <w:sz w:val="24"/>
          <w:lang w:val="en-GB"/>
        </w:rPr>
        <w:t>(1), 43–70.</w:t>
      </w:r>
    </w:p>
    <w:p w14:paraId="33F95CA8"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lastRenderedPageBreak/>
        <w:t xml:space="preserve">Dimashq, J. al-ʿUlamā’ bi. (1938). </w:t>
      </w:r>
      <w:r w:rsidRPr="00181536">
        <w:rPr>
          <w:rFonts w:ascii="Calibri Light" w:hAnsi="Calibri Light" w:cs="Calibri Light"/>
          <w:i/>
          <w:iCs/>
          <w:noProof/>
          <w:kern w:val="0"/>
          <w:sz w:val="24"/>
          <w:lang w:val="en-GB"/>
        </w:rPr>
        <w:t>Risālah Jamʻiyyah al-‘Ulamā’ bi Dimashq fī Ibṭāl Risālah al-Ustādh al-Shaykh Rāmiz al-Malak fī Jawāz Ḥall Awqāf al-Dhurriyyah</w:t>
      </w:r>
      <w:r w:rsidRPr="00181536">
        <w:rPr>
          <w:rFonts w:ascii="Calibri Light" w:hAnsi="Calibri Light" w:cs="Calibri Light"/>
          <w:noProof/>
          <w:kern w:val="0"/>
          <w:sz w:val="24"/>
          <w:lang w:val="en-GB"/>
        </w:rPr>
        <w:t>. Maṭbaʿat al-Taraqqī.</w:t>
      </w:r>
    </w:p>
    <w:p w14:paraId="00646ADB"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Fahrurroji. (2019). </w:t>
      </w:r>
      <w:r w:rsidRPr="00181536">
        <w:rPr>
          <w:rFonts w:ascii="Calibri Light" w:hAnsi="Calibri Light" w:cs="Calibri Light"/>
          <w:i/>
          <w:iCs/>
          <w:noProof/>
          <w:kern w:val="0"/>
          <w:sz w:val="24"/>
          <w:lang w:val="en-GB"/>
        </w:rPr>
        <w:t>Wakaf Kontemporer</w:t>
      </w:r>
      <w:r w:rsidRPr="00181536">
        <w:rPr>
          <w:rFonts w:ascii="Calibri Light" w:hAnsi="Calibri Light" w:cs="Calibri Light"/>
          <w:noProof/>
          <w:kern w:val="0"/>
          <w:sz w:val="24"/>
          <w:lang w:val="en-GB"/>
        </w:rPr>
        <w:t>. Badan Wakaf Indonesia.</w:t>
      </w:r>
    </w:p>
    <w:p w14:paraId="27641486"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Farhana, M. S., Asmak, A. R., &amp; Marican, S. (2014). The Role of Share Waqf in the Socio-Economic Development of the Muslim Community: The Malaysian Experience. </w:t>
      </w:r>
      <w:r w:rsidRPr="00181536">
        <w:rPr>
          <w:rFonts w:ascii="Calibri Light" w:hAnsi="Calibri Light" w:cs="Calibri Light"/>
          <w:i/>
          <w:iCs/>
          <w:noProof/>
          <w:kern w:val="0"/>
          <w:sz w:val="24"/>
          <w:lang w:val="en-GB"/>
        </w:rPr>
        <w:t>Humanomics</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30</w:t>
      </w:r>
      <w:r w:rsidRPr="00181536">
        <w:rPr>
          <w:rFonts w:ascii="Calibri Light" w:hAnsi="Calibri Light" w:cs="Calibri Light"/>
          <w:noProof/>
          <w:kern w:val="0"/>
          <w:sz w:val="24"/>
          <w:lang w:val="en-GB"/>
        </w:rPr>
        <w:t>(3), 227–254.</w:t>
      </w:r>
    </w:p>
    <w:p w14:paraId="45741EAA"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Fauzia, A. (2013). </w:t>
      </w:r>
      <w:r w:rsidRPr="00181536">
        <w:rPr>
          <w:rFonts w:ascii="Calibri Light" w:hAnsi="Calibri Light" w:cs="Calibri Light"/>
          <w:i/>
          <w:iCs/>
          <w:noProof/>
          <w:kern w:val="0"/>
          <w:sz w:val="24"/>
          <w:lang w:val="en-GB"/>
        </w:rPr>
        <w:t>Faith and the State: A History of Islamic Philanthropy in Indonesia</w:t>
      </w:r>
      <w:r w:rsidRPr="00181536">
        <w:rPr>
          <w:rFonts w:ascii="Calibri Light" w:hAnsi="Calibri Light" w:cs="Calibri Light"/>
          <w:noProof/>
          <w:kern w:val="0"/>
          <w:sz w:val="24"/>
          <w:lang w:val="en-GB"/>
        </w:rPr>
        <w:t>. Brill.</w:t>
      </w:r>
    </w:p>
    <w:p w14:paraId="12C93AA6"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Ḥanbal, A. ibn. (1421). </w:t>
      </w:r>
      <w:r w:rsidRPr="00181536">
        <w:rPr>
          <w:rFonts w:ascii="Calibri Light" w:hAnsi="Calibri Light" w:cs="Calibri Light"/>
          <w:i/>
          <w:iCs/>
          <w:noProof/>
          <w:kern w:val="0"/>
          <w:sz w:val="24"/>
          <w:lang w:val="en-GB"/>
        </w:rPr>
        <w:t>Musnad al-Imām Aḥmad Ibn Ḥanbal</w:t>
      </w:r>
      <w:r w:rsidRPr="00181536">
        <w:rPr>
          <w:rFonts w:ascii="Calibri Light" w:hAnsi="Calibri Light" w:cs="Calibri Light"/>
          <w:noProof/>
          <w:kern w:val="0"/>
          <w:sz w:val="24"/>
          <w:lang w:val="en-GB"/>
        </w:rPr>
        <w:t xml:space="preserve"> (S. Al-Arnā’ūṭ (ed.)). Mu’assasat al-Risālah.</w:t>
      </w:r>
    </w:p>
    <w:p w14:paraId="4CDBB271"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Harun, R., Isa, Z. M., &amp; Ali, N. (2012). Preliminary Findings on Waqf Management Practices among Selected Muslim Countries. </w:t>
      </w:r>
      <w:r w:rsidRPr="00181536">
        <w:rPr>
          <w:rFonts w:ascii="Calibri Light" w:hAnsi="Calibri Light" w:cs="Calibri Light"/>
          <w:i/>
          <w:iCs/>
          <w:noProof/>
          <w:kern w:val="0"/>
          <w:sz w:val="24"/>
          <w:lang w:val="en-GB"/>
        </w:rPr>
        <w:t>International Conference on Economics Marketing and Management</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28</w:t>
      </w:r>
      <w:r w:rsidRPr="00181536">
        <w:rPr>
          <w:rFonts w:ascii="Calibri Light" w:hAnsi="Calibri Light" w:cs="Calibri Light"/>
          <w:noProof/>
          <w:kern w:val="0"/>
          <w:sz w:val="24"/>
          <w:lang w:val="en-GB"/>
        </w:rPr>
        <w:t>, 117–120.</w:t>
      </w:r>
    </w:p>
    <w:p w14:paraId="23598579"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Kader, S. Z. S. A. (2016). Kerangka Undang-Undang Pengurusan Wakaf di Malaysia: Ke Arah Keseragaman Undang-Undang. </w:t>
      </w:r>
      <w:r w:rsidRPr="00181536">
        <w:rPr>
          <w:rFonts w:ascii="Calibri Light" w:hAnsi="Calibri Light" w:cs="Calibri Light"/>
          <w:i/>
          <w:iCs/>
          <w:noProof/>
          <w:kern w:val="0"/>
          <w:sz w:val="24"/>
          <w:lang w:val="en-GB"/>
        </w:rPr>
        <w:t>Kanun: Jurnal Undang-Undang Malaysia</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28</w:t>
      </w:r>
      <w:r w:rsidRPr="00181536">
        <w:rPr>
          <w:rFonts w:ascii="Calibri Light" w:hAnsi="Calibri Light" w:cs="Calibri Light"/>
          <w:noProof/>
          <w:kern w:val="0"/>
          <w:sz w:val="24"/>
          <w:lang w:val="en-GB"/>
        </w:rPr>
        <w:t>(1), 102–127.</w:t>
      </w:r>
    </w:p>
    <w:p w14:paraId="3C62466D"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Kamarubahrin, A. F., &amp; Ayedh, A. M. A. (2018). Critical Review on Waqf Experiences: Lessons from Muslim and Non-Muslim Countries. </w:t>
      </w:r>
      <w:r w:rsidRPr="00181536">
        <w:rPr>
          <w:rFonts w:ascii="Calibri Light" w:hAnsi="Calibri Light" w:cs="Calibri Light"/>
          <w:i/>
          <w:iCs/>
          <w:noProof/>
          <w:kern w:val="0"/>
          <w:sz w:val="24"/>
          <w:lang w:val="en-GB"/>
        </w:rPr>
        <w:t>IQTISHADIA Journal of Islamic Economic and Business (IJEB)</w:t>
      </w:r>
      <w:r w:rsidRPr="00181536">
        <w:rPr>
          <w:rFonts w:ascii="Calibri Light" w:hAnsi="Calibri Light" w:cs="Calibri Light"/>
          <w:noProof/>
          <w:kern w:val="0"/>
          <w:sz w:val="24"/>
          <w:lang w:val="en-GB"/>
        </w:rPr>
        <w:t>.</w:t>
      </w:r>
    </w:p>
    <w:p w14:paraId="2134AAC7"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Karim, S. A. (2011). Contemporary Waqf Administration and Development in Singapore: Challenges and Prospects. In </w:t>
      </w:r>
      <w:r w:rsidRPr="00181536">
        <w:rPr>
          <w:rFonts w:ascii="Calibri Light" w:hAnsi="Calibri Light" w:cs="Calibri Light"/>
          <w:i/>
          <w:iCs/>
          <w:noProof/>
          <w:kern w:val="0"/>
          <w:sz w:val="24"/>
          <w:lang w:val="en-GB"/>
        </w:rPr>
        <w:t>Essential readings in contemporary waqf issues</w:t>
      </w:r>
      <w:r w:rsidRPr="00181536">
        <w:rPr>
          <w:rFonts w:ascii="Calibri Light" w:hAnsi="Calibri Light" w:cs="Calibri Light"/>
          <w:noProof/>
          <w:kern w:val="0"/>
          <w:sz w:val="24"/>
          <w:lang w:val="en-GB"/>
        </w:rPr>
        <w:t xml:space="preserve"> (pp. 113–123). Kuala Lumpur: Cert publications Sdn. Bhd.</w:t>
      </w:r>
    </w:p>
    <w:p w14:paraId="7C884C56"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Layish, A. (1983). The Mālikī Family Waqf According to Wills and Waqfiyyāt. </w:t>
      </w:r>
      <w:r w:rsidRPr="00181536">
        <w:rPr>
          <w:rFonts w:ascii="Calibri Light" w:hAnsi="Calibri Light" w:cs="Calibri Light"/>
          <w:i/>
          <w:iCs/>
          <w:noProof/>
          <w:kern w:val="0"/>
          <w:sz w:val="24"/>
          <w:lang w:val="en-GB"/>
        </w:rPr>
        <w:t>Bulletin of the School of Oriental and African Studies</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46</w:t>
      </w:r>
      <w:r w:rsidRPr="00181536">
        <w:rPr>
          <w:rFonts w:ascii="Calibri Light" w:hAnsi="Calibri Light" w:cs="Calibri Light"/>
          <w:noProof/>
          <w:kern w:val="0"/>
          <w:sz w:val="24"/>
          <w:lang w:val="en-GB"/>
        </w:rPr>
        <w:t>(1), 1–32.</w:t>
      </w:r>
    </w:p>
    <w:p w14:paraId="13E57A5A"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Lienhardt, P. (1996). Family waqf in Zanzibar. </w:t>
      </w:r>
      <w:r w:rsidRPr="00181536">
        <w:rPr>
          <w:rFonts w:ascii="Calibri Light" w:hAnsi="Calibri Light" w:cs="Calibri Light"/>
          <w:i/>
          <w:iCs/>
          <w:noProof/>
          <w:kern w:val="0"/>
          <w:sz w:val="24"/>
          <w:lang w:val="en-GB"/>
        </w:rPr>
        <w:t>Bulletin of the School of Oriental and African Studies, University of London</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27</w:t>
      </w:r>
      <w:r w:rsidRPr="00181536">
        <w:rPr>
          <w:rFonts w:ascii="Calibri Light" w:hAnsi="Calibri Light" w:cs="Calibri Light"/>
          <w:noProof/>
          <w:kern w:val="0"/>
          <w:sz w:val="24"/>
          <w:lang w:val="en-GB"/>
        </w:rPr>
        <w:t>(2), 95–106.</w:t>
      </w:r>
    </w:p>
    <w:p w14:paraId="659392F4"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Mahamood, S. M. (2006). </w:t>
      </w:r>
      <w:r w:rsidRPr="00181536">
        <w:rPr>
          <w:rFonts w:ascii="Calibri Light" w:hAnsi="Calibri Light" w:cs="Calibri Light"/>
          <w:i/>
          <w:iCs/>
          <w:noProof/>
          <w:kern w:val="0"/>
          <w:sz w:val="24"/>
          <w:lang w:val="en-GB"/>
        </w:rPr>
        <w:t>Waqf in Malaysia: Legal and Administrative Perspectives</w:t>
      </w:r>
      <w:r w:rsidRPr="00181536">
        <w:rPr>
          <w:rFonts w:ascii="Calibri Light" w:hAnsi="Calibri Light" w:cs="Calibri Light"/>
          <w:noProof/>
          <w:kern w:val="0"/>
          <w:sz w:val="24"/>
          <w:lang w:val="en-GB"/>
        </w:rPr>
        <w:t>. University of Malaya Press.</w:t>
      </w:r>
    </w:p>
    <w:p w14:paraId="697986AF"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Mahamood, S. M., &amp; Ab Rahman, A. (2015). Financing Universities through Waqf, Pious Endowment: Is It Possible? </w:t>
      </w:r>
      <w:r w:rsidRPr="00181536">
        <w:rPr>
          <w:rFonts w:ascii="Calibri Light" w:hAnsi="Calibri Light" w:cs="Calibri Light"/>
          <w:i/>
          <w:iCs/>
          <w:noProof/>
          <w:kern w:val="0"/>
          <w:sz w:val="24"/>
          <w:lang w:val="en-GB"/>
        </w:rPr>
        <w:t>Humanomics</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31</w:t>
      </w:r>
      <w:r w:rsidRPr="00181536">
        <w:rPr>
          <w:rFonts w:ascii="Calibri Light" w:hAnsi="Calibri Light" w:cs="Calibri Light"/>
          <w:noProof/>
          <w:kern w:val="0"/>
          <w:sz w:val="24"/>
          <w:lang w:val="en-GB"/>
        </w:rPr>
        <w:t>(4), 430–453.</w:t>
      </w:r>
    </w:p>
    <w:p w14:paraId="7630E4ED"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Makhlūf, M. Ḥasanain. (1951). </w:t>
      </w:r>
      <w:r w:rsidRPr="00181536">
        <w:rPr>
          <w:rFonts w:ascii="Calibri Light" w:hAnsi="Calibri Light" w:cs="Calibri Light"/>
          <w:i/>
          <w:iCs/>
          <w:noProof/>
          <w:kern w:val="0"/>
          <w:sz w:val="24"/>
          <w:lang w:val="en-GB"/>
        </w:rPr>
        <w:t>Manhaj al-Yaqīn fi Bayān anna al-Waqf al-Ahlī min al-Dīn</w:t>
      </w:r>
      <w:r w:rsidRPr="00181536">
        <w:rPr>
          <w:rFonts w:ascii="Calibri Light" w:hAnsi="Calibri Light" w:cs="Calibri Light"/>
          <w:noProof/>
          <w:kern w:val="0"/>
          <w:sz w:val="24"/>
          <w:lang w:val="en-GB"/>
        </w:rPr>
        <w:t>. Muṣṭafā li Bābī al-Ḥalabī.</w:t>
      </w:r>
    </w:p>
    <w:p w14:paraId="4CCB53E1"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Malak, R. (1938). </w:t>
      </w:r>
      <w:r w:rsidRPr="00181536">
        <w:rPr>
          <w:rFonts w:ascii="Calibri Light" w:hAnsi="Calibri Light" w:cs="Calibri Light"/>
          <w:i/>
          <w:iCs/>
          <w:noProof/>
          <w:kern w:val="0"/>
          <w:sz w:val="24"/>
          <w:lang w:val="en-GB"/>
        </w:rPr>
        <w:t>Risālah Ḥawl Irjāʿ al-Awqāf al-Dhurriyyah Milkan</w:t>
      </w:r>
      <w:r w:rsidRPr="00181536">
        <w:rPr>
          <w:rFonts w:ascii="Calibri Light" w:hAnsi="Calibri Light" w:cs="Calibri Light"/>
          <w:noProof/>
          <w:kern w:val="0"/>
          <w:sz w:val="24"/>
          <w:lang w:val="en-GB"/>
        </w:rPr>
        <w:t>. Maṭbaʿat al-Liwā’.</w:t>
      </w:r>
    </w:p>
    <w:p w14:paraId="2F5DBB47"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Malak, R. (1939a). </w:t>
      </w:r>
      <w:r w:rsidRPr="00181536">
        <w:rPr>
          <w:rFonts w:ascii="Calibri Light" w:hAnsi="Calibri Light" w:cs="Calibri Light"/>
          <w:i/>
          <w:iCs/>
          <w:noProof/>
          <w:kern w:val="0"/>
          <w:sz w:val="24"/>
          <w:lang w:val="en-GB"/>
        </w:rPr>
        <w:t>Naẓrah fīmā Jā’a fī Naqḍ Jamʿiyyat al-ʿUlamā’ bi-Dimashq li-Bayān Mudīriyyat al-Awqāf Ḥawl Bayʿ al-Waqf al-Dhurrī</w:t>
      </w:r>
      <w:r w:rsidRPr="00181536">
        <w:rPr>
          <w:rFonts w:ascii="Calibri Light" w:hAnsi="Calibri Light" w:cs="Calibri Light"/>
          <w:noProof/>
          <w:kern w:val="0"/>
          <w:sz w:val="24"/>
          <w:lang w:val="en-GB"/>
        </w:rPr>
        <w:t>. Maṭbaʿat al-Liwā’.</w:t>
      </w:r>
    </w:p>
    <w:p w14:paraId="39E652C8"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Malak, R. (1939b). </w:t>
      </w:r>
      <w:r w:rsidRPr="00181536">
        <w:rPr>
          <w:rFonts w:ascii="Calibri Light" w:hAnsi="Calibri Light" w:cs="Calibri Light"/>
          <w:i/>
          <w:iCs/>
          <w:noProof/>
          <w:kern w:val="0"/>
          <w:sz w:val="24"/>
          <w:lang w:val="en-GB"/>
        </w:rPr>
        <w:t>Ra’y Faḍīlat Shaykh al-Azhar fī al-Awqāf al-Dhurriyyah</w:t>
      </w:r>
      <w:r w:rsidRPr="00181536">
        <w:rPr>
          <w:rFonts w:ascii="Calibri Light" w:hAnsi="Calibri Light" w:cs="Calibri Light"/>
          <w:noProof/>
          <w:kern w:val="0"/>
          <w:sz w:val="24"/>
          <w:lang w:val="en-GB"/>
        </w:rPr>
        <w:t>. Maṭbaʿat al-Liwā’.</w:t>
      </w:r>
    </w:p>
    <w:p w14:paraId="5402A124"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Mandaville, J. E. (1979). Usurious Piety: the Cash Waqf Controversy in the Ottoman Empire. </w:t>
      </w:r>
      <w:r w:rsidRPr="00181536">
        <w:rPr>
          <w:rFonts w:ascii="Calibri Light" w:hAnsi="Calibri Light" w:cs="Calibri Light"/>
          <w:i/>
          <w:iCs/>
          <w:noProof/>
          <w:kern w:val="0"/>
          <w:sz w:val="24"/>
          <w:lang w:val="en-GB"/>
        </w:rPr>
        <w:t>International Journal of Middle East Studies</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10</w:t>
      </w:r>
      <w:r w:rsidRPr="00181536">
        <w:rPr>
          <w:rFonts w:ascii="Calibri Light" w:hAnsi="Calibri Light" w:cs="Calibri Light"/>
          <w:noProof/>
          <w:kern w:val="0"/>
          <w:sz w:val="24"/>
          <w:lang w:val="en-GB"/>
        </w:rPr>
        <w:t>(3), 289–308.</w:t>
      </w:r>
    </w:p>
    <w:p w14:paraId="03ECBDCB"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lastRenderedPageBreak/>
        <w:t xml:space="preserve">Mohamad, N. A. (2018). A Study on the Socio-Economic Roles of Waqf Ahli (Family Waqf) in Promoting Family Security and a Sustainable Family Economy. </w:t>
      </w:r>
      <w:r w:rsidRPr="00181536">
        <w:rPr>
          <w:rFonts w:ascii="Calibri Light" w:hAnsi="Calibri Light" w:cs="Calibri Light"/>
          <w:i/>
          <w:iCs/>
          <w:noProof/>
          <w:kern w:val="0"/>
          <w:sz w:val="24"/>
          <w:lang w:val="en-GB"/>
        </w:rPr>
        <w:t>IIUMLJ</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26</w:t>
      </w:r>
      <w:r w:rsidRPr="00181536">
        <w:rPr>
          <w:rFonts w:ascii="Calibri Light" w:hAnsi="Calibri Light" w:cs="Calibri Light"/>
          <w:noProof/>
          <w:kern w:val="0"/>
          <w:sz w:val="24"/>
          <w:lang w:val="en-GB"/>
        </w:rPr>
        <w:t>, 141.</w:t>
      </w:r>
    </w:p>
    <w:p w14:paraId="2C39D4D0"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Mohsin, M. I. A. (2010). Revitalization of Waqf Administration &amp; Family Waqf Law. </w:t>
      </w:r>
      <w:r w:rsidRPr="00181536">
        <w:rPr>
          <w:rFonts w:ascii="Calibri Light" w:hAnsi="Calibri Light" w:cs="Calibri Light"/>
          <w:i/>
          <w:iCs/>
          <w:noProof/>
          <w:kern w:val="0"/>
          <w:sz w:val="24"/>
          <w:lang w:val="en-GB"/>
        </w:rPr>
        <w:t>US-China Law Review</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7</w:t>
      </w:r>
      <w:r w:rsidRPr="00181536">
        <w:rPr>
          <w:rFonts w:ascii="Calibri Light" w:hAnsi="Calibri Light" w:cs="Calibri Light"/>
          <w:noProof/>
          <w:kern w:val="0"/>
          <w:sz w:val="24"/>
          <w:lang w:val="en-GB"/>
        </w:rPr>
        <w:t>, 57.</w:t>
      </w:r>
    </w:p>
    <w:p w14:paraId="41A5EEA7"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Moumtaz, N. (2018). “Is the Family Waqf a Religious Institution?” Charity, Religion, and Economy in French Mandate Lebanon. </w:t>
      </w:r>
      <w:r w:rsidRPr="00181536">
        <w:rPr>
          <w:rFonts w:ascii="Calibri Light" w:hAnsi="Calibri Light" w:cs="Calibri Light"/>
          <w:i/>
          <w:iCs/>
          <w:noProof/>
          <w:kern w:val="0"/>
          <w:sz w:val="24"/>
          <w:lang w:val="en-GB"/>
        </w:rPr>
        <w:t>Islamic Law and Society</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25</w:t>
      </w:r>
      <w:r w:rsidRPr="00181536">
        <w:rPr>
          <w:rFonts w:ascii="Calibri Light" w:hAnsi="Calibri Light" w:cs="Calibri Light"/>
          <w:noProof/>
          <w:kern w:val="0"/>
          <w:sz w:val="24"/>
          <w:lang w:val="en-GB"/>
        </w:rPr>
        <w:t>(1–2), 37–77.</w:t>
      </w:r>
    </w:p>
    <w:p w14:paraId="15C15443"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Muslim. (1955). </w:t>
      </w:r>
      <w:r w:rsidRPr="00181536">
        <w:rPr>
          <w:rFonts w:ascii="Calibri Light" w:hAnsi="Calibri Light" w:cs="Calibri Light"/>
          <w:i/>
          <w:iCs/>
          <w:noProof/>
          <w:kern w:val="0"/>
          <w:sz w:val="24"/>
          <w:lang w:val="en-GB"/>
        </w:rPr>
        <w:t>Ṣaḥīḥ Muslim</w:t>
      </w:r>
      <w:r w:rsidRPr="00181536">
        <w:rPr>
          <w:rFonts w:ascii="Calibri Light" w:hAnsi="Calibri Light" w:cs="Calibri Light"/>
          <w:noProof/>
          <w:kern w:val="0"/>
          <w:sz w:val="24"/>
          <w:lang w:val="en-GB"/>
        </w:rPr>
        <w:t xml:space="preserve"> (M. F. ʻAbd Al-Bāqī (ed.)). Dār al-Iḥyā’ al-Turāth al-ʻArabī.</w:t>
      </w:r>
    </w:p>
    <w:p w14:paraId="34CA4EC7"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Rakhmat, A. S., &amp; Beik, I. S. (2022). Pengelolaan Zakat dan Wakaf di Malaysia dan Turki: Studi Komparatif. </w:t>
      </w:r>
      <w:r w:rsidRPr="00181536">
        <w:rPr>
          <w:rFonts w:ascii="Calibri Light" w:hAnsi="Calibri Light" w:cs="Calibri Light"/>
          <w:i/>
          <w:iCs/>
          <w:noProof/>
          <w:kern w:val="0"/>
          <w:sz w:val="24"/>
          <w:lang w:val="en-GB"/>
        </w:rPr>
        <w:t>ILTIZAM Journal of Shariah Economics Research</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6</w:t>
      </w:r>
      <w:r w:rsidRPr="00181536">
        <w:rPr>
          <w:rFonts w:ascii="Calibri Light" w:hAnsi="Calibri Light" w:cs="Calibri Light"/>
          <w:noProof/>
          <w:kern w:val="0"/>
          <w:sz w:val="24"/>
          <w:lang w:val="en-GB"/>
        </w:rPr>
        <w:t>(1), 48–58.</w:t>
      </w:r>
    </w:p>
    <w:p w14:paraId="503D0A39"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Reiter, Y. (1995). Family Waqf Entitlements in British Palestine (1917-1948). </w:t>
      </w:r>
      <w:r w:rsidRPr="00181536">
        <w:rPr>
          <w:rFonts w:ascii="Calibri Light" w:hAnsi="Calibri Light" w:cs="Calibri Light"/>
          <w:i/>
          <w:iCs/>
          <w:noProof/>
          <w:kern w:val="0"/>
          <w:sz w:val="24"/>
          <w:lang w:val="en-GB"/>
        </w:rPr>
        <w:t>Islamic Law and Society</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2</w:t>
      </w:r>
      <w:r w:rsidRPr="00181536">
        <w:rPr>
          <w:rFonts w:ascii="Calibri Light" w:hAnsi="Calibri Light" w:cs="Calibri Light"/>
          <w:noProof/>
          <w:kern w:val="0"/>
          <w:sz w:val="24"/>
          <w:lang w:val="en-GB"/>
        </w:rPr>
        <w:t>(2), 174–193.</w:t>
      </w:r>
    </w:p>
    <w:p w14:paraId="50BE160E"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Ṣabrī, ʻAkramah Saʻīd. (2011). </w:t>
      </w:r>
      <w:r w:rsidRPr="00181536">
        <w:rPr>
          <w:rFonts w:ascii="Calibri Light" w:hAnsi="Calibri Light" w:cs="Calibri Light"/>
          <w:i/>
          <w:iCs/>
          <w:noProof/>
          <w:kern w:val="0"/>
          <w:sz w:val="24"/>
          <w:lang w:val="en-GB"/>
        </w:rPr>
        <w:t>al-Waqf al-Islāmī bayn al-Naẓriyyah wa al-Taṭbīq</w:t>
      </w:r>
      <w:r w:rsidRPr="00181536">
        <w:rPr>
          <w:rFonts w:ascii="Calibri Light" w:hAnsi="Calibri Light" w:cs="Calibri Light"/>
          <w:noProof/>
          <w:kern w:val="0"/>
          <w:sz w:val="24"/>
          <w:lang w:val="en-GB"/>
        </w:rPr>
        <w:t>. Dār al-Nafā’is.</w:t>
      </w:r>
    </w:p>
    <w:p w14:paraId="2760FFC3"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Sadique, M. A., Ansari, A. H., Hingun, M., &amp; Hasan, A. (2016). Socio-Legal Significance of Family Waqf in Islamic Law: Its Degeneration and Revival. </w:t>
      </w:r>
      <w:r w:rsidRPr="00181536">
        <w:rPr>
          <w:rFonts w:ascii="Calibri Light" w:hAnsi="Calibri Light" w:cs="Calibri Light"/>
          <w:i/>
          <w:iCs/>
          <w:noProof/>
          <w:kern w:val="0"/>
          <w:sz w:val="24"/>
          <w:lang w:val="en-GB"/>
        </w:rPr>
        <w:t>IIUMLJ</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24</w:t>
      </w:r>
      <w:r w:rsidRPr="00181536">
        <w:rPr>
          <w:rFonts w:ascii="Calibri Light" w:hAnsi="Calibri Light" w:cs="Calibri Light"/>
          <w:noProof/>
          <w:kern w:val="0"/>
          <w:sz w:val="24"/>
          <w:lang w:val="en-GB"/>
        </w:rPr>
        <w:t>, 309.</w:t>
      </w:r>
    </w:p>
    <w:p w14:paraId="4F40AC2A"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Salarzehi, H., Armesh, H., &amp; Nikbin, D. (2010). Waqf as a Social Entrepreneurship Model in Islam. </w:t>
      </w:r>
      <w:r w:rsidRPr="00181536">
        <w:rPr>
          <w:rFonts w:ascii="Calibri Light" w:hAnsi="Calibri Light" w:cs="Calibri Light"/>
          <w:i/>
          <w:iCs/>
          <w:noProof/>
          <w:kern w:val="0"/>
          <w:sz w:val="24"/>
          <w:lang w:val="en-GB"/>
        </w:rPr>
        <w:t>International Journal of Business and Management</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5</w:t>
      </w:r>
      <w:r w:rsidRPr="00181536">
        <w:rPr>
          <w:rFonts w:ascii="Calibri Light" w:hAnsi="Calibri Light" w:cs="Calibri Light"/>
          <w:noProof/>
          <w:kern w:val="0"/>
          <w:sz w:val="24"/>
          <w:lang w:val="en-GB"/>
        </w:rPr>
        <w:t>(7).</w:t>
      </w:r>
    </w:p>
    <w:p w14:paraId="7F19964E"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Sékaly, A. (1929). Le problème des wakfs en Egypte. In </w:t>
      </w:r>
      <w:r w:rsidRPr="00181536">
        <w:rPr>
          <w:rFonts w:ascii="Calibri Light" w:hAnsi="Calibri Light" w:cs="Calibri Light"/>
          <w:i/>
          <w:iCs/>
          <w:noProof/>
          <w:kern w:val="0"/>
          <w:sz w:val="24"/>
          <w:lang w:val="en-GB"/>
        </w:rPr>
        <w:t>Revue des Etudes Islamiques</w:t>
      </w:r>
      <w:r w:rsidRPr="00181536">
        <w:rPr>
          <w:rFonts w:ascii="Calibri Light" w:hAnsi="Calibri Light" w:cs="Calibri Light"/>
          <w:noProof/>
          <w:kern w:val="0"/>
          <w:sz w:val="24"/>
          <w:lang w:val="en-GB"/>
        </w:rPr>
        <w:t xml:space="preserve"> (p. 78). Librairie Orientaliste Paul Geuthne.</w:t>
      </w:r>
    </w:p>
    <w:p w14:paraId="13A82061"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Suhaimi, F. M. (2018). Wakaf Ahli: Peruntukan Undang-Undang dan Pelaksanaannya di Malaysia. </w:t>
      </w:r>
      <w:r w:rsidRPr="00181536">
        <w:rPr>
          <w:rFonts w:ascii="Calibri Light" w:hAnsi="Calibri Light" w:cs="Calibri Light"/>
          <w:i/>
          <w:iCs/>
          <w:noProof/>
          <w:kern w:val="0"/>
          <w:sz w:val="24"/>
          <w:lang w:val="en-GB"/>
        </w:rPr>
        <w:t>Malaysian Journal of Syariah and Law</w:t>
      </w:r>
      <w:r w:rsidRPr="00181536">
        <w:rPr>
          <w:rFonts w:ascii="Calibri Light" w:hAnsi="Calibri Light" w:cs="Calibri Light"/>
          <w:noProof/>
          <w:kern w:val="0"/>
          <w:sz w:val="24"/>
          <w:lang w:val="en-GB"/>
        </w:rPr>
        <w:t xml:space="preserve">, </w:t>
      </w:r>
      <w:r w:rsidRPr="00181536">
        <w:rPr>
          <w:rFonts w:ascii="Calibri Light" w:hAnsi="Calibri Light" w:cs="Calibri Light"/>
          <w:i/>
          <w:iCs/>
          <w:noProof/>
          <w:kern w:val="0"/>
          <w:sz w:val="24"/>
          <w:lang w:val="en-GB"/>
        </w:rPr>
        <w:t>8</w:t>
      </w:r>
      <w:r w:rsidRPr="00181536">
        <w:rPr>
          <w:rFonts w:ascii="Calibri Light" w:hAnsi="Calibri Light" w:cs="Calibri Light"/>
          <w:noProof/>
          <w:kern w:val="0"/>
          <w:sz w:val="24"/>
          <w:lang w:val="en-GB"/>
        </w:rPr>
        <w:t>(1), 73–81.</w:t>
      </w:r>
    </w:p>
    <w:p w14:paraId="33EEEE66"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kern w:val="0"/>
          <w:sz w:val="24"/>
          <w:lang w:val="en-GB"/>
        </w:rPr>
      </w:pPr>
      <w:r w:rsidRPr="00181536">
        <w:rPr>
          <w:rFonts w:ascii="Calibri Light" w:hAnsi="Calibri Light" w:cs="Calibri Light"/>
          <w:noProof/>
          <w:kern w:val="0"/>
          <w:sz w:val="24"/>
          <w:lang w:val="en-GB"/>
        </w:rPr>
        <w:t xml:space="preserve">Zahrah, A. (2004). </w:t>
      </w:r>
      <w:r w:rsidRPr="00181536">
        <w:rPr>
          <w:rFonts w:ascii="Calibri Light" w:hAnsi="Calibri Light" w:cs="Calibri Light"/>
          <w:i/>
          <w:iCs/>
          <w:noProof/>
          <w:kern w:val="0"/>
          <w:sz w:val="24"/>
          <w:lang w:val="en-GB"/>
        </w:rPr>
        <w:t>Muḥāḍarāt fī al-Waqf</w:t>
      </w:r>
      <w:r w:rsidRPr="00181536">
        <w:rPr>
          <w:rFonts w:ascii="Calibri Light" w:hAnsi="Calibri Light" w:cs="Calibri Light"/>
          <w:noProof/>
          <w:kern w:val="0"/>
          <w:sz w:val="24"/>
          <w:lang w:val="en-GB"/>
        </w:rPr>
        <w:t>. Dār al-Fikr al-‘Arabī.</w:t>
      </w:r>
    </w:p>
    <w:p w14:paraId="703C8BA1" w14:textId="77777777" w:rsidR="00F54E80" w:rsidRPr="00181536" w:rsidRDefault="00F54E80" w:rsidP="00094584">
      <w:pPr>
        <w:pStyle w:val="ListParagraph"/>
        <w:numPr>
          <w:ilvl w:val="0"/>
          <w:numId w:val="9"/>
        </w:numPr>
        <w:spacing w:before="120" w:after="120" w:line="240" w:lineRule="auto"/>
        <w:ind w:left="426" w:hanging="426"/>
        <w:contextualSpacing w:val="0"/>
        <w:jc w:val="both"/>
        <w:rPr>
          <w:rFonts w:ascii="Calibri Light" w:hAnsi="Calibri Light" w:cs="Calibri Light"/>
          <w:noProof/>
          <w:sz w:val="24"/>
        </w:rPr>
      </w:pPr>
      <w:r w:rsidRPr="00181536">
        <w:rPr>
          <w:rFonts w:ascii="Calibri Light" w:hAnsi="Calibri Light" w:cs="Calibri Light"/>
          <w:noProof/>
          <w:kern w:val="0"/>
          <w:sz w:val="24"/>
          <w:lang w:val="en-GB"/>
        </w:rPr>
        <w:t xml:space="preserve">Ziadeh, F. J. (1968). </w:t>
      </w:r>
      <w:r w:rsidRPr="00181536">
        <w:rPr>
          <w:rFonts w:ascii="Calibri Light" w:hAnsi="Calibri Light" w:cs="Calibri Light"/>
          <w:i/>
          <w:iCs/>
          <w:noProof/>
          <w:kern w:val="0"/>
          <w:sz w:val="24"/>
          <w:lang w:val="en-GB"/>
        </w:rPr>
        <w:t>Lawyers, the Rule of Law, and Liberalism in Modern Egypt</w:t>
      </w:r>
      <w:r w:rsidRPr="00181536">
        <w:rPr>
          <w:rFonts w:ascii="Calibri Light" w:hAnsi="Calibri Light" w:cs="Calibri Light"/>
          <w:noProof/>
          <w:kern w:val="0"/>
          <w:sz w:val="24"/>
          <w:lang w:val="en-GB"/>
        </w:rPr>
        <w:t>. Hoover Institute on War, Revolution and Peace of Stanford University.</w:t>
      </w:r>
    </w:p>
    <w:p w14:paraId="5F4361FE" w14:textId="5DC591C1" w:rsidR="00F56B13" w:rsidRPr="00CE509C" w:rsidRDefault="007E3971" w:rsidP="00094584">
      <w:pPr>
        <w:spacing w:before="120" w:after="120" w:line="240" w:lineRule="auto"/>
        <w:ind w:left="426" w:hanging="426"/>
        <w:jc w:val="both"/>
        <w:rPr>
          <w:rFonts w:ascii="Calibri Light" w:hAnsi="Calibri Light" w:cs="Calibri Light"/>
          <w:noProof/>
          <w:sz w:val="24"/>
          <w:szCs w:val="24"/>
        </w:rPr>
      </w:pPr>
      <w:r>
        <w:rPr>
          <w:rFonts w:ascii="Calibri Light" w:hAnsi="Calibri Light" w:cs="Calibri Light"/>
          <w:noProof/>
          <w:sz w:val="24"/>
          <w:szCs w:val="24"/>
        </w:rPr>
        <w:fldChar w:fldCharType="end"/>
      </w:r>
    </w:p>
    <w:p w14:paraId="35C19A26" w14:textId="77777777" w:rsidR="00F56B13" w:rsidRPr="00EC77AC" w:rsidRDefault="00F56B13" w:rsidP="009D0080">
      <w:pPr>
        <w:spacing w:before="120" w:after="120" w:line="240" w:lineRule="auto"/>
        <w:ind w:left="709" w:hanging="425"/>
        <w:jc w:val="both"/>
        <w:rPr>
          <w:rFonts w:asciiTheme="majorHAnsi" w:hAnsiTheme="majorHAnsi" w:cstheme="majorHAnsi"/>
          <w:sz w:val="24"/>
          <w:szCs w:val="24"/>
        </w:rPr>
      </w:pPr>
    </w:p>
    <w:p w14:paraId="20F9FBA5" w14:textId="77777777" w:rsidR="00EB035B" w:rsidRPr="00EC77AC" w:rsidRDefault="00EB035B" w:rsidP="00181536">
      <w:pPr>
        <w:spacing w:before="120" w:after="120" w:line="240" w:lineRule="auto"/>
        <w:ind w:left="850" w:hanging="357"/>
        <w:jc w:val="both"/>
        <w:rPr>
          <w:rFonts w:asciiTheme="majorHAnsi" w:hAnsiTheme="majorHAnsi" w:cstheme="majorHAnsi"/>
          <w:sz w:val="24"/>
          <w:szCs w:val="24"/>
        </w:rPr>
      </w:pPr>
    </w:p>
    <w:sectPr w:rsidR="00EB035B" w:rsidRPr="00EC77AC" w:rsidSect="006241FE">
      <w:headerReference w:type="default" r:id="rId15"/>
      <w:footerReference w:type="default" r:id="rId16"/>
      <w:pgSz w:w="11906" w:h="16838"/>
      <w:pgMar w:top="1440" w:right="1440" w:bottom="1440" w:left="1440" w:header="708" w:footer="708" w:gutter="0"/>
      <w:pgNumType w:start="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138C5" w14:textId="77777777" w:rsidR="00D27B29" w:rsidRDefault="00D27B29" w:rsidP="00EB035B">
      <w:pPr>
        <w:spacing w:after="0" w:line="240" w:lineRule="auto"/>
      </w:pPr>
      <w:r>
        <w:separator/>
      </w:r>
    </w:p>
  </w:endnote>
  <w:endnote w:type="continuationSeparator" w:id="0">
    <w:p w14:paraId="4B563BBB" w14:textId="77777777" w:rsidR="00D27B29" w:rsidRDefault="00D27B29" w:rsidP="00EB0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entury Gothic"/>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9B7CF" w14:textId="17DBE78C" w:rsidR="00603CFA" w:rsidRPr="0008220C" w:rsidRDefault="00603CFA" w:rsidP="00603CFA">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5E2FE998" wp14:editId="24C0E9F3">
              <wp:simplePos x="0" y="0"/>
              <wp:positionH relativeFrom="column">
                <wp:posOffset>5151755</wp:posOffset>
              </wp:positionH>
              <wp:positionV relativeFrom="paragraph">
                <wp:posOffset>-64770</wp:posOffset>
              </wp:positionV>
              <wp:extent cx="619760" cy="278130"/>
              <wp:effectExtent l="8255" t="11430" r="10160" b="5715"/>
              <wp:wrapNone/>
              <wp:docPr id="14469055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F214E39" w14:textId="0D3FE21A" w:rsidR="00603CFA" w:rsidRPr="00540F02" w:rsidRDefault="00603CFA" w:rsidP="00603CFA">
                          <w:pPr>
                            <w:jc w:val="center"/>
                            <w:rPr>
                              <w:rFonts w:ascii="Calibri" w:hAnsi="Calibri" w:cs="Calibri"/>
                              <w:sz w:val="16"/>
                              <w:szCs w:val="16"/>
                            </w:rPr>
                          </w:pPr>
                          <w:r w:rsidRPr="00540F02">
                            <w:rPr>
                              <w:rFonts w:ascii="Calibri" w:hAnsi="Calibri" w:cs="Calibri"/>
                              <w:sz w:val="16"/>
                              <w:szCs w:val="16"/>
                            </w:rPr>
                            <w:t>202</w:t>
                          </w:r>
                          <w:r w:rsidR="00C13272">
                            <w:rPr>
                              <w:rFonts w:ascii="Calibri" w:hAnsi="Calibri" w:cs="Calibri"/>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FE998" id="Rectangle 8" o:spid="_x0000_s1029"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" strokecolor="white">
              <v:textbox>
                <w:txbxContent>
                  <w:p w14:paraId="6F214E39" w14:textId="0D3FE21A" w:rsidR="00603CFA" w:rsidRPr="00540F02" w:rsidRDefault="00603CFA" w:rsidP="00603CFA">
                    <w:pPr>
                      <w:jc w:val="center"/>
                      <w:rPr>
                        <w:rFonts w:ascii="Calibri" w:hAnsi="Calibri" w:cs="Calibri"/>
                        <w:sz w:val="16"/>
                        <w:szCs w:val="16"/>
                      </w:rPr>
                    </w:pPr>
                    <w:r w:rsidRPr="00540F02">
                      <w:rPr>
                        <w:rFonts w:ascii="Calibri" w:hAnsi="Calibri" w:cs="Calibri"/>
                        <w:sz w:val="16"/>
                        <w:szCs w:val="16"/>
                      </w:rPr>
                      <w:t>202</w:t>
                    </w:r>
                    <w:r w:rsidR="00C13272">
                      <w:rPr>
                        <w:rFonts w:ascii="Calibri" w:hAnsi="Calibri" w:cs="Calibri"/>
                        <w:sz w:val="16"/>
                        <w:szCs w:val="16"/>
                      </w:rPr>
                      <w:t>4</w:t>
                    </w:r>
                  </w:p>
                </w:txbxContent>
              </v:textbox>
            </v:rect>
          </w:pict>
        </mc:Fallback>
      </mc:AlternateContent>
    </w:r>
    <w:r w:rsidRPr="0008220C">
      <w:rPr>
        <w:rFonts w:ascii="Calibri Light" w:hAnsi="Calibri Light" w:cs="Calibri Light"/>
        <w:sz w:val="16"/>
        <w:szCs w:val="16"/>
      </w:rPr>
      <w:t>International Journal Law and Society</w:t>
    </w:r>
  </w:p>
  <w:p w14:paraId="5A6D57F0" w14:textId="5B57EB9D" w:rsidR="00603CFA" w:rsidRPr="0008220C" w:rsidRDefault="00603CFA" w:rsidP="00603CFA">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sidR="008E27F4">
      <w:rPr>
        <w:rFonts w:ascii="Calibri Light" w:hAnsi="Calibri Light" w:cs="Calibri Light"/>
        <w:sz w:val="16"/>
        <w:szCs w:val="16"/>
      </w:rPr>
      <w:t xml:space="preserve"> </w:t>
    </w:r>
    <w:r w:rsidR="008E27F4" w:rsidRPr="008E27F4">
      <w:rPr>
        <w:rFonts w:ascii="Calibri Light" w:hAnsi="Calibri Light" w:cs="Calibri Light"/>
        <w:sz w:val="16"/>
        <w:szCs w:val="16"/>
      </w:rPr>
      <w:t>2827</w:t>
    </w:r>
    <w:r w:rsidRPr="0008220C">
      <w:rPr>
        <w:rFonts w:ascii="Calibri Light" w:hAnsi="Calibri Light" w:cs="Calibri Light"/>
        <w:sz w:val="16"/>
        <w:szCs w:val="16"/>
      </w:rPr>
      <w:t>-</w:t>
    </w:r>
    <w:r w:rsidR="008E27F4">
      <w:rPr>
        <w:rFonts w:ascii="Calibri Light" w:hAnsi="Calibri Light" w:cs="Calibri Light"/>
        <w:sz w:val="16"/>
        <w:szCs w:val="16"/>
      </w:rPr>
      <w:t>9042</w:t>
    </w:r>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44656DF4" w14:textId="77777777" w:rsidR="00EB035B" w:rsidRDefault="00EB0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C5AF7" w14:textId="77777777" w:rsidR="00D27B29" w:rsidRDefault="00D27B29" w:rsidP="00EB035B">
      <w:pPr>
        <w:spacing w:after="0" w:line="240" w:lineRule="auto"/>
      </w:pPr>
      <w:r>
        <w:separator/>
      </w:r>
    </w:p>
  </w:footnote>
  <w:footnote w:type="continuationSeparator" w:id="0">
    <w:p w14:paraId="160FAD77" w14:textId="77777777" w:rsidR="00D27B29" w:rsidRDefault="00D27B29" w:rsidP="00EB03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356FA" w14:textId="09609EA0" w:rsidR="00EB035B" w:rsidRDefault="00EB035B" w:rsidP="00094584">
    <w:pPr>
      <w:pStyle w:val="Header"/>
      <w:tabs>
        <w:tab w:val="clear" w:pos="9026"/>
      </w:tabs>
    </w:pPr>
    <w:r>
      <w:rPr>
        <w:noProof/>
      </w:rPr>
      <mc:AlternateContent>
        <mc:Choice Requires="wps">
          <w:drawing>
            <wp:anchor distT="0" distB="0" distL="114300" distR="114300" simplePos="0" relativeHeight="251659264" behindDoc="1" locked="0" layoutInCell="1" allowOverlap="1" wp14:anchorId="1A7E55F9" wp14:editId="69849DAB">
              <wp:simplePos x="0" y="0"/>
              <wp:positionH relativeFrom="page">
                <wp:posOffset>942975</wp:posOffset>
              </wp:positionH>
              <wp:positionV relativeFrom="page">
                <wp:posOffset>947420</wp:posOffset>
              </wp:positionV>
              <wp:extent cx="1998980" cy="229870"/>
              <wp:effectExtent l="0" t="4445" r="1270" b="3810"/>
              <wp:wrapNone/>
              <wp:docPr id="42334684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CC19D" w14:textId="77777777" w:rsidR="00EB035B" w:rsidRPr="00FF1D30" w:rsidRDefault="00EB035B" w:rsidP="00EB035B">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5BC7FAD" w14:textId="212410A2" w:rsidR="00EB035B" w:rsidRPr="00FF1D30" w:rsidRDefault="00EB035B" w:rsidP="00EB035B">
                          <w:pPr>
                            <w:rPr>
                              <w:rFonts w:ascii="Calibri Light" w:hAnsi="Calibri Light" w:cs="Calibri Light"/>
                              <w:sz w:val="12"/>
                              <w:szCs w:val="12"/>
                            </w:rPr>
                          </w:pPr>
                          <w:r w:rsidRPr="00C13272">
                            <w:rPr>
                              <w:rFonts w:ascii="Calibri Light" w:hAnsi="Calibri Light" w:cs="Calibri Light"/>
                              <w:sz w:val="12"/>
                              <w:szCs w:val="12"/>
                            </w:rPr>
                            <w:t xml:space="preserve">Volume </w:t>
                          </w:r>
                          <w:r w:rsidR="00C13272" w:rsidRPr="00C13272">
                            <w:rPr>
                              <w:rFonts w:ascii="Calibri Light" w:hAnsi="Calibri Light" w:cs="Calibri Light"/>
                              <w:sz w:val="12"/>
                              <w:szCs w:val="12"/>
                            </w:rPr>
                            <w:t>3</w:t>
                          </w:r>
                          <w:r w:rsidRPr="00C13272">
                            <w:rPr>
                              <w:rFonts w:ascii="Calibri Light" w:hAnsi="Calibri Light" w:cs="Calibri Light"/>
                              <w:sz w:val="12"/>
                              <w:szCs w:val="12"/>
                            </w:rPr>
                            <w:t xml:space="preserve">, Issue </w:t>
                          </w:r>
                          <w:r w:rsidR="00C13272" w:rsidRPr="00C13272">
                            <w:rPr>
                              <w:rFonts w:ascii="Calibri Light" w:hAnsi="Calibri Light" w:cs="Calibri Light"/>
                              <w:sz w:val="12"/>
                              <w:szCs w:val="12"/>
                            </w:rPr>
                            <w:t>2</w:t>
                          </w:r>
                          <w:r w:rsidRPr="00C13272">
                            <w:rPr>
                              <w:rFonts w:ascii="Calibri Light" w:hAnsi="Calibri Light" w:cs="Calibri Light"/>
                              <w:sz w:val="12"/>
                              <w:szCs w:val="12"/>
                            </w:rPr>
                            <w:t>, 202</w:t>
                          </w:r>
                          <w:r w:rsidR="00C13272" w:rsidRPr="00C13272">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7E55F9" id="_x0000_t202" coordsize="21600,21600" o:spt="202" path="m,l,21600r21600,l21600,xe">
              <v:stroke joinstyle="miter"/>
              <v:path gradientshapeok="t" o:connecttype="rect"/>
            </v:shapetype>
            <v:shape id="Text Box 7" o:spid="_x0000_s1026" type="#_x0000_t202" style="position:absolute;margin-left:74.2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tv996eQAAAAQAQAADwAAAAAAAAAAAAAAAAAvBAAAZHJzL2Rvd25yZXYueG1sUEsFBgAAAAAE&#13;&#10;AAQA8wAAAEAFAAAAAA==&#13;&#10;" filled="f" stroked="f">
              <v:textbox inset="0,0,0,0">
                <w:txbxContent>
                  <w:p w14:paraId="519CC19D" w14:textId="77777777" w:rsidR="00EB035B" w:rsidRPr="00FF1D30" w:rsidRDefault="00EB035B" w:rsidP="00EB035B">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5BC7FAD" w14:textId="212410A2" w:rsidR="00EB035B" w:rsidRPr="00FF1D30" w:rsidRDefault="00EB035B" w:rsidP="00EB035B">
                    <w:pPr>
                      <w:rPr>
                        <w:rFonts w:ascii="Calibri Light" w:hAnsi="Calibri Light" w:cs="Calibri Light"/>
                        <w:sz w:val="12"/>
                        <w:szCs w:val="12"/>
                      </w:rPr>
                    </w:pPr>
                    <w:r w:rsidRPr="00C13272">
                      <w:rPr>
                        <w:rFonts w:ascii="Calibri Light" w:hAnsi="Calibri Light" w:cs="Calibri Light"/>
                        <w:sz w:val="12"/>
                        <w:szCs w:val="12"/>
                      </w:rPr>
                      <w:t xml:space="preserve">Volume </w:t>
                    </w:r>
                    <w:r w:rsidR="00C13272" w:rsidRPr="00C13272">
                      <w:rPr>
                        <w:rFonts w:ascii="Calibri Light" w:hAnsi="Calibri Light" w:cs="Calibri Light"/>
                        <w:sz w:val="12"/>
                        <w:szCs w:val="12"/>
                      </w:rPr>
                      <w:t>3</w:t>
                    </w:r>
                    <w:r w:rsidRPr="00C13272">
                      <w:rPr>
                        <w:rFonts w:ascii="Calibri Light" w:hAnsi="Calibri Light" w:cs="Calibri Light"/>
                        <w:sz w:val="12"/>
                        <w:szCs w:val="12"/>
                      </w:rPr>
                      <w:t xml:space="preserve">, Issue </w:t>
                    </w:r>
                    <w:r w:rsidR="00C13272" w:rsidRPr="00C13272">
                      <w:rPr>
                        <w:rFonts w:ascii="Calibri Light" w:hAnsi="Calibri Light" w:cs="Calibri Light"/>
                        <w:sz w:val="12"/>
                        <w:szCs w:val="12"/>
                      </w:rPr>
                      <w:t>2</w:t>
                    </w:r>
                    <w:r w:rsidRPr="00C13272">
                      <w:rPr>
                        <w:rFonts w:ascii="Calibri Light" w:hAnsi="Calibri Light" w:cs="Calibri Light"/>
                        <w:sz w:val="12"/>
                        <w:szCs w:val="12"/>
                      </w:rPr>
                      <w:t>, 202</w:t>
                    </w:r>
                    <w:r w:rsidR="00C13272" w:rsidRPr="00C13272">
                      <w:rPr>
                        <w:rFonts w:ascii="Calibri Light" w:hAnsi="Calibri Light" w:cs="Calibri Light"/>
                        <w:sz w:val="12"/>
                        <w:szCs w:val="12"/>
                      </w:rPr>
                      <w:t>4</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7BB4E6F4" wp14:editId="595FEEC7">
              <wp:simplePos x="0" y="0"/>
              <wp:positionH relativeFrom="page">
                <wp:posOffset>6464300</wp:posOffset>
              </wp:positionH>
              <wp:positionV relativeFrom="page">
                <wp:posOffset>439420</wp:posOffset>
              </wp:positionV>
              <wp:extent cx="231775" cy="177800"/>
              <wp:effectExtent l="0" t="1270" r="0" b="1905"/>
              <wp:wrapNone/>
              <wp:docPr id="38377737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AF21" w14:textId="77777777" w:rsidR="00EB035B" w:rsidRPr="00540F02" w:rsidRDefault="00EB035B" w:rsidP="00EB035B">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4E6F4" id="Text Box 6" o:spid="_x0000_s1027" type="#_x0000_t202" style="position:absolute;margin-left:509pt;margin-top:34.6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" filled="f" stroked="f">
              <v:textbox inset="0,0,0,0">
                <w:txbxContent>
                  <w:p w14:paraId="207BAF21" w14:textId="77777777" w:rsidR="00EB035B" w:rsidRPr="00540F02" w:rsidRDefault="00EB035B" w:rsidP="00EB035B">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660D1301" wp14:editId="0A42080C">
              <wp:simplePos x="0" y="0"/>
              <wp:positionH relativeFrom="page">
                <wp:posOffset>3143250</wp:posOffset>
              </wp:positionH>
              <wp:positionV relativeFrom="page">
                <wp:posOffset>784860</wp:posOffset>
              </wp:positionV>
              <wp:extent cx="3516630" cy="416560"/>
              <wp:effectExtent l="0" t="3810" r="0" b="0"/>
              <wp:wrapNone/>
              <wp:docPr id="162668136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0636D" w14:textId="5ABCEAF6" w:rsidR="00EB035B" w:rsidRPr="00FF1D30" w:rsidRDefault="00EB035B" w:rsidP="00EB035B">
                          <w:pPr>
                            <w:ind w:left="23"/>
                            <w:jc w:val="both"/>
                            <w:rPr>
                              <w:rFonts w:ascii="Calibri Light" w:hAnsi="Calibri Light" w:cs="Calibri Light"/>
                              <w:i/>
                              <w:sz w:val="18"/>
                            </w:rPr>
                          </w:pPr>
                          <w:proofErr w:type="spellStart"/>
                          <w:r w:rsidRPr="00BC46F4">
                            <w:rPr>
                              <w:rFonts w:ascii="Calibri Light" w:hAnsi="Calibri Light" w:cs="Calibri Light"/>
                              <w:i/>
                              <w:iCs/>
                              <w:sz w:val="18"/>
                            </w:rPr>
                            <w:t>Pirmani</w:t>
                          </w:r>
                          <w:proofErr w:type="spellEnd"/>
                          <w:r w:rsidRPr="00BC46F4">
                            <w:rPr>
                              <w:rFonts w:ascii="Calibri Light" w:hAnsi="Calibri Light" w:cs="Calibri Light"/>
                              <w:i/>
                              <w:iCs/>
                              <w:sz w:val="18"/>
                            </w:rPr>
                            <w:t xml:space="preserve"> U</w:t>
                          </w:r>
                          <w:r w:rsidR="00094584">
                            <w:rPr>
                              <w:rFonts w:ascii="Calibri Light" w:hAnsi="Calibri Light" w:cs="Calibri Light"/>
                              <w:i/>
                              <w:iCs/>
                              <w:sz w:val="18"/>
                            </w:rPr>
                            <w:t>.,</w:t>
                          </w:r>
                          <w:r w:rsidRPr="00BC46F4">
                            <w:rPr>
                              <w:rFonts w:ascii="Calibri Light" w:hAnsi="Calibri Light" w:cs="Calibri Light"/>
                              <w:i/>
                              <w:iCs/>
                              <w:spacing w:val="-3"/>
                              <w:sz w:val="18"/>
                            </w:rPr>
                            <w:t xml:space="preserve"> Kurniawan, E</w:t>
                          </w:r>
                          <w:r w:rsidR="00094584">
                            <w:rPr>
                              <w:rFonts w:ascii="Calibri Light" w:hAnsi="Calibri Light" w:cs="Calibri Light"/>
                              <w:i/>
                              <w:iCs/>
                              <w:spacing w:val="-3"/>
                              <w:sz w:val="18"/>
                            </w:rPr>
                            <w:t xml:space="preserve">. &amp; </w:t>
                          </w:r>
                          <w:proofErr w:type="spellStart"/>
                          <w:r w:rsidR="00094584">
                            <w:rPr>
                              <w:rFonts w:ascii="Calibri Light" w:hAnsi="Calibri Light" w:cs="Calibri Light"/>
                              <w:i/>
                              <w:iCs/>
                              <w:spacing w:val="-3"/>
                              <w:sz w:val="18"/>
                            </w:rPr>
                            <w:t>Najmi</w:t>
                          </w:r>
                          <w:proofErr w:type="spellEnd"/>
                          <w:r w:rsidRPr="00BC46F4">
                            <w:rPr>
                              <w:rFonts w:ascii="Calibri Light" w:hAnsi="Calibri Light" w:cs="Calibri Light"/>
                              <w:i/>
                              <w:iCs/>
                              <w:sz w:val="18"/>
                            </w:rPr>
                            <w:t>.</w:t>
                          </w:r>
                          <w:r w:rsidRPr="00BC46F4">
                            <w:rPr>
                              <w:rFonts w:ascii="Calibri Light" w:hAnsi="Calibri Light" w:cs="Calibri Light"/>
                              <w:i/>
                              <w:iCs/>
                              <w:spacing w:val="-3"/>
                              <w:sz w:val="18"/>
                            </w:rPr>
                            <w:t xml:space="preserve"> </w:t>
                          </w:r>
                          <w:r w:rsidR="00094584" w:rsidRPr="00094584">
                            <w:rPr>
                              <w:rFonts w:ascii="Calibri Light" w:hAnsi="Calibri Light" w:cs="Calibri Light"/>
                              <w:i/>
                              <w:iCs/>
                              <w:spacing w:val="-3"/>
                              <w:sz w:val="18"/>
                            </w:rPr>
                            <w:t>From the Debate on the Legality of Waqf al-</w:t>
                          </w:r>
                          <w:proofErr w:type="spellStart"/>
                          <w:r w:rsidR="00094584" w:rsidRPr="00094584">
                            <w:rPr>
                              <w:rFonts w:ascii="Calibri Light" w:hAnsi="Calibri Light" w:cs="Calibri Light"/>
                              <w:i/>
                              <w:iCs/>
                              <w:spacing w:val="-3"/>
                              <w:sz w:val="18"/>
                            </w:rPr>
                            <w:t>Ahlī</w:t>
                          </w:r>
                          <w:proofErr w:type="spellEnd"/>
                          <w:r w:rsidR="00094584" w:rsidRPr="00094584">
                            <w:rPr>
                              <w:rFonts w:ascii="Calibri Light" w:hAnsi="Calibri Light" w:cs="Calibri Light"/>
                              <w:i/>
                              <w:iCs/>
                              <w:spacing w:val="-3"/>
                              <w:sz w:val="18"/>
                            </w:rPr>
                            <w:t xml:space="preserve"> to its Implementation in Southeast Asia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D1301" id="Text Box 5" o:spid="_x0000_s1028" type="#_x0000_t202" style="position:absolute;margin-left:247.5pt;margin-top:61.8pt;width:276.9pt;height:3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VKrdyNoBAACYAwAADgAAAAAAAAAAAAAAAAAuAgAAZHJzL2Uyb0RvYy54bWxQSwECLQAU&#13;&#10;AAYACAAAACEAEb3I8uUAAAARAQAADwAAAAAAAAAAAAAAAAA0BAAAZHJzL2Rvd25yZXYueG1sUEsF&#13;&#10;BgAAAAAEAAQA8wAAAEYFAAAAAA==&#13;&#10;" filled="f" stroked="f">
              <v:textbox inset="0,0,0,0">
                <w:txbxContent>
                  <w:p w14:paraId="70F0636D" w14:textId="5ABCEAF6" w:rsidR="00EB035B" w:rsidRPr="00FF1D30" w:rsidRDefault="00EB035B" w:rsidP="00EB035B">
                    <w:pPr>
                      <w:ind w:left="23"/>
                      <w:jc w:val="both"/>
                      <w:rPr>
                        <w:rFonts w:ascii="Calibri Light" w:hAnsi="Calibri Light" w:cs="Calibri Light"/>
                        <w:i/>
                        <w:sz w:val="18"/>
                      </w:rPr>
                    </w:pPr>
                    <w:proofErr w:type="spellStart"/>
                    <w:r w:rsidRPr="00BC46F4">
                      <w:rPr>
                        <w:rFonts w:ascii="Calibri Light" w:hAnsi="Calibri Light" w:cs="Calibri Light"/>
                        <w:i/>
                        <w:iCs/>
                        <w:sz w:val="18"/>
                      </w:rPr>
                      <w:t>Pirmani</w:t>
                    </w:r>
                    <w:proofErr w:type="spellEnd"/>
                    <w:r w:rsidRPr="00BC46F4">
                      <w:rPr>
                        <w:rFonts w:ascii="Calibri Light" w:hAnsi="Calibri Light" w:cs="Calibri Light"/>
                        <w:i/>
                        <w:iCs/>
                        <w:sz w:val="18"/>
                      </w:rPr>
                      <w:t xml:space="preserve"> U</w:t>
                    </w:r>
                    <w:r w:rsidR="00094584">
                      <w:rPr>
                        <w:rFonts w:ascii="Calibri Light" w:hAnsi="Calibri Light" w:cs="Calibri Light"/>
                        <w:i/>
                        <w:iCs/>
                        <w:sz w:val="18"/>
                      </w:rPr>
                      <w:t>.,</w:t>
                    </w:r>
                    <w:r w:rsidRPr="00BC46F4">
                      <w:rPr>
                        <w:rFonts w:ascii="Calibri Light" w:hAnsi="Calibri Light" w:cs="Calibri Light"/>
                        <w:i/>
                        <w:iCs/>
                        <w:spacing w:val="-3"/>
                        <w:sz w:val="18"/>
                      </w:rPr>
                      <w:t xml:space="preserve"> Kurniawan, E</w:t>
                    </w:r>
                    <w:r w:rsidR="00094584">
                      <w:rPr>
                        <w:rFonts w:ascii="Calibri Light" w:hAnsi="Calibri Light" w:cs="Calibri Light"/>
                        <w:i/>
                        <w:iCs/>
                        <w:spacing w:val="-3"/>
                        <w:sz w:val="18"/>
                      </w:rPr>
                      <w:t xml:space="preserve">. &amp; </w:t>
                    </w:r>
                    <w:proofErr w:type="spellStart"/>
                    <w:r w:rsidR="00094584">
                      <w:rPr>
                        <w:rFonts w:ascii="Calibri Light" w:hAnsi="Calibri Light" w:cs="Calibri Light"/>
                        <w:i/>
                        <w:iCs/>
                        <w:spacing w:val="-3"/>
                        <w:sz w:val="18"/>
                      </w:rPr>
                      <w:t>Najmi</w:t>
                    </w:r>
                    <w:proofErr w:type="spellEnd"/>
                    <w:r w:rsidRPr="00BC46F4">
                      <w:rPr>
                        <w:rFonts w:ascii="Calibri Light" w:hAnsi="Calibri Light" w:cs="Calibri Light"/>
                        <w:i/>
                        <w:iCs/>
                        <w:sz w:val="18"/>
                      </w:rPr>
                      <w:t>.</w:t>
                    </w:r>
                    <w:r w:rsidRPr="00BC46F4">
                      <w:rPr>
                        <w:rFonts w:ascii="Calibri Light" w:hAnsi="Calibri Light" w:cs="Calibri Light"/>
                        <w:i/>
                        <w:iCs/>
                        <w:spacing w:val="-3"/>
                        <w:sz w:val="18"/>
                      </w:rPr>
                      <w:t xml:space="preserve"> </w:t>
                    </w:r>
                    <w:r w:rsidR="00094584" w:rsidRPr="00094584">
                      <w:rPr>
                        <w:rFonts w:ascii="Calibri Light" w:hAnsi="Calibri Light" w:cs="Calibri Light"/>
                        <w:i/>
                        <w:iCs/>
                        <w:spacing w:val="-3"/>
                        <w:sz w:val="18"/>
                      </w:rPr>
                      <w:t>From the Debate on the Legality of Waqf al-</w:t>
                    </w:r>
                    <w:proofErr w:type="spellStart"/>
                    <w:r w:rsidR="00094584" w:rsidRPr="00094584">
                      <w:rPr>
                        <w:rFonts w:ascii="Calibri Light" w:hAnsi="Calibri Light" w:cs="Calibri Light"/>
                        <w:i/>
                        <w:iCs/>
                        <w:spacing w:val="-3"/>
                        <w:sz w:val="18"/>
                      </w:rPr>
                      <w:t>Ahlī</w:t>
                    </w:r>
                    <w:proofErr w:type="spellEnd"/>
                    <w:r w:rsidR="00094584" w:rsidRPr="00094584">
                      <w:rPr>
                        <w:rFonts w:ascii="Calibri Light" w:hAnsi="Calibri Light" w:cs="Calibri Light"/>
                        <w:i/>
                        <w:iCs/>
                        <w:spacing w:val="-3"/>
                        <w:sz w:val="18"/>
                      </w:rPr>
                      <w:t xml:space="preserve"> to its Implementation in Southeast Asia</w:t>
                    </w:r>
                  </w:p>
                </w:txbxContent>
              </v:textbox>
              <w10:wrap anchorx="page" anchory="page"/>
            </v:shape>
          </w:pict>
        </mc:Fallback>
      </mc:AlternateContent>
    </w:r>
    <w:r>
      <w:rPr>
        <w:noProof/>
      </w:rPr>
      <w:drawing>
        <wp:inline distT="0" distB="0" distL="0" distR="0" wp14:anchorId="1E9EEAA7" wp14:editId="7B4361AA">
          <wp:extent cx="1095375" cy="504825"/>
          <wp:effectExtent l="0" t="0" r="9525" b="9525"/>
          <wp:docPr id="199662143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r w:rsidR="00094584">
      <w:tab/>
    </w:r>
  </w:p>
  <w:p w14:paraId="601DBFA9" w14:textId="77777777" w:rsidR="00EB035B" w:rsidRDefault="00EB03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 w15:restartNumberingAfterBreak="0">
    <w:nsid w:val="241E4295"/>
    <w:multiLevelType w:val="multilevel"/>
    <w:tmpl w:val="24B22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C76A63"/>
    <w:multiLevelType w:val="hybridMultilevel"/>
    <w:tmpl w:val="40068954"/>
    <w:lvl w:ilvl="0" w:tplc="1AFA654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3B33A9"/>
    <w:multiLevelType w:val="multilevel"/>
    <w:tmpl w:val="26B67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F3441C"/>
    <w:multiLevelType w:val="multilevel"/>
    <w:tmpl w:val="4086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A63B5D"/>
    <w:multiLevelType w:val="hybridMultilevel"/>
    <w:tmpl w:val="9DB6C356"/>
    <w:lvl w:ilvl="0" w:tplc="04210013">
      <w:start w:val="1"/>
      <w:numFmt w:val="upperRoman"/>
      <w:lvlText w:val="%1."/>
      <w:lvlJc w:val="right"/>
      <w:pPr>
        <w:ind w:left="360" w:hanging="360"/>
      </w:pPr>
      <w:rPr>
        <w:rFonts w:cs="Times New Roman"/>
      </w:rPr>
    </w:lvl>
    <w:lvl w:ilvl="1" w:tplc="FFFFFFFF" w:tentative="1">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6" w15:restartNumberingAfterBreak="0">
    <w:nsid w:val="53EC55DA"/>
    <w:multiLevelType w:val="hybridMultilevel"/>
    <w:tmpl w:val="AF0E33D8"/>
    <w:lvl w:ilvl="0" w:tplc="1AFA654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0B2F4A"/>
    <w:multiLevelType w:val="hybridMultilevel"/>
    <w:tmpl w:val="AE183A1C"/>
    <w:lvl w:ilvl="0" w:tplc="08090015">
      <w:start w:val="1"/>
      <w:numFmt w:val="upperLetter"/>
      <w:lvlText w:val="%1."/>
      <w:lvlJc w:val="left"/>
      <w:pPr>
        <w:ind w:left="1145" w:hanging="360"/>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8" w15:restartNumberingAfterBreak="0">
    <w:nsid w:val="6F4B56FE"/>
    <w:multiLevelType w:val="hybridMultilevel"/>
    <w:tmpl w:val="4A4CBA0C"/>
    <w:lvl w:ilvl="0" w:tplc="08090015">
      <w:start w:val="1"/>
      <w:numFmt w:val="upperLetter"/>
      <w:lvlText w:val="%1."/>
      <w:lvlJc w:val="left"/>
      <w:pPr>
        <w:ind w:left="1145" w:hanging="360"/>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9" w15:restartNumberingAfterBreak="0">
    <w:nsid w:val="7CC85296"/>
    <w:multiLevelType w:val="hybridMultilevel"/>
    <w:tmpl w:val="45D4232C"/>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07254775">
    <w:abstractNumId w:val="4"/>
  </w:num>
  <w:num w:numId="2" w16cid:durableId="413867599">
    <w:abstractNumId w:val="3"/>
  </w:num>
  <w:num w:numId="3" w16cid:durableId="1326132948">
    <w:abstractNumId w:val="1"/>
  </w:num>
  <w:num w:numId="4" w16cid:durableId="1767458602">
    <w:abstractNumId w:val="0"/>
  </w:num>
  <w:num w:numId="5" w16cid:durableId="1374649943">
    <w:abstractNumId w:val="2"/>
  </w:num>
  <w:num w:numId="6" w16cid:durableId="1567883640">
    <w:abstractNumId w:val="9"/>
  </w:num>
  <w:num w:numId="7" w16cid:durableId="175117599">
    <w:abstractNumId w:val="8"/>
  </w:num>
  <w:num w:numId="8" w16cid:durableId="309945966">
    <w:abstractNumId w:val="7"/>
  </w:num>
  <w:num w:numId="9" w16cid:durableId="896093044">
    <w:abstractNumId w:val="6"/>
  </w:num>
  <w:num w:numId="10" w16cid:durableId="7739858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B4D"/>
    <w:rsid w:val="0000334A"/>
    <w:rsid w:val="000064F5"/>
    <w:rsid w:val="00033D3E"/>
    <w:rsid w:val="00041DC2"/>
    <w:rsid w:val="00043CA3"/>
    <w:rsid w:val="00050C68"/>
    <w:rsid w:val="000901E4"/>
    <w:rsid w:val="00094584"/>
    <w:rsid w:val="000A46FD"/>
    <w:rsid w:val="000B0670"/>
    <w:rsid w:val="000B141D"/>
    <w:rsid w:val="000C29BD"/>
    <w:rsid w:val="001432A5"/>
    <w:rsid w:val="00181536"/>
    <w:rsid w:val="00190A26"/>
    <w:rsid w:val="001C7D1A"/>
    <w:rsid w:val="001D4AC5"/>
    <w:rsid w:val="001D6321"/>
    <w:rsid w:val="001F1112"/>
    <w:rsid w:val="00224507"/>
    <w:rsid w:val="002764FF"/>
    <w:rsid w:val="00287610"/>
    <w:rsid w:val="00294FA5"/>
    <w:rsid w:val="00304851"/>
    <w:rsid w:val="00306DEA"/>
    <w:rsid w:val="003108A4"/>
    <w:rsid w:val="00346BA7"/>
    <w:rsid w:val="0036727C"/>
    <w:rsid w:val="003952BA"/>
    <w:rsid w:val="003B7D9F"/>
    <w:rsid w:val="003C4B3B"/>
    <w:rsid w:val="003F79D6"/>
    <w:rsid w:val="004567C6"/>
    <w:rsid w:val="004649AC"/>
    <w:rsid w:val="00467503"/>
    <w:rsid w:val="0048225E"/>
    <w:rsid w:val="0049010F"/>
    <w:rsid w:val="004A4E8F"/>
    <w:rsid w:val="004B7937"/>
    <w:rsid w:val="004C43B4"/>
    <w:rsid w:val="004F3C96"/>
    <w:rsid w:val="00542849"/>
    <w:rsid w:val="00544897"/>
    <w:rsid w:val="00570AE6"/>
    <w:rsid w:val="005A62F6"/>
    <w:rsid w:val="005C3094"/>
    <w:rsid w:val="005E5B49"/>
    <w:rsid w:val="006006A4"/>
    <w:rsid w:val="00603CFA"/>
    <w:rsid w:val="006149B1"/>
    <w:rsid w:val="00616296"/>
    <w:rsid w:val="006241FE"/>
    <w:rsid w:val="00633173"/>
    <w:rsid w:val="00655655"/>
    <w:rsid w:val="00663284"/>
    <w:rsid w:val="006A4B4D"/>
    <w:rsid w:val="006B2A2F"/>
    <w:rsid w:val="00701AE8"/>
    <w:rsid w:val="00705C82"/>
    <w:rsid w:val="00706CB1"/>
    <w:rsid w:val="007575C6"/>
    <w:rsid w:val="007D4D3E"/>
    <w:rsid w:val="007E3971"/>
    <w:rsid w:val="00810E72"/>
    <w:rsid w:val="00893051"/>
    <w:rsid w:val="008E27F4"/>
    <w:rsid w:val="0090184A"/>
    <w:rsid w:val="009971D9"/>
    <w:rsid w:val="009C4A44"/>
    <w:rsid w:val="009D0080"/>
    <w:rsid w:val="009F7348"/>
    <w:rsid w:val="00A1565A"/>
    <w:rsid w:val="00A64D15"/>
    <w:rsid w:val="00A65147"/>
    <w:rsid w:val="00A914A6"/>
    <w:rsid w:val="00AA75CF"/>
    <w:rsid w:val="00AC71AC"/>
    <w:rsid w:val="00AE12B7"/>
    <w:rsid w:val="00AF3C3E"/>
    <w:rsid w:val="00B00F5C"/>
    <w:rsid w:val="00B105FF"/>
    <w:rsid w:val="00B72310"/>
    <w:rsid w:val="00B73F7D"/>
    <w:rsid w:val="00B96A77"/>
    <w:rsid w:val="00BD5F92"/>
    <w:rsid w:val="00BF1A4B"/>
    <w:rsid w:val="00C0318A"/>
    <w:rsid w:val="00C13272"/>
    <w:rsid w:val="00C50767"/>
    <w:rsid w:val="00C7578D"/>
    <w:rsid w:val="00C86C48"/>
    <w:rsid w:val="00C86D02"/>
    <w:rsid w:val="00CF5A11"/>
    <w:rsid w:val="00D0434A"/>
    <w:rsid w:val="00D17543"/>
    <w:rsid w:val="00D27B29"/>
    <w:rsid w:val="00D75D7B"/>
    <w:rsid w:val="00D97419"/>
    <w:rsid w:val="00DA370B"/>
    <w:rsid w:val="00DB36D8"/>
    <w:rsid w:val="00DB6DD0"/>
    <w:rsid w:val="00DD3F28"/>
    <w:rsid w:val="00DE299C"/>
    <w:rsid w:val="00E14520"/>
    <w:rsid w:val="00E35CD1"/>
    <w:rsid w:val="00E42FC5"/>
    <w:rsid w:val="00E4585B"/>
    <w:rsid w:val="00E63840"/>
    <w:rsid w:val="00E7738B"/>
    <w:rsid w:val="00E80A94"/>
    <w:rsid w:val="00EB035B"/>
    <w:rsid w:val="00EC77AC"/>
    <w:rsid w:val="00ED4611"/>
    <w:rsid w:val="00EF38E9"/>
    <w:rsid w:val="00EF405B"/>
    <w:rsid w:val="00F52870"/>
    <w:rsid w:val="00F54E80"/>
    <w:rsid w:val="00F56B13"/>
    <w:rsid w:val="00F61880"/>
    <w:rsid w:val="00F978FF"/>
    <w:rsid w:val="00FA7360"/>
    <w:rsid w:val="00FD7D17"/>
    <w:rsid w:val="00FE5337"/>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299A47"/>
  <w15:chartTrackingRefBased/>
  <w15:docId w15:val="{B0F90464-A4AE-4471-8F59-DFF42DCE2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6A4B4D"/>
    <w:pPr>
      <w:ind w:left="720"/>
      <w:contextualSpacing/>
    </w:pPr>
  </w:style>
  <w:style w:type="character" w:customStyle="1" w:styleId="markedcontent">
    <w:name w:val="markedcontent"/>
    <w:basedOn w:val="DefaultParagraphFont"/>
    <w:rsid w:val="00BD5F92"/>
    <w:rPr>
      <w:rFonts w:cs="Times New Roman"/>
    </w:rPr>
  </w:style>
  <w:style w:type="character" w:styleId="Hyperlink">
    <w:name w:val="Hyperlink"/>
    <w:basedOn w:val="DefaultParagraphFont"/>
    <w:uiPriority w:val="99"/>
    <w:rsid w:val="00EB035B"/>
    <w:rPr>
      <w:rFonts w:cs="Times New Roman"/>
      <w:color w:val="0000FF"/>
      <w:u w:val="single"/>
    </w:rPr>
  </w:style>
  <w:style w:type="paragraph" w:styleId="Header">
    <w:name w:val="header"/>
    <w:basedOn w:val="Normal"/>
    <w:link w:val="HeaderChar"/>
    <w:uiPriority w:val="99"/>
    <w:unhideWhenUsed/>
    <w:rsid w:val="00EB03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35B"/>
  </w:style>
  <w:style w:type="paragraph" w:styleId="Footer">
    <w:name w:val="footer"/>
    <w:basedOn w:val="Normal"/>
    <w:link w:val="FooterChar"/>
    <w:uiPriority w:val="99"/>
    <w:unhideWhenUsed/>
    <w:rsid w:val="00EB03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035B"/>
  </w:style>
  <w:style w:type="paragraph" w:styleId="BodyText">
    <w:name w:val="Body Text"/>
    <w:basedOn w:val="Normal"/>
    <w:link w:val="BodyTextChar"/>
    <w:uiPriority w:val="1"/>
    <w:qFormat/>
    <w:rsid w:val="00EB035B"/>
    <w:pPr>
      <w:autoSpaceDE w:val="0"/>
      <w:autoSpaceDN w:val="0"/>
      <w:spacing w:after="120" w:line="240" w:lineRule="auto"/>
    </w:pPr>
    <w:rPr>
      <w:rFonts w:ascii="Times New Roman" w:eastAsia="Times New Roman" w:hAnsi="Times New Roman" w:cs="Times New Roman"/>
      <w:kern w:val="0"/>
      <w:sz w:val="20"/>
      <w:szCs w:val="20"/>
      <w:lang w:val="en-US" w:eastAsia="en-GB"/>
      <w14:ligatures w14:val="none"/>
    </w:rPr>
  </w:style>
  <w:style w:type="character" w:customStyle="1" w:styleId="BodyTextChar">
    <w:name w:val="Body Text Char"/>
    <w:basedOn w:val="DefaultParagraphFont"/>
    <w:link w:val="BodyText"/>
    <w:uiPriority w:val="1"/>
    <w:rsid w:val="00EB035B"/>
    <w:rPr>
      <w:rFonts w:ascii="Times New Roman" w:eastAsia="Times New Roman" w:hAnsi="Times New Roman" w:cs="Times New Roman"/>
      <w:kern w:val="0"/>
      <w:sz w:val="20"/>
      <w:szCs w:val="20"/>
      <w:lang w:val="en-US" w:eastAsia="en-GB"/>
      <w14:ligatures w14:val="none"/>
    </w:rPr>
  </w:style>
  <w:style w:type="character" w:styleId="UnresolvedMention">
    <w:name w:val="Unresolved Mention"/>
    <w:basedOn w:val="DefaultParagraphFont"/>
    <w:uiPriority w:val="99"/>
    <w:semiHidden/>
    <w:unhideWhenUsed/>
    <w:rsid w:val="00633173"/>
    <w:rPr>
      <w:color w:val="605E5C"/>
      <w:shd w:val="clear" w:color="auto" w:fill="E1DFDD"/>
    </w:rPr>
  </w:style>
  <w:style w:type="character" w:customStyle="1" w:styleId="ListParagraphChar">
    <w:name w:val="List Paragraph Char"/>
    <w:aliases w:val="Body of text Char"/>
    <w:link w:val="ListParagraph"/>
    <w:uiPriority w:val="34"/>
    <w:locked/>
    <w:rsid w:val="00DB6DD0"/>
  </w:style>
  <w:style w:type="character" w:customStyle="1" w:styleId="tlid-translation">
    <w:name w:val="tlid-translation"/>
    <w:rsid w:val="00DB6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89828">
      <w:bodyDiv w:val="1"/>
      <w:marLeft w:val="0"/>
      <w:marRight w:val="0"/>
      <w:marTop w:val="0"/>
      <w:marBottom w:val="0"/>
      <w:divBdr>
        <w:top w:val="none" w:sz="0" w:space="0" w:color="auto"/>
        <w:left w:val="none" w:sz="0" w:space="0" w:color="auto"/>
        <w:bottom w:val="none" w:sz="0" w:space="0" w:color="auto"/>
        <w:right w:val="none" w:sz="0" w:space="0" w:color="auto"/>
      </w:divBdr>
    </w:div>
    <w:div w:id="82924063">
      <w:bodyDiv w:val="1"/>
      <w:marLeft w:val="0"/>
      <w:marRight w:val="0"/>
      <w:marTop w:val="0"/>
      <w:marBottom w:val="0"/>
      <w:divBdr>
        <w:top w:val="none" w:sz="0" w:space="0" w:color="auto"/>
        <w:left w:val="none" w:sz="0" w:space="0" w:color="auto"/>
        <w:bottom w:val="none" w:sz="0" w:space="0" w:color="auto"/>
        <w:right w:val="none" w:sz="0" w:space="0" w:color="auto"/>
      </w:divBdr>
    </w:div>
    <w:div w:id="182327308">
      <w:bodyDiv w:val="1"/>
      <w:marLeft w:val="0"/>
      <w:marRight w:val="0"/>
      <w:marTop w:val="0"/>
      <w:marBottom w:val="0"/>
      <w:divBdr>
        <w:top w:val="none" w:sz="0" w:space="0" w:color="auto"/>
        <w:left w:val="none" w:sz="0" w:space="0" w:color="auto"/>
        <w:bottom w:val="none" w:sz="0" w:space="0" w:color="auto"/>
        <w:right w:val="none" w:sz="0" w:space="0" w:color="auto"/>
      </w:divBdr>
    </w:div>
    <w:div w:id="190151167">
      <w:bodyDiv w:val="1"/>
      <w:marLeft w:val="0"/>
      <w:marRight w:val="0"/>
      <w:marTop w:val="0"/>
      <w:marBottom w:val="0"/>
      <w:divBdr>
        <w:top w:val="none" w:sz="0" w:space="0" w:color="auto"/>
        <w:left w:val="none" w:sz="0" w:space="0" w:color="auto"/>
        <w:bottom w:val="none" w:sz="0" w:space="0" w:color="auto"/>
        <w:right w:val="none" w:sz="0" w:space="0" w:color="auto"/>
      </w:divBdr>
    </w:div>
    <w:div w:id="191647041">
      <w:bodyDiv w:val="1"/>
      <w:marLeft w:val="0"/>
      <w:marRight w:val="0"/>
      <w:marTop w:val="0"/>
      <w:marBottom w:val="0"/>
      <w:divBdr>
        <w:top w:val="none" w:sz="0" w:space="0" w:color="auto"/>
        <w:left w:val="none" w:sz="0" w:space="0" w:color="auto"/>
        <w:bottom w:val="none" w:sz="0" w:space="0" w:color="auto"/>
        <w:right w:val="none" w:sz="0" w:space="0" w:color="auto"/>
      </w:divBdr>
    </w:div>
    <w:div w:id="258221721">
      <w:bodyDiv w:val="1"/>
      <w:marLeft w:val="0"/>
      <w:marRight w:val="0"/>
      <w:marTop w:val="0"/>
      <w:marBottom w:val="0"/>
      <w:divBdr>
        <w:top w:val="none" w:sz="0" w:space="0" w:color="auto"/>
        <w:left w:val="none" w:sz="0" w:space="0" w:color="auto"/>
        <w:bottom w:val="none" w:sz="0" w:space="0" w:color="auto"/>
        <w:right w:val="none" w:sz="0" w:space="0" w:color="auto"/>
      </w:divBdr>
    </w:div>
    <w:div w:id="264312889">
      <w:bodyDiv w:val="1"/>
      <w:marLeft w:val="0"/>
      <w:marRight w:val="0"/>
      <w:marTop w:val="0"/>
      <w:marBottom w:val="0"/>
      <w:divBdr>
        <w:top w:val="none" w:sz="0" w:space="0" w:color="auto"/>
        <w:left w:val="none" w:sz="0" w:space="0" w:color="auto"/>
        <w:bottom w:val="none" w:sz="0" w:space="0" w:color="auto"/>
        <w:right w:val="none" w:sz="0" w:space="0" w:color="auto"/>
      </w:divBdr>
    </w:div>
    <w:div w:id="352222158">
      <w:bodyDiv w:val="1"/>
      <w:marLeft w:val="0"/>
      <w:marRight w:val="0"/>
      <w:marTop w:val="0"/>
      <w:marBottom w:val="0"/>
      <w:divBdr>
        <w:top w:val="none" w:sz="0" w:space="0" w:color="auto"/>
        <w:left w:val="none" w:sz="0" w:space="0" w:color="auto"/>
        <w:bottom w:val="none" w:sz="0" w:space="0" w:color="auto"/>
        <w:right w:val="none" w:sz="0" w:space="0" w:color="auto"/>
      </w:divBdr>
    </w:div>
    <w:div w:id="362289084">
      <w:bodyDiv w:val="1"/>
      <w:marLeft w:val="0"/>
      <w:marRight w:val="0"/>
      <w:marTop w:val="0"/>
      <w:marBottom w:val="0"/>
      <w:divBdr>
        <w:top w:val="none" w:sz="0" w:space="0" w:color="auto"/>
        <w:left w:val="none" w:sz="0" w:space="0" w:color="auto"/>
        <w:bottom w:val="none" w:sz="0" w:space="0" w:color="auto"/>
        <w:right w:val="none" w:sz="0" w:space="0" w:color="auto"/>
      </w:divBdr>
    </w:div>
    <w:div w:id="375814022">
      <w:bodyDiv w:val="1"/>
      <w:marLeft w:val="0"/>
      <w:marRight w:val="0"/>
      <w:marTop w:val="0"/>
      <w:marBottom w:val="0"/>
      <w:divBdr>
        <w:top w:val="none" w:sz="0" w:space="0" w:color="auto"/>
        <w:left w:val="none" w:sz="0" w:space="0" w:color="auto"/>
        <w:bottom w:val="none" w:sz="0" w:space="0" w:color="auto"/>
        <w:right w:val="none" w:sz="0" w:space="0" w:color="auto"/>
      </w:divBdr>
    </w:div>
    <w:div w:id="379282345">
      <w:bodyDiv w:val="1"/>
      <w:marLeft w:val="0"/>
      <w:marRight w:val="0"/>
      <w:marTop w:val="0"/>
      <w:marBottom w:val="0"/>
      <w:divBdr>
        <w:top w:val="none" w:sz="0" w:space="0" w:color="auto"/>
        <w:left w:val="none" w:sz="0" w:space="0" w:color="auto"/>
        <w:bottom w:val="none" w:sz="0" w:space="0" w:color="auto"/>
        <w:right w:val="none" w:sz="0" w:space="0" w:color="auto"/>
      </w:divBdr>
    </w:div>
    <w:div w:id="385301993">
      <w:bodyDiv w:val="1"/>
      <w:marLeft w:val="0"/>
      <w:marRight w:val="0"/>
      <w:marTop w:val="0"/>
      <w:marBottom w:val="0"/>
      <w:divBdr>
        <w:top w:val="none" w:sz="0" w:space="0" w:color="auto"/>
        <w:left w:val="none" w:sz="0" w:space="0" w:color="auto"/>
        <w:bottom w:val="none" w:sz="0" w:space="0" w:color="auto"/>
        <w:right w:val="none" w:sz="0" w:space="0" w:color="auto"/>
      </w:divBdr>
    </w:div>
    <w:div w:id="387384735">
      <w:bodyDiv w:val="1"/>
      <w:marLeft w:val="0"/>
      <w:marRight w:val="0"/>
      <w:marTop w:val="0"/>
      <w:marBottom w:val="0"/>
      <w:divBdr>
        <w:top w:val="none" w:sz="0" w:space="0" w:color="auto"/>
        <w:left w:val="none" w:sz="0" w:space="0" w:color="auto"/>
        <w:bottom w:val="none" w:sz="0" w:space="0" w:color="auto"/>
        <w:right w:val="none" w:sz="0" w:space="0" w:color="auto"/>
      </w:divBdr>
    </w:div>
    <w:div w:id="425687747">
      <w:bodyDiv w:val="1"/>
      <w:marLeft w:val="0"/>
      <w:marRight w:val="0"/>
      <w:marTop w:val="0"/>
      <w:marBottom w:val="0"/>
      <w:divBdr>
        <w:top w:val="none" w:sz="0" w:space="0" w:color="auto"/>
        <w:left w:val="none" w:sz="0" w:space="0" w:color="auto"/>
        <w:bottom w:val="none" w:sz="0" w:space="0" w:color="auto"/>
        <w:right w:val="none" w:sz="0" w:space="0" w:color="auto"/>
      </w:divBdr>
    </w:div>
    <w:div w:id="442651777">
      <w:bodyDiv w:val="1"/>
      <w:marLeft w:val="0"/>
      <w:marRight w:val="0"/>
      <w:marTop w:val="0"/>
      <w:marBottom w:val="0"/>
      <w:divBdr>
        <w:top w:val="none" w:sz="0" w:space="0" w:color="auto"/>
        <w:left w:val="none" w:sz="0" w:space="0" w:color="auto"/>
        <w:bottom w:val="none" w:sz="0" w:space="0" w:color="auto"/>
        <w:right w:val="none" w:sz="0" w:space="0" w:color="auto"/>
      </w:divBdr>
    </w:div>
    <w:div w:id="539054875">
      <w:bodyDiv w:val="1"/>
      <w:marLeft w:val="0"/>
      <w:marRight w:val="0"/>
      <w:marTop w:val="0"/>
      <w:marBottom w:val="0"/>
      <w:divBdr>
        <w:top w:val="none" w:sz="0" w:space="0" w:color="auto"/>
        <w:left w:val="none" w:sz="0" w:space="0" w:color="auto"/>
        <w:bottom w:val="none" w:sz="0" w:space="0" w:color="auto"/>
        <w:right w:val="none" w:sz="0" w:space="0" w:color="auto"/>
      </w:divBdr>
    </w:div>
    <w:div w:id="557279469">
      <w:bodyDiv w:val="1"/>
      <w:marLeft w:val="0"/>
      <w:marRight w:val="0"/>
      <w:marTop w:val="0"/>
      <w:marBottom w:val="0"/>
      <w:divBdr>
        <w:top w:val="none" w:sz="0" w:space="0" w:color="auto"/>
        <w:left w:val="none" w:sz="0" w:space="0" w:color="auto"/>
        <w:bottom w:val="none" w:sz="0" w:space="0" w:color="auto"/>
        <w:right w:val="none" w:sz="0" w:space="0" w:color="auto"/>
      </w:divBdr>
    </w:div>
    <w:div w:id="694574742">
      <w:bodyDiv w:val="1"/>
      <w:marLeft w:val="0"/>
      <w:marRight w:val="0"/>
      <w:marTop w:val="0"/>
      <w:marBottom w:val="0"/>
      <w:divBdr>
        <w:top w:val="none" w:sz="0" w:space="0" w:color="auto"/>
        <w:left w:val="none" w:sz="0" w:space="0" w:color="auto"/>
        <w:bottom w:val="none" w:sz="0" w:space="0" w:color="auto"/>
        <w:right w:val="none" w:sz="0" w:space="0" w:color="auto"/>
      </w:divBdr>
      <w:divsChild>
        <w:div w:id="7994154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0396606">
      <w:bodyDiv w:val="1"/>
      <w:marLeft w:val="0"/>
      <w:marRight w:val="0"/>
      <w:marTop w:val="0"/>
      <w:marBottom w:val="0"/>
      <w:divBdr>
        <w:top w:val="none" w:sz="0" w:space="0" w:color="auto"/>
        <w:left w:val="none" w:sz="0" w:space="0" w:color="auto"/>
        <w:bottom w:val="none" w:sz="0" w:space="0" w:color="auto"/>
        <w:right w:val="none" w:sz="0" w:space="0" w:color="auto"/>
      </w:divBdr>
    </w:div>
    <w:div w:id="795216367">
      <w:bodyDiv w:val="1"/>
      <w:marLeft w:val="0"/>
      <w:marRight w:val="0"/>
      <w:marTop w:val="0"/>
      <w:marBottom w:val="0"/>
      <w:divBdr>
        <w:top w:val="none" w:sz="0" w:space="0" w:color="auto"/>
        <w:left w:val="none" w:sz="0" w:space="0" w:color="auto"/>
        <w:bottom w:val="none" w:sz="0" w:space="0" w:color="auto"/>
        <w:right w:val="none" w:sz="0" w:space="0" w:color="auto"/>
      </w:divBdr>
    </w:div>
    <w:div w:id="844366373">
      <w:bodyDiv w:val="1"/>
      <w:marLeft w:val="0"/>
      <w:marRight w:val="0"/>
      <w:marTop w:val="0"/>
      <w:marBottom w:val="0"/>
      <w:divBdr>
        <w:top w:val="none" w:sz="0" w:space="0" w:color="auto"/>
        <w:left w:val="none" w:sz="0" w:space="0" w:color="auto"/>
        <w:bottom w:val="none" w:sz="0" w:space="0" w:color="auto"/>
        <w:right w:val="none" w:sz="0" w:space="0" w:color="auto"/>
      </w:divBdr>
    </w:div>
    <w:div w:id="880482809">
      <w:bodyDiv w:val="1"/>
      <w:marLeft w:val="0"/>
      <w:marRight w:val="0"/>
      <w:marTop w:val="0"/>
      <w:marBottom w:val="0"/>
      <w:divBdr>
        <w:top w:val="none" w:sz="0" w:space="0" w:color="auto"/>
        <w:left w:val="none" w:sz="0" w:space="0" w:color="auto"/>
        <w:bottom w:val="none" w:sz="0" w:space="0" w:color="auto"/>
        <w:right w:val="none" w:sz="0" w:space="0" w:color="auto"/>
      </w:divBdr>
    </w:div>
    <w:div w:id="903637069">
      <w:bodyDiv w:val="1"/>
      <w:marLeft w:val="0"/>
      <w:marRight w:val="0"/>
      <w:marTop w:val="0"/>
      <w:marBottom w:val="0"/>
      <w:divBdr>
        <w:top w:val="none" w:sz="0" w:space="0" w:color="auto"/>
        <w:left w:val="none" w:sz="0" w:space="0" w:color="auto"/>
        <w:bottom w:val="none" w:sz="0" w:space="0" w:color="auto"/>
        <w:right w:val="none" w:sz="0" w:space="0" w:color="auto"/>
      </w:divBdr>
      <w:divsChild>
        <w:div w:id="9339025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1305996">
      <w:bodyDiv w:val="1"/>
      <w:marLeft w:val="0"/>
      <w:marRight w:val="0"/>
      <w:marTop w:val="0"/>
      <w:marBottom w:val="0"/>
      <w:divBdr>
        <w:top w:val="none" w:sz="0" w:space="0" w:color="auto"/>
        <w:left w:val="none" w:sz="0" w:space="0" w:color="auto"/>
        <w:bottom w:val="none" w:sz="0" w:space="0" w:color="auto"/>
        <w:right w:val="none" w:sz="0" w:space="0" w:color="auto"/>
      </w:divBdr>
    </w:div>
    <w:div w:id="956328490">
      <w:bodyDiv w:val="1"/>
      <w:marLeft w:val="0"/>
      <w:marRight w:val="0"/>
      <w:marTop w:val="0"/>
      <w:marBottom w:val="0"/>
      <w:divBdr>
        <w:top w:val="none" w:sz="0" w:space="0" w:color="auto"/>
        <w:left w:val="none" w:sz="0" w:space="0" w:color="auto"/>
        <w:bottom w:val="none" w:sz="0" w:space="0" w:color="auto"/>
        <w:right w:val="none" w:sz="0" w:space="0" w:color="auto"/>
      </w:divBdr>
    </w:div>
    <w:div w:id="986125780">
      <w:bodyDiv w:val="1"/>
      <w:marLeft w:val="0"/>
      <w:marRight w:val="0"/>
      <w:marTop w:val="0"/>
      <w:marBottom w:val="0"/>
      <w:divBdr>
        <w:top w:val="none" w:sz="0" w:space="0" w:color="auto"/>
        <w:left w:val="none" w:sz="0" w:space="0" w:color="auto"/>
        <w:bottom w:val="none" w:sz="0" w:space="0" w:color="auto"/>
        <w:right w:val="none" w:sz="0" w:space="0" w:color="auto"/>
      </w:divBdr>
    </w:div>
    <w:div w:id="996225232">
      <w:bodyDiv w:val="1"/>
      <w:marLeft w:val="0"/>
      <w:marRight w:val="0"/>
      <w:marTop w:val="0"/>
      <w:marBottom w:val="0"/>
      <w:divBdr>
        <w:top w:val="none" w:sz="0" w:space="0" w:color="auto"/>
        <w:left w:val="none" w:sz="0" w:space="0" w:color="auto"/>
        <w:bottom w:val="none" w:sz="0" w:space="0" w:color="auto"/>
        <w:right w:val="none" w:sz="0" w:space="0" w:color="auto"/>
      </w:divBdr>
    </w:div>
    <w:div w:id="1016231268">
      <w:bodyDiv w:val="1"/>
      <w:marLeft w:val="0"/>
      <w:marRight w:val="0"/>
      <w:marTop w:val="0"/>
      <w:marBottom w:val="0"/>
      <w:divBdr>
        <w:top w:val="none" w:sz="0" w:space="0" w:color="auto"/>
        <w:left w:val="none" w:sz="0" w:space="0" w:color="auto"/>
        <w:bottom w:val="none" w:sz="0" w:space="0" w:color="auto"/>
        <w:right w:val="none" w:sz="0" w:space="0" w:color="auto"/>
      </w:divBdr>
    </w:div>
    <w:div w:id="1052995380">
      <w:bodyDiv w:val="1"/>
      <w:marLeft w:val="0"/>
      <w:marRight w:val="0"/>
      <w:marTop w:val="0"/>
      <w:marBottom w:val="0"/>
      <w:divBdr>
        <w:top w:val="none" w:sz="0" w:space="0" w:color="auto"/>
        <w:left w:val="none" w:sz="0" w:space="0" w:color="auto"/>
        <w:bottom w:val="none" w:sz="0" w:space="0" w:color="auto"/>
        <w:right w:val="none" w:sz="0" w:space="0" w:color="auto"/>
      </w:divBdr>
    </w:div>
    <w:div w:id="1082261758">
      <w:bodyDiv w:val="1"/>
      <w:marLeft w:val="0"/>
      <w:marRight w:val="0"/>
      <w:marTop w:val="0"/>
      <w:marBottom w:val="0"/>
      <w:divBdr>
        <w:top w:val="none" w:sz="0" w:space="0" w:color="auto"/>
        <w:left w:val="none" w:sz="0" w:space="0" w:color="auto"/>
        <w:bottom w:val="none" w:sz="0" w:space="0" w:color="auto"/>
        <w:right w:val="none" w:sz="0" w:space="0" w:color="auto"/>
      </w:divBdr>
    </w:div>
    <w:div w:id="1260792290">
      <w:bodyDiv w:val="1"/>
      <w:marLeft w:val="0"/>
      <w:marRight w:val="0"/>
      <w:marTop w:val="0"/>
      <w:marBottom w:val="0"/>
      <w:divBdr>
        <w:top w:val="none" w:sz="0" w:space="0" w:color="auto"/>
        <w:left w:val="none" w:sz="0" w:space="0" w:color="auto"/>
        <w:bottom w:val="none" w:sz="0" w:space="0" w:color="auto"/>
        <w:right w:val="none" w:sz="0" w:space="0" w:color="auto"/>
      </w:divBdr>
    </w:div>
    <w:div w:id="1263610365">
      <w:bodyDiv w:val="1"/>
      <w:marLeft w:val="0"/>
      <w:marRight w:val="0"/>
      <w:marTop w:val="0"/>
      <w:marBottom w:val="0"/>
      <w:divBdr>
        <w:top w:val="none" w:sz="0" w:space="0" w:color="auto"/>
        <w:left w:val="none" w:sz="0" w:space="0" w:color="auto"/>
        <w:bottom w:val="none" w:sz="0" w:space="0" w:color="auto"/>
        <w:right w:val="none" w:sz="0" w:space="0" w:color="auto"/>
      </w:divBdr>
    </w:div>
    <w:div w:id="1311515513">
      <w:bodyDiv w:val="1"/>
      <w:marLeft w:val="0"/>
      <w:marRight w:val="0"/>
      <w:marTop w:val="0"/>
      <w:marBottom w:val="0"/>
      <w:divBdr>
        <w:top w:val="none" w:sz="0" w:space="0" w:color="auto"/>
        <w:left w:val="none" w:sz="0" w:space="0" w:color="auto"/>
        <w:bottom w:val="none" w:sz="0" w:space="0" w:color="auto"/>
        <w:right w:val="none" w:sz="0" w:space="0" w:color="auto"/>
      </w:divBdr>
      <w:divsChild>
        <w:div w:id="792793413">
          <w:marLeft w:val="0"/>
          <w:marRight w:val="0"/>
          <w:marTop w:val="0"/>
          <w:marBottom w:val="0"/>
          <w:divBdr>
            <w:top w:val="none" w:sz="0" w:space="0" w:color="auto"/>
            <w:left w:val="none" w:sz="0" w:space="0" w:color="auto"/>
            <w:bottom w:val="none" w:sz="0" w:space="0" w:color="auto"/>
            <w:right w:val="none" w:sz="0" w:space="0" w:color="auto"/>
          </w:divBdr>
          <w:divsChild>
            <w:div w:id="1684018722">
              <w:marLeft w:val="0"/>
              <w:marRight w:val="0"/>
              <w:marTop w:val="0"/>
              <w:marBottom w:val="0"/>
              <w:divBdr>
                <w:top w:val="none" w:sz="0" w:space="0" w:color="auto"/>
                <w:left w:val="none" w:sz="0" w:space="0" w:color="auto"/>
                <w:bottom w:val="none" w:sz="0" w:space="0" w:color="auto"/>
                <w:right w:val="none" w:sz="0" w:space="0" w:color="auto"/>
              </w:divBdr>
              <w:divsChild>
                <w:div w:id="272514452">
                  <w:marLeft w:val="0"/>
                  <w:marRight w:val="0"/>
                  <w:marTop w:val="0"/>
                  <w:marBottom w:val="0"/>
                  <w:divBdr>
                    <w:top w:val="none" w:sz="0" w:space="0" w:color="auto"/>
                    <w:left w:val="none" w:sz="0" w:space="0" w:color="auto"/>
                    <w:bottom w:val="none" w:sz="0" w:space="0" w:color="auto"/>
                    <w:right w:val="none" w:sz="0" w:space="0" w:color="auto"/>
                  </w:divBdr>
                  <w:divsChild>
                    <w:div w:id="182789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797444">
          <w:marLeft w:val="0"/>
          <w:marRight w:val="0"/>
          <w:marTop w:val="0"/>
          <w:marBottom w:val="0"/>
          <w:divBdr>
            <w:top w:val="none" w:sz="0" w:space="0" w:color="auto"/>
            <w:left w:val="none" w:sz="0" w:space="0" w:color="auto"/>
            <w:bottom w:val="none" w:sz="0" w:space="0" w:color="auto"/>
            <w:right w:val="none" w:sz="0" w:space="0" w:color="auto"/>
          </w:divBdr>
          <w:divsChild>
            <w:div w:id="910509024">
              <w:marLeft w:val="0"/>
              <w:marRight w:val="0"/>
              <w:marTop w:val="0"/>
              <w:marBottom w:val="0"/>
              <w:divBdr>
                <w:top w:val="none" w:sz="0" w:space="0" w:color="auto"/>
                <w:left w:val="none" w:sz="0" w:space="0" w:color="auto"/>
                <w:bottom w:val="none" w:sz="0" w:space="0" w:color="auto"/>
                <w:right w:val="none" w:sz="0" w:space="0" w:color="auto"/>
              </w:divBdr>
              <w:divsChild>
                <w:div w:id="363553667">
                  <w:marLeft w:val="0"/>
                  <w:marRight w:val="0"/>
                  <w:marTop w:val="0"/>
                  <w:marBottom w:val="0"/>
                  <w:divBdr>
                    <w:top w:val="none" w:sz="0" w:space="0" w:color="auto"/>
                    <w:left w:val="none" w:sz="0" w:space="0" w:color="auto"/>
                    <w:bottom w:val="none" w:sz="0" w:space="0" w:color="auto"/>
                    <w:right w:val="none" w:sz="0" w:space="0" w:color="auto"/>
                  </w:divBdr>
                  <w:divsChild>
                    <w:div w:id="1908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014330">
      <w:bodyDiv w:val="1"/>
      <w:marLeft w:val="0"/>
      <w:marRight w:val="0"/>
      <w:marTop w:val="0"/>
      <w:marBottom w:val="0"/>
      <w:divBdr>
        <w:top w:val="none" w:sz="0" w:space="0" w:color="auto"/>
        <w:left w:val="none" w:sz="0" w:space="0" w:color="auto"/>
        <w:bottom w:val="none" w:sz="0" w:space="0" w:color="auto"/>
        <w:right w:val="none" w:sz="0" w:space="0" w:color="auto"/>
      </w:divBdr>
      <w:divsChild>
        <w:div w:id="403113665">
          <w:marLeft w:val="0"/>
          <w:marRight w:val="0"/>
          <w:marTop w:val="0"/>
          <w:marBottom w:val="0"/>
          <w:divBdr>
            <w:top w:val="none" w:sz="0" w:space="0" w:color="auto"/>
            <w:left w:val="none" w:sz="0" w:space="0" w:color="auto"/>
            <w:bottom w:val="none" w:sz="0" w:space="0" w:color="auto"/>
            <w:right w:val="none" w:sz="0" w:space="0" w:color="auto"/>
          </w:divBdr>
          <w:divsChild>
            <w:div w:id="472521590">
              <w:marLeft w:val="0"/>
              <w:marRight w:val="0"/>
              <w:marTop w:val="0"/>
              <w:marBottom w:val="0"/>
              <w:divBdr>
                <w:top w:val="none" w:sz="0" w:space="0" w:color="auto"/>
                <w:left w:val="none" w:sz="0" w:space="0" w:color="auto"/>
                <w:bottom w:val="none" w:sz="0" w:space="0" w:color="auto"/>
                <w:right w:val="none" w:sz="0" w:space="0" w:color="auto"/>
              </w:divBdr>
              <w:divsChild>
                <w:div w:id="551695805">
                  <w:marLeft w:val="0"/>
                  <w:marRight w:val="0"/>
                  <w:marTop w:val="0"/>
                  <w:marBottom w:val="0"/>
                  <w:divBdr>
                    <w:top w:val="none" w:sz="0" w:space="0" w:color="auto"/>
                    <w:left w:val="none" w:sz="0" w:space="0" w:color="auto"/>
                    <w:bottom w:val="none" w:sz="0" w:space="0" w:color="auto"/>
                    <w:right w:val="none" w:sz="0" w:space="0" w:color="auto"/>
                  </w:divBdr>
                  <w:divsChild>
                    <w:div w:id="20886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02196">
          <w:marLeft w:val="0"/>
          <w:marRight w:val="0"/>
          <w:marTop w:val="0"/>
          <w:marBottom w:val="0"/>
          <w:divBdr>
            <w:top w:val="none" w:sz="0" w:space="0" w:color="auto"/>
            <w:left w:val="none" w:sz="0" w:space="0" w:color="auto"/>
            <w:bottom w:val="none" w:sz="0" w:space="0" w:color="auto"/>
            <w:right w:val="none" w:sz="0" w:space="0" w:color="auto"/>
          </w:divBdr>
          <w:divsChild>
            <w:div w:id="104273566">
              <w:marLeft w:val="0"/>
              <w:marRight w:val="0"/>
              <w:marTop w:val="0"/>
              <w:marBottom w:val="0"/>
              <w:divBdr>
                <w:top w:val="none" w:sz="0" w:space="0" w:color="auto"/>
                <w:left w:val="none" w:sz="0" w:space="0" w:color="auto"/>
                <w:bottom w:val="none" w:sz="0" w:space="0" w:color="auto"/>
                <w:right w:val="none" w:sz="0" w:space="0" w:color="auto"/>
              </w:divBdr>
              <w:divsChild>
                <w:div w:id="2042783338">
                  <w:marLeft w:val="0"/>
                  <w:marRight w:val="0"/>
                  <w:marTop w:val="0"/>
                  <w:marBottom w:val="0"/>
                  <w:divBdr>
                    <w:top w:val="none" w:sz="0" w:space="0" w:color="auto"/>
                    <w:left w:val="none" w:sz="0" w:space="0" w:color="auto"/>
                    <w:bottom w:val="none" w:sz="0" w:space="0" w:color="auto"/>
                    <w:right w:val="none" w:sz="0" w:space="0" w:color="auto"/>
                  </w:divBdr>
                  <w:divsChild>
                    <w:div w:id="8133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456719">
      <w:bodyDiv w:val="1"/>
      <w:marLeft w:val="0"/>
      <w:marRight w:val="0"/>
      <w:marTop w:val="0"/>
      <w:marBottom w:val="0"/>
      <w:divBdr>
        <w:top w:val="none" w:sz="0" w:space="0" w:color="auto"/>
        <w:left w:val="none" w:sz="0" w:space="0" w:color="auto"/>
        <w:bottom w:val="none" w:sz="0" w:space="0" w:color="auto"/>
        <w:right w:val="none" w:sz="0" w:space="0" w:color="auto"/>
      </w:divBdr>
    </w:div>
    <w:div w:id="1402481434">
      <w:bodyDiv w:val="1"/>
      <w:marLeft w:val="0"/>
      <w:marRight w:val="0"/>
      <w:marTop w:val="0"/>
      <w:marBottom w:val="0"/>
      <w:divBdr>
        <w:top w:val="none" w:sz="0" w:space="0" w:color="auto"/>
        <w:left w:val="none" w:sz="0" w:space="0" w:color="auto"/>
        <w:bottom w:val="none" w:sz="0" w:space="0" w:color="auto"/>
        <w:right w:val="none" w:sz="0" w:space="0" w:color="auto"/>
      </w:divBdr>
    </w:div>
    <w:div w:id="1421675989">
      <w:bodyDiv w:val="1"/>
      <w:marLeft w:val="0"/>
      <w:marRight w:val="0"/>
      <w:marTop w:val="0"/>
      <w:marBottom w:val="0"/>
      <w:divBdr>
        <w:top w:val="none" w:sz="0" w:space="0" w:color="auto"/>
        <w:left w:val="none" w:sz="0" w:space="0" w:color="auto"/>
        <w:bottom w:val="none" w:sz="0" w:space="0" w:color="auto"/>
        <w:right w:val="none" w:sz="0" w:space="0" w:color="auto"/>
      </w:divBdr>
    </w:div>
    <w:div w:id="1427732209">
      <w:bodyDiv w:val="1"/>
      <w:marLeft w:val="0"/>
      <w:marRight w:val="0"/>
      <w:marTop w:val="0"/>
      <w:marBottom w:val="0"/>
      <w:divBdr>
        <w:top w:val="none" w:sz="0" w:space="0" w:color="auto"/>
        <w:left w:val="none" w:sz="0" w:space="0" w:color="auto"/>
        <w:bottom w:val="none" w:sz="0" w:space="0" w:color="auto"/>
        <w:right w:val="none" w:sz="0" w:space="0" w:color="auto"/>
      </w:divBdr>
      <w:divsChild>
        <w:div w:id="1558593653">
          <w:marLeft w:val="0"/>
          <w:marRight w:val="0"/>
          <w:marTop w:val="0"/>
          <w:marBottom w:val="0"/>
          <w:divBdr>
            <w:top w:val="none" w:sz="0" w:space="0" w:color="auto"/>
            <w:left w:val="none" w:sz="0" w:space="0" w:color="auto"/>
            <w:bottom w:val="none" w:sz="0" w:space="0" w:color="auto"/>
            <w:right w:val="none" w:sz="0" w:space="0" w:color="auto"/>
          </w:divBdr>
          <w:divsChild>
            <w:div w:id="1685940400">
              <w:marLeft w:val="0"/>
              <w:marRight w:val="0"/>
              <w:marTop w:val="0"/>
              <w:marBottom w:val="0"/>
              <w:divBdr>
                <w:top w:val="none" w:sz="0" w:space="0" w:color="auto"/>
                <w:left w:val="none" w:sz="0" w:space="0" w:color="auto"/>
                <w:bottom w:val="none" w:sz="0" w:space="0" w:color="auto"/>
                <w:right w:val="none" w:sz="0" w:space="0" w:color="auto"/>
              </w:divBdr>
              <w:divsChild>
                <w:div w:id="614143414">
                  <w:marLeft w:val="0"/>
                  <w:marRight w:val="0"/>
                  <w:marTop w:val="0"/>
                  <w:marBottom w:val="0"/>
                  <w:divBdr>
                    <w:top w:val="none" w:sz="0" w:space="0" w:color="auto"/>
                    <w:left w:val="none" w:sz="0" w:space="0" w:color="auto"/>
                    <w:bottom w:val="none" w:sz="0" w:space="0" w:color="auto"/>
                    <w:right w:val="none" w:sz="0" w:space="0" w:color="auto"/>
                  </w:divBdr>
                  <w:divsChild>
                    <w:div w:id="2093624547">
                      <w:marLeft w:val="0"/>
                      <w:marRight w:val="0"/>
                      <w:marTop w:val="0"/>
                      <w:marBottom w:val="0"/>
                      <w:divBdr>
                        <w:top w:val="none" w:sz="0" w:space="0" w:color="auto"/>
                        <w:left w:val="none" w:sz="0" w:space="0" w:color="auto"/>
                        <w:bottom w:val="none" w:sz="0" w:space="0" w:color="auto"/>
                        <w:right w:val="none" w:sz="0" w:space="0" w:color="auto"/>
                      </w:divBdr>
                      <w:divsChild>
                        <w:div w:id="47269236">
                          <w:marLeft w:val="0"/>
                          <w:marRight w:val="0"/>
                          <w:marTop w:val="0"/>
                          <w:marBottom w:val="0"/>
                          <w:divBdr>
                            <w:top w:val="none" w:sz="0" w:space="0" w:color="auto"/>
                            <w:left w:val="none" w:sz="0" w:space="0" w:color="auto"/>
                            <w:bottom w:val="none" w:sz="0" w:space="0" w:color="auto"/>
                            <w:right w:val="none" w:sz="0" w:space="0" w:color="auto"/>
                          </w:divBdr>
                          <w:divsChild>
                            <w:div w:id="199363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741952">
      <w:bodyDiv w:val="1"/>
      <w:marLeft w:val="0"/>
      <w:marRight w:val="0"/>
      <w:marTop w:val="0"/>
      <w:marBottom w:val="0"/>
      <w:divBdr>
        <w:top w:val="none" w:sz="0" w:space="0" w:color="auto"/>
        <w:left w:val="none" w:sz="0" w:space="0" w:color="auto"/>
        <w:bottom w:val="none" w:sz="0" w:space="0" w:color="auto"/>
        <w:right w:val="none" w:sz="0" w:space="0" w:color="auto"/>
      </w:divBdr>
      <w:divsChild>
        <w:div w:id="1413433182">
          <w:marLeft w:val="0"/>
          <w:marRight w:val="0"/>
          <w:marTop w:val="0"/>
          <w:marBottom w:val="0"/>
          <w:divBdr>
            <w:top w:val="none" w:sz="0" w:space="0" w:color="auto"/>
            <w:left w:val="none" w:sz="0" w:space="0" w:color="auto"/>
            <w:bottom w:val="none" w:sz="0" w:space="0" w:color="auto"/>
            <w:right w:val="none" w:sz="0" w:space="0" w:color="auto"/>
          </w:divBdr>
          <w:divsChild>
            <w:div w:id="68621422">
              <w:marLeft w:val="0"/>
              <w:marRight w:val="0"/>
              <w:marTop w:val="0"/>
              <w:marBottom w:val="0"/>
              <w:divBdr>
                <w:top w:val="none" w:sz="0" w:space="0" w:color="auto"/>
                <w:left w:val="none" w:sz="0" w:space="0" w:color="auto"/>
                <w:bottom w:val="none" w:sz="0" w:space="0" w:color="auto"/>
                <w:right w:val="none" w:sz="0" w:space="0" w:color="auto"/>
              </w:divBdr>
              <w:divsChild>
                <w:div w:id="2103912050">
                  <w:marLeft w:val="0"/>
                  <w:marRight w:val="0"/>
                  <w:marTop w:val="0"/>
                  <w:marBottom w:val="0"/>
                  <w:divBdr>
                    <w:top w:val="none" w:sz="0" w:space="0" w:color="auto"/>
                    <w:left w:val="none" w:sz="0" w:space="0" w:color="auto"/>
                    <w:bottom w:val="none" w:sz="0" w:space="0" w:color="auto"/>
                    <w:right w:val="none" w:sz="0" w:space="0" w:color="auto"/>
                  </w:divBdr>
                  <w:divsChild>
                    <w:div w:id="91069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86601">
          <w:marLeft w:val="0"/>
          <w:marRight w:val="0"/>
          <w:marTop w:val="0"/>
          <w:marBottom w:val="0"/>
          <w:divBdr>
            <w:top w:val="none" w:sz="0" w:space="0" w:color="auto"/>
            <w:left w:val="none" w:sz="0" w:space="0" w:color="auto"/>
            <w:bottom w:val="none" w:sz="0" w:space="0" w:color="auto"/>
            <w:right w:val="none" w:sz="0" w:space="0" w:color="auto"/>
          </w:divBdr>
          <w:divsChild>
            <w:div w:id="495069534">
              <w:marLeft w:val="0"/>
              <w:marRight w:val="0"/>
              <w:marTop w:val="0"/>
              <w:marBottom w:val="0"/>
              <w:divBdr>
                <w:top w:val="none" w:sz="0" w:space="0" w:color="auto"/>
                <w:left w:val="none" w:sz="0" w:space="0" w:color="auto"/>
                <w:bottom w:val="none" w:sz="0" w:space="0" w:color="auto"/>
                <w:right w:val="none" w:sz="0" w:space="0" w:color="auto"/>
              </w:divBdr>
              <w:divsChild>
                <w:div w:id="648439209">
                  <w:marLeft w:val="0"/>
                  <w:marRight w:val="0"/>
                  <w:marTop w:val="0"/>
                  <w:marBottom w:val="0"/>
                  <w:divBdr>
                    <w:top w:val="none" w:sz="0" w:space="0" w:color="auto"/>
                    <w:left w:val="none" w:sz="0" w:space="0" w:color="auto"/>
                    <w:bottom w:val="none" w:sz="0" w:space="0" w:color="auto"/>
                    <w:right w:val="none" w:sz="0" w:space="0" w:color="auto"/>
                  </w:divBdr>
                  <w:divsChild>
                    <w:div w:id="195042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744595">
      <w:bodyDiv w:val="1"/>
      <w:marLeft w:val="0"/>
      <w:marRight w:val="0"/>
      <w:marTop w:val="0"/>
      <w:marBottom w:val="0"/>
      <w:divBdr>
        <w:top w:val="none" w:sz="0" w:space="0" w:color="auto"/>
        <w:left w:val="none" w:sz="0" w:space="0" w:color="auto"/>
        <w:bottom w:val="none" w:sz="0" w:space="0" w:color="auto"/>
        <w:right w:val="none" w:sz="0" w:space="0" w:color="auto"/>
      </w:divBdr>
    </w:div>
    <w:div w:id="1473211271">
      <w:bodyDiv w:val="1"/>
      <w:marLeft w:val="0"/>
      <w:marRight w:val="0"/>
      <w:marTop w:val="0"/>
      <w:marBottom w:val="0"/>
      <w:divBdr>
        <w:top w:val="none" w:sz="0" w:space="0" w:color="auto"/>
        <w:left w:val="none" w:sz="0" w:space="0" w:color="auto"/>
        <w:bottom w:val="none" w:sz="0" w:space="0" w:color="auto"/>
        <w:right w:val="none" w:sz="0" w:space="0" w:color="auto"/>
      </w:divBdr>
    </w:div>
    <w:div w:id="1497266127">
      <w:bodyDiv w:val="1"/>
      <w:marLeft w:val="0"/>
      <w:marRight w:val="0"/>
      <w:marTop w:val="0"/>
      <w:marBottom w:val="0"/>
      <w:divBdr>
        <w:top w:val="none" w:sz="0" w:space="0" w:color="auto"/>
        <w:left w:val="none" w:sz="0" w:space="0" w:color="auto"/>
        <w:bottom w:val="none" w:sz="0" w:space="0" w:color="auto"/>
        <w:right w:val="none" w:sz="0" w:space="0" w:color="auto"/>
      </w:divBdr>
    </w:div>
    <w:div w:id="1511094038">
      <w:bodyDiv w:val="1"/>
      <w:marLeft w:val="0"/>
      <w:marRight w:val="0"/>
      <w:marTop w:val="0"/>
      <w:marBottom w:val="0"/>
      <w:divBdr>
        <w:top w:val="none" w:sz="0" w:space="0" w:color="auto"/>
        <w:left w:val="none" w:sz="0" w:space="0" w:color="auto"/>
        <w:bottom w:val="none" w:sz="0" w:space="0" w:color="auto"/>
        <w:right w:val="none" w:sz="0" w:space="0" w:color="auto"/>
      </w:divBdr>
    </w:div>
    <w:div w:id="1578518935">
      <w:bodyDiv w:val="1"/>
      <w:marLeft w:val="0"/>
      <w:marRight w:val="0"/>
      <w:marTop w:val="0"/>
      <w:marBottom w:val="0"/>
      <w:divBdr>
        <w:top w:val="none" w:sz="0" w:space="0" w:color="auto"/>
        <w:left w:val="none" w:sz="0" w:space="0" w:color="auto"/>
        <w:bottom w:val="none" w:sz="0" w:space="0" w:color="auto"/>
        <w:right w:val="none" w:sz="0" w:space="0" w:color="auto"/>
      </w:divBdr>
      <w:divsChild>
        <w:div w:id="17540835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7442610">
      <w:bodyDiv w:val="1"/>
      <w:marLeft w:val="0"/>
      <w:marRight w:val="0"/>
      <w:marTop w:val="0"/>
      <w:marBottom w:val="0"/>
      <w:divBdr>
        <w:top w:val="none" w:sz="0" w:space="0" w:color="auto"/>
        <w:left w:val="none" w:sz="0" w:space="0" w:color="auto"/>
        <w:bottom w:val="none" w:sz="0" w:space="0" w:color="auto"/>
        <w:right w:val="none" w:sz="0" w:space="0" w:color="auto"/>
      </w:divBdr>
      <w:divsChild>
        <w:div w:id="1151144063">
          <w:marLeft w:val="0"/>
          <w:marRight w:val="0"/>
          <w:marTop w:val="0"/>
          <w:marBottom w:val="0"/>
          <w:divBdr>
            <w:top w:val="none" w:sz="0" w:space="0" w:color="auto"/>
            <w:left w:val="none" w:sz="0" w:space="0" w:color="auto"/>
            <w:bottom w:val="none" w:sz="0" w:space="0" w:color="auto"/>
            <w:right w:val="none" w:sz="0" w:space="0" w:color="auto"/>
          </w:divBdr>
          <w:divsChild>
            <w:div w:id="1728147345">
              <w:marLeft w:val="0"/>
              <w:marRight w:val="0"/>
              <w:marTop w:val="0"/>
              <w:marBottom w:val="0"/>
              <w:divBdr>
                <w:top w:val="none" w:sz="0" w:space="0" w:color="auto"/>
                <w:left w:val="none" w:sz="0" w:space="0" w:color="auto"/>
                <w:bottom w:val="none" w:sz="0" w:space="0" w:color="auto"/>
                <w:right w:val="none" w:sz="0" w:space="0" w:color="auto"/>
              </w:divBdr>
              <w:divsChild>
                <w:div w:id="373963593">
                  <w:marLeft w:val="0"/>
                  <w:marRight w:val="0"/>
                  <w:marTop w:val="0"/>
                  <w:marBottom w:val="0"/>
                  <w:divBdr>
                    <w:top w:val="none" w:sz="0" w:space="0" w:color="auto"/>
                    <w:left w:val="none" w:sz="0" w:space="0" w:color="auto"/>
                    <w:bottom w:val="none" w:sz="0" w:space="0" w:color="auto"/>
                    <w:right w:val="none" w:sz="0" w:space="0" w:color="auto"/>
                  </w:divBdr>
                  <w:divsChild>
                    <w:div w:id="977565515">
                      <w:marLeft w:val="0"/>
                      <w:marRight w:val="0"/>
                      <w:marTop w:val="0"/>
                      <w:marBottom w:val="0"/>
                      <w:divBdr>
                        <w:top w:val="none" w:sz="0" w:space="0" w:color="auto"/>
                        <w:left w:val="none" w:sz="0" w:space="0" w:color="auto"/>
                        <w:bottom w:val="none" w:sz="0" w:space="0" w:color="auto"/>
                        <w:right w:val="none" w:sz="0" w:space="0" w:color="auto"/>
                      </w:divBdr>
                      <w:divsChild>
                        <w:div w:id="521818292">
                          <w:marLeft w:val="0"/>
                          <w:marRight w:val="0"/>
                          <w:marTop w:val="0"/>
                          <w:marBottom w:val="0"/>
                          <w:divBdr>
                            <w:top w:val="none" w:sz="0" w:space="0" w:color="auto"/>
                            <w:left w:val="none" w:sz="0" w:space="0" w:color="auto"/>
                            <w:bottom w:val="none" w:sz="0" w:space="0" w:color="auto"/>
                            <w:right w:val="none" w:sz="0" w:space="0" w:color="auto"/>
                          </w:divBdr>
                          <w:divsChild>
                            <w:div w:id="205214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926506">
      <w:bodyDiv w:val="1"/>
      <w:marLeft w:val="0"/>
      <w:marRight w:val="0"/>
      <w:marTop w:val="0"/>
      <w:marBottom w:val="0"/>
      <w:divBdr>
        <w:top w:val="none" w:sz="0" w:space="0" w:color="auto"/>
        <w:left w:val="none" w:sz="0" w:space="0" w:color="auto"/>
        <w:bottom w:val="none" w:sz="0" w:space="0" w:color="auto"/>
        <w:right w:val="none" w:sz="0" w:space="0" w:color="auto"/>
      </w:divBdr>
      <w:divsChild>
        <w:div w:id="1541934811">
          <w:marLeft w:val="0"/>
          <w:marRight w:val="0"/>
          <w:marTop w:val="0"/>
          <w:marBottom w:val="0"/>
          <w:divBdr>
            <w:top w:val="none" w:sz="0" w:space="0" w:color="auto"/>
            <w:left w:val="none" w:sz="0" w:space="0" w:color="auto"/>
            <w:bottom w:val="none" w:sz="0" w:space="0" w:color="auto"/>
            <w:right w:val="none" w:sz="0" w:space="0" w:color="auto"/>
          </w:divBdr>
          <w:divsChild>
            <w:div w:id="1246182266">
              <w:marLeft w:val="0"/>
              <w:marRight w:val="0"/>
              <w:marTop w:val="0"/>
              <w:marBottom w:val="0"/>
              <w:divBdr>
                <w:top w:val="none" w:sz="0" w:space="0" w:color="auto"/>
                <w:left w:val="none" w:sz="0" w:space="0" w:color="auto"/>
                <w:bottom w:val="none" w:sz="0" w:space="0" w:color="auto"/>
                <w:right w:val="none" w:sz="0" w:space="0" w:color="auto"/>
              </w:divBdr>
              <w:divsChild>
                <w:div w:id="1092778725">
                  <w:marLeft w:val="0"/>
                  <w:marRight w:val="0"/>
                  <w:marTop w:val="0"/>
                  <w:marBottom w:val="0"/>
                  <w:divBdr>
                    <w:top w:val="none" w:sz="0" w:space="0" w:color="auto"/>
                    <w:left w:val="none" w:sz="0" w:space="0" w:color="auto"/>
                    <w:bottom w:val="none" w:sz="0" w:space="0" w:color="auto"/>
                    <w:right w:val="none" w:sz="0" w:space="0" w:color="auto"/>
                  </w:divBdr>
                  <w:divsChild>
                    <w:div w:id="425659248">
                      <w:marLeft w:val="0"/>
                      <w:marRight w:val="0"/>
                      <w:marTop w:val="0"/>
                      <w:marBottom w:val="0"/>
                      <w:divBdr>
                        <w:top w:val="none" w:sz="0" w:space="0" w:color="auto"/>
                        <w:left w:val="none" w:sz="0" w:space="0" w:color="auto"/>
                        <w:bottom w:val="none" w:sz="0" w:space="0" w:color="auto"/>
                        <w:right w:val="none" w:sz="0" w:space="0" w:color="auto"/>
                      </w:divBdr>
                      <w:divsChild>
                        <w:div w:id="940643540">
                          <w:marLeft w:val="0"/>
                          <w:marRight w:val="0"/>
                          <w:marTop w:val="0"/>
                          <w:marBottom w:val="0"/>
                          <w:divBdr>
                            <w:top w:val="none" w:sz="0" w:space="0" w:color="auto"/>
                            <w:left w:val="none" w:sz="0" w:space="0" w:color="auto"/>
                            <w:bottom w:val="none" w:sz="0" w:space="0" w:color="auto"/>
                            <w:right w:val="none" w:sz="0" w:space="0" w:color="auto"/>
                          </w:divBdr>
                          <w:divsChild>
                            <w:div w:id="8662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3194153">
      <w:bodyDiv w:val="1"/>
      <w:marLeft w:val="0"/>
      <w:marRight w:val="0"/>
      <w:marTop w:val="0"/>
      <w:marBottom w:val="0"/>
      <w:divBdr>
        <w:top w:val="none" w:sz="0" w:space="0" w:color="auto"/>
        <w:left w:val="none" w:sz="0" w:space="0" w:color="auto"/>
        <w:bottom w:val="none" w:sz="0" w:space="0" w:color="auto"/>
        <w:right w:val="none" w:sz="0" w:space="0" w:color="auto"/>
      </w:divBdr>
      <w:divsChild>
        <w:div w:id="1828087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4747987">
      <w:bodyDiv w:val="1"/>
      <w:marLeft w:val="0"/>
      <w:marRight w:val="0"/>
      <w:marTop w:val="0"/>
      <w:marBottom w:val="0"/>
      <w:divBdr>
        <w:top w:val="none" w:sz="0" w:space="0" w:color="auto"/>
        <w:left w:val="none" w:sz="0" w:space="0" w:color="auto"/>
        <w:bottom w:val="none" w:sz="0" w:space="0" w:color="auto"/>
        <w:right w:val="none" w:sz="0" w:space="0" w:color="auto"/>
      </w:divBdr>
    </w:div>
    <w:div w:id="1695184721">
      <w:bodyDiv w:val="1"/>
      <w:marLeft w:val="0"/>
      <w:marRight w:val="0"/>
      <w:marTop w:val="0"/>
      <w:marBottom w:val="0"/>
      <w:divBdr>
        <w:top w:val="none" w:sz="0" w:space="0" w:color="auto"/>
        <w:left w:val="none" w:sz="0" w:space="0" w:color="auto"/>
        <w:bottom w:val="none" w:sz="0" w:space="0" w:color="auto"/>
        <w:right w:val="none" w:sz="0" w:space="0" w:color="auto"/>
      </w:divBdr>
      <w:divsChild>
        <w:div w:id="684095202">
          <w:marLeft w:val="0"/>
          <w:marRight w:val="0"/>
          <w:marTop w:val="0"/>
          <w:marBottom w:val="0"/>
          <w:divBdr>
            <w:top w:val="none" w:sz="0" w:space="0" w:color="auto"/>
            <w:left w:val="none" w:sz="0" w:space="0" w:color="auto"/>
            <w:bottom w:val="none" w:sz="0" w:space="0" w:color="auto"/>
            <w:right w:val="none" w:sz="0" w:space="0" w:color="auto"/>
          </w:divBdr>
          <w:divsChild>
            <w:div w:id="1662539179">
              <w:marLeft w:val="0"/>
              <w:marRight w:val="0"/>
              <w:marTop w:val="0"/>
              <w:marBottom w:val="0"/>
              <w:divBdr>
                <w:top w:val="none" w:sz="0" w:space="0" w:color="auto"/>
                <w:left w:val="none" w:sz="0" w:space="0" w:color="auto"/>
                <w:bottom w:val="none" w:sz="0" w:space="0" w:color="auto"/>
                <w:right w:val="none" w:sz="0" w:space="0" w:color="auto"/>
              </w:divBdr>
              <w:divsChild>
                <w:div w:id="1555041076">
                  <w:marLeft w:val="0"/>
                  <w:marRight w:val="0"/>
                  <w:marTop w:val="0"/>
                  <w:marBottom w:val="0"/>
                  <w:divBdr>
                    <w:top w:val="none" w:sz="0" w:space="0" w:color="auto"/>
                    <w:left w:val="none" w:sz="0" w:space="0" w:color="auto"/>
                    <w:bottom w:val="none" w:sz="0" w:space="0" w:color="auto"/>
                    <w:right w:val="none" w:sz="0" w:space="0" w:color="auto"/>
                  </w:divBdr>
                  <w:divsChild>
                    <w:div w:id="199159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938472">
          <w:marLeft w:val="0"/>
          <w:marRight w:val="0"/>
          <w:marTop w:val="0"/>
          <w:marBottom w:val="0"/>
          <w:divBdr>
            <w:top w:val="none" w:sz="0" w:space="0" w:color="auto"/>
            <w:left w:val="none" w:sz="0" w:space="0" w:color="auto"/>
            <w:bottom w:val="none" w:sz="0" w:space="0" w:color="auto"/>
            <w:right w:val="none" w:sz="0" w:space="0" w:color="auto"/>
          </w:divBdr>
          <w:divsChild>
            <w:div w:id="1201865479">
              <w:marLeft w:val="0"/>
              <w:marRight w:val="0"/>
              <w:marTop w:val="0"/>
              <w:marBottom w:val="0"/>
              <w:divBdr>
                <w:top w:val="none" w:sz="0" w:space="0" w:color="auto"/>
                <w:left w:val="none" w:sz="0" w:space="0" w:color="auto"/>
                <w:bottom w:val="none" w:sz="0" w:space="0" w:color="auto"/>
                <w:right w:val="none" w:sz="0" w:space="0" w:color="auto"/>
              </w:divBdr>
              <w:divsChild>
                <w:div w:id="1503661616">
                  <w:marLeft w:val="0"/>
                  <w:marRight w:val="0"/>
                  <w:marTop w:val="0"/>
                  <w:marBottom w:val="0"/>
                  <w:divBdr>
                    <w:top w:val="none" w:sz="0" w:space="0" w:color="auto"/>
                    <w:left w:val="none" w:sz="0" w:space="0" w:color="auto"/>
                    <w:bottom w:val="none" w:sz="0" w:space="0" w:color="auto"/>
                    <w:right w:val="none" w:sz="0" w:space="0" w:color="auto"/>
                  </w:divBdr>
                  <w:divsChild>
                    <w:div w:id="194904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266875">
      <w:bodyDiv w:val="1"/>
      <w:marLeft w:val="0"/>
      <w:marRight w:val="0"/>
      <w:marTop w:val="0"/>
      <w:marBottom w:val="0"/>
      <w:divBdr>
        <w:top w:val="none" w:sz="0" w:space="0" w:color="auto"/>
        <w:left w:val="none" w:sz="0" w:space="0" w:color="auto"/>
        <w:bottom w:val="none" w:sz="0" w:space="0" w:color="auto"/>
        <w:right w:val="none" w:sz="0" w:space="0" w:color="auto"/>
      </w:divBdr>
      <w:divsChild>
        <w:div w:id="1516267380">
          <w:marLeft w:val="0"/>
          <w:marRight w:val="0"/>
          <w:marTop w:val="0"/>
          <w:marBottom w:val="0"/>
          <w:divBdr>
            <w:top w:val="none" w:sz="0" w:space="0" w:color="auto"/>
            <w:left w:val="none" w:sz="0" w:space="0" w:color="auto"/>
            <w:bottom w:val="none" w:sz="0" w:space="0" w:color="auto"/>
            <w:right w:val="none" w:sz="0" w:space="0" w:color="auto"/>
          </w:divBdr>
          <w:divsChild>
            <w:div w:id="1603564638">
              <w:marLeft w:val="0"/>
              <w:marRight w:val="0"/>
              <w:marTop w:val="0"/>
              <w:marBottom w:val="0"/>
              <w:divBdr>
                <w:top w:val="none" w:sz="0" w:space="0" w:color="auto"/>
                <w:left w:val="none" w:sz="0" w:space="0" w:color="auto"/>
                <w:bottom w:val="none" w:sz="0" w:space="0" w:color="auto"/>
                <w:right w:val="none" w:sz="0" w:space="0" w:color="auto"/>
              </w:divBdr>
              <w:divsChild>
                <w:div w:id="1116942715">
                  <w:marLeft w:val="0"/>
                  <w:marRight w:val="0"/>
                  <w:marTop w:val="0"/>
                  <w:marBottom w:val="0"/>
                  <w:divBdr>
                    <w:top w:val="none" w:sz="0" w:space="0" w:color="auto"/>
                    <w:left w:val="none" w:sz="0" w:space="0" w:color="auto"/>
                    <w:bottom w:val="none" w:sz="0" w:space="0" w:color="auto"/>
                    <w:right w:val="none" w:sz="0" w:space="0" w:color="auto"/>
                  </w:divBdr>
                  <w:divsChild>
                    <w:div w:id="1509834975">
                      <w:marLeft w:val="0"/>
                      <w:marRight w:val="0"/>
                      <w:marTop w:val="0"/>
                      <w:marBottom w:val="0"/>
                      <w:divBdr>
                        <w:top w:val="none" w:sz="0" w:space="0" w:color="auto"/>
                        <w:left w:val="none" w:sz="0" w:space="0" w:color="auto"/>
                        <w:bottom w:val="none" w:sz="0" w:space="0" w:color="auto"/>
                        <w:right w:val="none" w:sz="0" w:space="0" w:color="auto"/>
                      </w:divBdr>
                      <w:divsChild>
                        <w:div w:id="1801802743">
                          <w:marLeft w:val="0"/>
                          <w:marRight w:val="0"/>
                          <w:marTop w:val="0"/>
                          <w:marBottom w:val="0"/>
                          <w:divBdr>
                            <w:top w:val="none" w:sz="0" w:space="0" w:color="auto"/>
                            <w:left w:val="none" w:sz="0" w:space="0" w:color="auto"/>
                            <w:bottom w:val="none" w:sz="0" w:space="0" w:color="auto"/>
                            <w:right w:val="none" w:sz="0" w:space="0" w:color="auto"/>
                          </w:divBdr>
                          <w:divsChild>
                            <w:div w:id="44388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537754">
      <w:bodyDiv w:val="1"/>
      <w:marLeft w:val="0"/>
      <w:marRight w:val="0"/>
      <w:marTop w:val="0"/>
      <w:marBottom w:val="0"/>
      <w:divBdr>
        <w:top w:val="none" w:sz="0" w:space="0" w:color="auto"/>
        <w:left w:val="none" w:sz="0" w:space="0" w:color="auto"/>
        <w:bottom w:val="none" w:sz="0" w:space="0" w:color="auto"/>
        <w:right w:val="none" w:sz="0" w:space="0" w:color="auto"/>
      </w:divBdr>
      <w:divsChild>
        <w:div w:id="205486833">
          <w:marLeft w:val="0"/>
          <w:marRight w:val="0"/>
          <w:marTop w:val="0"/>
          <w:marBottom w:val="0"/>
          <w:divBdr>
            <w:top w:val="none" w:sz="0" w:space="0" w:color="auto"/>
            <w:left w:val="none" w:sz="0" w:space="0" w:color="auto"/>
            <w:bottom w:val="none" w:sz="0" w:space="0" w:color="auto"/>
            <w:right w:val="none" w:sz="0" w:space="0" w:color="auto"/>
          </w:divBdr>
          <w:divsChild>
            <w:div w:id="1367757013">
              <w:marLeft w:val="0"/>
              <w:marRight w:val="0"/>
              <w:marTop w:val="0"/>
              <w:marBottom w:val="0"/>
              <w:divBdr>
                <w:top w:val="none" w:sz="0" w:space="0" w:color="auto"/>
                <w:left w:val="none" w:sz="0" w:space="0" w:color="auto"/>
                <w:bottom w:val="none" w:sz="0" w:space="0" w:color="auto"/>
                <w:right w:val="none" w:sz="0" w:space="0" w:color="auto"/>
              </w:divBdr>
              <w:divsChild>
                <w:div w:id="1497457469">
                  <w:marLeft w:val="0"/>
                  <w:marRight w:val="0"/>
                  <w:marTop w:val="0"/>
                  <w:marBottom w:val="0"/>
                  <w:divBdr>
                    <w:top w:val="none" w:sz="0" w:space="0" w:color="auto"/>
                    <w:left w:val="none" w:sz="0" w:space="0" w:color="auto"/>
                    <w:bottom w:val="none" w:sz="0" w:space="0" w:color="auto"/>
                    <w:right w:val="none" w:sz="0" w:space="0" w:color="auto"/>
                  </w:divBdr>
                  <w:divsChild>
                    <w:div w:id="67099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574554">
          <w:marLeft w:val="0"/>
          <w:marRight w:val="0"/>
          <w:marTop w:val="0"/>
          <w:marBottom w:val="0"/>
          <w:divBdr>
            <w:top w:val="none" w:sz="0" w:space="0" w:color="auto"/>
            <w:left w:val="none" w:sz="0" w:space="0" w:color="auto"/>
            <w:bottom w:val="none" w:sz="0" w:space="0" w:color="auto"/>
            <w:right w:val="none" w:sz="0" w:space="0" w:color="auto"/>
          </w:divBdr>
          <w:divsChild>
            <w:div w:id="1896042517">
              <w:marLeft w:val="0"/>
              <w:marRight w:val="0"/>
              <w:marTop w:val="0"/>
              <w:marBottom w:val="0"/>
              <w:divBdr>
                <w:top w:val="none" w:sz="0" w:space="0" w:color="auto"/>
                <w:left w:val="none" w:sz="0" w:space="0" w:color="auto"/>
                <w:bottom w:val="none" w:sz="0" w:space="0" w:color="auto"/>
                <w:right w:val="none" w:sz="0" w:space="0" w:color="auto"/>
              </w:divBdr>
              <w:divsChild>
                <w:div w:id="878326143">
                  <w:marLeft w:val="0"/>
                  <w:marRight w:val="0"/>
                  <w:marTop w:val="0"/>
                  <w:marBottom w:val="0"/>
                  <w:divBdr>
                    <w:top w:val="none" w:sz="0" w:space="0" w:color="auto"/>
                    <w:left w:val="none" w:sz="0" w:space="0" w:color="auto"/>
                    <w:bottom w:val="none" w:sz="0" w:space="0" w:color="auto"/>
                    <w:right w:val="none" w:sz="0" w:space="0" w:color="auto"/>
                  </w:divBdr>
                  <w:divsChild>
                    <w:div w:id="69438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549431">
      <w:bodyDiv w:val="1"/>
      <w:marLeft w:val="0"/>
      <w:marRight w:val="0"/>
      <w:marTop w:val="0"/>
      <w:marBottom w:val="0"/>
      <w:divBdr>
        <w:top w:val="none" w:sz="0" w:space="0" w:color="auto"/>
        <w:left w:val="none" w:sz="0" w:space="0" w:color="auto"/>
        <w:bottom w:val="none" w:sz="0" w:space="0" w:color="auto"/>
        <w:right w:val="none" w:sz="0" w:space="0" w:color="auto"/>
      </w:divBdr>
    </w:div>
    <w:div w:id="1861771897">
      <w:bodyDiv w:val="1"/>
      <w:marLeft w:val="0"/>
      <w:marRight w:val="0"/>
      <w:marTop w:val="0"/>
      <w:marBottom w:val="0"/>
      <w:divBdr>
        <w:top w:val="none" w:sz="0" w:space="0" w:color="auto"/>
        <w:left w:val="none" w:sz="0" w:space="0" w:color="auto"/>
        <w:bottom w:val="none" w:sz="0" w:space="0" w:color="auto"/>
        <w:right w:val="none" w:sz="0" w:space="0" w:color="auto"/>
      </w:divBdr>
      <w:divsChild>
        <w:div w:id="1173958699">
          <w:blockQuote w:val="1"/>
          <w:marLeft w:val="720"/>
          <w:marRight w:val="720"/>
          <w:marTop w:val="100"/>
          <w:marBottom w:val="100"/>
          <w:divBdr>
            <w:top w:val="none" w:sz="0" w:space="0" w:color="auto"/>
            <w:left w:val="none" w:sz="0" w:space="0" w:color="auto"/>
            <w:bottom w:val="none" w:sz="0" w:space="0" w:color="auto"/>
            <w:right w:val="none" w:sz="0" w:space="0" w:color="auto"/>
          </w:divBdr>
        </w:div>
        <w:div w:id="28536940">
          <w:blockQuote w:val="1"/>
          <w:marLeft w:val="720"/>
          <w:marRight w:val="720"/>
          <w:marTop w:val="100"/>
          <w:marBottom w:val="100"/>
          <w:divBdr>
            <w:top w:val="none" w:sz="0" w:space="0" w:color="auto"/>
            <w:left w:val="none" w:sz="0" w:space="0" w:color="auto"/>
            <w:bottom w:val="none" w:sz="0" w:space="0" w:color="auto"/>
            <w:right w:val="none" w:sz="0" w:space="0" w:color="auto"/>
          </w:divBdr>
        </w:div>
        <w:div w:id="2752585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6000450">
      <w:bodyDiv w:val="1"/>
      <w:marLeft w:val="0"/>
      <w:marRight w:val="0"/>
      <w:marTop w:val="0"/>
      <w:marBottom w:val="0"/>
      <w:divBdr>
        <w:top w:val="none" w:sz="0" w:space="0" w:color="auto"/>
        <w:left w:val="none" w:sz="0" w:space="0" w:color="auto"/>
        <w:bottom w:val="none" w:sz="0" w:space="0" w:color="auto"/>
        <w:right w:val="none" w:sz="0" w:space="0" w:color="auto"/>
      </w:divBdr>
      <w:divsChild>
        <w:div w:id="951670904">
          <w:marLeft w:val="0"/>
          <w:marRight w:val="0"/>
          <w:marTop w:val="0"/>
          <w:marBottom w:val="0"/>
          <w:divBdr>
            <w:top w:val="none" w:sz="0" w:space="0" w:color="auto"/>
            <w:left w:val="none" w:sz="0" w:space="0" w:color="auto"/>
            <w:bottom w:val="none" w:sz="0" w:space="0" w:color="auto"/>
            <w:right w:val="none" w:sz="0" w:space="0" w:color="auto"/>
          </w:divBdr>
          <w:divsChild>
            <w:div w:id="658270170">
              <w:marLeft w:val="0"/>
              <w:marRight w:val="0"/>
              <w:marTop w:val="0"/>
              <w:marBottom w:val="0"/>
              <w:divBdr>
                <w:top w:val="none" w:sz="0" w:space="0" w:color="auto"/>
                <w:left w:val="none" w:sz="0" w:space="0" w:color="auto"/>
                <w:bottom w:val="none" w:sz="0" w:space="0" w:color="auto"/>
                <w:right w:val="none" w:sz="0" w:space="0" w:color="auto"/>
              </w:divBdr>
              <w:divsChild>
                <w:div w:id="1504470835">
                  <w:marLeft w:val="0"/>
                  <w:marRight w:val="0"/>
                  <w:marTop w:val="0"/>
                  <w:marBottom w:val="0"/>
                  <w:divBdr>
                    <w:top w:val="none" w:sz="0" w:space="0" w:color="auto"/>
                    <w:left w:val="none" w:sz="0" w:space="0" w:color="auto"/>
                    <w:bottom w:val="none" w:sz="0" w:space="0" w:color="auto"/>
                    <w:right w:val="none" w:sz="0" w:space="0" w:color="auto"/>
                  </w:divBdr>
                  <w:divsChild>
                    <w:div w:id="180049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09999">
          <w:marLeft w:val="0"/>
          <w:marRight w:val="0"/>
          <w:marTop w:val="0"/>
          <w:marBottom w:val="0"/>
          <w:divBdr>
            <w:top w:val="none" w:sz="0" w:space="0" w:color="auto"/>
            <w:left w:val="none" w:sz="0" w:space="0" w:color="auto"/>
            <w:bottom w:val="none" w:sz="0" w:space="0" w:color="auto"/>
            <w:right w:val="none" w:sz="0" w:space="0" w:color="auto"/>
          </w:divBdr>
          <w:divsChild>
            <w:div w:id="123542855">
              <w:marLeft w:val="0"/>
              <w:marRight w:val="0"/>
              <w:marTop w:val="0"/>
              <w:marBottom w:val="0"/>
              <w:divBdr>
                <w:top w:val="none" w:sz="0" w:space="0" w:color="auto"/>
                <w:left w:val="none" w:sz="0" w:space="0" w:color="auto"/>
                <w:bottom w:val="none" w:sz="0" w:space="0" w:color="auto"/>
                <w:right w:val="none" w:sz="0" w:space="0" w:color="auto"/>
              </w:divBdr>
              <w:divsChild>
                <w:div w:id="1424688025">
                  <w:marLeft w:val="0"/>
                  <w:marRight w:val="0"/>
                  <w:marTop w:val="0"/>
                  <w:marBottom w:val="0"/>
                  <w:divBdr>
                    <w:top w:val="none" w:sz="0" w:space="0" w:color="auto"/>
                    <w:left w:val="none" w:sz="0" w:space="0" w:color="auto"/>
                    <w:bottom w:val="none" w:sz="0" w:space="0" w:color="auto"/>
                    <w:right w:val="none" w:sz="0" w:space="0" w:color="auto"/>
                  </w:divBdr>
                  <w:divsChild>
                    <w:div w:id="6116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8092">
      <w:bodyDiv w:val="1"/>
      <w:marLeft w:val="0"/>
      <w:marRight w:val="0"/>
      <w:marTop w:val="0"/>
      <w:marBottom w:val="0"/>
      <w:divBdr>
        <w:top w:val="none" w:sz="0" w:space="0" w:color="auto"/>
        <w:left w:val="none" w:sz="0" w:space="0" w:color="auto"/>
        <w:bottom w:val="none" w:sz="0" w:space="0" w:color="auto"/>
        <w:right w:val="none" w:sz="0" w:space="0" w:color="auto"/>
      </w:divBdr>
    </w:div>
    <w:div w:id="1953589463">
      <w:bodyDiv w:val="1"/>
      <w:marLeft w:val="0"/>
      <w:marRight w:val="0"/>
      <w:marTop w:val="0"/>
      <w:marBottom w:val="0"/>
      <w:divBdr>
        <w:top w:val="none" w:sz="0" w:space="0" w:color="auto"/>
        <w:left w:val="none" w:sz="0" w:space="0" w:color="auto"/>
        <w:bottom w:val="none" w:sz="0" w:space="0" w:color="auto"/>
        <w:right w:val="none" w:sz="0" w:space="0" w:color="auto"/>
      </w:divBdr>
    </w:div>
    <w:div w:id="1988625973">
      <w:bodyDiv w:val="1"/>
      <w:marLeft w:val="0"/>
      <w:marRight w:val="0"/>
      <w:marTop w:val="0"/>
      <w:marBottom w:val="0"/>
      <w:divBdr>
        <w:top w:val="none" w:sz="0" w:space="0" w:color="auto"/>
        <w:left w:val="none" w:sz="0" w:space="0" w:color="auto"/>
        <w:bottom w:val="none" w:sz="0" w:space="0" w:color="auto"/>
        <w:right w:val="none" w:sz="0" w:space="0" w:color="auto"/>
      </w:divBdr>
    </w:div>
    <w:div w:id="1995841399">
      <w:bodyDiv w:val="1"/>
      <w:marLeft w:val="0"/>
      <w:marRight w:val="0"/>
      <w:marTop w:val="0"/>
      <w:marBottom w:val="0"/>
      <w:divBdr>
        <w:top w:val="none" w:sz="0" w:space="0" w:color="auto"/>
        <w:left w:val="none" w:sz="0" w:space="0" w:color="auto"/>
        <w:bottom w:val="none" w:sz="0" w:space="0" w:color="auto"/>
        <w:right w:val="none" w:sz="0" w:space="0" w:color="auto"/>
      </w:divBdr>
      <w:divsChild>
        <w:div w:id="219366635">
          <w:marLeft w:val="0"/>
          <w:marRight w:val="0"/>
          <w:marTop w:val="0"/>
          <w:marBottom w:val="0"/>
          <w:divBdr>
            <w:top w:val="none" w:sz="0" w:space="0" w:color="auto"/>
            <w:left w:val="none" w:sz="0" w:space="0" w:color="auto"/>
            <w:bottom w:val="none" w:sz="0" w:space="0" w:color="auto"/>
            <w:right w:val="none" w:sz="0" w:space="0" w:color="auto"/>
          </w:divBdr>
          <w:divsChild>
            <w:div w:id="1802459576">
              <w:marLeft w:val="0"/>
              <w:marRight w:val="0"/>
              <w:marTop w:val="0"/>
              <w:marBottom w:val="0"/>
              <w:divBdr>
                <w:top w:val="none" w:sz="0" w:space="0" w:color="auto"/>
                <w:left w:val="none" w:sz="0" w:space="0" w:color="auto"/>
                <w:bottom w:val="none" w:sz="0" w:space="0" w:color="auto"/>
                <w:right w:val="none" w:sz="0" w:space="0" w:color="auto"/>
              </w:divBdr>
              <w:divsChild>
                <w:div w:id="1540121883">
                  <w:marLeft w:val="0"/>
                  <w:marRight w:val="0"/>
                  <w:marTop w:val="0"/>
                  <w:marBottom w:val="0"/>
                  <w:divBdr>
                    <w:top w:val="none" w:sz="0" w:space="0" w:color="auto"/>
                    <w:left w:val="none" w:sz="0" w:space="0" w:color="auto"/>
                    <w:bottom w:val="none" w:sz="0" w:space="0" w:color="auto"/>
                    <w:right w:val="none" w:sz="0" w:space="0" w:color="auto"/>
                  </w:divBdr>
                  <w:divsChild>
                    <w:div w:id="168089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71081">
          <w:marLeft w:val="0"/>
          <w:marRight w:val="0"/>
          <w:marTop w:val="0"/>
          <w:marBottom w:val="0"/>
          <w:divBdr>
            <w:top w:val="none" w:sz="0" w:space="0" w:color="auto"/>
            <w:left w:val="none" w:sz="0" w:space="0" w:color="auto"/>
            <w:bottom w:val="none" w:sz="0" w:space="0" w:color="auto"/>
            <w:right w:val="none" w:sz="0" w:space="0" w:color="auto"/>
          </w:divBdr>
          <w:divsChild>
            <w:div w:id="613288092">
              <w:marLeft w:val="0"/>
              <w:marRight w:val="0"/>
              <w:marTop w:val="0"/>
              <w:marBottom w:val="0"/>
              <w:divBdr>
                <w:top w:val="none" w:sz="0" w:space="0" w:color="auto"/>
                <w:left w:val="none" w:sz="0" w:space="0" w:color="auto"/>
                <w:bottom w:val="none" w:sz="0" w:space="0" w:color="auto"/>
                <w:right w:val="none" w:sz="0" w:space="0" w:color="auto"/>
              </w:divBdr>
              <w:divsChild>
                <w:div w:id="464782434">
                  <w:marLeft w:val="0"/>
                  <w:marRight w:val="0"/>
                  <w:marTop w:val="0"/>
                  <w:marBottom w:val="0"/>
                  <w:divBdr>
                    <w:top w:val="none" w:sz="0" w:space="0" w:color="auto"/>
                    <w:left w:val="none" w:sz="0" w:space="0" w:color="auto"/>
                    <w:bottom w:val="none" w:sz="0" w:space="0" w:color="auto"/>
                    <w:right w:val="none" w:sz="0" w:space="0" w:color="auto"/>
                  </w:divBdr>
                  <w:divsChild>
                    <w:div w:id="199193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387211">
      <w:bodyDiv w:val="1"/>
      <w:marLeft w:val="0"/>
      <w:marRight w:val="0"/>
      <w:marTop w:val="0"/>
      <w:marBottom w:val="0"/>
      <w:divBdr>
        <w:top w:val="none" w:sz="0" w:space="0" w:color="auto"/>
        <w:left w:val="none" w:sz="0" w:space="0" w:color="auto"/>
        <w:bottom w:val="none" w:sz="0" w:space="0" w:color="auto"/>
        <w:right w:val="none" w:sz="0" w:space="0" w:color="auto"/>
      </w:divBdr>
      <w:divsChild>
        <w:div w:id="1975601676">
          <w:marLeft w:val="0"/>
          <w:marRight w:val="0"/>
          <w:marTop w:val="0"/>
          <w:marBottom w:val="0"/>
          <w:divBdr>
            <w:top w:val="none" w:sz="0" w:space="0" w:color="auto"/>
            <w:left w:val="none" w:sz="0" w:space="0" w:color="auto"/>
            <w:bottom w:val="none" w:sz="0" w:space="0" w:color="auto"/>
            <w:right w:val="none" w:sz="0" w:space="0" w:color="auto"/>
          </w:divBdr>
          <w:divsChild>
            <w:div w:id="1583643243">
              <w:marLeft w:val="0"/>
              <w:marRight w:val="0"/>
              <w:marTop w:val="0"/>
              <w:marBottom w:val="0"/>
              <w:divBdr>
                <w:top w:val="none" w:sz="0" w:space="0" w:color="auto"/>
                <w:left w:val="none" w:sz="0" w:space="0" w:color="auto"/>
                <w:bottom w:val="none" w:sz="0" w:space="0" w:color="auto"/>
                <w:right w:val="none" w:sz="0" w:space="0" w:color="auto"/>
              </w:divBdr>
              <w:divsChild>
                <w:div w:id="362250014">
                  <w:marLeft w:val="0"/>
                  <w:marRight w:val="0"/>
                  <w:marTop w:val="0"/>
                  <w:marBottom w:val="0"/>
                  <w:divBdr>
                    <w:top w:val="none" w:sz="0" w:space="0" w:color="auto"/>
                    <w:left w:val="none" w:sz="0" w:space="0" w:color="auto"/>
                    <w:bottom w:val="none" w:sz="0" w:space="0" w:color="auto"/>
                    <w:right w:val="none" w:sz="0" w:space="0" w:color="auto"/>
                  </w:divBdr>
                  <w:divsChild>
                    <w:div w:id="141986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279976">
          <w:marLeft w:val="0"/>
          <w:marRight w:val="0"/>
          <w:marTop w:val="0"/>
          <w:marBottom w:val="0"/>
          <w:divBdr>
            <w:top w:val="none" w:sz="0" w:space="0" w:color="auto"/>
            <w:left w:val="none" w:sz="0" w:space="0" w:color="auto"/>
            <w:bottom w:val="none" w:sz="0" w:space="0" w:color="auto"/>
            <w:right w:val="none" w:sz="0" w:space="0" w:color="auto"/>
          </w:divBdr>
          <w:divsChild>
            <w:div w:id="1182160681">
              <w:marLeft w:val="0"/>
              <w:marRight w:val="0"/>
              <w:marTop w:val="0"/>
              <w:marBottom w:val="0"/>
              <w:divBdr>
                <w:top w:val="none" w:sz="0" w:space="0" w:color="auto"/>
                <w:left w:val="none" w:sz="0" w:space="0" w:color="auto"/>
                <w:bottom w:val="none" w:sz="0" w:space="0" w:color="auto"/>
                <w:right w:val="none" w:sz="0" w:space="0" w:color="auto"/>
              </w:divBdr>
              <w:divsChild>
                <w:div w:id="1313677743">
                  <w:marLeft w:val="0"/>
                  <w:marRight w:val="0"/>
                  <w:marTop w:val="0"/>
                  <w:marBottom w:val="0"/>
                  <w:divBdr>
                    <w:top w:val="none" w:sz="0" w:space="0" w:color="auto"/>
                    <w:left w:val="none" w:sz="0" w:space="0" w:color="auto"/>
                    <w:bottom w:val="none" w:sz="0" w:space="0" w:color="auto"/>
                    <w:right w:val="none" w:sz="0" w:space="0" w:color="auto"/>
                  </w:divBdr>
                  <w:divsChild>
                    <w:div w:id="122652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948516">
      <w:bodyDiv w:val="1"/>
      <w:marLeft w:val="0"/>
      <w:marRight w:val="0"/>
      <w:marTop w:val="0"/>
      <w:marBottom w:val="0"/>
      <w:divBdr>
        <w:top w:val="none" w:sz="0" w:space="0" w:color="auto"/>
        <w:left w:val="none" w:sz="0" w:space="0" w:color="auto"/>
        <w:bottom w:val="none" w:sz="0" w:space="0" w:color="auto"/>
        <w:right w:val="none" w:sz="0" w:space="0" w:color="auto"/>
      </w:divBdr>
      <w:divsChild>
        <w:div w:id="816802567">
          <w:blockQuote w:val="1"/>
          <w:marLeft w:val="720"/>
          <w:marRight w:val="720"/>
          <w:marTop w:val="100"/>
          <w:marBottom w:val="100"/>
          <w:divBdr>
            <w:top w:val="none" w:sz="0" w:space="0" w:color="auto"/>
            <w:left w:val="none" w:sz="0" w:space="0" w:color="auto"/>
            <w:bottom w:val="none" w:sz="0" w:space="0" w:color="auto"/>
            <w:right w:val="none" w:sz="0" w:space="0" w:color="auto"/>
          </w:divBdr>
        </w:div>
        <w:div w:id="50536693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4159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119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fapirmaniaja@gmail.com"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oi.org/10.5758/ijls.2022.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doi.org/https:/shamela.ws/book/6947/385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9CE06-D929-4A75-BB00-29F6E5D6E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18141</Words>
  <Characters>103404</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Irham Nilsyam</dc:creator>
  <cp:keywords/>
  <dc:description/>
  <cp:lastModifiedBy>ra</cp:lastModifiedBy>
  <cp:revision>2</cp:revision>
  <dcterms:created xsi:type="dcterms:W3CDTF">2024-11-30T08:00:00Z</dcterms:created>
  <dcterms:modified xsi:type="dcterms:W3CDTF">2024-11-30T08:00:00Z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32ce3a2293374eeaa1aa1a57c61166255c51937889143d98a02c2086ffcafbce</vt:lpwstr>
  </property>
  <property fmtid="{D5CDD505-2E9C-101B-9397-08002B2CF9AE}" pid="3" name="Mendeley Recent Style Id 0_1">
    <vt:lpwstr>http://www.zotero.org/styles/apa-6th-edition</vt:lpwstr>
  </property>
  <property fmtid="{D5CDD505-2E9C-101B-9397-08002B2CF9AE}" pid="4" name="Mendeley Recent Style Name 0_1">
    <vt:lpwstr>American Psychological Association 6th edition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http://www.zotero.org/styles/chicago-fullnote-bibliography</vt:lpwstr>
  </property>
  <property fmtid="{D5CDD505-2E9C-101B-9397-08002B2CF9AE}" pid="12" name="Mendeley Recent Style Name 4_1">
    <vt:lpwstr>Chicago Manual of Style 17th edition (full note)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48e0140c-803b-37b1-8cd2-7ed8bd6d5960</vt:lpwstr>
  </property>
  <property fmtid="{D5CDD505-2E9C-101B-9397-08002B2CF9AE}" pid="25" name="Mendeley Citation Style_1">
    <vt:lpwstr>http://www.zotero.org/styles/apa</vt:lpwstr>
  </property>
</Properties>
</file>