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52E7" w:rsidRPr="000F2EF8" w:rsidRDefault="00D56FDB" w:rsidP="003A21B0">
      <w:pPr>
        <w:spacing w:after="0" w:line="240" w:lineRule="auto"/>
        <w:jc w:val="center"/>
        <w:rPr>
          <w:rFonts w:ascii="Calibri Light" w:hAnsi="Calibri Light" w:cstheme="majorBidi"/>
          <w:b/>
          <w:bCs/>
          <w:sz w:val="28"/>
          <w:szCs w:val="28"/>
        </w:rPr>
      </w:pPr>
      <w:r w:rsidRPr="000F2EF8">
        <w:rPr>
          <w:rFonts w:ascii="Calibri Light" w:hAnsi="Calibri Light" w:cstheme="majorBidi"/>
          <w:b/>
          <w:bCs/>
          <w:sz w:val="28"/>
          <w:szCs w:val="28"/>
        </w:rPr>
        <w:t>BERFIKIR USHULI PERSPEKTIF IBNU TAIMIYYAH</w:t>
      </w:r>
    </w:p>
    <w:p w:rsidR="00361379" w:rsidRPr="008A28AF" w:rsidRDefault="00361379" w:rsidP="003A21B0">
      <w:pPr>
        <w:spacing w:after="0" w:line="240" w:lineRule="auto"/>
        <w:jc w:val="center"/>
        <w:rPr>
          <w:rFonts w:ascii="Calibri Light" w:hAnsi="Calibri Light" w:cstheme="majorBidi"/>
          <w:sz w:val="24"/>
          <w:szCs w:val="24"/>
        </w:rPr>
      </w:pPr>
    </w:p>
    <w:p w:rsidR="00B56D3C" w:rsidRPr="000F2EF8" w:rsidRDefault="00B56D3C" w:rsidP="003A21B0">
      <w:pPr>
        <w:spacing w:after="0" w:line="240" w:lineRule="auto"/>
        <w:jc w:val="center"/>
        <w:rPr>
          <w:rFonts w:ascii="Calibri Light" w:hAnsi="Calibri Light" w:cstheme="majorBidi"/>
          <w:b/>
          <w:bCs/>
          <w:sz w:val="24"/>
          <w:szCs w:val="24"/>
        </w:rPr>
      </w:pPr>
      <w:r w:rsidRPr="000F2EF8">
        <w:rPr>
          <w:rFonts w:ascii="Calibri Light" w:hAnsi="Calibri Light" w:cstheme="majorBidi"/>
          <w:b/>
          <w:bCs/>
          <w:sz w:val="24"/>
          <w:szCs w:val="24"/>
        </w:rPr>
        <w:t>Dwi Hidayatul Firdaus</w:t>
      </w:r>
      <w:r w:rsidR="008A28AF" w:rsidRPr="000F2EF8">
        <w:rPr>
          <w:rFonts w:ascii="Calibri Light" w:hAnsi="Calibri Light" w:cstheme="majorBidi"/>
          <w:b/>
          <w:bCs/>
          <w:sz w:val="24"/>
          <w:szCs w:val="24"/>
        </w:rPr>
        <w:t>*</w:t>
      </w:r>
      <w:r w:rsidR="008A28AF" w:rsidRPr="000F2EF8">
        <w:rPr>
          <w:rFonts w:ascii="Calibri Light" w:hAnsi="Calibri Light" w:cstheme="majorBidi"/>
          <w:b/>
          <w:bCs/>
          <w:sz w:val="24"/>
          <w:szCs w:val="24"/>
          <w:vertAlign w:val="superscript"/>
        </w:rPr>
        <w:t>1</w:t>
      </w:r>
      <w:r w:rsidR="008A28AF" w:rsidRPr="000F2EF8">
        <w:rPr>
          <w:rFonts w:ascii="Calibri Light" w:hAnsi="Calibri Light" w:cstheme="majorBidi"/>
          <w:b/>
          <w:bCs/>
          <w:sz w:val="24"/>
          <w:szCs w:val="24"/>
        </w:rPr>
        <w:t>, Tutik Hamidah*</w:t>
      </w:r>
      <w:r w:rsidR="008A28AF" w:rsidRPr="000F2EF8">
        <w:rPr>
          <w:rFonts w:ascii="Calibri Light" w:hAnsi="Calibri Light" w:cstheme="majorBidi"/>
          <w:b/>
          <w:bCs/>
          <w:sz w:val="24"/>
          <w:szCs w:val="24"/>
          <w:vertAlign w:val="superscript"/>
        </w:rPr>
        <w:t>2</w:t>
      </w:r>
    </w:p>
    <w:p w:rsidR="00B56D3C" w:rsidRPr="000F2EF8" w:rsidRDefault="008A28AF" w:rsidP="003A21B0">
      <w:pPr>
        <w:spacing w:after="0" w:line="240" w:lineRule="auto"/>
        <w:jc w:val="both"/>
        <w:rPr>
          <w:rStyle w:val="Hyperlink"/>
          <w:rFonts w:ascii="Calibri Light" w:hAnsi="Calibri Light" w:cstheme="majorBidi"/>
          <w:color w:val="auto"/>
          <w:sz w:val="24"/>
          <w:szCs w:val="24"/>
          <w:u w:val="none"/>
        </w:rPr>
      </w:pPr>
      <w:r w:rsidRPr="000F2EF8">
        <w:rPr>
          <w:rFonts w:ascii="Calibri Light" w:hAnsi="Calibri Light"/>
          <w:sz w:val="24"/>
          <w:szCs w:val="24"/>
          <w:vertAlign w:val="superscript"/>
        </w:rPr>
        <w:t>1</w:t>
      </w:r>
      <w:r w:rsidRPr="000F2EF8">
        <w:rPr>
          <w:rFonts w:ascii="Calibri Light" w:hAnsi="Calibri Light"/>
          <w:sz w:val="24"/>
          <w:szCs w:val="24"/>
        </w:rPr>
        <w:t>(Fakultas Syariah UIN Maualana Malik Ibrahim, Malang,</w:t>
      </w:r>
      <w:hyperlink r:id="rId9" w:history="1">
        <w:r w:rsidR="00B56D3C" w:rsidRPr="000F2EF8">
          <w:rPr>
            <w:rStyle w:val="Hyperlink"/>
            <w:rFonts w:ascii="Calibri Light" w:hAnsi="Calibri Light" w:cstheme="majorBidi"/>
            <w:color w:val="auto"/>
            <w:sz w:val="24"/>
            <w:szCs w:val="24"/>
            <w:u w:val="none"/>
          </w:rPr>
          <w:t>elfirdausy@syariah.uin-malang.ac.id</w:t>
        </w:r>
      </w:hyperlink>
    </w:p>
    <w:p w:rsidR="00B56D3C" w:rsidRPr="000F2EF8" w:rsidRDefault="008A28AF" w:rsidP="003A21B0">
      <w:pPr>
        <w:spacing w:after="0" w:line="240" w:lineRule="auto"/>
        <w:jc w:val="both"/>
        <w:rPr>
          <w:rFonts w:ascii="Calibri Light" w:hAnsi="Calibri Light" w:cstheme="majorBidi"/>
          <w:sz w:val="24"/>
          <w:szCs w:val="24"/>
        </w:rPr>
      </w:pPr>
      <w:r w:rsidRPr="000F2EF8">
        <w:rPr>
          <w:rFonts w:ascii="Calibri Light" w:hAnsi="Calibri Light"/>
          <w:sz w:val="24"/>
          <w:szCs w:val="24"/>
          <w:vertAlign w:val="superscript"/>
        </w:rPr>
        <w:t>2</w:t>
      </w:r>
      <w:r w:rsidRPr="000F2EF8">
        <w:rPr>
          <w:rFonts w:ascii="Calibri Light" w:hAnsi="Calibri Light"/>
          <w:sz w:val="24"/>
          <w:szCs w:val="24"/>
        </w:rPr>
        <w:t>(Fakultas Syariah UIN Maualana Malik Ibrahim, Malang,</w:t>
      </w:r>
      <w:r w:rsidRPr="000F2EF8">
        <w:rPr>
          <w:rFonts w:ascii="Calibri Light" w:hAnsi="Calibri Light" w:cstheme="majorBidi"/>
          <w:sz w:val="24"/>
          <w:szCs w:val="24"/>
        </w:rPr>
        <w:t xml:space="preserve"> </w:t>
      </w:r>
      <w:r w:rsidR="002F4F8F" w:rsidRPr="000F2EF8">
        <w:rPr>
          <w:rFonts w:ascii="Calibri Light" w:hAnsi="Calibri Light" w:cstheme="majorBidi"/>
          <w:sz w:val="24"/>
          <w:szCs w:val="24"/>
        </w:rPr>
        <w:t>tutikhamidah@uin-malang.ac.id</w:t>
      </w:r>
    </w:p>
    <w:p w:rsidR="00B56D3C" w:rsidRPr="008A28AF" w:rsidRDefault="00B56D3C" w:rsidP="003A21B0">
      <w:pPr>
        <w:spacing w:after="0" w:line="240" w:lineRule="auto"/>
        <w:jc w:val="center"/>
        <w:rPr>
          <w:rFonts w:ascii="Calibri Light" w:hAnsi="Calibri Light" w:cstheme="majorBidi"/>
          <w:sz w:val="24"/>
          <w:szCs w:val="24"/>
        </w:rPr>
      </w:pPr>
    </w:p>
    <w:p w:rsidR="008A0011" w:rsidRPr="008A28AF" w:rsidRDefault="008A0011" w:rsidP="003A21B0">
      <w:pPr>
        <w:spacing w:line="240" w:lineRule="auto"/>
        <w:rPr>
          <w:rFonts w:ascii="Calibri Light" w:hAnsi="Calibri Light" w:cstheme="majorBidi"/>
          <w:b/>
          <w:bCs/>
          <w:sz w:val="24"/>
          <w:szCs w:val="24"/>
        </w:rPr>
      </w:pPr>
    </w:p>
    <w:p w:rsidR="0090025D" w:rsidRPr="0090025D" w:rsidRDefault="0090025D" w:rsidP="0090025D">
      <w:pPr>
        <w:pStyle w:val="NormalWeb"/>
        <w:spacing w:before="0" w:beforeAutospacing="0" w:after="0" w:afterAutospacing="0"/>
        <w:jc w:val="both"/>
        <w:rPr>
          <w:rFonts w:ascii="Calibri Light" w:hAnsi="Calibri Light"/>
          <w:color w:val="0E101A"/>
        </w:rPr>
      </w:pPr>
      <w:r w:rsidRPr="0090025D">
        <w:rPr>
          <w:rStyle w:val="Strong"/>
          <w:rFonts w:ascii="Calibri Light" w:hAnsi="Calibri Light"/>
          <w:color w:val="0E101A"/>
        </w:rPr>
        <w:t>Abstract: </w:t>
      </w:r>
      <w:r w:rsidRPr="0090025D">
        <w:rPr>
          <w:rStyle w:val="Emphasis"/>
          <w:rFonts w:ascii="Calibri Light" w:hAnsi="Calibri Light"/>
          <w:color w:val="0E101A"/>
        </w:rPr>
        <w:t>This article describes the gait of Syaikul Islam Ibn Taimiyyah in the Ushuli thought process, which can produce various legal products that are independent and different from the number of scholars'. Here is explained the logic of thinking in the use of arguments in producing Islamic law that is independent and not bound to a particular school, even though he is affiliated with the Hanafi. He is always consistent in thinking that returns all discussions in the search for a legal basis in the Qur'an, Sunnah, and Ijma' before using other arguments in succession with selective criteria in their use. With this method he uses, the results of his thoughts and ijtihad are often different and bold. Then bring the Sunnah closer to reason. He uses and determines cause only as advice, not for composition, and approach is not for guidance. Therefore, we will find a unity of traits, signs, and personality in one methodology only.`</w:t>
      </w:r>
    </w:p>
    <w:p w:rsidR="0090025D" w:rsidRPr="0090025D" w:rsidRDefault="0090025D" w:rsidP="0090025D">
      <w:pPr>
        <w:pStyle w:val="NormalWeb"/>
        <w:spacing w:before="0" w:beforeAutospacing="0" w:after="0" w:afterAutospacing="0"/>
        <w:jc w:val="both"/>
        <w:rPr>
          <w:rFonts w:ascii="Calibri Light" w:hAnsi="Calibri Light"/>
          <w:color w:val="0E101A"/>
        </w:rPr>
      </w:pPr>
    </w:p>
    <w:p w:rsidR="0090025D" w:rsidRPr="0090025D" w:rsidRDefault="0090025D" w:rsidP="00617C64">
      <w:pPr>
        <w:pStyle w:val="NormalWeb"/>
        <w:spacing w:before="0" w:beforeAutospacing="0" w:after="0" w:afterAutospacing="0"/>
        <w:jc w:val="both"/>
        <w:rPr>
          <w:rFonts w:ascii="Calibri Light" w:hAnsi="Calibri Light"/>
          <w:color w:val="0E101A"/>
        </w:rPr>
      </w:pPr>
      <w:r w:rsidRPr="0090025D">
        <w:rPr>
          <w:rStyle w:val="Strong"/>
          <w:rFonts w:ascii="Calibri Light" w:hAnsi="Calibri Light"/>
          <w:color w:val="0E101A"/>
        </w:rPr>
        <w:t>Keywords</w:t>
      </w:r>
      <w:r w:rsidRPr="0090025D">
        <w:rPr>
          <w:rFonts w:ascii="Calibri Light" w:hAnsi="Calibri Light"/>
          <w:color w:val="0E101A"/>
        </w:rPr>
        <w:t>: </w:t>
      </w:r>
      <w:r w:rsidRPr="0090025D">
        <w:rPr>
          <w:rStyle w:val="Emphasis"/>
          <w:rFonts w:ascii="Calibri Light" w:hAnsi="Calibri Light"/>
          <w:color w:val="0E101A"/>
        </w:rPr>
        <w:t>Arg</w:t>
      </w:r>
      <w:r w:rsidR="00617C64">
        <w:rPr>
          <w:rStyle w:val="Emphasis"/>
          <w:rFonts w:ascii="Calibri Light" w:hAnsi="Calibri Light"/>
          <w:color w:val="0E101A"/>
        </w:rPr>
        <w:t>umen;</w:t>
      </w:r>
      <w:r w:rsidRPr="0090025D">
        <w:rPr>
          <w:rStyle w:val="Emphasis"/>
          <w:rFonts w:ascii="Calibri Light" w:hAnsi="Calibri Light"/>
          <w:color w:val="0E101A"/>
        </w:rPr>
        <w:t xml:space="preserve"> manhaj ushuli</w:t>
      </w:r>
      <w:r w:rsidR="00617C64">
        <w:rPr>
          <w:rStyle w:val="Emphasis"/>
          <w:rFonts w:ascii="Calibri Light" w:hAnsi="Calibri Light"/>
          <w:color w:val="0E101A"/>
        </w:rPr>
        <w:t xml:space="preserve">; </w:t>
      </w:r>
      <w:r w:rsidRPr="0090025D">
        <w:rPr>
          <w:rStyle w:val="Emphasis"/>
          <w:rFonts w:ascii="Calibri Light" w:hAnsi="Calibri Light"/>
          <w:color w:val="0E101A"/>
        </w:rPr>
        <w:t xml:space="preserve"> istinbat al-hukm.</w:t>
      </w:r>
    </w:p>
    <w:p w:rsidR="00B56D3C" w:rsidRPr="0090025D" w:rsidRDefault="00B56D3C" w:rsidP="0090025D">
      <w:pPr>
        <w:spacing w:after="0" w:line="240" w:lineRule="auto"/>
        <w:jc w:val="both"/>
        <w:rPr>
          <w:rFonts w:ascii="Calibri Light" w:hAnsi="Calibri Light" w:cstheme="majorBidi"/>
          <w:sz w:val="24"/>
          <w:szCs w:val="24"/>
        </w:rPr>
      </w:pPr>
    </w:p>
    <w:p w:rsidR="00122A23" w:rsidRPr="008A28AF" w:rsidRDefault="00122A23" w:rsidP="003A21B0">
      <w:pPr>
        <w:spacing w:after="0" w:line="240" w:lineRule="auto"/>
        <w:jc w:val="both"/>
        <w:rPr>
          <w:rFonts w:ascii="Calibri Light" w:hAnsi="Calibri Light" w:cstheme="majorBidi"/>
          <w:b/>
          <w:bCs/>
          <w:sz w:val="24"/>
          <w:szCs w:val="24"/>
        </w:rPr>
      </w:pPr>
    </w:p>
    <w:p w:rsidR="00122A23" w:rsidRPr="008A28AF" w:rsidRDefault="00122A23" w:rsidP="003A21B0">
      <w:pPr>
        <w:spacing w:after="0" w:line="240" w:lineRule="auto"/>
        <w:jc w:val="both"/>
        <w:rPr>
          <w:rFonts w:ascii="Calibri Light" w:hAnsi="Calibri Light" w:cstheme="majorBidi"/>
          <w:b/>
          <w:bCs/>
          <w:sz w:val="24"/>
          <w:szCs w:val="24"/>
        </w:rPr>
      </w:pPr>
    </w:p>
    <w:p w:rsidR="00B56D3C" w:rsidRPr="008A28AF" w:rsidRDefault="00B56D3C" w:rsidP="003A21B0">
      <w:pPr>
        <w:spacing w:after="0" w:line="240" w:lineRule="auto"/>
        <w:jc w:val="both"/>
        <w:rPr>
          <w:rFonts w:ascii="Calibri Light" w:hAnsi="Calibri Light" w:cstheme="majorBidi"/>
          <w:b/>
          <w:bCs/>
          <w:sz w:val="24"/>
          <w:szCs w:val="24"/>
        </w:rPr>
      </w:pPr>
      <w:r w:rsidRPr="008A28AF">
        <w:rPr>
          <w:rFonts w:ascii="Calibri Light" w:hAnsi="Calibri Light" w:cstheme="majorBidi"/>
          <w:b/>
          <w:bCs/>
          <w:sz w:val="24"/>
          <w:szCs w:val="24"/>
        </w:rPr>
        <w:t>Pendahauluan</w:t>
      </w:r>
    </w:p>
    <w:p w:rsidR="00861673" w:rsidRPr="008A28AF" w:rsidRDefault="003F5208" w:rsidP="003A21B0">
      <w:pPr>
        <w:autoSpaceDE w:val="0"/>
        <w:autoSpaceDN w:val="0"/>
        <w:adjustRightInd w:val="0"/>
        <w:spacing w:after="0" w:line="240" w:lineRule="auto"/>
        <w:ind w:firstLine="720"/>
        <w:jc w:val="both"/>
        <w:rPr>
          <w:rFonts w:ascii="Calibri Light" w:eastAsia="GentiumBookBasic" w:hAnsi="Calibri Light" w:cstheme="majorBidi"/>
          <w:sz w:val="24"/>
          <w:szCs w:val="24"/>
        </w:rPr>
      </w:pPr>
      <w:r w:rsidRPr="008A28AF">
        <w:rPr>
          <w:rFonts w:ascii="Calibri Light" w:eastAsia="GentiumBookBasic" w:hAnsi="Calibri Light" w:cstheme="majorBidi"/>
          <w:sz w:val="24"/>
          <w:szCs w:val="24"/>
        </w:rPr>
        <w:t xml:space="preserve">Diskursus perihal </w:t>
      </w:r>
      <w:r w:rsidR="00861673" w:rsidRPr="008A28AF">
        <w:rPr>
          <w:rFonts w:ascii="Calibri Light" w:eastAsia="GentiumBookBasic" w:hAnsi="Calibri Light" w:cstheme="majorBidi"/>
          <w:sz w:val="24"/>
          <w:szCs w:val="24"/>
        </w:rPr>
        <w:t xml:space="preserve">ushul fiqh </w:t>
      </w:r>
      <w:r w:rsidRPr="008A28AF">
        <w:rPr>
          <w:rFonts w:ascii="Calibri Light" w:eastAsia="GentiumBookBasic" w:hAnsi="Calibri Light" w:cstheme="majorBidi"/>
          <w:sz w:val="24"/>
          <w:szCs w:val="24"/>
        </w:rPr>
        <w:t xml:space="preserve">dalam proses tajdid ushul sangat interes untuk dilakukan pembahasan yang komprehensif dikarenakan proses </w:t>
      </w:r>
      <w:r w:rsidR="005C27BE" w:rsidRPr="008A28AF">
        <w:rPr>
          <w:rFonts w:ascii="Calibri Light" w:eastAsia="GentiumBookBasic" w:hAnsi="Calibri Light" w:cstheme="majorBidi"/>
          <w:sz w:val="24"/>
          <w:szCs w:val="24"/>
        </w:rPr>
        <w:t xml:space="preserve">berfikir </w:t>
      </w:r>
      <w:r w:rsidRPr="008A28AF">
        <w:rPr>
          <w:rFonts w:ascii="Calibri Light" w:eastAsia="GentiumBookBasic" w:hAnsi="Calibri Light" w:cstheme="majorBidi"/>
          <w:sz w:val="24"/>
          <w:szCs w:val="24"/>
        </w:rPr>
        <w:t xml:space="preserve">ushuli ini mengintegrasikan dua elemen penting pijakan penentuan hukum yaitu </w:t>
      </w:r>
      <w:r w:rsidR="00861673" w:rsidRPr="008A28AF">
        <w:rPr>
          <w:rFonts w:ascii="Calibri Light" w:eastAsia="GentiumBookBasic" w:hAnsi="Calibri Light" w:cstheme="majorBidi"/>
          <w:sz w:val="24"/>
          <w:szCs w:val="24"/>
        </w:rPr>
        <w:t xml:space="preserve">wahyu </w:t>
      </w:r>
      <w:r w:rsidRPr="008A28AF">
        <w:rPr>
          <w:rFonts w:ascii="Calibri Light" w:eastAsia="GentiumBookBasic" w:hAnsi="Calibri Light" w:cstheme="majorBidi"/>
          <w:sz w:val="24"/>
          <w:szCs w:val="24"/>
        </w:rPr>
        <w:t xml:space="preserve">(teks) </w:t>
      </w:r>
      <w:r w:rsidR="00861673" w:rsidRPr="008A28AF">
        <w:rPr>
          <w:rFonts w:ascii="Calibri Light" w:eastAsia="GentiumBookBasic" w:hAnsi="Calibri Light" w:cstheme="majorBidi"/>
          <w:sz w:val="24"/>
          <w:szCs w:val="24"/>
        </w:rPr>
        <w:t>dan logika</w:t>
      </w:r>
      <w:r w:rsidR="005C27BE" w:rsidRPr="008A28AF">
        <w:rPr>
          <w:rFonts w:ascii="Calibri Light" w:eastAsia="GentiumBookBasic" w:hAnsi="Calibri Light" w:cstheme="majorBidi"/>
          <w:sz w:val="24"/>
          <w:szCs w:val="24"/>
        </w:rPr>
        <w:t xml:space="preserve"> berpikir sistematis dan prosedural.</w:t>
      </w:r>
      <w:r w:rsidR="0088182E" w:rsidRPr="008A28AF">
        <w:rPr>
          <w:rFonts w:ascii="Calibri Light" w:eastAsia="GentiumBookBasic" w:hAnsi="Calibri Light" w:cstheme="majorBidi"/>
          <w:sz w:val="24"/>
          <w:szCs w:val="24"/>
        </w:rPr>
        <w:t xml:space="preserve"> Kajian </w:t>
      </w:r>
      <w:r w:rsidR="00861673" w:rsidRPr="008A28AF">
        <w:rPr>
          <w:rFonts w:ascii="Calibri Light" w:eastAsia="GentiumBookBasic" w:hAnsi="Calibri Light" w:cstheme="majorBidi"/>
          <w:sz w:val="24"/>
          <w:szCs w:val="24"/>
        </w:rPr>
        <w:t xml:space="preserve">ushul fiqh </w:t>
      </w:r>
      <w:r w:rsidR="00DE7CEE" w:rsidRPr="008A28AF">
        <w:rPr>
          <w:rFonts w:ascii="Calibri Light" w:eastAsia="GentiumBookBasic" w:hAnsi="Calibri Light" w:cstheme="majorBidi"/>
          <w:sz w:val="24"/>
          <w:szCs w:val="24"/>
        </w:rPr>
        <w:t xml:space="preserve">ini </w:t>
      </w:r>
      <w:r w:rsidR="008C0D81" w:rsidRPr="008A28AF">
        <w:rPr>
          <w:rFonts w:ascii="Calibri Light" w:eastAsia="GentiumBookBasic" w:hAnsi="Calibri Light" w:cstheme="majorBidi"/>
          <w:sz w:val="24"/>
          <w:szCs w:val="24"/>
        </w:rPr>
        <w:t xml:space="preserve">mengacu pada kebutuhan atas solusi hukum yang dibangun dari </w:t>
      </w:r>
      <w:r w:rsidR="00DE7CEE" w:rsidRPr="008A28AF">
        <w:rPr>
          <w:rFonts w:ascii="Calibri Light" w:eastAsia="GentiumBookBasic" w:hAnsi="Calibri Light" w:cstheme="majorBidi"/>
          <w:sz w:val="24"/>
          <w:szCs w:val="24"/>
        </w:rPr>
        <w:t>the empirical basis of knowledge</w:t>
      </w:r>
      <w:r w:rsidR="00861673" w:rsidRPr="008A28AF">
        <w:rPr>
          <w:rFonts w:ascii="Calibri Light" w:hAnsi="Calibri Light" w:cstheme="majorBidi"/>
          <w:sz w:val="24"/>
          <w:szCs w:val="24"/>
        </w:rPr>
        <w:t xml:space="preserve"> karena realitas kehidupan sebagai obyek hukum mempunyai </w:t>
      </w:r>
      <w:r w:rsidR="008C0D81" w:rsidRPr="008A28AF">
        <w:rPr>
          <w:rFonts w:ascii="Calibri Light" w:hAnsi="Calibri Light" w:cstheme="majorBidi"/>
          <w:sz w:val="24"/>
          <w:szCs w:val="24"/>
        </w:rPr>
        <w:t xml:space="preserve">sifat berkembang dan </w:t>
      </w:r>
      <w:r w:rsidR="00861673" w:rsidRPr="008A28AF">
        <w:rPr>
          <w:rFonts w:ascii="Calibri Light" w:hAnsi="Calibri Light" w:cstheme="majorBidi"/>
          <w:sz w:val="24"/>
          <w:szCs w:val="24"/>
        </w:rPr>
        <w:t xml:space="preserve">kompleks dengan </w:t>
      </w:r>
      <w:r w:rsidR="008C0D81" w:rsidRPr="008A28AF">
        <w:rPr>
          <w:rFonts w:ascii="Calibri Light" w:hAnsi="Calibri Light" w:cstheme="majorBidi"/>
          <w:sz w:val="24"/>
          <w:szCs w:val="24"/>
        </w:rPr>
        <w:t xml:space="preserve">berbagai macam problematika dan </w:t>
      </w:r>
      <w:r w:rsidR="00861673" w:rsidRPr="008A28AF">
        <w:rPr>
          <w:rFonts w:ascii="Calibri Light" w:hAnsi="Calibri Light" w:cstheme="majorBidi"/>
          <w:sz w:val="24"/>
          <w:szCs w:val="24"/>
        </w:rPr>
        <w:t xml:space="preserve">faktor yang </w:t>
      </w:r>
      <w:r w:rsidR="008C0D81" w:rsidRPr="008A28AF">
        <w:rPr>
          <w:rFonts w:ascii="Calibri Light" w:hAnsi="Calibri Light" w:cstheme="majorBidi"/>
          <w:sz w:val="24"/>
          <w:szCs w:val="24"/>
        </w:rPr>
        <w:t xml:space="preserve">melatarbelakangi adanya kejadian atau objek </w:t>
      </w:r>
      <w:r w:rsidR="00C6763B" w:rsidRPr="008A28AF">
        <w:rPr>
          <w:rFonts w:ascii="Calibri Light" w:hAnsi="Calibri Light" w:cstheme="majorBidi"/>
          <w:sz w:val="24"/>
          <w:szCs w:val="24"/>
        </w:rPr>
        <w:t>hukum tersebut.</w:t>
      </w:r>
      <w:r w:rsidR="00D85D0A" w:rsidRPr="008A28AF">
        <w:rPr>
          <w:rFonts w:ascii="Calibri Light" w:hAnsi="Calibri Light" w:cstheme="majorBidi"/>
          <w:sz w:val="24"/>
          <w:szCs w:val="24"/>
        </w:rPr>
        <w:t xml:space="preserve"> </w:t>
      </w:r>
      <w:r w:rsidR="00861673" w:rsidRPr="008A28AF">
        <w:rPr>
          <w:rFonts w:ascii="Calibri Light" w:hAnsi="Calibri Light" w:cstheme="majorBidi"/>
          <w:sz w:val="24"/>
          <w:szCs w:val="24"/>
        </w:rPr>
        <w:t xml:space="preserve">Dalam konteks inilah ilmu ushul fiqh </w:t>
      </w:r>
      <w:r w:rsidR="00D85D0A" w:rsidRPr="008A28AF">
        <w:rPr>
          <w:rFonts w:ascii="Calibri Light" w:hAnsi="Calibri Light" w:cstheme="majorBidi"/>
          <w:sz w:val="24"/>
          <w:szCs w:val="24"/>
        </w:rPr>
        <w:t xml:space="preserve">hadir untuk </w:t>
      </w:r>
      <w:r w:rsidR="00315310" w:rsidRPr="008A28AF">
        <w:rPr>
          <w:rFonts w:ascii="Calibri Light" w:hAnsi="Calibri Light" w:cstheme="majorBidi"/>
          <w:sz w:val="24"/>
          <w:szCs w:val="24"/>
        </w:rPr>
        <w:t xml:space="preserve">menghubungkan adanya </w:t>
      </w:r>
      <w:r w:rsidR="00861673" w:rsidRPr="008A28AF">
        <w:rPr>
          <w:rFonts w:ascii="Calibri Light" w:hAnsi="Calibri Light" w:cstheme="majorBidi"/>
          <w:sz w:val="24"/>
          <w:szCs w:val="24"/>
        </w:rPr>
        <w:t xml:space="preserve">teks wahyu yang </w:t>
      </w:r>
      <w:r w:rsidR="00D02F07" w:rsidRPr="008A28AF">
        <w:rPr>
          <w:rFonts w:ascii="Calibri Light" w:hAnsi="Calibri Light" w:cstheme="majorBidi"/>
          <w:sz w:val="24"/>
          <w:szCs w:val="24"/>
        </w:rPr>
        <w:t>bersifat universal dalam mengungkap dan menjelasakan suatu</w:t>
      </w:r>
      <w:r w:rsidR="00861673" w:rsidRPr="008A28AF">
        <w:rPr>
          <w:rFonts w:ascii="Calibri Light" w:hAnsi="Calibri Light" w:cstheme="majorBidi"/>
          <w:sz w:val="24"/>
          <w:szCs w:val="24"/>
        </w:rPr>
        <w:t xml:space="preserve"> persoalan dengan </w:t>
      </w:r>
      <w:r w:rsidR="00D02F07" w:rsidRPr="008A28AF">
        <w:rPr>
          <w:rFonts w:ascii="Calibri Light" w:hAnsi="Calibri Light" w:cstheme="majorBidi"/>
          <w:sz w:val="24"/>
          <w:szCs w:val="24"/>
        </w:rPr>
        <w:t xml:space="preserve">realita dan perkembangan </w:t>
      </w:r>
      <w:r w:rsidR="00861673" w:rsidRPr="008A28AF">
        <w:rPr>
          <w:rFonts w:ascii="Calibri Light" w:hAnsi="Calibri Light" w:cstheme="majorBidi"/>
          <w:sz w:val="24"/>
          <w:szCs w:val="24"/>
        </w:rPr>
        <w:t xml:space="preserve">sosial </w:t>
      </w:r>
      <w:r w:rsidR="00D02F07" w:rsidRPr="008A28AF">
        <w:rPr>
          <w:rFonts w:ascii="Calibri Light" w:hAnsi="Calibri Light" w:cstheme="majorBidi"/>
          <w:sz w:val="24"/>
          <w:szCs w:val="24"/>
        </w:rPr>
        <w:t>ke</w:t>
      </w:r>
      <w:r w:rsidR="00861673" w:rsidRPr="008A28AF">
        <w:rPr>
          <w:rFonts w:ascii="Calibri Light" w:hAnsi="Calibri Light" w:cstheme="majorBidi"/>
          <w:sz w:val="24"/>
          <w:szCs w:val="24"/>
        </w:rPr>
        <w:t>masyarakat</w:t>
      </w:r>
      <w:r w:rsidR="00D02F07" w:rsidRPr="008A28AF">
        <w:rPr>
          <w:rFonts w:ascii="Calibri Light" w:hAnsi="Calibri Light" w:cstheme="majorBidi"/>
          <w:sz w:val="24"/>
          <w:szCs w:val="24"/>
        </w:rPr>
        <w:t xml:space="preserve">an yang selalu berubah dan bergerak </w:t>
      </w:r>
      <w:r w:rsidR="00861673" w:rsidRPr="008A28AF">
        <w:rPr>
          <w:rFonts w:ascii="Calibri Light" w:hAnsi="Calibri Light" w:cstheme="majorBidi"/>
          <w:sz w:val="24"/>
          <w:szCs w:val="24"/>
        </w:rPr>
        <w:t>dinamis.</w:t>
      </w:r>
      <w:r w:rsidR="00861673" w:rsidRPr="008A28AF">
        <w:rPr>
          <w:rStyle w:val="FootnoteReference"/>
          <w:rFonts w:ascii="Calibri Light" w:hAnsi="Calibri Light"/>
          <w:sz w:val="24"/>
          <w:szCs w:val="24"/>
        </w:rPr>
        <w:footnoteReference w:id="1"/>
      </w:r>
      <w:r w:rsidR="000B04A4" w:rsidRPr="008A28AF">
        <w:rPr>
          <w:rFonts w:ascii="Calibri Light" w:hAnsi="Calibri Light" w:cstheme="majorBidi"/>
          <w:sz w:val="24"/>
          <w:szCs w:val="24"/>
        </w:rPr>
        <w:t xml:space="preserve"> </w:t>
      </w:r>
    </w:p>
    <w:p w:rsidR="00E91593" w:rsidRPr="008A28AF" w:rsidRDefault="00350553"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Proses Integrasi </w:t>
      </w:r>
      <w:r w:rsidR="00E91593" w:rsidRPr="008A28AF">
        <w:rPr>
          <w:rFonts w:ascii="Calibri Light" w:hAnsi="Calibri Light" w:cstheme="majorBidi"/>
          <w:sz w:val="24"/>
          <w:szCs w:val="24"/>
        </w:rPr>
        <w:t xml:space="preserve">wahyu dan logika ini </w:t>
      </w:r>
      <w:r w:rsidRPr="008A28AF">
        <w:rPr>
          <w:rFonts w:ascii="Calibri Light" w:hAnsi="Calibri Light" w:cstheme="majorBidi"/>
          <w:sz w:val="24"/>
          <w:szCs w:val="24"/>
        </w:rPr>
        <w:t>dalam kajian keilmuan masuk pada kajian i</w:t>
      </w:r>
      <w:r w:rsidR="00E91593" w:rsidRPr="008A28AF">
        <w:rPr>
          <w:rFonts w:ascii="Calibri Light" w:hAnsi="Calibri Light" w:cstheme="majorBidi"/>
          <w:sz w:val="24"/>
          <w:szCs w:val="24"/>
        </w:rPr>
        <w:t>lmu ushul fiqh</w:t>
      </w:r>
      <w:r w:rsidRPr="008A28AF">
        <w:rPr>
          <w:rFonts w:ascii="Calibri Light" w:hAnsi="Calibri Light" w:cstheme="majorBidi"/>
          <w:sz w:val="24"/>
          <w:szCs w:val="24"/>
        </w:rPr>
        <w:t xml:space="preserve"> yang merupakan sebuah epistemologi hukum dan menempati posisi yang sangat penting yang dihasilkan oleh peradaban Islam</w:t>
      </w:r>
      <w:r w:rsidR="00D70297" w:rsidRPr="008A28AF">
        <w:rPr>
          <w:rFonts w:ascii="Calibri Light" w:hAnsi="Calibri Light" w:cstheme="majorBidi"/>
          <w:sz w:val="24"/>
          <w:szCs w:val="24"/>
        </w:rPr>
        <w:t xml:space="preserve"> dalam mengawasi kehidupan manusia sebagai khalifah yang senantiasa </w:t>
      </w:r>
      <w:r w:rsidR="00D70297" w:rsidRPr="008A28AF">
        <w:rPr>
          <w:rFonts w:ascii="Calibri Light" w:hAnsi="Calibri Light" w:cstheme="majorBidi"/>
          <w:sz w:val="24"/>
          <w:szCs w:val="24"/>
        </w:rPr>
        <w:lastRenderedPageBreak/>
        <w:t xml:space="preserve">beraktivitas di muka bumi </w:t>
      </w:r>
      <w:r w:rsidR="00796102" w:rsidRPr="008A28AF">
        <w:rPr>
          <w:rFonts w:ascii="Calibri Light" w:hAnsi="Calibri Light" w:cstheme="majorBidi"/>
          <w:sz w:val="24"/>
          <w:szCs w:val="24"/>
        </w:rPr>
        <w:t>dengan berpedoman pada aturan hukum Islam secara mengikat</w:t>
      </w:r>
      <w:r w:rsidRPr="008A28AF">
        <w:rPr>
          <w:rFonts w:ascii="Calibri Light" w:hAnsi="Calibri Light" w:cstheme="majorBidi"/>
          <w:sz w:val="24"/>
          <w:szCs w:val="24"/>
        </w:rPr>
        <w:t>.</w:t>
      </w:r>
      <w:r w:rsidR="000B04A4" w:rsidRPr="008A28AF">
        <w:rPr>
          <w:rStyle w:val="FootnoteReference"/>
          <w:rFonts w:ascii="Calibri Light" w:hAnsi="Calibri Light"/>
          <w:sz w:val="24"/>
          <w:szCs w:val="24"/>
        </w:rPr>
        <w:footnoteReference w:id="2"/>
      </w:r>
      <w:r w:rsidRPr="008A28AF">
        <w:rPr>
          <w:rFonts w:ascii="Calibri Light" w:hAnsi="Calibri Light" w:cstheme="majorBidi"/>
          <w:sz w:val="24"/>
          <w:szCs w:val="24"/>
        </w:rPr>
        <w:t xml:space="preserve"> </w:t>
      </w:r>
    </w:p>
    <w:p w:rsidR="009F179C" w:rsidRPr="008A28AF" w:rsidRDefault="005C2C84" w:rsidP="003A21B0">
      <w:pPr>
        <w:autoSpaceDE w:val="0"/>
        <w:autoSpaceDN w:val="0"/>
        <w:adjustRightInd w:val="0"/>
        <w:spacing w:after="0" w:line="240" w:lineRule="auto"/>
        <w:ind w:firstLine="720"/>
        <w:jc w:val="both"/>
        <w:rPr>
          <w:rFonts w:ascii="Calibri Light" w:eastAsia="GentiumBookBasic" w:hAnsi="Calibri Light" w:cstheme="majorBidi"/>
          <w:sz w:val="24"/>
          <w:szCs w:val="24"/>
        </w:rPr>
      </w:pPr>
      <w:r w:rsidRPr="008A28AF">
        <w:rPr>
          <w:rFonts w:ascii="Calibri Light" w:eastAsia="GentiumBookBasic" w:hAnsi="Calibri Light" w:cstheme="majorBidi"/>
          <w:sz w:val="24"/>
          <w:szCs w:val="24"/>
        </w:rPr>
        <w:t xml:space="preserve">Implementasi ushul fiqh dalam ranah problematika hukum Islam membutuhkan inovasi dan keberanian dalam penerapannya. Karena, ketentuan-ketentuan hukum yang ada dalam kitab fiqh terkadang tidak bisa memberikan solusi hukum dalam kehidupan Islam yang selalu bergerak secara dinamasi </w:t>
      </w:r>
      <w:r w:rsidR="00A856D3" w:rsidRPr="008A28AF">
        <w:rPr>
          <w:rFonts w:ascii="Calibri Light" w:eastAsia="GentiumBookBasic" w:hAnsi="Calibri Light" w:cstheme="majorBidi"/>
          <w:sz w:val="24"/>
          <w:szCs w:val="24"/>
        </w:rPr>
        <w:t xml:space="preserve">dan cenderung </w:t>
      </w:r>
      <w:r w:rsidRPr="008A28AF">
        <w:rPr>
          <w:rFonts w:ascii="Calibri Light" w:eastAsia="GentiumBookBasic" w:hAnsi="Calibri Light" w:cstheme="majorBidi"/>
          <w:sz w:val="24"/>
          <w:szCs w:val="24"/>
        </w:rPr>
        <w:t xml:space="preserve">mengalami </w:t>
      </w:r>
      <w:r w:rsidR="00A856D3" w:rsidRPr="008A28AF">
        <w:rPr>
          <w:rFonts w:ascii="Calibri Light" w:eastAsia="GentiumBookBasic" w:hAnsi="Calibri Light" w:cstheme="majorBidi"/>
          <w:sz w:val="24"/>
          <w:szCs w:val="24"/>
        </w:rPr>
        <w:t xml:space="preserve">kesulitan </w:t>
      </w:r>
      <w:r w:rsidRPr="008A28AF">
        <w:rPr>
          <w:rFonts w:ascii="Calibri Light" w:eastAsia="GentiumBookBasic" w:hAnsi="Calibri Light" w:cstheme="majorBidi"/>
          <w:sz w:val="24"/>
          <w:szCs w:val="24"/>
        </w:rPr>
        <w:t xml:space="preserve">dalam </w:t>
      </w:r>
      <w:r w:rsidR="00A856D3" w:rsidRPr="008A28AF">
        <w:rPr>
          <w:rFonts w:ascii="Calibri Light" w:eastAsia="GentiumBookBasic" w:hAnsi="Calibri Light" w:cstheme="majorBidi"/>
          <w:sz w:val="24"/>
          <w:szCs w:val="24"/>
        </w:rPr>
        <w:t xml:space="preserve">melaksanakan </w:t>
      </w:r>
      <w:r w:rsidRPr="008A28AF">
        <w:rPr>
          <w:rFonts w:ascii="Calibri Light" w:eastAsia="GentiumBookBasic" w:hAnsi="Calibri Light" w:cstheme="majorBidi"/>
          <w:sz w:val="24"/>
          <w:szCs w:val="24"/>
        </w:rPr>
        <w:t xml:space="preserve">bagian tertentu </w:t>
      </w:r>
      <w:r w:rsidR="00A856D3" w:rsidRPr="008A28AF">
        <w:rPr>
          <w:rFonts w:ascii="Calibri Light" w:eastAsia="GentiumBookBasic" w:hAnsi="Calibri Light" w:cstheme="majorBidi"/>
          <w:sz w:val="24"/>
          <w:szCs w:val="24"/>
        </w:rPr>
        <w:t xml:space="preserve">dalam </w:t>
      </w:r>
      <w:r w:rsidRPr="008A28AF">
        <w:rPr>
          <w:rFonts w:ascii="Calibri Light" w:eastAsia="GentiumBookBasic" w:hAnsi="Calibri Light" w:cstheme="majorBidi"/>
          <w:sz w:val="24"/>
          <w:szCs w:val="24"/>
        </w:rPr>
        <w:t xml:space="preserve">fiqh. </w:t>
      </w:r>
      <w:r w:rsidR="00335A79" w:rsidRPr="008A28AF">
        <w:rPr>
          <w:rFonts w:ascii="Calibri Light" w:eastAsia="GentiumBookBasic" w:hAnsi="Calibri Light" w:cstheme="majorBidi"/>
          <w:sz w:val="24"/>
          <w:szCs w:val="24"/>
        </w:rPr>
        <w:t xml:space="preserve">Hal ini didasari </w:t>
      </w:r>
      <w:r w:rsidRPr="008A28AF">
        <w:rPr>
          <w:rFonts w:ascii="Calibri Light" w:eastAsia="GentiumBookBasic" w:hAnsi="Calibri Light" w:cstheme="majorBidi"/>
          <w:sz w:val="24"/>
          <w:szCs w:val="24"/>
        </w:rPr>
        <w:t xml:space="preserve">karena kitab fiqh </w:t>
      </w:r>
      <w:r w:rsidR="00335A79" w:rsidRPr="008A28AF">
        <w:rPr>
          <w:rFonts w:ascii="Calibri Light" w:eastAsia="GentiumBookBasic" w:hAnsi="Calibri Light" w:cstheme="majorBidi"/>
          <w:sz w:val="24"/>
          <w:szCs w:val="24"/>
        </w:rPr>
        <w:t xml:space="preserve">yang terkodifikasi ini </w:t>
      </w:r>
      <w:r w:rsidRPr="008A28AF">
        <w:rPr>
          <w:rFonts w:ascii="Calibri Light" w:eastAsia="GentiumBookBasic" w:hAnsi="Calibri Light" w:cstheme="majorBidi"/>
          <w:sz w:val="24"/>
          <w:szCs w:val="24"/>
        </w:rPr>
        <w:t xml:space="preserve">diformulasikan oleh </w:t>
      </w:r>
      <w:r w:rsidR="00335A79" w:rsidRPr="008A28AF">
        <w:rPr>
          <w:rFonts w:ascii="Calibri Light" w:eastAsia="GentiumBookBasic" w:hAnsi="Calibri Light" w:cstheme="majorBidi"/>
          <w:sz w:val="24"/>
          <w:szCs w:val="24"/>
        </w:rPr>
        <w:t>ulma’ fiqh (</w:t>
      </w:r>
      <w:r w:rsidRPr="008A28AF">
        <w:rPr>
          <w:rFonts w:ascii="Calibri Light" w:eastAsia="GentiumBookBasic" w:hAnsi="Calibri Light" w:cstheme="majorBidi"/>
          <w:sz w:val="24"/>
          <w:szCs w:val="24"/>
        </w:rPr>
        <w:t>mujtahid</w:t>
      </w:r>
      <w:r w:rsidR="00335A79" w:rsidRPr="008A28AF">
        <w:rPr>
          <w:rFonts w:ascii="Calibri Light" w:eastAsia="GentiumBookBasic" w:hAnsi="Calibri Light" w:cstheme="majorBidi"/>
          <w:sz w:val="24"/>
          <w:szCs w:val="24"/>
        </w:rPr>
        <w:t>)</w:t>
      </w:r>
      <w:r w:rsidRPr="008A28AF">
        <w:rPr>
          <w:rFonts w:ascii="Calibri Light" w:eastAsia="GentiumBookBasic" w:hAnsi="Calibri Light" w:cstheme="majorBidi"/>
          <w:sz w:val="24"/>
          <w:szCs w:val="24"/>
        </w:rPr>
        <w:t xml:space="preserve"> dalam masa</w:t>
      </w:r>
      <w:r w:rsidR="000C1C8E" w:rsidRPr="008A28AF">
        <w:rPr>
          <w:rFonts w:ascii="Calibri Light" w:eastAsia="GentiumBookBasic" w:hAnsi="Calibri Light" w:cstheme="majorBidi"/>
          <w:sz w:val="24"/>
          <w:szCs w:val="24"/>
        </w:rPr>
        <w:t>, situasi</w:t>
      </w:r>
      <w:r w:rsidRPr="008A28AF">
        <w:rPr>
          <w:rFonts w:ascii="Calibri Light" w:eastAsia="GentiumBookBasic" w:hAnsi="Calibri Light" w:cstheme="majorBidi"/>
          <w:sz w:val="24"/>
          <w:szCs w:val="24"/>
        </w:rPr>
        <w:t xml:space="preserve"> </w:t>
      </w:r>
      <w:r w:rsidR="000C1C8E" w:rsidRPr="008A28AF">
        <w:rPr>
          <w:rFonts w:ascii="Calibri Light" w:eastAsia="GentiumBookBasic" w:hAnsi="Calibri Light" w:cstheme="majorBidi"/>
          <w:sz w:val="24"/>
          <w:szCs w:val="24"/>
        </w:rPr>
        <w:t>dan persoalan yang dihadapi tatkala para mujtahid hidup</w:t>
      </w:r>
      <w:r w:rsidRPr="008A28AF">
        <w:rPr>
          <w:rFonts w:ascii="Calibri Light" w:eastAsia="GentiumBookBasic" w:hAnsi="Calibri Light" w:cstheme="majorBidi"/>
          <w:sz w:val="24"/>
          <w:szCs w:val="24"/>
        </w:rPr>
        <w:t xml:space="preserve">. Sehingga, </w:t>
      </w:r>
      <w:r w:rsidR="00E4234E" w:rsidRPr="008A28AF">
        <w:rPr>
          <w:rFonts w:ascii="Calibri Light" w:eastAsia="GentiumBookBasic" w:hAnsi="Calibri Light" w:cstheme="majorBidi"/>
          <w:sz w:val="24"/>
          <w:szCs w:val="24"/>
        </w:rPr>
        <w:t xml:space="preserve">melakukan pengkajian </w:t>
      </w:r>
      <w:r w:rsidRPr="008A28AF">
        <w:rPr>
          <w:rFonts w:ascii="Calibri Light" w:eastAsia="GentiumBookBasic" w:hAnsi="Calibri Light" w:cstheme="majorBidi"/>
          <w:sz w:val="24"/>
          <w:szCs w:val="24"/>
        </w:rPr>
        <w:t>ulang terhadap fiqh</w:t>
      </w:r>
      <w:r w:rsidR="0024044F" w:rsidRPr="008A28AF">
        <w:rPr>
          <w:rFonts w:ascii="Calibri Light" w:eastAsia="GentiumBookBasic" w:hAnsi="Calibri Light" w:cstheme="majorBidi"/>
          <w:sz w:val="24"/>
          <w:szCs w:val="24"/>
        </w:rPr>
        <w:t xml:space="preserve"> sesuai dengan masalah yang dihadapi </w:t>
      </w:r>
      <w:r w:rsidR="00915981" w:rsidRPr="008A28AF">
        <w:rPr>
          <w:rFonts w:ascii="Calibri Light" w:eastAsia="GentiumBookBasic" w:hAnsi="Calibri Light" w:cstheme="majorBidi"/>
          <w:sz w:val="24"/>
          <w:szCs w:val="24"/>
        </w:rPr>
        <w:t xml:space="preserve">juga </w:t>
      </w:r>
      <w:r w:rsidR="0024044F" w:rsidRPr="008A28AF">
        <w:rPr>
          <w:rFonts w:ascii="Calibri Light" w:eastAsia="GentiumBookBasic" w:hAnsi="Calibri Light" w:cstheme="majorBidi"/>
          <w:sz w:val="24"/>
          <w:szCs w:val="24"/>
        </w:rPr>
        <w:t xml:space="preserve">harus </w:t>
      </w:r>
      <w:r w:rsidRPr="008A28AF">
        <w:rPr>
          <w:rFonts w:ascii="Calibri Light" w:eastAsia="GentiumBookBasic" w:hAnsi="Calibri Light" w:cstheme="majorBidi"/>
          <w:sz w:val="24"/>
          <w:szCs w:val="24"/>
        </w:rPr>
        <w:t>melibatkan ushul fiqh</w:t>
      </w:r>
      <w:r w:rsidR="0024044F" w:rsidRPr="008A28AF">
        <w:rPr>
          <w:rFonts w:ascii="Calibri Light" w:eastAsia="GentiumBookBasic" w:hAnsi="Calibri Light" w:cstheme="majorBidi"/>
          <w:sz w:val="24"/>
          <w:szCs w:val="24"/>
        </w:rPr>
        <w:t xml:space="preserve"> </w:t>
      </w:r>
      <w:r w:rsidRPr="008A28AF">
        <w:rPr>
          <w:rFonts w:ascii="Calibri Light" w:eastAsia="GentiumBookBasic" w:hAnsi="Calibri Light" w:cstheme="majorBidi"/>
          <w:sz w:val="24"/>
          <w:szCs w:val="24"/>
        </w:rPr>
        <w:t>yang berkembang dalam mazhab</w:t>
      </w:r>
      <w:r w:rsidR="0024044F" w:rsidRPr="008A28AF">
        <w:rPr>
          <w:rFonts w:ascii="Calibri Light" w:eastAsia="GentiumBookBasic" w:hAnsi="Calibri Light" w:cstheme="majorBidi"/>
          <w:sz w:val="24"/>
          <w:szCs w:val="24"/>
        </w:rPr>
        <w:t xml:space="preserve"> tertentu sesuai dengan </w:t>
      </w:r>
      <w:r w:rsidRPr="008A28AF">
        <w:rPr>
          <w:rFonts w:ascii="Calibri Light" w:eastAsia="GentiumBookBasic" w:hAnsi="Calibri Light" w:cstheme="majorBidi"/>
          <w:sz w:val="24"/>
          <w:szCs w:val="24"/>
        </w:rPr>
        <w:t xml:space="preserve">kaidah berpikir </w:t>
      </w:r>
      <w:r w:rsidR="00077AAC" w:rsidRPr="008A28AF">
        <w:rPr>
          <w:rFonts w:ascii="Calibri Light" w:eastAsia="GentiumBookBasic" w:hAnsi="Calibri Light" w:cstheme="majorBidi"/>
          <w:sz w:val="24"/>
          <w:szCs w:val="24"/>
        </w:rPr>
        <w:t xml:space="preserve">dalam bentuk </w:t>
      </w:r>
      <w:r w:rsidRPr="008A28AF">
        <w:rPr>
          <w:rFonts w:ascii="Calibri Light" w:eastAsia="GentiumBookBasic" w:hAnsi="Calibri Light" w:cstheme="majorBidi"/>
          <w:sz w:val="24"/>
          <w:szCs w:val="24"/>
        </w:rPr>
        <w:t xml:space="preserve">kaidah pokok yang </w:t>
      </w:r>
      <w:r w:rsidR="00077AAC" w:rsidRPr="008A28AF">
        <w:rPr>
          <w:rFonts w:ascii="Calibri Light" w:eastAsia="GentiumBookBasic" w:hAnsi="Calibri Light" w:cstheme="majorBidi"/>
          <w:sz w:val="24"/>
          <w:szCs w:val="24"/>
        </w:rPr>
        <w:t>baku</w:t>
      </w:r>
      <w:r w:rsidRPr="008A28AF">
        <w:rPr>
          <w:rFonts w:ascii="Calibri Light" w:eastAsia="GentiumBookBasic" w:hAnsi="Calibri Light" w:cstheme="majorBidi"/>
          <w:sz w:val="24"/>
          <w:szCs w:val="24"/>
        </w:rPr>
        <w:t xml:space="preserve">, namun dalam </w:t>
      </w:r>
      <w:r w:rsidR="00077AAC" w:rsidRPr="008A28AF">
        <w:rPr>
          <w:rFonts w:ascii="Calibri Light" w:eastAsia="GentiumBookBasic" w:hAnsi="Calibri Light" w:cstheme="majorBidi"/>
          <w:sz w:val="24"/>
          <w:szCs w:val="24"/>
        </w:rPr>
        <w:t xml:space="preserve">melakukan </w:t>
      </w:r>
      <w:r w:rsidRPr="008A28AF">
        <w:rPr>
          <w:rFonts w:ascii="Calibri Light" w:eastAsia="GentiumBookBasic" w:hAnsi="Calibri Light" w:cstheme="majorBidi"/>
          <w:sz w:val="24"/>
          <w:szCs w:val="24"/>
        </w:rPr>
        <w:t>pemahaman dan penerapan</w:t>
      </w:r>
      <w:r w:rsidR="00077AAC" w:rsidRPr="008A28AF">
        <w:rPr>
          <w:rFonts w:ascii="Calibri Light" w:eastAsia="GentiumBookBasic" w:hAnsi="Calibri Light" w:cstheme="majorBidi"/>
          <w:sz w:val="24"/>
          <w:szCs w:val="24"/>
        </w:rPr>
        <w:t>nya</w:t>
      </w:r>
      <w:r w:rsidRPr="008A28AF">
        <w:rPr>
          <w:rFonts w:ascii="Calibri Light" w:eastAsia="GentiumBookBasic" w:hAnsi="Calibri Light" w:cstheme="majorBidi"/>
          <w:sz w:val="24"/>
          <w:szCs w:val="24"/>
        </w:rPr>
        <w:t xml:space="preserve"> </w:t>
      </w:r>
      <w:r w:rsidR="00077AAC" w:rsidRPr="008A28AF">
        <w:rPr>
          <w:rFonts w:ascii="Calibri Light" w:eastAsia="GentiumBookBasic" w:hAnsi="Calibri Light" w:cstheme="majorBidi"/>
          <w:sz w:val="24"/>
          <w:szCs w:val="24"/>
        </w:rPr>
        <w:t xml:space="preserve">mungkin </w:t>
      </w:r>
      <w:r w:rsidRPr="008A28AF">
        <w:rPr>
          <w:rFonts w:ascii="Calibri Light" w:eastAsia="GentiumBookBasic" w:hAnsi="Calibri Light" w:cstheme="majorBidi"/>
          <w:sz w:val="24"/>
          <w:szCs w:val="24"/>
        </w:rPr>
        <w:t xml:space="preserve">dapat </w:t>
      </w:r>
      <w:r w:rsidR="00077AAC" w:rsidRPr="008A28AF">
        <w:rPr>
          <w:rFonts w:ascii="Calibri Light" w:eastAsia="GentiumBookBasic" w:hAnsi="Calibri Light" w:cstheme="majorBidi"/>
          <w:sz w:val="24"/>
          <w:szCs w:val="24"/>
        </w:rPr>
        <w:t xml:space="preserve">terjadi </w:t>
      </w:r>
      <w:r w:rsidRPr="008A28AF">
        <w:rPr>
          <w:rFonts w:ascii="Calibri Light" w:eastAsia="GentiumBookBasic" w:hAnsi="Calibri Light" w:cstheme="majorBidi"/>
          <w:sz w:val="24"/>
          <w:szCs w:val="24"/>
        </w:rPr>
        <w:t>perubahan.</w:t>
      </w:r>
      <w:r w:rsidR="009F179C" w:rsidRPr="008A28AF">
        <w:rPr>
          <w:rStyle w:val="FootnoteReference"/>
          <w:rFonts w:ascii="Calibri Light" w:hAnsi="Calibri Light"/>
          <w:sz w:val="24"/>
          <w:szCs w:val="24"/>
        </w:rPr>
        <w:footnoteReference w:id="3"/>
      </w:r>
      <w:r w:rsidRPr="008A28AF">
        <w:rPr>
          <w:rFonts w:ascii="Calibri Light" w:eastAsia="GentiumBookBasic" w:hAnsi="Calibri Light" w:cstheme="majorBidi"/>
          <w:sz w:val="24"/>
          <w:szCs w:val="24"/>
        </w:rPr>
        <w:t xml:space="preserve"> </w:t>
      </w:r>
    </w:p>
    <w:p w:rsidR="00BC7F26" w:rsidRPr="008A28AF" w:rsidRDefault="00386D85" w:rsidP="003A21B0">
      <w:pPr>
        <w:autoSpaceDE w:val="0"/>
        <w:autoSpaceDN w:val="0"/>
        <w:adjustRightInd w:val="0"/>
        <w:spacing w:after="0" w:line="240" w:lineRule="auto"/>
        <w:ind w:firstLine="720"/>
        <w:jc w:val="both"/>
        <w:rPr>
          <w:rFonts w:ascii="Calibri Light" w:eastAsia="GentiumBookBasic" w:hAnsi="Calibri Light" w:cstheme="majorBidi"/>
          <w:sz w:val="24"/>
          <w:szCs w:val="24"/>
        </w:rPr>
      </w:pPr>
      <w:r w:rsidRPr="008A28AF">
        <w:rPr>
          <w:rFonts w:ascii="Calibri Light" w:eastAsia="GentiumBookBasic" w:hAnsi="Calibri Light" w:cstheme="majorBidi"/>
          <w:sz w:val="24"/>
          <w:szCs w:val="24"/>
        </w:rPr>
        <w:t>Kajian ushul fiqh dalam mengatasi persoalan hukum Islam (istinbath al hukm) ini sangat penting untuk dilakukan</w:t>
      </w:r>
      <w:r w:rsidR="00527A95" w:rsidRPr="008A28AF">
        <w:rPr>
          <w:rFonts w:ascii="Calibri Light" w:eastAsia="GentiumBookBasic" w:hAnsi="Calibri Light" w:cstheme="majorBidi"/>
          <w:sz w:val="24"/>
          <w:szCs w:val="24"/>
        </w:rPr>
        <w:t xml:space="preserve"> karena </w:t>
      </w:r>
      <w:r w:rsidRPr="008A28AF">
        <w:rPr>
          <w:rFonts w:ascii="Calibri Light" w:eastAsia="GentiumBookBasic" w:hAnsi="Calibri Light" w:cstheme="majorBidi"/>
          <w:sz w:val="24"/>
          <w:szCs w:val="24"/>
        </w:rPr>
        <w:t xml:space="preserve"> </w:t>
      </w:r>
      <w:r w:rsidR="00BC7F26" w:rsidRPr="008A28AF">
        <w:rPr>
          <w:rFonts w:ascii="Calibri Light" w:eastAsia="GentiumBookBasic" w:hAnsi="Calibri Light" w:cstheme="majorBidi"/>
          <w:sz w:val="24"/>
          <w:szCs w:val="24"/>
        </w:rPr>
        <w:t>ushul</w:t>
      </w:r>
      <w:r w:rsidR="00527A95" w:rsidRPr="008A28AF">
        <w:rPr>
          <w:rFonts w:ascii="Calibri Light" w:eastAsia="GentiumBookBasic" w:hAnsi="Calibri Light" w:cstheme="majorBidi"/>
          <w:sz w:val="24"/>
          <w:szCs w:val="24"/>
        </w:rPr>
        <w:t xml:space="preserve"> fiqh ini  </w:t>
      </w:r>
      <w:r w:rsidR="00BC7F26" w:rsidRPr="008A28AF">
        <w:rPr>
          <w:rFonts w:ascii="Calibri Light" w:eastAsia="GentiumBookBasic" w:hAnsi="Calibri Light" w:cstheme="majorBidi"/>
          <w:sz w:val="24"/>
          <w:szCs w:val="24"/>
        </w:rPr>
        <w:t>secara sistematis</w:t>
      </w:r>
      <w:r w:rsidR="00527A95" w:rsidRPr="008A28AF">
        <w:rPr>
          <w:rFonts w:ascii="Calibri Light" w:eastAsia="GentiumBookBasic" w:hAnsi="Calibri Light" w:cstheme="majorBidi"/>
          <w:sz w:val="24"/>
          <w:szCs w:val="24"/>
        </w:rPr>
        <w:t xml:space="preserve"> memebrikan role atau guidlne kepada para mujtahid hukum untuk mengetahui </w:t>
      </w:r>
      <w:r w:rsidR="00BC7F26" w:rsidRPr="008A28AF">
        <w:rPr>
          <w:rFonts w:ascii="Calibri Light" w:eastAsia="GentiumBookBasic" w:hAnsi="Calibri Light" w:cstheme="majorBidi"/>
          <w:sz w:val="24"/>
          <w:szCs w:val="24"/>
        </w:rPr>
        <w:t xml:space="preserve"> bagaimana </w:t>
      </w:r>
      <w:r w:rsidR="00527A95" w:rsidRPr="008A28AF">
        <w:rPr>
          <w:rFonts w:ascii="Calibri Light" w:eastAsia="GentiumBookBasic" w:hAnsi="Calibri Light" w:cstheme="majorBidi"/>
          <w:sz w:val="24"/>
          <w:szCs w:val="24"/>
        </w:rPr>
        <w:t>se</w:t>
      </w:r>
      <w:r w:rsidR="00BC7F26" w:rsidRPr="008A28AF">
        <w:rPr>
          <w:rFonts w:ascii="Calibri Light" w:eastAsia="GentiumBookBasic" w:hAnsi="Calibri Light" w:cstheme="majorBidi"/>
          <w:sz w:val="24"/>
          <w:szCs w:val="24"/>
        </w:rPr>
        <w:t xml:space="preserve">cara </w:t>
      </w:r>
      <w:r w:rsidR="00527A95" w:rsidRPr="008A28AF">
        <w:rPr>
          <w:rFonts w:ascii="Calibri Light" w:eastAsia="GentiumBookBasic" w:hAnsi="Calibri Light" w:cstheme="majorBidi"/>
          <w:sz w:val="24"/>
          <w:szCs w:val="24"/>
        </w:rPr>
        <w:t xml:space="preserve">detail metode-metode dalam melakukan penggalian </w:t>
      </w:r>
      <w:r w:rsidR="00BC7F26" w:rsidRPr="008A28AF">
        <w:rPr>
          <w:rFonts w:ascii="Calibri Light" w:eastAsia="GentiumBookBasic" w:hAnsi="Calibri Light" w:cstheme="majorBidi"/>
          <w:sz w:val="24"/>
          <w:szCs w:val="24"/>
        </w:rPr>
        <w:t xml:space="preserve">hukum </w:t>
      </w:r>
      <w:r w:rsidR="00C61E9A" w:rsidRPr="008A28AF">
        <w:rPr>
          <w:rFonts w:ascii="Calibri Light" w:eastAsia="GentiumBookBasic" w:hAnsi="Calibri Light" w:cstheme="majorBidi"/>
          <w:sz w:val="24"/>
          <w:szCs w:val="24"/>
        </w:rPr>
        <w:t xml:space="preserve">dengan </w:t>
      </w:r>
      <w:r w:rsidR="00BC7F26" w:rsidRPr="008A28AF">
        <w:rPr>
          <w:rFonts w:ascii="Calibri Light" w:eastAsia="GentiumBookBasic" w:hAnsi="Calibri Light" w:cstheme="majorBidi"/>
          <w:sz w:val="24"/>
          <w:szCs w:val="24"/>
        </w:rPr>
        <w:t xml:space="preserve">metode-metode yang </w:t>
      </w:r>
      <w:r w:rsidR="00C61E9A" w:rsidRPr="008A28AF">
        <w:rPr>
          <w:rFonts w:ascii="Calibri Light" w:eastAsia="GentiumBookBasic" w:hAnsi="Calibri Light" w:cstheme="majorBidi"/>
          <w:sz w:val="24"/>
          <w:szCs w:val="24"/>
        </w:rPr>
        <w:t xml:space="preserve">sesuai dengan menggunakan </w:t>
      </w:r>
      <w:r w:rsidR="00BC7F26" w:rsidRPr="008A28AF">
        <w:rPr>
          <w:rFonts w:ascii="Calibri Light" w:eastAsia="GentiumBookBasic" w:hAnsi="Calibri Light" w:cstheme="majorBidi"/>
          <w:sz w:val="24"/>
          <w:szCs w:val="24"/>
        </w:rPr>
        <w:t xml:space="preserve"> dalil</w:t>
      </w:r>
      <w:r w:rsidR="00C61E9A" w:rsidRPr="008A28AF">
        <w:rPr>
          <w:rFonts w:ascii="Calibri Light" w:eastAsia="GentiumBookBasic" w:hAnsi="Calibri Light" w:cstheme="majorBidi"/>
          <w:sz w:val="24"/>
          <w:szCs w:val="24"/>
        </w:rPr>
        <w:t>-</w:t>
      </w:r>
      <w:r w:rsidR="00BC7F26" w:rsidRPr="008A28AF">
        <w:rPr>
          <w:rFonts w:ascii="Calibri Light" w:eastAsia="GentiumBookBasic" w:hAnsi="Calibri Light" w:cstheme="majorBidi"/>
          <w:sz w:val="24"/>
          <w:szCs w:val="24"/>
        </w:rPr>
        <w:t xml:space="preserve">dalil hukum Islam </w:t>
      </w:r>
      <w:r w:rsidR="00C61E9A" w:rsidRPr="008A28AF">
        <w:rPr>
          <w:rFonts w:ascii="Calibri Light" w:eastAsia="GentiumBookBasic" w:hAnsi="Calibri Light" w:cstheme="majorBidi"/>
          <w:sz w:val="24"/>
          <w:szCs w:val="24"/>
        </w:rPr>
        <w:t xml:space="preserve">baik dari  </w:t>
      </w:r>
      <w:r w:rsidR="00BC7F26" w:rsidRPr="008A28AF">
        <w:rPr>
          <w:rFonts w:ascii="Calibri Light" w:eastAsia="GentiumBookBasic" w:hAnsi="Calibri Light" w:cstheme="majorBidi"/>
          <w:sz w:val="24"/>
          <w:szCs w:val="24"/>
        </w:rPr>
        <w:t>al-</w:t>
      </w:r>
      <w:r w:rsidR="00C61E9A" w:rsidRPr="008A28AF">
        <w:rPr>
          <w:rFonts w:ascii="Calibri Light" w:eastAsia="GentiumBookBasic" w:hAnsi="Calibri Light" w:cstheme="majorBidi"/>
          <w:sz w:val="24"/>
          <w:szCs w:val="24"/>
        </w:rPr>
        <w:t>Qur’an</w:t>
      </w:r>
      <w:r w:rsidR="00BC7F26" w:rsidRPr="008A28AF">
        <w:rPr>
          <w:rFonts w:ascii="Calibri Light" w:eastAsia="GentiumBookBasic" w:hAnsi="Calibri Light" w:cstheme="majorBidi"/>
          <w:sz w:val="24"/>
          <w:szCs w:val="24"/>
        </w:rPr>
        <w:t xml:space="preserve">, </w:t>
      </w:r>
      <w:r w:rsidR="00C61E9A" w:rsidRPr="008A28AF">
        <w:rPr>
          <w:rFonts w:ascii="Calibri Light" w:eastAsia="GentiumBookBasic" w:hAnsi="Calibri Light" w:cstheme="majorBidi"/>
          <w:sz w:val="24"/>
          <w:szCs w:val="24"/>
        </w:rPr>
        <w:t xml:space="preserve">Hadis, dan </w:t>
      </w:r>
      <w:r w:rsidR="00BC7F26" w:rsidRPr="008A28AF">
        <w:rPr>
          <w:rFonts w:ascii="Calibri Light" w:eastAsia="GentiumBookBasic" w:hAnsi="Calibri Light" w:cstheme="majorBidi"/>
          <w:sz w:val="24"/>
          <w:szCs w:val="24"/>
        </w:rPr>
        <w:t>dalil</w:t>
      </w:r>
      <w:r w:rsidR="00C61E9A" w:rsidRPr="008A28AF">
        <w:rPr>
          <w:rFonts w:ascii="Calibri Light" w:eastAsia="GentiumBookBasic" w:hAnsi="Calibri Light" w:cstheme="majorBidi"/>
          <w:sz w:val="24"/>
          <w:szCs w:val="24"/>
        </w:rPr>
        <w:t>-</w:t>
      </w:r>
      <w:r w:rsidR="00BC7F26" w:rsidRPr="008A28AF">
        <w:rPr>
          <w:rFonts w:ascii="Calibri Light" w:eastAsia="GentiumBookBasic" w:hAnsi="Calibri Light" w:cstheme="majorBidi"/>
          <w:sz w:val="24"/>
          <w:szCs w:val="24"/>
        </w:rPr>
        <w:t xml:space="preserve">dalil lainnya. </w:t>
      </w:r>
      <w:r w:rsidR="00DD4B74" w:rsidRPr="008A28AF">
        <w:rPr>
          <w:rFonts w:ascii="Calibri Light" w:eastAsia="GentiumBookBasic" w:hAnsi="Calibri Light" w:cstheme="majorBidi"/>
          <w:sz w:val="24"/>
          <w:szCs w:val="24"/>
        </w:rPr>
        <w:t xml:space="preserve">Selain itu, </w:t>
      </w:r>
      <w:r w:rsidR="00BC7F26" w:rsidRPr="008A28AF">
        <w:rPr>
          <w:rFonts w:ascii="Calibri Light" w:eastAsia="GentiumBookBasic" w:hAnsi="Calibri Light" w:cstheme="majorBidi"/>
          <w:sz w:val="24"/>
          <w:szCs w:val="24"/>
        </w:rPr>
        <w:t xml:space="preserve">ushul fiqh </w:t>
      </w:r>
      <w:r w:rsidR="00DD4B74" w:rsidRPr="008A28AF">
        <w:rPr>
          <w:rFonts w:ascii="Calibri Light" w:eastAsia="GentiumBookBasic" w:hAnsi="Calibri Light" w:cstheme="majorBidi"/>
          <w:sz w:val="24"/>
          <w:szCs w:val="24"/>
        </w:rPr>
        <w:t xml:space="preserve">dapat mengarahkan kerangka berfikir yang benar dalam istinbat hukum </w:t>
      </w:r>
      <w:r w:rsidR="00FE6B47" w:rsidRPr="008A28AF">
        <w:rPr>
          <w:rFonts w:ascii="Calibri Light" w:eastAsia="GentiumBookBasic" w:hAnsi="Calibri Light" w:cstheme="majorBidi"/>
          <w:sz w:val="24"/>
          <w:szCs w:val="24"/>
        </w:rPr>
        <w:t xml:space="preserve">atas peristiwa hukum kontemporer yang dihadapi </w:t>
      </w:r>
      <w:r w:rsidR="00DD4B74" w:rsidRPr="008A28AF">
        <w:rPr>
          <w:rFonts w:ascii="Calibri Light" w:eastAsia="GentiumBookBasic" w:hAnsi="Calibri Light" w:cstheme="majorBidi"/>
          <w:sz w:val="24"/>
          <w:szCs w:val="24"/>
        </w:rPr>
        <w:t xml:space="preserve">dengan melakukan pemahaman atas hukum yang digali dari Nash. </w:t>
      </w:r>
      <w:r w:rsidR="00EF0BAF" w:rsidRPr="008A28AF">
        <w:rPr>
          <w:rFonts w:ascii="Calibri Light" w:eastAsia="GentiumBookBasic" w:hAnsi="Calibri Light" w:cstheme="majorBidi"/>
          <w:sz w:val="24"/>
          <w:szCs w:val="24"/>
        </w:rPr>
        <w:t xml:space="preserve">Dan </w:t>
      </w:r>
      <w:r w:rsidR="00BC7F26" w:rsidRPr="008A28AF">
        <w:rPr>
          <w:rFonts w:ascii="Calibri Light" w:eastAsia="GentiumBookBasic" w:hAnsi="Calibri Light" w:cstheme="majorBidi"/>
          <w:sz w:val="24"/>
          <w:szCs w:val="24"/>
        </w:rPr>
        <w:t>persoalan</w:t>
      </w:r>
      <w:r w:rsidR="00EF0BAF" w:rsidRPr="008A28AF">
        <w:rPr>
          <w:rFonts w:ascii="Calibri Light" w:eastAsia="GentiumBookBasic" w:hAnsi="Calibri Light" w:cstheme="majorBidi"/>
          <w:sz w:val="24"/>
          <w:szCs w:val="24"/>
        </w:rPr>
        <w:t xml:space="preserve"> hukum </w:t>
      </w:r>
      <w:r w:rsidR="00BC7F26" w:rsidRPr="008A28AF">
        <w:rPr>
          <w:rFonts w:ascii="Calibri Light" w:eastAsia="GentiumBookBasic" w:hAnsi="Calibri Light" w:cstheme="majorBidi"/>
          <w:sz w:val="24"/>
          <w:szCs w:val="24"/>
        </w:rPr>
        <w:t>yang muncul</w:t>
      </w:r>
      <w:r w:rsidR="00EF0BAF" w:rsidRPr="008A28AF">
        <w:rPr>
          <w:rFonts w:ascii="Calibri Light" w:eastAsia="GentiumBookBasic" w:hAnsi="Calibri Light" w:cstheme="majorBidi"/>
          <w:sz w:val="24"/>
          <w:szCs w:val="24"/>
        </w:rPr>
        <w:t xml:space="preserve"> pada masa ulama’ dahulu yang belum ada ketentuan hukumnya dapat diselesaikan dengan baik, bijak dan benar, sesuai dengan pijakan berfikir ushuli serta penggalian hukum yang benar dari proses istiqro’ </w:t>
      </w:r>
      <w:r w:rsidR="00BC7F26" w:rsidRPr="008A28AF">
        <w:rPr>
          <w:rFonts w:ascii="Calibri Light" w:eastAsia="GentiumBookBasic" w:hAnsi="Calibri Light" w:cstheme="majorBidi"/>
          <w:sz w:val="24"/>
          <w:szCs w:val="24"/>
        </w:rPr>
        <w:t xml:space="preserve">sesuai dengan metode </w:t>
      </w:r>
      <w:r w:rsidR="00EF0BAF" w:rsidRPr="008A28AF">
        <w:rPr>
          <w:rFonts w:ascii="Calibri Light" w:eastAsia="GentiumBookBasic" w:hAnsi="Calibri Light" w:cstheme="majorBidi"/>
          <w:sz w:val="24"/>
          <w:szCs w:val="24"/>
        </w:rPr>
        <w:t xml:space="preserve">istinbat hukum dalam </w:t>
      </w:r>
      <w:r w:rsidR="00BC7F26" w:rsidRPr="008A28AF">
        <w:rPr>
          <w:rFonts w:ascii="Calibri Light" w:eastAsia="GentiumBookBasic" w:hAnsi="Calibri Light" w:cstheme="majorBidi"/>
          <w:sz w:val="24"/>
          <w:szCs w:val="24"/>
        </w:rPr>
        <w:t xml:space="preserve">ushul </w:t>
      </w:r>
      <w:r w:rsidR="00EF0BAF" w:rsidRPr="008A28AF">
        <w:rPr>
          <w:rFonts w:ascii="Calibri Light" w:eastAsia="GentiumBookBasic" w:hAnsi="Calibri Light" w:cstheme="majorBidi"/>
          <w:sz w:val="24"/>
          <w:szCs w:val="24"/>
        </w:rPr>
        <w:t>fiqh.</w:t>
      </w:r>
      <w:r w:rsidR="00BC7F26" w:rsidRPr="008A28AF">
        <w:rPr>
          <w:rFonts w:ascii="Calibri Light" w:eastAsia="GentiumBookBasic" w:hAnsi="Calibri Light" w:cstheme="majorBidi"/>
          <w:sz w:val="24"/>
          <w:szCs w:val="24"/>
        </w:rPr>
        <w:t xml:space="preserve"> </w:t>
      </w:r>
    </w:p>
    <w:p w:rsidR="00D80026" w:rsidRPr="008A28AF" w:rsidRDefault="009A3F16" w:rsidP="003A21B0">
      <w:pPr>
        <w:autoSpaceDE w:val="0"/>
        <w:autoSpaceDN w:val="0"/>
        <w:adjustRightInd w:val="0"/>
        <w:spacing w:after="0" w:line="240" w:lineRule="auto"/>
        <w:ind w:firstLine="720"/>
        <w:jc w:val="both"/>
        <w:rPr>
          <w:rFonts w:ascii="Calibri Light" w:eastAsia="GentiumBookBasic" w:hAnsi="Calibri Light" w:cstheme="majorBidi"/>
          <w:sz w:val="24"/>
          <w:szCs w:val="24"/>
        </w:rPr>
      </w:pPr>
      <w:r w:rsidRPr="008A28AF">
        <w:rPr>
          <w:rFonts w:ascii="Calibri Light" w:eastAsia="GentiumBookBasic" w:hAnsi="Calibri Light" w:cstheme="majorBidi"/>
          <w:sz w:val="24"/>
          <w:szCs w:val="24"/>
        </w:rPr>
        <w:t xml:space="preserve">Realita ini dalam pandangan </w:t>
      </w:r>
      <w:r w:rsidR="00D80026" w:rsidRPr="008A28AF">
        <w:rPr>
          <w:rFonts w:ascii="Calibri Light" w:eastAsia="GentiumBookBasic" w:hAnsi="Calibri Light" w:cstheme="majorBidi"/>
          <w:sz w:val="24"/>
          <w:szCs w:val="24"/>
        </w:rPr>
        <w:t xml:space="preserve">pendukung tajdîd, </w:t>
      </w:r>
      <w:r w:rsidRPr="008A28AF">
        <w:rPr>
          <w:rFonts w:ascii="Calibri Light" w:eastAsia="GentiumBookBasic" w:hAnsi="Calibri Light" w:cstheme="majorBidi"/>
          <w:sz w:val="24"/>
          <w:szCs w:val="24"/>
        </w:rPr>
        <w:t xml:space="preserve">jika persoalan-persoalan kontemporer hanya diselesaikan dengan metode menyamakan dan </w:t>
      </w:r>
      <w:r w:rsidR="00D80026" w:rsidRPr="008A28AF">
        <w:rPr>
          <w:rFonts w:ascii="Calibri Light" w:eastAsia="GentiumBookBasic" w:hAnsi="Calibri Light" w:cstheme="majorBidi"/>
          <w:sz w:val="24"/>
          <w:szCs w:val="24"/>
        </w:rPr>
        <w:t xml:space="preserve">terpaku pada </w:t>
      </w:r>
      <w:r w:rsidRPr="008A28AF">
        <w:rPr>
          <w:rFonts w:ascii="Calibri Light" w:eastAsia="GentiumBookBasic" w:hAnsi="Calibri Light" w:cstheme="majorBidi"/>
          <w:sz w:val="24"/>
          <w:szCs w:val="24"/>
        </w:rPr>
        <w:t>regulasi-regulasi fik</w:t>
      </w:r>
      <w:r w:rsidR="00D80026" w:rsidRPr="008A28AF">
        <w:rPr>
          <w:rFonts w:ascii="Calibri Light" w:eastAsia="GentiumBookBasic" w:hAnsi="Calibri Light" w:cstheme="majorBidi"/>
          <w:sz w:val="24"/>
          <w:szCs w:val="24"/>
        </w:rPr>
        <w:t>h yang rigid</w:t>
      </w:r>
      <w:r w:rsidRPr="008A28AF">
        <w:rPr>
          <w:rFonts w:ascii="Calibri Light" w:eastAsia="GentiumBookBasic" w:hAnsi="Calibri Light" w:cstheme="majorBidi"/>
          <w:sz w:val="24"/>
          <w:szCs w:val="24"/>
        </w:rPr>
        <w:t xml:space="preserve"> pada masa imam mujtahid pada masa itu, dirasa itu menjadi kurang tepat jika dibenturkan dengan ke universalan Islam. Karena, </w:t>
      </w:r>
      <w:r w:rsidR="00D80026" w:rsidRPr="008A28AF">
        <w:rPr>
          <w:rFonts w:ascii="Calibri Light" w:eastAsia="GentiumBookBasic" w:hAnsi="Calibri Light" w:cstheme="majorBidi"/>
          <w:sz w:val="24"/>
          <w:szCs w:val="24"/>
        </w:rPr>
        <w:t xml:space="preserve">semua model pemikiran Islam klasik </w:t>
      </w:r>
      <w:r w:rsidR="000609E9" w:rsidRPr="008A28AF">
        <w:rPr>
          <w:rFonts w:ascii="Calibri Light" w:eastAsia="GentiumBookBasic" w:hAnsi="Calibri Light" w:cstheme="majorBidi"/>
          <w:sz w:val="24"/>
          <w:szCs w:val="24"/>
        </w:rPr>
        <w:t xml:space="preserve">dan yang terkodifikasi dalam kitab-kitab fiqh </w:t>
      </w:r>
      <w:r w:rsidR="00D80026" w:rsidRPr="008A28AF">
        <w:rPr>
          <w:rFonts w:ascii="Calibri Light" w:eastAsia="GentiumBookBasic" w:hAnsi="Calibri Light" w:cstheme="majorBidi"/>
          <w:sz w:val="24"/>
          <w:szCs w:val="24"/>
        </w:rPr>
        <w:t xml:space="preserve">dibentuk oleh </w:t>
      </w:r>
      <w:r w:rsidRPr="008A28AF">
        <w:rPr>
          <w:rFonts w:ascii="Calibri Light" w:eastAsia="GentiumBookBasic" w:hAnsi="Calibri Light" w:cstheme="majorBidi"/>
          <w:sz w:val="24"/>
          <w:szCs w:val="24"/>
        </w:rPr>
        <w:t xml:space="preserve">problematikan hukum </w:t>
      </w:r>
      <w:r w:rsidR="000609E9" w:rsidRPr="008A28AF">
        <w:rPr>
          <w:rFonts w:ascii="Calibri Light" w:eastAsia="GentiumBookBasic" w:hAnsi="Calibri Light" w:cstheme="majorBidi"/>
          <w:sz w:val="24"/>
          <w:szCs w:val="24"/>
        </w:rPr>
        <w:t xml:space="preserve">yang </w:t>
      </w:r>
      <w:r w:rsidR="00D80026" w:rsidRPr="008A28AF">
        <w:rPr>
          <w:rFonts w:ascii="Calibri Light" w:eastAsia="GentiumBookBasic" w:hAnsi="Calibri Light" w:cstheme="majorBidi"/>
          <w:sz w:val="24"/>
          <w:szCs w:val="24"/>
        </w:rPr>
        <w:t xml:space="preserve">khusus yang dihadapi oleh generasi </w:t>
      </w:r>
      <w:r w:rsidR="000609E9" w:rsidRPr="008A28AF">
        <w:rPr>
          <w:rFonts w:ascii="Calibri Light" w:eastAsia="GentiumBookBasic" w:hAnsi="Calibri Light" w:cstheme="majorBidi"/>
          <w:sz w:val="24"/>
          <w:szCs w:val="24"/>
        </w:rPr>
        <w:t>pada masa itu</w:t>
      </w:r>
      <w:r w:rsidR="00D80026" w:rsidRPr="008A28AF">
        <w:rPr>
          <w:rFonts w:ascii="Calibri Light" w:eastAsia="GentiumBookBasic" w:hAnsi="Calibri Light" w:cstheme="majorBidi"/>
          <w:sz w:val="24"/>
          <w:szCs w:val="24"/>
        </w:rPr>
        <w:t>.</w:t>
      </w:r>
      <w:r w:rsidR="00E85F4A" w:rsidRPr="008A28AF">
        <w:rPr>
          <w:rStyle w:val="FootnoteReference"/>
          <w:rFonts w:ascii="Calibri Light" w:hAnsi="Calibri Light"/>
          <w:sz w:val="24"/>
          <w:szCs w:val="24"/>
        </w:rPr>
        <w:footnoteReference w:id="4"/>
      </w:r>
    </w:p>
    <w:p w:rsidR="00855AF8" w:rsidRDefault="00480490"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 </w:t>
      </w:r>
      <w:r w:rsidR="007D4197" w:rsidRPr="008A28AF">
        <w:rPr>
          <w:rFonts w:ascii="Calibri Light" w:hAnsi="Calibri Light" w:cstheme="majorBidi"/>
          <w:sz w:val="24"/>
          <w:szCs w:val="24"/>
        </w:rPr>
        <w:t xml:space="preserve">Dari perbincangan problematika </w:t>
      </w:r>
      <w:r w:rsidR="00E06A54" w:rsidRPr="008A28AF">
        <w:rPr>
          <w:rFonts w:ascii="Calibri Light" w:hAnsi="Calibri Light" w:cstheme="majorBidi"/>
          <w:sz w:val="24"/>
          <w:szCs w:val="24"/>
        </w:rPr>
        <w:t xml:space="preserve">penyikapan </w:t>
      </w:r>
      <w:r w:rsidR="007D4197" w:rsidRPr="008A28AF">
        <w:rPr>
          <w:rFonts w:ascii="Calibri Light" w:hAnsi="Calibri Light" w:cstheme="majorBidi"/>
          <w:sz w:val="24"/>
          <w:szCs w:val="24"/>
        </w:rPr>
        <w:t xml:space="preserve">hukum </w:t>
      </w:r>
      <w:r w:rsidR="00E06A54" w:rsidRPr="008A28AF">
        <w:rPr>
          <w:rFonts w:ascii="Calibri Light" w:hAnsi="Calibri Light" w:cstheme="majorBidi"/>
          <w:sz w:val="24"/>
          <w:szCs w:val="24"/>
        </w:rPr>
        <w:t xml:space="preserve">Islam dalam </w:t>
      </w:r>
      <w:r w:rsidR="007D4197" w:rsidRPr="008A28AF">
        <w:rPr>
          <w:rFonts w:ascii="Calibri Light" w:hAnsi="Calibri Light" w:cstheme="majorBidi"/>
          <w:sz w:val="24"/>
          <w:szCs w:val="24"/>
        </w:rPr>
        <w:t xml:space="preserve">dalam </w:t>
      </w:r>
      <w:r w:rsidR="00E06A54" w:rsidRPr="008A28AF">
        <w:rPr>
          <w:rFonts w:ascii="Calibri Light" w:hAnsi="Calibri Light" w:cstheme="majorBidi"/>
          <w:sz w:val="24"/>
          <w:szCs w:val="24"/>
        </w:rPr>
        <w:t xml:space="preserve">ranah ushl fiqh, ada satu sosok yang layak untuk dilihat dan dikaji pandangan-pandangannya tentang istinbatul hukm yang harus dilakukan </w:t>
      </w:r>
      <w:r w:rsidR="00C724E7" w:rsidRPr="008A28AF">
        <w:rPr>
          <w:rFonts w:ascii="Calibri Light" w:hAnsi="Calibri Light" w:cstheme="majorBidi"/>
          <w:sz w:val="24"/>
          <w:szCs w:val="24"/>
        </w:rPr>
        <w:t xml:space="preserve">untuk mengurai permasalahan-permasalahan kontemporer hukum Islam.  Sosok itu adalah </w:t>
      </w:r>
      <w:r w:rsidRPr="008A28AF">
        <w:rPr>
          <w:rFonts w:ascii="Calibri Light" w:hAnsi="Calibri Light" w:cstheme="majorBidi"/>
          <w:sz w:val="24"/>
          <w:szCs w:val="24"/>
        </w:rPr>
        <w:t>Ibn</w:t>
      </w:r>
      <w:r w:rsidR="00C724E7" w:rsidRPr="008A28AF">
        <w:rPr>
          <w:rFonts w:ascii="Calibri Light" w:hAnsi="Calibri Light" w:cstheme="majorBidi"/>
          <w:sz w:val="24"/>
          <w:szCs w:val="24"/>
        </w:rPr>
        <w:t>u</w:t>
      </w:r>
      <w:r w:rsidRPr="008A28AF">
        <w:rPr>
          <w:rFonts w:ascii="Calibri Light" w:hAnsi="Calibri Light" w:cstheme="majorBidi"/>
          <w:sz w:val="24"/>
          <w:szCs w:val="24"/>
        </w:rPr>
        <w:t xml:space="preserve"> Taimiyyah </w:t>
      </w:r>
      <w:r w:rsidR="00402EE2" w:rsidRPr="008A28AF">
        <w:rPr>
          <w:rFonts w:ascii="Calibri Light" w:hAnsi="Calibri Light" w:cstheme="majorBidi"/>
          <w:sz w:val="24"/>
          <w:szCs w:val="24"/>
        </w:rPr>
        <w:t xml:space="preserve">yang bergelar Syaikhul Islam </w:t>
      </w:r>
      <w:r w:rsidR="00941D45" w:rsidRPr="008A28AF">
        <w:rPr>
          <w:rFonts w:ascii="Calibri Light" w:hAnsi="Calibri Light" w:cstheme="majorBidi"/>
          <w:sz w:val="24"/>
          <w:szCs w:val="24"/>
        </w:rPr>
        <w:t xml:space="preserve">yang merupakan mujaddid dan </w:t>
      </w:r>
      <w:r w:rsidRPr="008A28AF">
        <w:rPr>
          <w:rFonts w:ascii="Calibri Light" w:hAnsi="Calibri Light" w:cstheme="majorBidi"/>
          <w:sz w:val="24"/>
          <w:szCs w:val="24"/>
        </w:rPr>
        <w:t xml:space="preserve">pemurni </w:t>
      </w:r>
      <w:r w:rsidR="00941D45" w:rsidRPr="008A28AF">
        <w:rPr>
          <w:rFonts w:ascii="Calibri Light" w:hAnsi="Calibri Light" w:cstheme="majorBidi"/>
          <w:sz w:val="24"/>
          <w:szCs w:val="24"/>
        </w:rPr>
        <w:t xml:space="preserve">ajaran </w:t>
      </w:r>
      <w:r w:rsidRPr="008A28AF">
        <w:rPr>
          <w:rFonts w:ascii="Calibri Light" w:hAnsi="Calibri Light" w:cstheme="majorBidi"/>
          <w:sz w:val="24"/>
          <w:szCs w:val="24"/>
        </w:rPr>
        <w:t xml:space="preserve">Islam abad pertengahan yang memilki </w:t>
      </w:r>
      <w:r w:rsidR="00941D45" w:rsidRPr="008A28AF">
        <w:rPr>
          <w:rFonts w:ascii="Calibri Light" w:hAnsi="Calibri Light" w:cstheme="majorBidi"/>
          <w:sz w:val="24"/>
          <w:szCs w:val="24"/>
        </w:rPr>
        <w:t>ko</w:t>
      </w:r>
      <w:r w:rsidR="00C3163B" w:rsidRPr="008A28AF">
        <w:rPr>
          <w:rFonts w:ascii="Calibri Light" w:hAnsi="Calibri Light" w:cstheme="majorBidi"/>
          <w:sz w:val="24"/>
          <w:szCs w:val="24"/>
        </w:rPr>
        <w:t>m</w:t>
      </w:r>
      <w:r w:rsidR="00941D45" w:rsidRPr="008A28AF">
        <w:rPr>
          <w:rFonts w:ascii="Calibri Light" w:hAnsi="Calibri Light" w:cstheme="majorBidi"/>
          <w:sz w:val="24"/>
          <w:szCs w:val="24"/>
        </w:rPr>
        <w:t xml:space="preserve">petensi keilmuan agama dan </w:t>
      </w:r>
      <w:r w:rsidRPr="008A28AF">
        <w:rPr>
          <w:rFonts w:ascii="Calibri Light" w:hAnsi="Calibri Light" w:cstheme="majorBidi"/>
          <w:sz w:val="24"/>
          <w:szCs w:val="24"/>
        </w:rPr>
        <w:t>otoritas tinggi</w:t>
      </w:r>
      <w:r w:rsidR="00C3163B" w:rsidRPr="008A28AF">
        <w:rPr>
          <w:rFonts w:ascii="Calibri Light" w:hAnsi="Calibri Light" w:cstheme="majorBidi"/>
          <w:sz w:val="24"/>
          <w:szCs w:val="24"/>
        </w:rPr>
        <w:t xml:space="preserve"> dalam </w:t>
      </w:r>
      <w:r w:rsidR="00BC65AF" w:rsidRPr="008A28AF">
        <w:rPr>
          <w:rFonts w:ascii="Calibri Light" w:hAnsi="Calibri Light" w:cstheme="majorBidi"/>
          <w:sz w:val="24"/>
          <w:szCs w:val="24"/>
        </w:rPr>
        <w:t>pemikiran Islam</w:t>
      </w:r>
      <w:r w:rsidRPr="008A28AF">
        <w:rPr>
          <w:rFonts w:ascii="Calibri Light" w:hAnsi="Calibri Light" w:cstheme="majorBidi"/>
          <w:sz w:val="24"/>
          <w:szCs w:val="24"/>
        </w:rPr>
        <w:t xml:space="preserve">. </w:t>
      </w:r>
      <w:r w:rsidR="00424F0D" w:rsidRPr="008A28AF">
        <w:rPr>
          <w:rFonts w:ascii="Calibri Light" w:hAnsi="Calibri Light" w:cstheme="majorBidi"/>
          <w:sz w:val="24"/>
          <w:szCs w:val="24"/>
        </w:rPr>
        <w:t xml:space="preserve">Meskipun beliau tidak memiliki karya-karya </w:t>
      </w:r>
      <w:r w:rsidR="00424F0D" w:rsidRPr="008A28AF">
        <w:rPr>
          <w:rFonts w:ascii="Calibri Light" w:hAnsi="Calibri Light" w:cstheme="majorBidi"/>
          <w:sz w:val="24"/>
          <w:szCs w:val="24"/>
        </w:rPr>
        <w:lastRenderedPageBreak/>
        <w:t>yang mustaqil tentang pembahasan ushul fiqh layaknya Imam Syafi’i</w:t>
      </w:r>
      <w:r w:rsidR="00884C95" w:rsidRPr="008A28AF">
        <w:rPr>
          <w:rFonts w:ascii="Calibri Light" w:hAnsi="Calibri Light" w:cstheme="majorBidi"/>
          <w:sz w:val="24"/>
          <w:szCs w:val="24"/>
        </w:rPr>
        <w:t xml:space="preserve"> dengan ar-Risalah</w:t>
      </w:r>
      <w:r w:rsidR="007E7F8E" w:rsidRPr="008A28AF">
        <w:rPr>
          <w:rFonts w:ascii="Calibri Light" w:hAnsi="Calibri Light" w:cstheme="majorBidi"/>
          <w:sz w:val="24"/>
          <w:szCs w:val="24"/>
        </w:rPr>
        <w:t xml:space="preserve"> </w:t>
      </w:r>
      <w:r w:rsidR="00884C95" w:rsidRPr="008A28AF">
        <w:rPr>
          <w:rFonts w:ascii="Calibri Light" w:hAnsi="Calibri Light" w:cstheme="majorBidi"/>
          <w:sz w:val="24"/>
          <w:szCs w:val="24"/>
        </w:rPr>
        <w:t>nya</w:t>
      </w:r>
      <w:r w:rsidR="00424F0D" w:rsidRPr="008A28AF">
        <w:rPr>
          <w:rFonts w:ascii="Calibri Light" w:hAnsi="Calibri Light" w:cstheme="majorBidi"/>
          <w:sz w:val="24"/>
          <w:szCs w:val="24"/>
        </w:rPr>
        <w:t>, al-Ghozaly</w:t>
      </w:r>
      <w:r w:rsidR="00884C95" w:rsidRPr="008A28AF">
        <w:rPr>
          <w:rFonts w:ascii="Calibri Light" w:hAnsi="Calibri Light" w:cstheme="majorBidi"/>
          <w:sz w:val="24"/>
          <w:szCs w:val="24"/>
        </w:rPr>
        <w:t xml:space="preserve"> dengan al-Mustashfa</w:t>
      </w:r>
      <w:r w:rsidR="00424F0D" w:rsidRPr="008A28AF">
        <w:rPr>
          <w:rFonts w:ascii="Calibri Light" w:hAnsi="Calibri Light" w:cstheme="majorBidi"/>
          <w:sz w:val="24"/>
          <w:szCs w:val="24"/>
        </w:rPr>
        <w:t>, asy-Syatibi</w:t>
      </w:r>
      <w:r w:rsidR="00884C95" w:rsidRPr="008A28AF">
        <w:rPr>
          <w:rFonts w:ascii="Calibri Light" w:hAnsi="Calibri Light" w:cstheme="majorBidi"/>
          <w:sz w:val="24"/>
          <w:szCs w:val="24"/>
        </w:rPr>
        <w:t xml:space="preserve"> dengan al Muwafaqot</w:t>
      </w:r>
      <w:r w:rsidR="00424F0D" w:rsidRPr="008A28AF">
        <w:rPr>
          <w:rFonts w:ascii="Calibri Light" w:hAnsi="Calibri Light" w:cstheme="majorBidi"/>
          <w:sz w:val="24"/>
          <w:szCs w:val="24"/>
        </w:rPr>
        <w:t xml:space="preserve"> dan lain-lain</w:t>
      </w:r>
      <w:r w:rsidR="007E7F8E" w:rsidRPr="008A28AF">
        <w:rPr>
          <w:rFonts w:ascii="Calibri Light" w:hAnsi="Calibri Light" w:cstheme="majorBidi"/>
          <w:sz w:val="24"/>
          <w:szCs w:val="24"/>
        </w:rPr>
        <w:t>. Akante</w:t>
      </w:r>
      <w:r w:rsidR="00424F0D" w:rsidRPr="008A28AF">
        <w:rPr>
          <w:rFonts w:ascii="Calibri Light" w:hAnsi="Calibri Light" w:cstheme="majorBidi"/>
          <w:sz w:val="24"/>
          <w:szCs w:val="24"/>
        </w:rPr>
        <w:t>tapi pemikiran usuly beliau dapat</w:t>
      </w:r>
      <w:r w:rsidR="007E7F8E" w:rsidRPr="008A28AF">
        <w:rPr>
          <w:rFonts w:ascii="Calibri Light" w:hAnsi="Calibri Light" w:cstheme="majorBidi"/>
          <w:sz w:val="24"/>
          <w:szCs w:val="24"/>
        </w:rPr>
        <w:t xml:space="preserve"> diketahui dan</w:t>
      </w:r>
      <w:r w:rsidR="00424F0D" w:rsidRPr="008A28AF">
        <w:rPr>
          <w:rFonts w:ascii="Calibri Light" w:hAnsi="Calibri Light" w:cstheme="majorBidi"/>
          <w:sz w:val="24"/>
          <w:szCs w:val="24"/>
        </w:rPr>
        <w:t xml:space="preserve"> dirangkum dalam </w:t>
      </w:r>
      <w:r w:rsidR="00855AF8">
        <w:rPr>
          <w:rFonts w:ascii="Calibri Light" w:hAnsi="Calibri Light" w:cstheme="majorBidi"/>
          <w:sz w:val="24"/>
          <w:szCs w:val="24"/>
        </w:rPr>
        <w:t>karangan-karangan beliau.</w:t>
      </w:r>
    </w:p>
    <w:p w:rsidR="00E7337C" w:rsidRDefault="002F0C64" w:rsidP="00855AF8">
      <w:pPr>
        <w:autoSpaceDE w:val="0"/>
        <w:autoSpaceDN w:val="0"/>
        <w:adjustRightInd w:val="0"/>
        <w:spacing w:after="0" w:line="240" w:lineRule="auto"/>
        <w:ind w:firstLine="720"/>
        <w:jc w:val="both"/>
        <w:rPr>
          <w:rFonts w:ascii="Calibri Light" w:hAnsi="Calibri Light" w:cstheme="majorBidi"/>
          <w:sz w:val="24"/>
          <w:szCs w:val="24"/>
        </w:rPr>
      </w:pPr>
      <w:r>
        <w:rPr>
          <w:rFonts w:ascii="Calibri Light" w:hAnsi="Calibri Light" w:cstheme="majorBidi"/>
          <w:sz w:val="24"/>
          <w:szCs w:val="24"/>
        </w:rPr>
        <w:t>Untuk lebih menghasilkan k</w:t>
      </w:r>
      <w:bookmarkStart w:id="0" w:name="_GoBack"/>
      <w:bookmarkEnd w:id="0"/>
      <w:r>
        <w:rPr>
          <w:rFonts w:ascii="Calibri Light" w:hAnsi="Calibri Light" w:cstheme="majorBidi"/>
          <w:sz w:val="24"/>
          <w:szCs w:val="24"/>
        </w:rPr>
        <w:t xml:space="preserve">ajian yang lebih komprehensif dan mendalam, penelitian ini menggunakan metode </w:t>
      </w:r>
      <w:r w:rsidR="00E9381D">
        <w:rPr>
          <w:rFonts w:ascii="Calibri Light" w:hAnsi="Calibri Light" w:cstheme="majorBidi"/>
          <w:sz w:val="24"/>
          <w:szCs w:val="24"/>
        </w:rPr>
        <w:t xml:space="preserve">pustaka (library research) </w:t>
      </w:r>
      <w:r>
        <w:rPr>
          <w:rFonts w:ascii="Calibri Light" w:hAnsi="Calibri Light" w:cstheme="majorBidi"/>
          <w:sz w:val="24"/>
          <w:szCs w:val="24"/>
        </w:rPr>
        <w:t xml:space="preserve">dengan mengurai keterangan-keterangan dan rangkuman dari kitab-kitab </w:t>
      </w:r>
      <w:r w:rsidR="00855AF8">
        <w:rPr>
          <w:rFonts w:ascii="Calibri Light" w:hAnsi="Calibri Light" w:cstheme="majorBidi"/>
          <w:sz w:val="24"/>
          <w:szCs w:val="24"/>
        </w:rPr>
        <w:t xml:space="preserve">yang </w:t>
      </w:r>
      <w:r>
        <w:rPr>
          <w:rFonts w:ascii="Calibri Light" w:hAnsi="Calibri Light" w:cstheme="majorBidi"/>
          <w:sz w:val="24"/>
          <w:szCs w:val="24"/>
        </w:rPr>
        <w:t xml:space="preserve">beliau </w:t>
      </w:r>
      <w:r w:rsidR="00855AF8">
        <w:rPr>
          <w:rFonts w:ascii="Calibri Light" w:hAnsi="Calibri Light" w:cstheme="majorBidi"/>
          <w:sz w:val="24"/>
          <w:szCs w:val="24"/>
        </w:rPr>
        <w:t xml:space="preserve">karang seperti </w:t>
      </w:r>
      <w:r w:rsidR="00855AF8" w:rsidRPr="008A28AF">
        <w:rPr>
          <w:rFonts w:ascii="Calibri Light" w:hAnsi="Calibri Light" w:cstheme="majorBidi"/>
          <w:sz w:val="24"/>
          <w:szCs w:val="24"/>
        </w:rPr>
        <w:t>al-Radd ‘ala al-Mantiqin, Bayan Muwafaqat Sharih al-Ma’qul li Shahih al-Manqul, Itsbat al-Ma’ad,Tsubut al-Nubuwah al-Radd ‘alu al-Hululiyyah Wa al Ittihadiyah, Minhaj al-Sunnah,al-Nabawi Ishlah al-Ra’i wa al-Ra’iyyah</w:t>
      </w:r>
      <w:r w:rsidR="00855AF8">
        <w:rPr>
          <w:rFonts w:ascii="Calibri Light" w:hAnsi="Calibri Light" w:cstheme="majorBidi"/>
          <w:sz w:val="24"/>
          <w:szCs w:val="24"/>
        </w:rPr>
        <w:t>.</w:t>
      </w:r>
      <w:r w:rsidR="00852484">
        <w:rPr>
          <w:rFonts w:ascii="Calibri Light" w:hAnsi="Calibri Light" w:cstheme="majorBidi"/>
          <w:sz w:val="24"/>
          <w:szCs w:val="24"/>
        </w:rPr>
        <w:t xml:space="preserve"> Dan sebagai maroji’ utama dalam penelitian ini adalah kitab yang karang oleh </w:t>
      </w:r>
      <w:r w:rsidR="00852484" w:rsidRPr="008A28AF">
        <w:rPr>
          <w:rFonts w:ascii="Calibri Light" w:hAnsi="Calibri Light" w:cstheme="majorBidi"/>
          <w:sz w:val="24"/>
          <w:szCs w:val="24"/>
        </w:rPr>
        <w:t>Sholih bin Abdul Aziz Ali Mansur dengan karyanya yang berjudul Ushul Fiqh Wabnu Taimiyah.</w:t>
      </w:r>
    </w:p>
    <w:p w:rsidR="003F237A" w:rsidRPr="008A28AF" w:rsidRDefault="003F237A" w:rsidP="00855AF8">
      <w:pPr>
        <w:autoSpaceDE w:val="0"/>
        <w:autoSpaceDN w:val="0"/>
        <w:adjustRightInd w:val="0"/>
        <w:spacing w:after="0" w:line="240" w:lineRule="auto"/>
        <w:ind w:firstLine="720"/>
        <w:jc w:val="both"/>
        <w:rPr>
          <w:rFonts w:ascii="Calibri Light" w:hAnsi="Calibri Light" w:cstheme="majorBidi"/>
          <w:sz w:val="24"/>
          <w:szCs w:val="24"/>
        </w:rPr>
      </w:pPr>
    </w:p>
    <w:p w:rsidR="004370DF" w:rsidRPr="008A28AF" w:rsidRDefault="004370DF" w:rsidP="003A21B0">
      <w:pPr>
        <w:spacing w:after="0" w:line="240" w:lineRule="auto"/>
        <w:jc w:val="both"/>
        <w:rPr>
          <w:rFonts w:ascii="Calibri Light" w:hAnsi="Calibri Light" w:cstheme="majorBidi"/>
          <w:b/>
          <w:bCs/>
          <w:sz w:val="24"/>
          <w:szCs w:val="24"/>
        </w:rPr>
      </w:pPr>
      <w:r w:rsidRPr="008A28AF">
        <w:rPr>
          <w:rFonts w:ascii="Calibri Light" w:hAnsi="Calibri Light" w:cstheme="majorBidi"/>
          <w:b/>
          <w:bCs/>
          <w:sz w:val="24"/>
          <w:szCs w:val="24"/>
        </w:rPr>
        <w:t>Pembahasan</w:t>
      </w:r>
    </w:p>
    <w:p w:rsidR="003F5208" w:rsidRPr="008A28AF" w:rsidRDefault="00047FD7" w:rsidP="003A21B0">
      <w:pPr>
        <w:pStyle w:val="ListParagraph"/>
        <w:numPr>
          <w:ilvl w:val="0"/>
          <w:numId w:val="2"/>
        </w:numPr>
        <w:spacing w:after="0" w:line="240" w:lineRule="auto"/>
        <w:jc w:val="both"/>
        <w:rPr>
          <w:rFonts w:ascii="Calibri Light" w:hAnsi="Calibri Light" w:cstheme="majorBidi"/>
          <w:b/>
          <w:bCs/>
          <w:sz w:val="24"/>
          <w:szCs w:val="24"/>
        </w:rPr>
      </w:pPr>
      <w:r w:rsidRPr="008A28AF">
        <w:rPr>
          <w:rFonts w:ascii="Calibri Light" w:hAnsi="Calibri Light" w:cstheme="majorBidi"/>
          <w:b/>
          <w:bCs/>
          <w:sz w:val="24"/>
          <w:szCs w:val="24"/>
        </w:rPr>
        <w:t xml:space="preserve">Sosok </w:t>
      </w:r>
      <w:r w:rsidR="009932FE" w:rsidRPr="008A28AF">
        <w:rPr>
          <w:rFonts w:ascii="Calibri Light" w:hAnsi="Calibri Light" w:cstheme="majorBidi"/>
          <w:b/>
          <w:bCs/>
          <w:sz w:val="24"/>
          <w:szCs w:val="24"/>
        </w:rPr>
        <w:t xml:space="preserve">Ibn Taymiyyah </w:t>
      </w:r>
    </w:p>
    <w:p w:rsidR="0066570D" w:rsidRPr="008A28AF" w:rsidRDefault="00047FD7" w:rsidP="003A21B0">
      <w:pPr>
        <w:autoSpaceDE w:val="0"/>
        <w:autoSpaceDN w:val="0"/>
        <w:adjustRightInd w:val="0"/>
        <w:spacing w:after="0" w:line="240" w:lineRule="auto"/>
        <w:ind w:firstLine="720"/>
        <w:jc w:val="both"/>
        <w:rPr>
          <w:rFonts w:ascii="Calibri Light" w:hAnsi="Calibri Light" w:cstheme="majorBidi"/>
          <w:sz w:val="24"/>
          <w:szCs w:val="24"/>
          <w:shd w:val="clear" w:color="auto" w:fill="FFFFFF"/>
        </w:rPr>
      </w:pPr>
      <w:r w:rsidRPr="008A28AF">
        <w:rPr>
          <w:rFonts w:ascii="Calibri Light" w:hAnsi="Calibri Light" w:cstheme="majorBidi"/>
          <w:sz w:val="24"/>
          <w:szCs w:val="24"/>
        </w:rPr>
        <w:t>Ibn</w:t>
      </w:r>
      <w:r w:rsidR="0066570D" w:rsidRPr="008A28AF">
        <w:rPr>
          <w:rFonts w:ascii="Calibri Light" w:hAnsi="Calibri Light" w:cstheme="majorBidi"/>
          <w:sz w:val="24"/>
          <w:szCs w:val="24"/>
        </w:rPr>
        <w:t>u</w:t>
      </w:r>
      <w:r w:rsidRPr="008A28AF">
        <w:rPr>
          <w:rFonts w:ascii="Calibri Light" w:hAnsi="Calibri Light" w:cstheme="majorBidi"/>
          <w:sz w:val="24"/>
          <w:szCs w:val="24"/>
        </w:rPr>
        <w:t xml:space="preserve"> Taymiyyah </w:t>
      </w:r>
      <w:r w:rsidR="0066570D" w:rsidRPr="008A28AF">
        <w:rPr>
          <w:rFonts w:ascii="Calibri Light" w:hAnsi="Calibri Light" w:cstheme="majorBidi"/>
          <w:sz w:val="24"/>
          <w:szCs w:val="24"/>
        </w:rPr>
        <w:t xml:space="preserve">memiliki nama </w:t>
      </w:r>
      <w:r w:rsidR="0066570D" w:rsidRPr="008A28AF">
        <w:rPr>
          <w:rFonts w:ascii="Calibri Light" w:hAnsi="Calibri Light" w:cstheme="majorBidi"/>
          <w:sz w:val="24"/>
          <w:szCs w:val="24"/>
          <w:shd w:val="clear" w:color="auto" w:fill="FFFFFF"/>
        </w:rPr>
        <w:t>Abu al-Abbas Ahmad ibn Taqi al-Din ibn Shihab al-Din ibn Abd al-Halim ibn Abd al-Salam Majd al-Din Abi al-Barakat ibn Abdullah ibn Taymiyyah. Dia lahir di Harran pada hari Senin kesepuluh dan dikatakan tanggal dua belas Rabi` al-Awwal pada tahun enam ratus enam puluh satu setelah hijrah Nabi, semoga Allah memberka</w:t>
      </w:r>
      <w:r w:rsidR="00F723DC" w:rsidRPr="008A28AF">
        <w:rPr>
          <w:rFonts w:ascii="Calibri Light" w:hAnsi="Calibri Light" w:cstheme="majorBidi"/>
          <w:sz w:val="24"/>
          <w:szCs w:val="24"/>
          <w:shd w:val="clear" w:color="auto" w:fill="FFFFFF"/>
        </w:rPr>
        <w:t xml:space="preserve">tinya dan memberinya kedamaian. Ayahnya bernama  </w:t>
      </w:r>
      <w:r w:rsidR="0066570D" w:rsidRPr="008A28AF">
        <w:rPr>
          <w:rFonts w:ascii="Calibri Light" w:hAnsi="Calibri Light" w:cstheme="majorBidi"/>
          <w:sz w:val="24"/>
          <w:szCs w:val="24"/>
          <w:shd w:val="clear" w:color="auto" w:fill="FFFFFF"/>
        </w:rPr>
        <w:t xml:space="preserve">Syekh Shihab al- Din bin Abdul Halim bin Abdul </w:t>
      </w:r>
      <w:r w:rsidR="00F723DC" w:rsidRPr="008A28AF">
        <w:rPr>
          <w:rFonts w:ascii="Calibri Light" w:hAnsi="Calibri Light" w:cstheme="majorBidi"/>
          <w:sz w:val="24"/>
          <w:szCs w:val="24"/>
          <w:shd w:val="clear" w:color="auto" w:fill="FFFFFF"/>
        </w:rPr>
        <w:t xml:space="preserve">Salam bin Abdullah bin Taymiyah yang merupakan guru pertama bagi ibnu Taimiyah adalh sosok alim dan seorang yang mempunyai otoritas keilmuan dan mempunyai majlis ilmu di masjid Jamik Damaskus. Sementara </w:t>
      </w:r>
      <w:r w:rsidR="0066570D" w:rsidRPr="008A28AF">
        <w:rPr>
          <w:rFonts w:ascii="Calibri Light" w:hAnsi="Calibri Light" w:cstheme="majorBidi"/>
          <w:sz w:val="24"/>
          <w:szCs w:val="24"/>
          <w:shd w:val="clear" w:color="auto" w:fill="FFFFFF"/>
        </w:rPr>
        <w:t>kakeknya adalah Syekh Majd al- Din Abu Al-Barakat Abd al-Salam ibn Abdullah ibn Taymiyyah al-Harrani, seorang ahli hukum Hanbali, seorang imam qari, sebuah hadits, seorang penafsir, seorang fundamentalis dan ahli tata bahasa.</w:t>
      </w:r>
      <w:r w:rsidR="0037405E" w:rsidRPr="008A28AF">
        <w:rPr>
          <w:rFonts w:ascii="Calibri Light" w:hAnsi="Calibri Light" w:cstheme="majorBidi"/>
          <w:sz w:val="24"/>
          <w:szCs w:val="24"/>
          <w:shd w:val="clear" w:color="auto" w:fill="FFFFFF"/>
        </w:rPr>
        <w:t xml:space="preserve"> </w:t>
      </w:r>
      <w:r w:rsidR="0066570D" w:rsidRPr="008A28AF">
        <w:rPr>
          <w:rFonts w:ascii="Calibri Light" w:hAnsi="Calibri Light" w:cstheme="majorBidi"/>
          <w:sz w:val="24"/>
          <w:szCs w:val="24"/>
          <w:shd w:val="clear" w:color="auto" w:fill="FFFFFF"/>
        </w:rPr>
        <w:t>Nenek dari pihak ayah Badra Binti Fakhr Al-Din Abi Abdullah Muhammad Bin Al-Khidr, dan dia dijuluki Umm Al-Badr. Dia biasa menceritakan dan berbicara atas otoritas Dia Al-Din Bin Khareef. Adapun alasan penamaannya keluarga Ibnu Taimiyah, para ulama berbeda pendapat tentang hal itu; Konon kakeknya adalah Muhammad bin al-KhidrDia berziarah ke rumah di jalan Tayma, dan dia melihat seorang gadis bernama Taymiyyah, kemudian dia kembali dan menemukan istrinya melahirkan seorang gadis, jadi dia menamainya Taymiyyah.</w:t>
      </w:r>
      <w:r w:rsidR="00BD4000" w:rsidRPr="008A28AF">
        <w:rPr>
          <w:rStyle w:val="FootnoteReference"/>
          <w:rFonts w:ascii="Calibri Light" w:hAnsi="Calibri Light"/>
          <w:sz w:val="24"/>
          <w:szCs w:val="24"/>
        </w:rPr>
        <w:footnoteReference w:id="5"/>
      </w:r>
    </w:p>
    <w:p w:rsidR="00DD5222" w:rsidRPr="008A28AF" w:rsidRDefault="00DD5222" w:rsidP="003A21B0">
      <w:pPr>
        <w:pStyle w:val="ListParagraph"/>
        <w:numPr>
          <w:ilvl w:val="0"/>
          <w:numId w:val="2"/>
        </w:numPr>
        <w:spacing w:after="0" w:line="240" w:lineRule="auto"/>
        <w:jc w:val="both"/>
        <w:rPr>
          <w:rFonts w:ascii="Calibri Light" w:hAnsi="Calibri Light" w:cstheme="majorBidi"/>
          <w:b/>
          <w:bCs/>
          <w:sz w:val="24"/>
          <w:szCs w:val="24"/>
        </w:rPr>
      </w:pPr>
      <w:r w:rsidRPr="008A28AF">
        <w:rPr>
          <w:rFonts w:ascii="Calibri Light" w:hAnsi="Calibri Light" w:cstheme="majorBidi"/>
          <w:b/>
          <w:bCs/>
          <w:sz w:val="24"/>
          <w:szCs w:val="24"/>
        </w:rPr>
        <w:t>Pengembaraan Intelektual Ibnu Taimiyah</w:t>
      </w:r>
    </w:p>
    <w:p w:rsidR="00727ACB" w:rsidRPr="008A28AF" w:rsidRDefault="0037405E"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Ibnu Taimiyah dalam proses pengembaraan keilmuannya mengawali dengan membaca </w:t>
      </w:r>
      <w:r w:rsidR="00047FD7" w:rsidRPr="008A28AF">
        <w:rPr>
          <w:rFonts w:ascii="Calibri Light" w:hAnsi="Calibri Light" w:cstheme="majorBidi"/>
          <w:sz w:val="24"/>
          <w:szCs w:val="24"/>
        </w:rPr>
        <w:t xml:space="preserve">Alqur’an dan </w:t>
      </w:r>
      <w:r w:rsidRPr="008A28AF">
        <w:rPr>
          <w:rFonts w:ascii="Calibri Light" w:hAnsi="Calibri Light" w:cstheme="majorBidi"/>
          <w:sz w:val="24"/>
          <w:szCs w:val="24"/>
        </w:rPr>
        <w:t xml:space="preserve">Hadits dihadapan </w:t>
      </w:r>
      <w:r w:rsidR="00047FD7" w:rsidRPr="008A28AF">
        <w:rPr>
          <w:rFonts w:ascii="Calibri Light" w:hAnsi="Calibri Light" w:cstheme="majorBidi"/>
          <w:sz w:val="24"/>
          <w:szCs w:val="24"/>
        </w:rPr>
        <w:t>ayahnya sendiri</w:t>
      </w:r>
      <w:r w:rsidRPr="008A28AF">
        <w:rPr>
          <w:rFonts w:ascii="Calibri Light" w:hAnsi="Calibri Light" w:cstheme="majorBidi"/>
          <w:sz w:val="24"/>
          <w:szCs w:val="24"/>
        </w:rPr>
        <w:t xml:space="preserve"> </w:t>
      </w:r>
      <w:r w:rsidR="00DF373D" w:rsidRPr="008A28AF">
        <w:rPr>
          <w:rFonts w:ascii="Calibri Light" w:hAnsi="Calibri Light" w:cstheme="majorBidi"/>
          <w:sz w:val="24"/>
          <w:szCs w:val="24"/>
        </w:rPr>
        <w:t xml:space="preserve">sampai beliau hafal al-Qur’an kemudian </w:t>
      </w:r>
      <w:r w:rsidRPr="008A28AF">
        <w:rPr>
          <w:rFonts w:ascii="Calibri Light" w:hAnsi="Calibri Light" w:cstheme="majorBidi"/>
          <w:sz w:val="24"/>
          <w:szCs w:val="24"/>
        </w:rPr>
        <w:t xml:space="preserve">melanjutkan di </w:t>
      </w:r>
      <w:r w:rsidR="00047FD7" w:rsidRPr="008A28AF">
        <w:rPr>
          <w:rFonts w:ascii="Calibri Light" w:hAnsi="Calibri Light" w:cstheme="majorBidi"/>
          <w:sz w:val="24"/>
          <w:szCs w:val="24"/>
        </w:rPr>
        <w:t>sekolah Damaskus</w:t>
      </w:r>
      <w:r w:rsidR="003E6C2C" w:rsidRPr="008A28AF">
        <w:rPr>
          <w:rFonts w:ascii="Calibri Light" w:hAnsi="Calibri Light" w:cstheme="majorBidi"/>
          <w:sz w:val="24"/>
          <w:szCs w:val="24"/>
        </w:rPr>
        <w:t xml:space="preserve"> dengan mempelajari berbagai fan </w:t>
      </w:r>
      <w:r w:rsidR="00047FD7" w:rsidRPr="008A28AF">
        <w:rPr>
          <w:rFonts w:ascii="Calibri Light" w:hAnsi="Calibri Light" w:cstheme="majorBidi"/>
          <w:sz w:val="24"/>
          <w:szCs w:val="24"/>
        </w:rPr>
        <w:t xml:space="preserve">ilmu keislaman. </w:t>
      </w:r>
      <w:r w:rsidR="00590407" w:rsidRPr="008A28AF">
        <w:rPr>
          <w:rFonts w:ascii="Calibri Light" w:hAnsi="Calibri Light" w:cstheme="majorBidi"/>
          <w:sz w:val="24"/>
          <w:szCs w:val="24"/>
        </w:rPr>
        <w:t>Seperti dalam bidang hadis Sohih Bukhori Muslim, Musnad Imam Ahmad bin Hambal, Jami’ at Turmudzi dan kitab hadis lain. Selain hadis beliau mempelajari astar shohabat,  aqwal tabi’in dalam kajian tafsir al-Qur’an</w:t>
      </w:r>
      <w:r w:rsidR="00071131" w:rsidRPr="008A28AF">
        <w:rPr>
          <w:rFonts w:ascii="Calibri Light" w:hAnsi="Calibri Light" w:cstheme="majorBidi"/>
          <w:sz w:val="24"/>
          <w:szCs w:val="24"/>
        </w:rPr>
        <w:t>, fiqh dan ushul fiqh</w:t>
      </w:r>
      <w:r w:rsidR="00590407" w:rsidRPr="008A28AF">
        <w:rPr>
          <w:rFonts w:ascii="Calibri Light" w:hAnsi="Calibri Light" w:cstheme="majorBidi"/>
          <w:sz w:val="24"/>
          <w:szCs w:val="24"/>
        </w:rPr>
        <w:t xml:space="preserve">  </w:t>
      </w:r>
      <w:r w:rsidR="00465875" w:rsidRPr="008A28AF">
        <w:rPr>
          <w:rFonts w:ascii="Calibri Light" w:hAnsi="Calibri Light" w:cstheme="majorBidi"/>
          <w:sz w:val="24"/>
          <w:szCs w:val="24"/>
        </w:rPr>
        <w:t xml:space="preserve">dan menguasai ilmu dasar-dasar dalam kajian Islam seperti ilmu bahasa, Nahwu dan sya’ir-syair arab. </w:t>
      </w:r>
      <w:r w:rsidR="00047FD7" w:rsidRPr="008A28AF">
        <w:rPr>
          <w:rFonts w:ascii="Calibri Light" w:hAnsi="Calibri Light" w:cstheme="majorBidi"/>
          <w:sz w:val="24"/>
          <w:szCs w:val="24"/>
        </w:rPr>
        <w:t xml:space="preserve">Selanjutnya </w:t>
      </w:r>
      <w:r w:rsidR="00071131" w:rsidRPr="008A28AF">
        <w:rPr>
          <w:rFonts w:ascii="Calibri Light" w:hAnsi="Calibri Light" w:cstheme="majorBidi"/>
          <w:sz w:val="24"/>
          <w:szCs w:val="24"/>
        </w:rPr>
        <w:t xml:space="preserve">beliau interes </w:t>
      </w:r>
      <w:r w:rsidR="00071131" w:rsidRPr="008A28AF">
        <w:rPr>
          <w:rFonts w:ascii="Calibri Light" w:hAnsi="Calibri Light" w:cstheme="majorBidi"/>
          <w:sz w:val="24"/>
          <w:szCs w:val="24"/>
        </w:rPr>
        <w:lastRenderedPageBreak/>
        <w:t xml:space="preserve">mempelajari </w:t>
      </w:r>
      <w:r w:rsidR="00047FD7" w:rsidRPr="008A28AF">
        <w:rPr>
          <w:rFonts w:ascii="Calibri Light" w:hAnsi="Calibri Light" w:cstheme="majorBidi"/>
          <w:sz w:val="24"/>
          <w:szCs w:val="24"/>
        </w:rPr>
        <w:t xml:space="preserve">ilmu kalam dan filsafat </w:t>
      </w:r>
      <w:r w:rsidR="00071131" w:rsidRPr="008A28AF">
        <w:rPr>
          <w:rFonts w:ascii="Calibri Light" w:hAnsi="Calibri Light" w:cstheme="majorBidi"/>
          <w:sz w:val="24"/>
          <w:szCs w:val="24"/>
        </w:rPr>
        <w:t xml:space="preserve">serta perbandingannya sampai menjadi ahli dalam dua </w:t>
      </w:r>
      <w:r w:rsidR="00047FD7" w:rsidRPr="008A28AF">
        <w:rPr>
          <w:rFonts w:ascii="Calibri Light" w:hAnsi="Calibri Light" w:cstheme="majorBidi"/>
          <w:sz w:val="24"/>
          <w:szCs w:val="24"/>
        </w:rPr>
        <w:t xml:space="preserve">bidang </w:t>
      </w:r>
      <w:r w:rsidR="00071131" w:rsidRPr="008A28AF">
        <w:rPr>
          <w:rFonts w:ascii="Calibri Light" w:hAnsi="Calibri Light" w:cstheme="majorBidi"/>
          <w:sz w:val="24"/>
          <w:szCs w:val="24"/>
        </w:rPr>
        <w:t xml:space="preserve">tersebut. </w:t>
      </w:r>
      <w:r w:rsidR="00047FD7" w:rsidRPr="008A28AF">
        <w:rPr>
          <w:rFonts w:ascii="Calibri Light" w:hAnsi="Calibri Light" w:cstheme="majorBidi"/>
          <w:sz w:val="24"/>
          <w:szCs w:val="24"/>
        </w:rPr>
        <w:t xml:space="preserve">Beliau berhasil menyelesaikan seluruh pendidikannya </w:t>
      </w:r>
      <w:r w:rsidR="008B0122" w:rsidRPr="008A28AF">
        <w:rPr>
          <w:rFonts w:ascii="Calibri Light" w:hAnsi="Calibri Light" w:cstheme="majorBidi"/>
          <w:sz w:val="24"/>
          <w:szCs w:val="24"/>
        </w:rPr>
        <w:t xml:space="preserve">pada umur </w:t>
      </w:r>
      <w:r w:rsidR="00047FD7" w:rsidRPr="008A28AF">
        <w:rPr>
          <w:rFonts w:ascii="Calibri Light" w:hAnsi="Calibri Light" w:cstheme="majorBidi"/>
          <w:sz w:val="24"/>
          <w:szCs w:val="24"/>
        </w:rPr>
        <w:t xml:space="preserve">20 tahun dan </w:t>
      </w:r>
      <w:r w:rsidR="008B0122" w:rsidRPr="008A28AF">
        <w:rPr>
          <w:rFonts w:ascii="Calibri Light" w:hAnsi="Calibri Light" w:cstheme="majorBidi"/>
          <w:sz w:val="24"/>
          <w:szCs w:val="24"/>
        </w:rPr>
        <w:t xml:space="preserve">didaulat menjadi </w:t>
      </w:r>
      <w:r w:rsidR="00047FD7" w:rsidRPr="008A28AF">
        <w:rPr>
          <w:rFonts w:ascii="Calibri Light" w:hAnsi="Calibri Light" w:cstheme="majorBidi"/>
          <w:sz w:val="24"/>
          <w:szCs w:val="24"/>
        </w:rPr>
        <w:t xml:space="preserve">guru besar mazhab Hambali </w:t>
      </w:r>
      <w:r w:rsidR="008B0122" w:rsidRPr="008A28AF">
        <w:rPr>
          <w:rFonts w:ascii="Calibri Light" w:hAnsi="Calibri Light" w:cstheme="majorBidi"/>
          <w:sz w:val="24"/>
          <w:szCs w:val="24"/>
        </w:rPr>
        <w:t>meneruskan ayahnya</w:t>
      </w:r>
      <w:r w:rsidR="00727ACB" w:rsidRPr="008A28AF">
        <w:rPr>
          <w:rFonts w:ascii="Calibri Light" w:hAnsi="Calibri Light" w:cstheme="majorBidi"/>
          <w:sz w:val="24"/>
          <w:szCs w:val="24"/>
        </w:rPr>
        <w:t xml:space="preserve">. Ibnu Taimiyyah tumbuh menjadi </w:t>
      </w:r>
      <w:r w:rsidR="00F71950" w:rsidRPr="008A28AF">
        <w:rPr>
          <w:rFonts w:ascii="Calibri Light" w:hAnsi="Calibri Light" w:cstheme="majorBidi"/>
          <w:sz w:val="24"/>
          <w:szCs w:val="24"/>
        </w:rPr>
        <w:t xml:space="preserve">sosok </w:t>
      </w:r>
      <w:r w:rsidR="00727ACB" w:rsidRPr="008A28AF">
        <w:rPr>
          <w:rFonts w:ascii="Calibri Light" w:hAnsi="Calibri Light" w:cstheme="majorBidi"/>
          <w:sz w:val="24"/>
          <w:szCs w:val="24"/>
        </w:rPr>
        <w:t xml:space="preserve">ulama’ terkemuka dan berpandangan luas. </w:t>
      </w:r>
      <w:r w:rsidR="00F71950" w:rsidRPr="008A28AF">
        <w:rPr>
          <w:rFonts w:ascii="Calibri Light" w:hAnsi="Calibri Light" w:cstheme="majorBidi"/>
          <w:sz w:val="24"/>
          <w:szCs w:val="24"/>
        </w:rPr>
        <w:t xml:space="preserve">Kealimannya </w:t>
      </w:r>
      <w:r w:rsidR="00727ACB" w:rsidRPr="008A28AF">
        <w:rPr>
          <w:rFonts w:ascii="Calibri Light" w:hAnsi="Calibri Light" w:cstheme="majorBidi"/>
          <w:sz w:val="24"/>
          <w:szCs w:val="24"/>
        </w:rPr>
        <w:t>mencakup seluruh kajian keislaman sehingga pantas mendapat gelar Syaikhul Islam. Pada usia 30 tahun, usia yang relatif masih muda, Ibnu Taimiyyah sudah diakui kapasitasnya sebagai ulama’ besar pada zamannya.</w:t>
      </w:r>
      <w:r w:rsidR="00727ACB" w:rsidRPr="008A28AF">
        <w:rPr>
          <w:rStyle w:val="FootnoteReference"/>
          <w:rFonts w:ascii="Calibri Light" w:hAnsi="Calibri Light"/>
          <w:sz w:val="24"/>
          <w:szCs w:val="24"/>
        </w:rPr>
        <w:footnoteReference w:id="6"/>
      </w:r>
    </w:p>
    <w:p w:rsidR="004C3AE9" w:rsidRPr="008A28AF" w:rsidRDefault="002C7FCD"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Dengan kecerdasan dan keberanian yang dimiliki, beliau sering membuat lawan dan orang yang berseberangan dengannya banyak yang tidak suka. Selain itu, hasil pemikirannya </w:t>
      </w:r>
      <w:r w:rsidR="003E2E37" w:rsidRPr="008A28AF">
        <w:rPr>
          <w:rFonts w:ascii="Calibri Light" w:hAnsi="Calibri Light" w:cstheme="majorBidi"/>
          <w:sz w:val="24"/>
          <w:szCs w:val="24"/>
        </w:rPr>
        <w:t xml:space="preserve">sering </w:t>
      </w:r>
      <w:r w:rsidRPr="008A28AF">
        <w:rPr>
          <w:rFonts w:ascii="Calibri Light" w:hAnsi="Calibri Light" w:cstheme="majorBidi"/>
          <w:sz w:val="24"/>
          <w:szCs w:val="24"/>
        </w:rPr>
        <w:t xml:space="preserve">melecut </w:t>
      </w:r>
      <w:r w:rsidR="003E2E37" w:rsidRPr="008A28AF">
        <w:rPr>
          <w:rFonts w:ascii="Calibri Light" w:hAnsi="Calibri Light" w:cstheme="majorBidi"/>
          <w:sz w:val="24"/>
          <w:szCs w:val="24"/>
        </w:rPr>
        <w:t xml:space="preserve">polemik </w:t>
      </w:r>
      <w:r w:rsidRPr="008A28AF">
        <w:rPr>
          <w:rFonts w:ascii="Calibri Light" w:hAnsi="Calibri Light" w:cstheme="majorBidi"/>
          <w:sz w:val="24"/>
          <w:szCs w:val="24"/>
        </w:rPr>
        <w:t xml:space="preserve">dan perdebatan </w:t>
      </w:r>
      <w:r w:rsidR="003E2E37" w:rsidRPr="008A28AF">
        <w:rPr>
          <w:rFonts w:ascii="Calibri Light" w:hAnsi="Calibri Light" w:cstheme="majorBidi"/>
          <w:sz w:val="24"/>
          <w:szCs w:val="24"/>
        </w:rPr>
        <w:t xml:space="preserve">di kalangan </w:t>
      </w:r>
      <w:r w:rsidRPr="008A28AF">
        <w:rPr>
          <w:rFonts w:ascii="Calibri Light" w:hAnsi="Calibri Light" w:cstheme="majorBidi"/>
          <w:sz w:val="24"/>
          <w:szCs w:val="24"/>
        </w:rPr>
        <w:t xml:space="preserve">ulama. Maka tidak heran jika beliau </w:t>
      </w:r>
      <w:r w:rsidR="003E2E37" w:rsidRPr="008A28AF">
        <w:rPr>
          <w:rFonts w:ascii="Calibri Light" w:hAnsi="Calibri Light" w:cstheme="majorBidi"/>
          <w:sz w:val="24"/>
          <w:szCs w:val="24"/>
        </w:rPr>
        <w:t xml:space="preserve">sering keluar masuk </w:t>
      </w:r>
      <w:r w:rsidRPr="008A28AF">
        <w:rPr>
          <w:rFonts w:ascii="Calibri Light" w:hAnsi="Calibri Light" w:cstheme="majorBidi"/>
          <w:sz w:val="24"/>
          <w:szCs w:val="24"/>
        </w:rPr>
        <w:t xml:space="preserve">dalam </w:t>
      </w:r>
      <w:r w:rsidR="003E2E37" w:rsidRPr="008A28AF">
        <w:rPr>
          <w:rFonts w:ascii="Calibri Light" w:hAnsi="Calibri Light" w:cstheme="majorBidi"/>
          <w:sz w:val="24"/>
          <w:szCs w:val="24"/>
        </w:rPr>
        <w:t>penjara</w:t>
      </w:r>
      <w:r w:rsidRPr="008A28AF">
        <w:rPr>
          <w:rFonts w:ascii="Calibri Light" w:hAnsi="Calibri Light" w:cstheme="majorBidi"/>
          <w:sz w:val="24"/>
          <w:szCs w:val="24"/>
        </w:rPr>
        <w:t xml:space="preserve"> disebabkan pemikiran dan ketegasannya terlebih pemikiran tentang problematika </w:t>
      </w:r>
      <w:r w:rsidR="003E2E37" w:rsidRPr="008A28AF">
        <w:rPr>
          <w:rFonts w:ascii="Calibri Light" w:hAnsi="Calibri Light" w:cstheme="majorBidi"/>
          <w:sz w:val="24"/>
          <w:szCs w:val="24"/>
        </w:rPr>
        <w:t xml:space="preserve">akidah dan fiqh. </w:t>
      </w:r>
      <w:r w:rsidR="00CA3B54" w:rsidRPr="008A28AF">
        <w:rPr>
          <w:rFonts w:ascii="Calibri Light" w:hAnsi="Calibri Light" w:cstheme="majorBidi"/>
          <w:sz w:val="24"/>
          <w:szCs w:val="24"/>
        </w:rPr>
        <w:t>Bentuk keberaniannya juga diwujudkan dengan berani beda dengan ulama’ ulama’ sebelum dia, sehingga sering beliau menyalahi dari ketentuan ijma’. Dan berbeda dengan ulama’ sejamannya sudah merupakan hal yang biasa. Hal yang demikian inilah yang menyebabkan intelektual dan ulama’ di zamannya memusuhi beliau dengan berbagai macam tuduhan sesat dan berkahir di penjara.</w:t>
      </w:r>
    </w:p>
    <w:p w:rsidR="00845AEA" w:rsidRPr="008A28AF" w:rsidRDefault="00845AEA"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Tindakan-tindakan yang dilakukan oleh Ibnu Taimiyah berpijak pada asumsi empirik beliau atas generasi awal umat Islam maju dengan pesat karena mereka berpegangan pada ajaran dan tuntunan Islam dengan berpedoman pada al-Qur’an dan Hadis. Dan sebaliknya, umat Islam pada zamannya menjadi lemah dan mundur dikarenakan mereka telah menanggalkan sumber ajarannya. Dari realita yang beliau hadapi dan alami, mengarahkan beliau untuk mengambil suatu konklusi bahwa misi utama yang akan beliau lakukan adalah mengajak kaum muslimin untuk kembali kepada al-Qur’an dan al-Sunnah, dengan mengadopsi metode pemahaman kaum muslimin generasi pertama untuk menguji madzhab-madzhab dan hasil pemikiran kaum muslimin dari masa ke masa.</w:t>
      </w:r>
      <w:r w:rsidRPr="008A28AF">
        <w:rPr>
          <w:rStyle w:val="FootnoteReference"/>
          <w:rFonts w:ascii="Calibri Light" w:hAnsi="Calibri Light"/>
          <w:sz w:val="24"/>
          <w:szCs w:val="24"/>
        </w:rPr>
        <w:footnoteReference w:id="7"/>
      </w:r>
    </w:p>
    <w:p w:rsidR="003E2E37" w:rsidRPr="008A28AF" w:rsidRDefault="000B6732"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Penjara seakan tidak bisa membelenggunya untuk berfikir kritis dan meikirkan umat. Proses dan diskusi ilmiah </w:t>
      </w:r>
      <w:r w:rsidR="003E2E37" w:rsidRPr="008A28AF">
        <w:rPr>
          <w:rFonts w:ascii="Calibri Light" w:hAnsi="Calibri Light" w:cstheme="majorBidi"/>
          <w:sz w:val="24"/>
          <w:szCs w:val="24"/>
        </w:rPr>
        <w:t xml:space="preserve">meskipun </w:t>
      </w:r>
      <w:r w:rsidRPr="008A28AF">
        <w:rPr>
          <w:rFonts w:ascii="Calibri Light" w:hAnsi="Calibri Light" w:cstheme="majorBidi"/>
          <w:sz w:val="24"/>
          <w:szCs w:val="24"/>
        </w:rPr>
        <w:t>di balik jeruju masih tetap beliau lakukan  dengan menulis karya ilmiah, buku, makalah, catatan-catatan asalkan ada alat tulis dan tinta. Karena mengetahui dari aktifitas beliau yang sangat produktif dan tidak bisa lepas dari tinta dan pena, akhirnya d</w:t>
      </w:r>
      <w:r w:rsidR="003E2E37" w:rsidRPr="008A28AF">
        <w:rPr>
          <w:rFonts w:ascii="Calibri Light" w:hAnsi="Calibri Light" w:cstheme="majorBidi"/>
          <w:sz w:val="24"/>
          <w:szCs w:val="24"/>
        </w:rPr>
        <w:t xml:space="preserve">ia tidak diberi kertas dan tinta lagi. </w:t>
      </w:r>
      <w:r w:rsidRPr="008A28AF">
        <w:rPr>
          <w:rFonts w:ascii="Calibri Light" w:hAnsi="Calibri Light" w:cstheme="majorBidi"/>
          <w:sz w:val="24"/>
          <w:szCs w:val="24"/>
        </w:rPr>
        <w:t xml:space="preserve">Ibnu Taimiyah </w:t>
      </w:r>
      <w:r w:rsidR="003E2E37" w:rsidRPr="008A28AF">
        <w:rPr>
          <w:rFonts w:ascii="Calibri Light" w:hAnsi="Calibri Light" w:cstheme="majorBidi"/>
          <w:sz w:val="24"/>
          <w:szCs w:val="24"/>
        </w:rPr>
        <w:t xml:space="preserve">tidak </w:t>
      </w:r>
      <w:r w:rsidRPr="008A28AF">
        <w:rPr>
          <w:rFonts w:ascii="Calibri Light" w:hAnsi="Calibri Light" w:cstheme="majorBidi"/>
          <w:sz w:val="24"/>
          <w:szCs w:val="24"/>
        </w:rPr>
        <w:t xml:space="preserve">terima dengan perlakuan hina itu, beliau akhirnya sakit dan tutup usia </w:t>
      </w:r>
      <w:r w:rsidR="003E2E37" w:rsidRPr="008A28AF">
        <w:rPr>
          <w:rFonts w:ascii="Calibri Light" w:hAnsi="Calibri Light" w:cstheme="majorBidi"/>
          <w:sz w:val="24"/>
          <w:szCs w:val="24"/>
        </w:rPr>
        <w:t>pada tahun 728 H atau 1329 M, pada usia lebih kurang 66 tahun.</w:t>
      </w:r>
      <w:r w:rsidR="003E2E37" w:rsidRPr="008A28AF">
        <w:rPr>
          <w:rStyle w:val="FootnoteReference"/>
          <w:rFonts w:ascii="Calibri Light" w:hAnsi="Calibri Light"/>
          <w:sz w:val="24"/>
          <w:szCs w:val="24"/>
        </w:rPr>
        <w:footnoteReference w:id="8"/>
      </w:r>
    </w:p>
    <w:p w:rsidR="00845AEA" w:rsidRPr="008A28AF" w:rsidRDefault="00C81E5F" w:rsidP="003A21B0">
      <w:pPr>
        <w:pStyle w:val="ListParagraph"/>
        <w:numPr>
          <w:ilvl w:val="0"/>
          <w:numId w:val="2"/>
        </w:numPr>
        <w:spacing w:after="0" w:line="240" w:lineRule="auto"/>
        <w:jc w:val="both"/>
        <w:rPr>
          <w:rFonts w:ascii="Calibri Light" w:hAnsi="Calibri Light" w:cstheme="majorBidi"/>
          <w:b/>
          <w:bCs/>
          <w:sz w:val="24"/>
          <w:szCs w:val="24"/>
        </w:rPr>
      </w:pPr>
      <w:r w:rsidRPr="008A28AF">
        <w:rPr>
          <w:rFonts w:ascii="Calibri Light" w:hAnsi="Calibri Light" w:cstheme="majorBidi"/>
          <w:b/>
          <w:bCs/>
          <w:sz w:val="24"/>
          <w:szCs w:val="24"/>
        </w:rPr>
        <w:t xml:space="preserve">Metode </w:t>
      </w:r>
      <w:r w:rsidR="00190707" w:rsidRPr="008A28AF">
        <w:rPr>
          <w:rFonts w:ascii="Calibri Light" w:hAnsi="Calibri Light" w:cstheme="majorBidi"/>
          <w:b/>
          <w:bCs/>
          <w:sz w:val="24"/>
          <w:szCs w:val="24"/>
        </w:rPr>
        <w:t xml:space="preserve">Berfikir </w:t>
      </w:r>
      <w:r w:rsidR="00BB0732" w:rsidRPr="008A28AF">
        <w:rPr>
          <w:rFonts w:ascii="Calibri Light" w:hAnsi="Calibri Light" w:cstheme="majorBidi"/>
          <w:b/>
          <w:bCs/>
          <w:sz w:val="24"/>
          <w:szCs w:val="24"/>
        </w:rPr>
        <w:t>Ushuli Ibnu Taimiyah</w:t>
      </w:r>
    </w:p>
    <w:p w:rsidR="0003687B" w:rsidRPr="008A28AF" w:rsidRDefault="00190707"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Membaca dan melihat dari karya-karya ibnu Taimiyah tida dijumpai kitab khusus pemikiran beliau yang menjelaskan dan menguraikan pembahasan ushul </w:t>
      </w:r>
      <w:r w:rsidRPr="008A28AF">
        <w:rPr>
          <w:rFonts w:ascii="Calibri Light" w:hAnsi="Calibri Light" w:cstheme="majorBidi"/>
          <w:sz w:val="24"/>
          <w:szCs w:val="24"/>
        </w:rPr>
        <w:lastRenderedPageBreak/>
        <w:t xml:space="preserve">fiqh. Karena beliau tidak memiliki karangan tentang fan ilmu tersebut. Akan tetapi, pemikiran ushuli beliau dapat dijumpai dan ditemukan dengan jalan istiqro’ (meneliti dan mengkaji secara mendalam) kitab-kitab beliau dalam masalah aqidah, tasawwuf, fiqh, tafsir, hadis, mantiq dan lain-lain. </w:t>
      </w:r>
      <w:r w:rsidR="004F4727" w:rsidRPr="008A28AF">
        <w:rPr>
          <w:rFonts w:ascii="Calibri Light" w:hAnsi="Calibri Light" w:cstheme="majorBidi"/>
          <w:sz w:val="24"/>
          <w:szCs w:val="24"/>
        </w:rPr>
        <w:t xml:space="preserve">Hanya dengan cara itu kita bisa untuk mengetahui pemikiran dari metode ushuli beliau. </w:t>
      </w:r>
    </w:p>
    <w:p w:rsidR="00AF6D9B" w:rsidRPr="008A28AF" w:rsidRDefault="00190707"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Metode yang digunakan oleh Ibnu Taimiyah dalam berfikir ushuli </w:t>
      </w:r>
      <w:r w:rsidR="00FA357A" w:rsidRPr="008A28AF">
        <w:rPr>
          <w:rFonts w:ascii="Calibri Light" w:hAnsi="Calibri Light" w:cstheme="majorBidi"/>
          <w:sz w:val="24"/>
          <w:szCs w:val="24"/>
        </w:rPr>
        <w:t>secara jelas masih mengikuti dari pemikiran dari madzhab yang diikuti beliau yaitu manhaj ushuli dari Imam Ahmad bin Hambal di d</w:t>
      </w:r>
      <w:r w:rsidR="00DC5F1D" w:rsidRPr="008A28AF">
        <w:rPr>
          <w:rFonts w:ascii="Calibri Light" w:hAnsi="Calibri Light" w:cstheme="majorBidi"/>
          <w:sz w:val="24"/>
          <w:szCs w:val="24"/>
        </w:rPr>
        <w:t>alam jumlah metodenya meskipun ada perbedaan tentang penggunaaannya.</w:t>
      </w:r>
      <w:r w:rsidR="00DC5F1D" w:rsidRPr="008A28AF">
        <w:rPr>
          <w:rStyle w:val="FootnoteReference"/>
          <w:rFonts w:ascii="Calibri Light" w:hAnsi="Calibri Light"/>
          <w:sz w:val="24"/>
          <w:szCs w:val="24"/>
        </w:rPr>
        <w:footnoteReference w:id="9"/>
      </w:r>
      <w:r w:rsidR="00DC5F1D" w:rsidRPr="008A28AF">
        <w:rPr>
          <w:rFonts w:ascii="Calibri Light" w:hAnsi="Calibri Light" w:cstheme="majorBidi"/>
          <w:sz w:val="24"/>
          <w:szCs w:val="24"/>
        </w:rPr>
        <w:t xml:space="preserve"> </w:t>
      </w:r>
    </w:p>
    <w:p w:rsidR="00BB0732" w:rsidRPr="008A28AF" w:rsidRDefault="00AF6D9B"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Jika dapat kita klasifikasikan setelah melakukan istiqro’ dalam kitab-kitab beliau, dapat ditarik kesimpulan bahwa hukum dan fatwa-fatwa yang beliau kemukakan mengacu pada metode ushuli dan berpegangan pada dalil-dalil sebagai beriku:</w:t>
      </w:r>
    </w:p>
    <w:p w:rsidR="00AF6D9B" w:rsidRPr="008A28AF" w:rsidRDefault="00A55F9A" w:rsidP="003A21B0">
      <w:pPr>
        <w:pStyle w:val="ListParagraph"/>
        <w:numPr>
          <w:ilvl w:val="0"/>
          <w:numId w:val="3"/>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Nash (al-Qur’an)</w:t>
      </w:r>
    </w:p>
    <w:p w:rsidR="005D5383" w:rsidRPr="008A28AF" w:rsidRDefault="002F05BF"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Ibnu Taimiyah meletakkan nash al-Qur’an pada posisi utama dalam istinbat hukum</w:t>
      </w:r>
      <w:r w:rsidR="004A7607" w:rsidRPr="008A28AF">
        <w:rPr>
          <w:rFonts w:ascii="Calibri Light" w:hAnsi="Calibri Light" w:cstheme="majorBidi"/>
          <w:sz w:val="24"/>
          <w:szCs w:val="24"/>
        </w:rPr>
        <w:t>, ini didasari pemikirannya yang menurut belia</w:t>
      </w:r>
      <w:r w:rsidR="00261F9B" w:rsidRPr="008A28AF">
        <w:rPr>
          <w:rFonts w:ascii="Calibri Light" w:hAnsi="Calibri Light" w:cstheme="majorBidi"/>
          <w:sz w:val="24"/>
          <w:szCs w:val="24"/>
        </w:rPr>
        <w:t>u</w:t>
      </w:r>
      <w:r w:rsidR="004A7607" w:rsidRPr="008A28AF">
        <w:rPr>
          <w:rFonts w:ascii="Calibri Light" w:hAnsi="Calibri Light" w:cstheme="majorBidi"/>
          <w:sz w:val="24"/>
          <w:szCs w:val="24"/>
        </w:rPr>
        <w:t xml:space="preserve"> </w:t>
      </w:r>
      <w:r w:rsidR="008F3E10" w:rsidRPr="008A28AF">
        <w:rPr>
          <w:rFonts w:ascii="Calibri Light" w:hAnsi="Calibri Light" w:cstheme="majorBidi"/>
          <w:sz w:val="24"/>
          <w:szCs w:val="24"/>
        </w:rPr>
        <w:t xml:space="preserve">bahwa nash al Qur’an </w:t>
      </w:r>
      <w:r w:rsidR="009A4CF3" w:rsidRPr="008A28AF">
        <w:rPr>
          <w:rFonts w:ascii="Calibri Light" w:hAnsi="Calibri Light" w:cstheme="majorBidi"/>
          <w:sz w:val="24"/>
          <w:szCs w:val="24"/>
        </w:rPr>
        <w:t xml:space="preserve">tidaklah </w:t>
      </w:r>
      <w:r w:rsidR="008F3E10" w:rsidRPr="008A28AF">
        <w:rPr>
          <w:rFonts w:ascii="Calibri Light" w:hAnsi="Calibri Light" w:cstheme="majorBidi"/>
          <w:sz w:val="24"/>
          <w:szCs w:val="24"/>
        </w:rPr>
        <w:t xml:space="preserve">mungkin akan bertentengan dengan </w:t>
      </w:r>
      <w:r w:rsidR="009A4CF3" w:rsidRPr="008A28AF">
        <w:rPr>
          <w:rFonts w:ascii="Calibri Light" w:hAnsi="Calibri Light" w:cstheme="majorBidi"/>
          <w:sz w:val="24"/>
          <w:szCs w:val="24"/>
        </w:rPr>
        <w:t>eksistensi akal dalam kehidupan ini. Untuk itu, keberadaan akal tidak boleh menjadi lebih tinggi dalam instrumen istinbat hukum sebagaimana yang dipraktikkan oleh golongan mutakallimin.</w:t>
      </w:r>
      <w:r w:rsidR="009A4CF3" w:rsidRPr="008A28AF">
        <w:rPr>
          <w:rStyle w:val="FootnoteReference"/>
          <w:rFonts w:ascii="Calibri Light" w:hAnsi="Calibri Light"/>
          <w:sz w:val="24"/>
          <w:szCs w:val="24"/>
        </w:rPr>
        <w:footnoteReference w:id="10"/>
      </w:r>
      <w:r w:rsidR="009A4CF3" w:rsidRPr="008A28AF">
        <w:rPr>
          <w:rFonts w:ascii="Calibri Light" w:hAnsi="Calibri Light" w:cstheme="majorBidi"/>
          <w:sz w:val="24"/>
          <w:szCs w:val="24"/>
        </w:rPr>
        <w:t xml:space="preserve"> </w:t>
      </w:r>
    </w:p>
    <w:p w:rsidR="005D5383" w:rsidRPr="008A28AF" w:rsidRDefault="005D5383"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Adapun dari segi kelemahan golongan ushul Mutakallimin ini </w:t>
      </w:r>
      <w:r w:rsidR="003B1737" w:rsidRPr="008A28AF">
        <w:rPr>
          <w:rFonts w:ascii="Calibri Light" w:hAnsi="Calibri Light" w:cstheme="majorBidi"/>
          <w:sz w:val="24"/>
          <w:szCs w:val="24"/>
        </w:rPr>
        <w:t>dari segi basik</w:t>
      </w:r>
      <w:r w:rsidR="00BE039C" w:rsidRPr="008A28AF">
        <w:rPr>
          <w:rFonts w:ascii="Calibri Light" w:hAnsi="Calibri Light" w:cstheme="majorBidi"/>
          <w:sz w:val="24"/>
          <w:szCs w:val="24"/>
        </w:rPr>
        <w:t xml:space="preserve"> </w:t>
      </w:r>
      <w:r w:rsidRPr="008A28AF">
        <w:rPr>
          <w:rFonts w:ascii="Calibri Light" w:hAnsi="Calibri Light" w:cstheme="majorBidi"/>
          <w:sz w:val="24"/>
          <w:szCs w:val="24"/>
        </w:rPr>
        <w:t xml:space="preserve">pemikiran </w:t>
      </w:r>
      <w:r w:rsidR="003B1737" w:rsidRPr="008A28AF">
        <w:rPr>
          <w:rFonts w:ascii="Calibri Light" w:hAnsi="Calibri Light" w:cstheme="majorBidi"/>
          <w:sz w:val="24"/>
          <w:szCs w:val="24"/>
        </w:rPr>
        <w:t xml:space="preserve">adalah pembahasan akan problematika dan realita sosial yang ada kurang mendapat perhatian yang komprehensif. Fokus dari golongan ini lebih pada </w:t>
      </w:r>
      <w:r w:rsidRPr="008A28AF">
        <w:rPr>
          <w:rFonts w:ascii="Calibri Light" w:hAnsi="Calibri Light" w:cstheme="majorBidi"/>
          <w:sz w:val="24"/>
          <w:szCs w:val="24"/>
        </w:rPr>
        <w:t xml:space="preserve">membakukan </w:t>
      </w:r>
      <w:r w:rsidR="003B1737" w:rsidRPr="008A28AF">
        <w:rPr>
          <w:rFonts w:ascii="Calibri Light" w:hAnsi="Calibri Light" w:cstheme="majorBidi"/>
          <w:sz w:val="24"/>
          <w:szCs w:val="24"/>
        </w:rPr>
        <w:t xml:space="preserve">analogi </w:t>
      </w:r>
      <w:r w:rsidR="00EC57D1" w:rsidRPr="008A28AF">
        <w:rPr>
          <w:rFonts w:ascii="Calibri Light" w:hAnsi="Calibri Light" w:cstheme="majorBidi"/>
          <w:sz w:val="24"/>
          <w:szCs w:val="24"/>
        </w:rPr>
        <w:t xml:space="preserve">dan </w:t>
      </w:r>
      <w:r w:rsidRPr="008A28AF">
        <w:rPr>
          <w:rFonts w:ascii="Calibri Light" w:hAnsi="Calibri Light" w:cstheme="majorBidi"/>
          <w:sz w:val="24"/>
          <w:szCs w:val="24"/>
        </w:rPr>
        <w:t xml:space="preserve">pengembangan </w:t>
      </w:r>
      <w:r w:rsidR="00EC57D1" w:rsidRPr="008A28AF">
        <w:rPr>
          <w:rFonts w:ascii="Calibri Light" w:hAnsi="Calibri Light" w:cstheme="majorBidi"/>
          <w:sz w:val="24"/>
          <w:szCs w:val="24"/>
        </w:rPr>
        <w:t xml:space="preserve">kajian </w:t>
      </w:r>
      <w:r w:rsidRPr="008A28AF">
        <w:rPr>
          <w:rFonts w:ascii="Calibri Light" w:hAnsi="Calibri Light" w:cstheme="majorBidi"/>
          <w:sz w:val="24"/>
          <w:szCs w:val="24"/>
        </w:rPr>
        <w:t>teori</w:t>
      </w:r>
      <w:r w:rsidR="00EC57D1" w:rsidRPr="008A28AF">
        <w:rPr>
          <w:rFonts w:ascii="Calibri Light" w:hAnsi="Calibri Light" w:cstheme="majorBidi"/>
          <w:sz w:val="24"/>
          <w:szCs w:val="24"/>
        </w:rPr>
        <w:t>tik</w:t>
      </w:r>
      <w:r w:rsidRPr="008A28AF">
        <w:rPr>
          <w:rFonts w:ascii="Calibri Light" w:hAnsi="Calibri Light" w:cstheme="majorBidi"/>
          <w:sz w:val="24"/>
          <w:szCs w:val="24"/>
        </w:rPr>
        <w:t xml:space="preserve"> keilmuan</w:t>
      </w:r>
      <w:r w:rsidR="00EC57D1" w:rsidRPr="008A28AF">
        <w:rPr>
          <w:rFonts w:ascii="Calibri Light" w:hAnsi="Calibri Light" w:cstheme="majorBidi"/>
          <w:sz w:val="24"/>
          <w:szCs w:val="24"/>
        </w:rPr>
        <w:t xml:space="preserve">. Dengan cara pandang seperti ini, aliran mutakallimin lebih bisa mengembangkan </w:t>
      </w:r>
      <w:r w:rsidR="00976CDA" w:rsidRPr="008A28AF">
        <w:rPr>
          <w:rFonts w:ascii="Calibri Light" w:hAnsi="Calibri Light" w:cstheme="majorBidi"/>
          <w:sz w:val="24"/>
          <w:szCs w:val="24"/>
        </w:rPr>
        <w:t xml:space="preserve">teori-teori yang ada </w:t>
      </w:r>
      <w:r w:rsidR="00EC57D1" w:rsidRPr="008A28AF">
        <w:rPr>
          <w:rFonts w:ascii="Calibri Light" w:hAnsi="Calibri Light" w:cstheme="majorBidi"/>
          <w:sz w:val="24"/>
          <w:szCs w:val="24"/>
        </w:rPr>
        <w:t>dalam fan ilmu ushl fiqh</w:t>
      </w:r>
      <w:r w:rsidR="00976CDA" w:rsidRPr="008A28AF">
        <w:rPr>
          <w:rFonts w:ascii="Calibri Light" w:hAnsi="Calibri Light" w:cstheme="majorBidi"/>
          <w:sz w:val="24"/>
          <w:szCs w:val="24"/>
        </w:rPr>
        <w:t xml:space="preserve">. </w:t>
      </w:r>
      <w:r w:rsidR="008B1D98" w:rsidRPr="008A28AF">
        <w:rPr>
          <w:rFonts w:ascii="Calibri Light" w:hAnsi="Calibri Light" w:cstheme="majorBidi"/>
          <w:sz w:val="24"/>
          <w:szCs w:val="24"/>
        </w:rPr>
        <w:t xml:space="preserve">Karena cara pandang dan teori yang mereka bangung dapat membantu para pemerhati hukum Islam (mujtahid) dalam melakukan kajian dan fleksibel dalam menyikapi </w:t>
      </w:r>
      <w:r w:rsidR="00777765" w:rsidRPr="008A28AF">
        <w:rPr>
          <w:rFonts w:ascii="Calibri Light" w:hAnsi="Calibri Light" w:cstheme="majorBidi"/>
          <w:sz w:val="24"/>
          <w:szCs w:val="24"/>
        </w:rPr>
        <w:t>permasalahan-permasalah kontemporer yang</w:t>
      </w:r>
      <w:r w:rsidR="00C753CF" w:rsidRPr="008A28AF">
        <w:rPr>
          <w:rFonts w:ascii="Calibri Light" w:hAnsi="Calibri Light" w:cstheme="majorBidi"/>
          <w:sz w:val="24"/>
          <w:szCs w:val="24"/>
        </w:rPr>
        <w:t xml:space="preserve"> selalu berkembang dan dinamis serta bisa melakukan inovasi </w:t>
      </w:r>
      <w:r w:rsidR="00C753CF" w:rsidRPr="008A28AF">
        <w:rPr>
          <w:rFonts w:ascii="Calibri Light" w:hAnsi="Calibri Light" w:cstheme="majorBidi"/>
          <w:sz w:val="24"/>
          <w:szCs w:val="24"/>
        </w:rPr>
        <w:lastRenderedPageBreak/>
        <w:t xml:space="preserve">dalam istinbat hukum </w:t>
      </w:r>
      <w:r w:rsidR="00FC561A" w:rsidRPr="008A28AF">
        <w:rPr>
          <w:rFonts w:ascii="Calibri Light" w:hAnsi="Calibri Light" w:cstheme="majorBidi"/>
          <w:sz w:val="24"/>
          <w:szCs w:val="24"/>
        </w:rPr>
        <w:t>untuk memberikan solusi hukum permasalah-permasalahan kontemporer</w:t>
      </w:r>
      <w:r w:rsidRPr="008A28AF">
        <w:rPr>
          <w:rFonts w:ascii="Calibri Light" w:hAnsi="Calibri Light" w:cstheme="majorBidi"/>
          <w:sz w:val="24"/>
          <w:szCs w:val="24"/>
        </w:rPr>
        <w:t>.</w:t>
      </w:r>
      <w:r w:rsidRPr="008A28AF">
        <w:rPr>
          <w:rStyle w:val="FootnoteReference"/>
          <w:rFonts w:ascii="Calibri Light" w:hAnsi="Calibri Light"/>
          <w:sz w:val="24"/>
          <w:szCs w:val="24"/>
        </w:rPr>
        <w:footnoteReference w:id="11"/>
      </w:r>
    </w:p>
    <w:p w:rsidR="003851D4" w:rsidRPr="008A28AF" w:rsidRDefault="00533118"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Imam Ibnu Taimiyah dalam meletakkan keduduakan al Qur’an dan Hadist dalam pijakan istinbat hukum, beliau berbeda dengan Imam Madzhab yang dianutnya yaitu Imam Ahmad bin Hambal. Jika Imam Ahmad bin Hambal dalam istinbat hukum memposisikan al Qur’an dan Hadist sebagai dasar utama dalam istinbat hukum, beliau Ibnu Taimiyah meletakkan Hadis pada posisi ke dua. </w:t>
      </w:r>
      <w:r w:rsidR="003851D4" w:rsidRPr="008A28AF">
        <w:rPr>
          <w:rFonts w:ascii="Calibri Light" w:hAnsi="Calibri Light" w:cstheme="majorBidi"/>
          <w:sz w:val="24"/>
          <w:szCs w:val="24"/>
        </w:rPr>
        <w:t>Beliau beralasan bahwa al Qur’an</w:t>
      </w:r>
      <w:r w:rsidR="002A6A45" w:rsidRPr="008A28AF">
        <w:rPr>
          <w:rFonts w:ascii="Calibri Light" w:hAnsi="Calibri Light" w:cstheme="majorBidi"/>
          <w:sz w:val="24"/>
          <w:szCs w:val="24"/>
        </w:rPr>
        <w:t xml:space="preserve"> tidak boleh di nasakh k</w:t>
      </w:r>
      <w:r w:rsidR="003851D4" w:rsidRPr="008A28AF">
        <w:rPr>
          <w:rFonts w:ascii="Calibri Light" w:hAnsi="Calibri Light" w:cstheme="majorBidi"/>
          <w:sz w:val="24"/>
          <w:szCs w:val="24"/>
        </w:rPr>
        <w:t xml:space="preserve">ecuali dengan al Qur’an, karena kedudukan hadis itu berbeda dengan al Qur’an dalam hal keutamaan. </w:t>
      </w:r>
      <w:r w:rsidR="00755ABF" w:rsidRPr="008A28AF">
        <w:rPr>
          <w:rStyle w:val="FootnoteReference"/>
          <w:rFonts w:ascii="Calibri Light" w:hAnsi="Calibri Light"/>
          <w:sz w:val="24"/>
          <w:szCs w:val="24"/>
        </w:rPr>
        <w:footnoteReference w:id="12"/>
      </w:r>
    </w:p>
    <w:p w:rsidR="001D2D74" w:rsidRPr="008A28AF" w:rsidRDefault="006A0B24" w:rsidP="003A21B0">
      <w:pPr>
        <w:pStyle w:val="ListParagraph"/>
        <w:numPr>
          <w:ilvl w:val="0"/>
          <w:numId w:val="3"/>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Sunnah</w:t>
      </w:r>
    </w:p>
    <w:p w:rsidR="00F00CCA" w:rsidRPr="008A28AF" w:rsidRDefault="004A14FD"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Ibnu Taimiyyah memposisikan hadist dalam pijakan istinbat hukum</w:t>
      </w:r>
      <w:r w:rsidR="000E6BD5" w:rsidRPr="008A28AF">
        <w:rPr>
          <w:rFonts w:ascii="Calibri Light" w:hAnsi="Calibri Light" w:cstheme="majorBidi"/>
          <w:sz w:val="24"/>
          <w:szCs w:val="24"/>
        </w:rPr>
        <w:t xml:space="preserve"> pada posisi ke dua setelah al Qur’an  dengan mengkategorikan hadist tersebut dalam </w:t>
      </w:r>
      <w:r w:rsidR="00911F89" w:rsidRPr="008A28AF">
        <w:rPr>
          <w:rFonts w:ascii="Calibri Light" w:hAnsi="Calibri Light" w:cstheme="majorBidi"/>
          <w:sz w:val="24"/>
          <w:szCs w:val="24"/>
        </w:rPr>
        <w:t xml:space="preserve">tiga </w:t>
      </w:r>
      <w:r w:rsidR="000E6BD5" w:rsidRPr="008A28AF">
        <w:rPr>
          <w:rFonts w:ascii="Calibri Light" w:hAnsi="Calibri Light" w:cstheme="majorBidi"/>
          <w:sz w:val="24"/>
          <w:szCs w:val="24"/>
        </w:rPr>
        <w:t xml:space="preserve"> kategori. Yaitu: </w:t>
      </w:r>
    </w:p>
    <w:p w:rsidR="00911F89" w:rsidRPr="008A28AF" w:rsidRDefault="00911F89" w:rsidP="003A21B0">
      <w:pPr>
        <w:pStyle w:val="ListParagraph"/>
        <w:numPr>
          <w:ilvl w:val="0"/>
          <w:numId w:val="4"/>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Sunah yang mutawatir dan tidak berbeda dengan teks dohir al Qur’an.</w:t>
      </w:r>
      <w:r w:rsidR="00115C7F" w:rsidRPr="008A28AF">
        <w:rPr>
          <w:rFonts w:ascii="Calibri Light" w:hAnsi="Calibri Light" w:cstheme="majorBidi"/>
          <w:sz w:val="24"/>
          <w:szCs w:val="24"/>
        </w:rPr>
        <w:t xml:space="preserve"> Seperti</w:t>
      </w:r>
      <w:r w:rsidR="0042525A" w:rsidRPr="008A28AF">
        <w:rPr>
          <w:rFonts w:ascii="Calibri Light" w:hAnsi="Calibri Light" w:cstheme="majorBidi"/>
          <w:sz w:val="24"/>
          <w:szCs w:val="24"/>
        </w:rPr>
        <w:t xml:space="preserve"> bilangan sholat sehari semalam, rokaat </w:t>
      </w:r>
      <w:r w:rsidR="00115C7F" w:rsidRPr="008A28AF">
        <w:rPr>
          <w:rFonts w:ascii="Calibri Light" w:hAnsi="Calibri Light" w:cstheme="majorBidi"/>
          <w:sz w:val="24"/>
          <w:szCs w:val="24"/>
        </w:rPr>
        <w:t xml:space="preserve">shalat </w:t>
      </w:r>
      <w:r w:rsidR="0042525A" w:rsidRPr="008A28AF">
        <w:rPr>
          <w:rFonts w:ascii="Calibri Light" w:hAnsi="Calibri Light" w:cstheme="majorBidi"/>
          <w:sz w:val="24"/>
          <w:szCs w:val="24"/>
        </w:rPr>
        <w:t xml:space="preserve">lima waktu, klasifikasi </w:t>
      </w:r>
      <w:r w:rsidR="00115C7F" w:rsidRPr="008A28AF">
        <w:rPr>
          <w:rFonts w:ascii="Calibri Light" w:hAnsi="Calibri Light" w:cstheme="majorBidi"/>
          <w:sz w:val="24"/>
          <w:szCs w:val="24"/>
        </w:rPr>
        <w:t xml:space="preserve">nisab </w:t>
      </w:r>
      <w:r w:rsidR="0042525A" w:rsidRPr="008A28AF">
        <w:rPr>
          <w:rFonts w:ascii="Calibri Light" w:hAnsi="Calibri Light" w:cstheme="majorBidi"/>
          <w:sz w:val="24"/>
          <w:szCs w:val="24"/>
        </w:rPr>
        <w:t xml:space="preserve">pada </w:t>
      </w:r>
      <w:r w:rsidR="00115C7F" w:rsidRPr="008A28AF">
        <w:rPr>
          <w:rFonts w:ascii="Calibri Light" w:hAnsi="Calibri Light" w:cstheme="majorBidi"/>
          <w:sz w:val="24"/>
          <w:szCs w:val="24"/>
        </w:rPr>
        <w:t xml:space="preserve">zakat, </w:t>
      </w:r>
      <w:r w:rsidR="0042525A" w:rsidRPr="008A28AF">
        <w:rPr>
          <w:rFonts w:ascii="Calibri Light" w:hAnsi="Calibri Light" w:cstheme="majorBidi"/>
          <w:sz w:val="24"/>
          <w:szCs w:val="24"/>
        </w:rPr>
        <w:t>pelaksanaa</w:t>
      </w:r>
      <w:r w:rsidR="008204EE" w:rsidRPr="008A28AF">
        <w:rPr>
          <w:rFonts w:ascii="Calibri Light" w:hAnsi="Calibri Light" w:cstheme="majorBidi"/>
          <w:sz w:val="24"/>
          <w:szCs w:val="24"/>
        </w:rPr>
        <w:t>n</w:t>
      </w:r>
      <w:r w:rsidR="0042525A" w:rsidRPr="008A28AF">
        <w:rPr>
          <w:rFonts w:ascii="Calibri Light" w:hAnsi="Calibri Light" w:cstheme="majorBidi"/>
          <w:sz w:val="24"/>
          <w:szCs w:val="24"/>
        </w:rPr>
        <w:t xml:space="preserve"> ibdah </w:t>
      </w:r>
      <w:r w:rsidR="00115C7F" w:rsidRPr="008A28AF">
        <w:rPr>
          <w:rFonts w:ascii="Calibri Light" w:hAnsi="Calibri Light" w:cstheme="majorBidi"/>
          <w:sz w:val="24"/>
          <w:szCs w:val="24"/>
        </w:rPr>
        <w:t>haji</w:t>
      </w:r>
      <w:r w:rsidR="0042525A" w:rsidRPr="008A28AF">
        <w:rPr>
          <w:rFonts w:ascii="Calibri Light" w:hAnsi="Calibri Light" w:cstheme="majorBidi"/>
          <w:sz w:val="24"/>
          <w:szCs w:val="24"/>
        </w:rPr>
        <w:t xml:space="preserve"> umroh dan </w:t>
      </w:r>
      <w:r w:rsidR="008204EE" w:rsidRPr="008A28AF">
        <w:rPr>
          <w:rFonts w:ascii="Calibri Light" w:hAnsi="Calibri Light" w:cstheme="majorBidi"/>
          <w:sz w:val="24"/>
          <w:szCs w:val="24"/>
        </w:rPr>
        <w:t xml:space="preserve">beberapa hukum yang tidak dapat diketahui </w:t>
      </w:r>
      <w:r w:rsidR="0022382E" w:rsidRPr="008A28AF">
        <w:rPr>
          <w:rFonts w:ascii="Calibri Light" w:hAnsi="Calibri Light" w:cstheme="majorBidi"/>
          <w:sz w:val="24"/>
          <w:szCs w:val="24"/>
        </w:rPr>
        <w:t>kecuali dengan jalan keterangan dari hadist.</w:t>
      </w:r>
      <w:r w:rsidR="00252839" w:rsidRPr="008A28AF">
        <w:rPr>
          <w:rStyle w:val="FootnoteReference"/>
          <w:rFonts w:ascii="Calibri Light" w:hAnsi="Calibri Light"/>
          <w:sz w:val="24"/>
          <w:szCs w:val="24"/>
        </w:rPr>
        <w:footnoteReference w:id="13"/>
      </w:r>
      <w:r w:rsidR="008204EE" w:rsidRPr="008A28AF">
        <w:rPr>
          <w:rFonts w:ascii="Calibri Light" w:hAnsi="Calibri Light" w:cstheme="majorBidi"/>
          <w:sz w:val="24"/>
          <w:szCs w:val="24"/>
        </w:rPr>
        <w:t xml:space="preserve"> </w:t>
      </w:r>
    </w:p>
    <w:p w:rsidR="006A0B24" w:rsidRPr="008A28AF" w:rsidRDefault="006A0B24" w:rsidP="003A21B0">
      <w:pPr>
        <w:pStyle w:val="ListParagraph"/>
        <w:numPr>
          <w:ilvl w:val="0"/>
          <w:numId w:val="4"/>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 xml:space="preserve">Sunnah mutawatir yang tidak menafsirkan dari teks dhohir al Qur'an, atau pada dhahir teks sunnah berbeda dengan al Qur’an, tapi </w:t>
      </w:r>
      <w:r w:rsidR="00A81565" w:rsidRPr="008A28AF">
        <w:rPr>
          <w:rFonts w:ascii="Calibri Light" w:hAnsi="Calibri Light" w:cstheme="majorBidi"/>
          <w:sz w:val="24"/>
          <w:szCs w:val="24"/>
        </w:rPr>
        <w:t xml:space="preserve">memunculkan pemaknaan pada hukum baru. Seperti sunnah-sunnah </w:t>
      </w:r>
      <w:r w:rsidRPr="008A28AF">
        <w:rPr>
          <w:rFonts w:ascii="Calibri Light" w:hAnsi="Calibri Light" w:cstheme="majorBidi"/>
          <w:sz w:val="24"/>
          <w:szCs w:val="24"/>
        </w:rPr>
        <w:t xml:space="preserve">yang </w:t>
      </w:r>
      <w:r w:rsidR="00A81565" w:rsidRPr="008A28AF">
        <w:rPr>
          <w:rFonts w:ascii="Calibri Light" w:hAnsi="Calibri Light" w:cstheme="majorBidi"/>
          <w:sz w:val="24"/>
          <w:szCs w:val="24"/>
        </w:rPr>
        <w:t xml:space="preserve">memunculkan </w:t>
      </w:r>
      <w:r w:rsidRPr="008A28AF">
        <w:rPr>
          <w:rFonts w:ascii="Calibri Light" w:hAnsi="Calibri Light" w:cstheme="majorBidi"/>
          <w:sz w:val="24"/>
          <w:szCs w:val="24"/>
        </w:rPr>
        <w:t xml:space="preserve">hukum baru </w:t>
      </w:r>
      <w:r w:rsidR="00A81565" w:rsidRPr="008A28AF">
        <w:rPr>
          <w:rFonts w:ascii="Calibri Light" w:hAnsi="Calibri Light" w:cstheme="majorBidi"/>
          <w:sz w:val="24"/>
          <w:szCs w:val="24"/>
        </w:rPr>
        <w:t xml:space="preserve">meskipun tidak terdapat dalam </w:t>
      </w:r>
      <w:r w:rsidRPr="008A28AF">
        <w:rPr>
          <w:rFonts w:ascii="Calibri Light" w:hAnsi="Calibri Light" w:cstheme="majorBidi"/>
          <w:sz w:val="24"/>
          <w:szCs w:val="24"/>
        </w:rPr>
        <w:t xml:space="preserve">terdapat dalam </w:t>
      </w:r>
      <w:r w:rsidR="00A81565" w:rsidRPr="008A28AF">
        <w:rPr>
          <w:rFonts w:ascii="Calibri Light" w:hAnsi="Calibri Light" w:cstheme="majorBidi"/>
          <w:sz w:val="24"/>
          <w:szCs w:val="24"/>
        </w:rPr>
        <w:t>al Qur’an</w:t>
      </w:r>
      <w:r w:rsidR="00743118" w:rsidRPr="008A28AF">
        <w:rPr>
          <w:rFonts w:ascii="Calibri Light" w:hAnsi="Calibri Light" w:cstheme="majorBidi"/>
          <w:sz w:val="24"/>
          <w:szCs w:val="24"/>
        </w:rPr>
        <w:t xml:space="preserve"> dan </w:t>
      </w:r>
      <w:r w:rsidRPr="008A28AF">
        <w:rPr>
          <w:rFonts w:ascii="Calibri Light" w:hAnsi="Calibri Light" w:cstheme="majorBidi"/>
          <w:sz w:val="24"/>
          <w:szCs w:val="24"/>
        </w:rPr>
        <w:t xml:space="preserve">tidak bertentangan pada dhahirnya. </w:t>
      </w:r>
      <w:r w:rsidR="00743118" w:rsidRPr="008A28AF">
        <w:rPr>
          <w:rFonts w:ascii="Calibri Light" w:hAnsi="Calibri Light" w:cstheme="majorBidi"/>
          <w:sz w:val="24"/>
          <w:szCs w:val="24"/>
        </w:rPr>
        <w:t>Seperti</w:t>
      </w:r>
      <w:r w:rsidRPr="008A28AF">
        <w:rPr>
          <w:rFonts w:ascii="Calibri Light" w:hAnsi="Calibri Light" w:cstheme="majorBidi"/>
          <w:sz w:val="24"/>
          <w:szCs w:val="24"/>
        </w:rPr>
        <w:t xml:space="preserve">, nisabnya mencuri, </w:t>
      </w:r>
      <w:r w:rsidR="00766A92" w:rsidRPr="008A28AF">
        <w:rPr>
          <w:rFonts w:ascii="Calibri Light" w:hAnsi="Calibri Light" w:cstheme="majorBidi"/>
          <w:sz w:val="24"/>
          <w:szCs w:val="24"/>
        </w:rPr>
        <w:t xml:space="preserve">hukum rajam </w:t>
      </w:r>
      <w:r w:rsidRPr="008A28AF">
        <w:rPr>
          <w:rFonts w:ascii="Calibri Light" w:hAnsi="Calibri Light" w:cstheme="majorBidi"/>
          <w:sz w:val="24"/>
          <w:szCs w:val="24"/>
        </w:rPr>
        <w:t xml:space="preserve">bagi </w:t>
      </w:r>
      <w:r w:rsidR="00766A92" w:rsidRPr="008A28AF">
        <w:rPr>
          <w:rFonts w:ascii="Calibri Light" w:hAnsi="Calibri Light" w:cstheme="majorBidi"/>
          <w:sz w:val="24"/>
          <w:szCs w:val="24"/>
        </w:rPr>
        <w:t>orang yang melakukan perzinaan</w:t>
      </w:r>
      <w:r w:rsidRPr="008A28AF">
        <w:rPr>
          <w:rFonts w:ascii="Calibri Light" w:hAnsi="Calibri Light" w:cstheme="majorBidi"/>
          <w:sz w:val="24"/>
          <w:szCs w:val="24"/>
        </w:rPr>
        <w:t>, dan lain sebagainya.</w:t>
      </w:r>
      <w:r w:rsidR="00461C5C" w:rsidRPr="008A28AF">
        <w:rPr>
          <w:rStyle w:val="FootnoteReference"/>
          <w:rFonts w:ascii="Calibri Light" w:hAnsi="Calibri Light"/>
          <w:sz w:val="24"/>
          <w:szCs w:val="24"/>
        </w:rPr>
        <w:footnoteReference w:id="14"/>
      </w:r>
      <w:r w:rsidR="00652498" w:rsidRPr="008A28AF">
        <w:rPr>
          <w:rFonts w:ascii="Calibri Light" w:hAnsi="Calibri Light" w:cstheme="majorBidi"/>
          <w:sz w:val="24"/>
          <w:szCs w:val="24"/>
        </w:rPr>
        <w:t xml:space="preserve"> Dalam hal ini, Ibnu Taimiyah menyatakan bahwa seluruh ulama’ salaf menggunakan madzhab ini keculai golongan khowarij.</w:t>
      </w:r>
    </w:p>
    <w:p w:rsidR="0019637E" w:rsidRPr="008A28AF" w:rsidRDefault="00793406" w:rsidP="003A21B0">
      <w:pPr>
        <w:pStyle w:val="ListParagraph"/>
        <w:numPr>
          <w:ilvl w:val="0"/>
          <w:numId w:val="4"/>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 xml:space="preserve">Sunnah mutawatir yang dari Rosulullah yang diikuti dan sepakat dan diterima oleh beberapa ahli ilmu, </w:t>
      </w:r>
      <w:r w:rsidR="00636417" w:rsidRPr="008A28AF">
        <w:rPr>
          <w:rFonts w:ascii="Calibri Light" w:hAnsi="Calibri Light" w:cstheme="majorBidi"/>
          <w:sz w:val="24"/>
          <w:szCs w:val="24"/>
        </w:rPr>
        <w:t xml:space="preserve">ahli fiqh, ahli hadist, ahli tasowwuf serta yang sebagian dari ahli kalam dan ahli ro’yi mengingkarinya </w:t>
      </w:r>
      <w:r w:rsidR="000E75E3" w:rsidRPr="008A28AF">
        <w:rPr>
          <w:rFonts w:ascii="Calibri Light" w:hAnsi="Calibri Light" w:cstheme="majorBidi"/>
          <w:sz w:val="24"/>
          <w:szCs w:val="24"/>
        </w:rPr>
        <w:t>dengan berbgai persyaratan yang dipedomaninya.</w:t>
      </w:r>
      <w:r w:rsidR="0019637E" w:rsidRPr="008A28AF">
        <w:rPr>
          <w:rFonts w:ascii="Calibri Light" w:hAnsi="Calibri Light" w:cstheme="majorBidi"/>
          <w:sz w:val="24"/>
          <w:szCs w:val="24"/>
        </w:rPr>
        <w:t xml:space="preserve"> Menurut Ibnu Taimiyyah, </w:t>
      </w:r>
      <w:r w:rsidR="003651A5" w:rsidRPr="008A28AF">
        <w:rPr>
          <w:rFonts w:ascii="Calibri Light" w:hAnsi="Calibri Light" w:cstheme="majorBidi"/>
          <w:sz w:val="24"/>
          <w:szCs w:val="24"/>
        </w:rPr>
        <w:t xml:space="preserve">penolakan terhadap hadist mengindikasikan penolakan dan penentangan terhadap keuniversalan </w:t>
      </w:r>
      <w:r w:rsidR="0019637E" w:rsidRPr="008A28AF">
        <w:rPr>
          <w:rFonts w:ascii="Calibri Light" w:hAnsi="Calibri Light" w:cstheme="majorBidi"/>
          <w:sz w:val="24"/>
          <w:szCs w:val="24"/>
        </w:rPr>
        <w:t>al</w:t>
      </w:r>
      <w:r w:rsidR="003651A5" w:rsidRPr="008A28AF">
        <w:rPr>
          <w:rFonts w:ascii="Calibri Light" w:hAnsi="Calibri Light" w:cstheme="majorBidi"/>
          <w:sz w:val="24"/>
          <w:szCs w:val="24"/>
        </w:rPr>
        <w:t xml:space="preserve"> </w:t>
      </w:r>
      <w:r w:rsidR="0019637E" w:rsidRPr="008A28AF">
        <w:rPr>
          <w:rFonts w:ascii="Calibri Light" w:hAnsi="Calibri Light" w:cstheme="majorBidi"/>
          <w:sz w:val="24"/>
          <w:szCs w:val="24"/>
        </w:rPr>
        <w:t xml:space="preserve">Qur'an. Pendapat </w:t>
      </w:r>
      <w:r w:rsidR="00854124" w:rsidRPr="008A28AF">
        <w:rPr>
          <w:rFonts w:ascii="Calibri Light" w:hAnsi="Calibri Light" w:cstheme="majorBidi"/>
          <w:sz w:val="24"/>
          <w:szCs w:val="24"/>
        </w:rPr>
        <w:t xml:space="preserve">yang dikemukakan tersebut sejalan dengan pandangan </w:t>
      </w:r>
      <w:r w:rsidR="0019637E" w:rsidRPr="008A28AF">
        <w:rPr>
          <w:rFonts w:ascii="Calibri Light" w:hAnsi="Calibri Light" w:cstheme="majorBidi"/>
          <w:sz w:val="24"/>
          <w:szCs w:val="24"/>
        </w:rPr>
        <w:t>Abu Hanifah, dan Imam Malik</w:t>
      </w:r>
      <w:r w:rsidR="00854124" w:rsidRPr="008A28AF">
        <w:rPr>
          <w:rFonts w:ascii="Calibri Light" w:hAnsi="Calibri Light" w:cstheme="majorBidi"/>
          <w:sz w:val="24"/>
          <w:szCs w:val="24"/>
        </w:rPr>
        <w:t xml:space="preserve">. Dan Imam Malik </w:t>
      </w:r>
      <w:r w:rsidR="0019637E" w:rsidRPr="008A28AF">
        <w:rPr>
          <w:rFonts w:ascii="Calibri Light" w:hAnsi="Calibri Light" w:cstheme="majorBidi"/>
          <w:sz w:val="24"/>
          <w:szCs w:val="24"/>
        </w:rPr>
        <w:t xml:space="preserve"> </w:t>
      </w:r>
      <w:r w:rsidR="00854124" w:rsidRPr="008A28AF">
        <w:rPr>
          <w:rFonts w:ascii="Calibri Light" w:hAnsi="Calibri Light" w:cstheme="majorBidi"/>
          <w:sz w:val="24"/>
          <w:szCs w:val="24"/>
        </w:rPr>
        <w:t xml:space="preserve">menambahkan bahwa penolakan hadist mutawatir tersebut sama saja dengan melakukan penentangan dengan amaliyah </w:t>
      </w:r>
      <w:r w:rsidR="0019637E" w:rsidRPr="008A28AF">
        <w:rPr>
          <w:rFonts w:ascii="Calibri Light" w:hAnsi="Calibri Light" w:cstheme="majorBidi"/>
          <w:sz w:val="24"/>
          <w:szCs w:val="24"/>
        </w:rPr>
        <w:t>penduduk Madinah.</w:t>
      </w:r>
      <w:r w:rsidR="0019637E" w:rsidRPr="008A28AF">
        <w:rPr>
          <w:rStyle w:val="FootnoteReference"/>
          <w:rFonts w:ascii="Calibri Light" w:hAnsi="Calibri Light"/>
          <w:sz w:val="24"/>
          <w:szCs w:val="24"/>
        </w:rPr>
        <w:footnoteReference w:id="15"/>
      </w:r>
    </w:p>
    <w:p w:rsidR="001D2D74" w:rsidRPr="008A28AF" w:rsidRDefault="002A52E8" w:rsidP="003A21B0">
      <w:pPr>
        <w:pStyle w:val="ListParagraph"/>
        <w:numPr>
          <w:ilvl w:val="0"/>
          <w:numId w:val="3"/>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lastRenderedPageBreak/>
        <w:t>Ijma’</w:t>
      </w:r>
    </w:p>
    <w:p w:rsidR="0083649E" w:rsidRPr="008A28AF" w:rsidRDefault="00F665E2"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Ibnu Taimiyah berpendapat bahwa ijma’ itu mungkin dan bisa ada dan dijadikan dalam hujjah melainkan hanya dalam masa shohabat.</w:t>
      </w:r>
      <w:r w:rsidR="003A4E35" w:rsidRPr="008A28AF">
        <w:rPr>
          <w:rFonts w:ascii="Calibri Light" w:hAnsi="Calibri Light" w:cstheme="majorBidi"/>
          <w:sz w:val="24"/>
          <w:szCs w:val="24"/>
        </w:rPr>
        <w:t xml:space="preserve"> Oleh karena itu para ahli ilmu berbeda pendapat tentang apa saja dari kesepakatan-kesepakatan yang muncul setelah shohabat.   Seperti ijma’ tabi’in atas perkataan sohabat</w:t>
      </w:r>
      <w:r w:rsidR="003A647B" w:rsidRPr="008A28AF">
        <w:rPr>
          <w:rFonts w:ascii="Calibri Light" w:hAnsi="Calibri Light" w:cstheme="majorBidi"/>
          <w:sz w:val="24"/>
          <w:szCs w:val="24"/>
        </w:rPr>
        <w:t xml:space="preserve">. </w:t>
      </w:r>
      <w:r w:rsidR="00DE038E" w:rsidRPr="008A28AF">
        <w:rPr>
          <w:rFonts w:ascii="Calibri Light" w:hAnsi="Calibri Light" w:cstheme="majorBidi"/>
          <w:sz w:val="24"/>
          <w:szCs w:val="24"/>
        </w:rPr>
        <w:t xml:space="preserve">Beliau </w:t>
      </w:r>
      <w:r w:rsidRPr="008A28AF">
        <w:rPr>
          <w:rFonts w:ascii="Calibri Light" w:hAnsi="Calibri Light" w:cstheme="majorBidi"/>
          <w:sz w:val="24"/>
          <w:szCs w:val="24"/>
        </w:rPr>
        <w:t xml:space="preserve">berpendapat bahwa ulama' </w:t>
      </w:r>
      <w:r w:rsidR="00DE038E" w:rsidRPr="008A28AF">
        <w:rPr>
          <w:rFonts w:ascii="Calibri Light" w:hAnsi="Calibri Light" w:cstheme="majorBidi"/>
          <w:sz w:val="24"/>
          <w:szCs w:val="24"/>
        </w:rPr>
        <w:t xml:space="preserve">tatkala melakukan </w:t>
      </w:r>
      <w:r w:rsidRPr="008A28AF">
        <w:rPr>
          <w:rFonts w:ascii="Calibri Light" w:hAnsi="Calibri Light" w:cstheme="majorBidi"/>
          <w:sz w:val="24"/>
          <w:szCs w:val="24"/>
        </w:rPr>
        <w:t xml:space="preserve">ijma' atas suatu </w:t>
      </w:r>
      <w:r w:rsidR="005B345D" w:rsidRPr="008A28AF">
        <w:rPr>
          <w:rFonts w:ascii="Calibri Light" w:hAnsi="Calibri Light" w:cstheme="majorBidi"/>
          <w:sz w:val="24"/>
          <w:szCs w:val="24"/>
        </w:rPr>
        <w:t xml:space="preserve">permasalahan </w:t>
      </w:r>
      <w:r w:rsidRPr="008A28AF">
        <w:rPr>
          <w:rFonts w:ascii="Calibri Light" w:hAnsi="Calibri Light" w:cstheme="majorBidi"/>
          <w:sz w:val="24"/>
          <w:szCs w:val="24"/>
        </w:rPr>
        <w:t xml:space="preserve">hukum, maka </w:t>
      </w:r>
      <w:r w:rsidR="005B345D" w:rsidRPr="008A28AF">
        <w:rPr>
          <w:rFonts w:ascii="Calibri Light" w:hAnsi="Calibri Light" w:cstheme="majorBidi"/>
          <w:sz w:val="24"/>
          <w:szCs w:val="24"/>
        </w:rPr>
        <w:t xml:space="preserve">orang tersebut tidak diperbolehkan untuk </w:t>
      </w:r>
      <w:r w:rsidRPr="008A28AF">
        <w:rPr>
          <w:rFonts w:ascii="Calibri Light" w:hAnsi="Calibri Light" w:cstheme="majorBidi"/>
          <w:sz w:val="24"/>
          <w:szCs w:val="24"/>
        </w:rPr>
        <w:t xml:space="preserve">keluar dari </w:t>
      </w:r>
      <w:r w:rsidR="005B345D" w:rsidRPr="008A28AF">
        <w:rPr>
          <w:rFonts w:ascii="Calibri Light" w:hAnsi="Calibri Light" w:cstheme="majorBidi"/>
          <w:sz w:val="24"/>
          <w:szCs w:val="24"/>
        </w:rPr>
        <w:t xml:space="preserve">proses </w:t>
      </w:r>
      <w:r w:rsidRPr="008A28AF">
        <w:rPr>
          <w:rFonts w:ascii="Calibri Light" w:hAnsi="Calibri Light" w:cstheme="majorBidi"/>
          <w:sz w:val="24"/>
          <w:szCs w:val="24"/>
        </w:rPr>
        <w:t>ijma' itu</w:t>
      </w:r>
      <w:r w:rsidR="005B345D" w:rsidRPr="008A28AF">
        <w:rPr>
          <w:rFonts w:ascii="Calibri Light" w:hAnsi="Calibri Light" w:cstheme="majorBidi"/>
          <w:sz w:val="24"/>
          <w:szCs w:val="24"/>
        </w:rPr>
        <w:t>. Ini dasari kenyataan bahwa</w:t>
      </w:r>
      <w:r w:rsidRPr="008A28AF">
        <w:rPr>
          <w:rFonts w:ascii="Calibri Light" w:hAnsi="Calibri Light" w:cstheme="majorBidi"/>
          <w:sz w:val="24"/>
          <w:szCs w:val="24"/>
        </w:rPr>
        <w:t xml:space="preserve"> suatu umat </w:t>
      </w:r>
      <w:r w:rsidR="005B345D" w:rsidRPr="008A28AF">
        <w:rPr>
          <w:rFonts w:ascii="Calibri Light" w:hAnsi="Calibri Light" w:cstheme="majorBidi"/>
          <w:sz w:val="24"/>
          <w:szCs w:val="24"/>
        </w:rPr>
        <w:t xml:space="preserve">tidak melakukan kesepakatan (ijma) dalam </w:t>
      </w:r>
      <w:r w:rsidRPr="008A28AF">
        <w:rPr>
          <w:rFonts w:ascii="Calibri Light" w:hAnsi="Calibri Light" w:cstheme="majorBidi"/>
          <w:sz w:val="24"/>
          <w:szCs w:val="24"/>
        </w:rPr>
        <w:t xml:space="preserve">kesesatan. </w:t>
      </w:r>
    </w:p>
    <w:p w:rsidR="00884C41" w:rsidRPr="008A28AF" w:rsidRDefault="00100FAC"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Dan bealiau menambahkan bahwa ijma yang dilakukan haruslah bersandar pada nash al </w:t>
      </w:r>
      <w:r w:rsidR="00F665E2" w:rsidRPr="008A28AF">
        <w:rPr>
          <w:rFonts w:ascii="Calibri Light" w:hAnsi="Calibri Light" w:cstheme="majorBidi"/>
          <w:sz w:val="24"/>
          <w:szCs w:val="24"/>
        </w:rPr>
        <w:t>Qur'an dan hadit</w:t>
      </w:r>
      <w:r w:rsidRPr="008A28AF">
        <w:rPr>
          <w:rFonts w:ascii="Calibri Light" w:hAnsi="Calibri Light" w:cstheme="majorBidi"/>
          <w:sz w:val="24"/>
          <w:szCs w:val="24"/>
        </w:rPr>
        <w:t>s</w:t>
      </w:r>
      <w:r w:rsidR="005E6F1F" w:rsidRPr="008A28AF">
        <w:rPr>
          <w:rFonts w:ascii="Calibri Light" w:hAnsi="Calibri Light" w:cstheme="majorBidi"/>
          <w:sz w:val="24"/>
          <w:szCs w:val="24"/>
        </w:rPr>
        <w:t xml:space="preserve">. Dan Ijma yang memenuhi kaedah ini adalah </w:t>
      </w:r>
      <w:r w:rsidR="00884C41" w:rsidRPr="008A28AF">
        <w:rPr>
          <w:rFonts w:ascii="Calibri Light" w:hAnsi="Calibri Light" w:cstheme="majorBidi"/>
          <w:sz w:val="24"/>
          <w:szCs w:val="24"/>
        </w:rPr>
        <w:t>ijma yang layak untuk dijadikan pedoman dan dalil atas suatu hukum.</w:t>
      </w:r>
      <w:r w:rsidR="00955FBF" w:rsidRPr="008A28AF">
        <w:rPr>
          <w:rFonts w:ascii="Calibri Light" w:hAnsi="Calibri Light" w:cstheme="majorBidi"/>
          <w:sz w:val="24"/>
          <w:szCs w:val="24"/>
        </w:rPr>
        <w:t xml:space="preserve"> </w:t>
      </w:r>
      <w:r w:rsidR="00AA7FA5" w:rsidRPr="008A28AF">
        <w:rPr>
          <w:rFonts w:ascii="Calibri Light" w:hAnsi="Calibri Light" w:cstheme="majorBidi"/>
          <w:sz w:val="24"/>
          <w:szCs w:val="24"/>
        </w:rPr>
        <w:t xml:space="preserve">Realita huku dalam masalah ijma’ ini adalah </w:t>
      </w:r>
      <w:r w:rsidR="004357B0" w:rsidRPr="008A28AF">
        <w:rPr>
          <w:rFonts w:ascii="Calibri Light" w:hAnsi="Calibri Light" w:cstheme="majorBidi"/>
          <w:sz w:val="24"/>
          <w:szCs w:val="24"/>
        </w:rPr>
        <w:t xml:space="preserve">banyak </w:t>
      </w:r>
      <w:r w:rsidR="00AA7FA5" w:rsidRPr="008A28AF">
        <w:rPr>
          <w:rFonts w:ascii="Calibri Light" w:hAnsi="Calibri Light" w:cstheme="majorBidi"/>
          <w:sz w:val="24"/>
          <w:szCs w:val="24"/>
        </w:rPr>
        <w:t xml:space="preserve">problem </w:t>
      </w:r>
      <w:r w:rsidR="004357B0" w:rsidRPr="008A28AF">
        <w:rPr>
          <w:rFonts w:ascii="Calibri Light" w:hAnsi="Calibri Light" w:cstheme="majorBidi"/>
          <w:sz w:val="24"/>
          <w:szCs w:val="24"/>
        </w:rPr>
        <w:t xml:space="preserve">hukum yang </w:t>
      </w:r>
      <w:r w:rsidR="00AA7FA5" w:rsidRPr="008A28AF">
        <w:rPr>
          <w:rFonts w:ascii="Calibri Light" w:hAnsi="Calibri Light" w:cstheme="majorBidi"/>
          <w:sz w:val="24"/>
          <w:szCs w:val="24"/>
        </w:rPr>
        <w:t xml:space="preserve">disangka </w:t>
      </w:r>
      <w:r w:rsidR="004357B0" w:rsidRPr="008A28AF">
        <w:rPr>
          <w:rFonts w:ascii="Calibri Light" w:hAnsi="Calibri Light" w:cstheme="majorBidi"/>
          <w:sz w:val="24"/>
          <w:szCs w:val="24"/>
        </w:rPr>
        <w:t xml:space="preserve">telah </w:t>
      </w:r>
      <w:r w:rsidR="00AA7FA5" w:rsidRPr="008A28AF">
        <w:rPr>
          <w:rFonts w:ascii="Calibri Light" w:hAnsi="Calibri Light" w:cstheme="majorBidi"/>
          <w:sz w:val="24"/>
          <w:szCs w:val="24"/>
        </w:rPr>
        <w:t>telah terjadi ijma’</w:t>
      </w:r>
      <w:r w:rsidR="004357B0" w:rsidRPr="008A28AF">
        <w:rPr>
          <w:rFonts w:ascii="Calibri Light" w:hAnsi="Calibri Light" w:cstheme="majorBidi"/>
          <w:sz w:val="24"/>
          <w:szCs w:val="24"/>
        </w:rPr>
        <w:t xml:space="preserve">, </w:t>
      </w:r>
      <w:r w:rsidR="00AA7FA5" w:rsidRPr="008A28AF">
        <w:rPr>
          <w:rFonts w:ascii="Calibri Light" w:hAnsi="Calibri Light" w:cstheme="majorBidi"/>
          <w:sz w:val="24"/>
          <w:szCs w:val="24"/>
        </w:rPr>
        <w:t>namun hakikatnya kebalikannya</w:t>
      </w:r>
      <w:r w:rsidR="004357B0" w:rsidRPr="008A28AF">
        <w:rPr>
          <w:rFonts w:ascii="Calibri Light" w:hAnsi="Calibri Light" w:cstheme="majorBidi"/>
          <w:sz w:val="24"/>
          <w:szCs w:val="24"/>
        </w:rPr>
        <w:t xml:space="preserve">, bahkan pendapat yang </w:t>
      </w:r>
      <w:r w:rsidR="00AB416E" w:rsidRPr="008A28AF">
        <w:rPr>
          <w:rFonts w:ascii="Calibri Light" w:hAnsi="Calibri Light" w:cstheme="majorBidi"/>
          <w:sz w:val="24"/>
          <w:szCs w:val="24"/>
        </w:rPr>
        <w:t xml:space="preserve">berlainan dengan metode lain (ijtihad) </w:t>
      </w:r>
      <w:r w:rsidR="004357B0" w:rsidRPr="008A28AF">
        <w:rPr>
          <w:rFonts w:ascii="Calibri Light" w:hAnsi="Calibri Light" w:cstheme="majorBidi"/>
          <w:sz w:val="24"/>
          <w:szCs w:val="24"/>
        </w:rPr>
        <w:t xml:space="preserve">dengan </w:t>
      </w:r>
      <w:r w:rsidR="00AB416E" w:rsidRPr="008A28AF">
        <w:rPr>
          <w:rFonts w:ascii="Calibri Light" w:hAnsi="Calibri Light" w:cstheme="majorBidi"/>
          <w:sz w:val="24"/>
          <w:szCs w:val="24"/>
        </w:rPr>
        <w:t>permasalahan hukum yang diduga telah terjadi ijma’ lebih kredibel dalam menyikapi permasalahn tersebut</w:t>
      </w:r>
      <w:r w:rsidR="004357B0" w:rsidRPr="008A28AF">
        <w:rPr>
          <w:rFonts w:ascii="Calibri Light" w:hAnsi="Calibri Light" w:cstheme="majorBidi"/>
          <w:sz w:val="24"/>
          <w:szCs w:val="24"/>
        </w:rPr>
        <w:t>.”</w:t>
      </w:r>
      <w:r w:rsidR="004357B0" w:rsidRPr="008A28AF">
        <w:rPr>
          <w:rStyle w:val="FootnoteReference"/>
          <w:rFonts w:ascii="Calibri Light" w:hAnsi="Calibri Light"/>
          <w:sz w:val="24"/>
          <w:szCs w:val="24"/>
        </w:rPr>
        <w:footnoteReference w:id="16"/>
      </w:r>
    </w:p>
    <w:p w:rsidR="00F665E2" w:rsidRPr="008A28AF" w:rsidRDefault="002C42FF"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Selanjutnya adalah jika ijma’ dan hadis terjadi kontradiksi</w:t>
      </w:r>
      <w:r w:rsidR="000C17E5" w:rsidRPr="008A28AF">
        <w:rPr>
          <w:rFonts w:ascii="Calibri Light" w:hAnsi="Calibri Light" w:cstheme="majorBidi"/>
          <w:sz w:val="24"/>
          <w:szCs w:val="24"/>
        </w:rPr>
        <w:t>,</w:t>
      </w:r>
      <w:r w:rsidRPr="008A28AF">
        <w:rPr>
          <w:rFonts w:ascii="Calibri Light" w:hAnsi="Calibri Light" w:cstheme="majorBidi"/>
          <w:sz w:val="24"/>
          <w:szCs w:val="24"/>
        </w:rPr>
        <w:t xml:space="preserve"> </w:t>
      </w:r>
      <w:r w:rsidR="00F665E2" w:rsidRPr="008A28AF">
        <w:rPr>
          <w:rFonts w:ascii="Calibri Light" w:hAnsi="Calibri Light" w:cstheme="majorBidi"/>
          <w:sz w:val="24"/>
          <w:szCs w:val="24"/>
        </w:rPr>
        <w:t xml:space="preserve">apakah </w:t>
      </w:r>
      <w:r w:rsidR="000C17E5" w:rsidRPr="008A28AF">
        <w:rPr>
          <w:rFonts w:ascii="Calibri Light" w:hAnsi="Calibri Light" w:cstheme="majorBidi"/>
          <w:sz w:val="24"/>
          <w:szCs w:val="24"/>
        </w:rPr>
        <w:t xml:space="preserve">pengambilan </w:t>
      </w:r>
      <w:r w:rsidR="00F665E2" w:rsidRPr="008A28AF">
        <w:rPr>
          <w:rFonts w:ascii="Calibri Light" w:hAnsi="Calibri Light" w:cstheme="majorBidi"/>
          <w:sz w:val="24"/>
          <w:szCs w:val="24"/>
        </w:rPr>
        <w:t xml:space="preserve">ijma' </w:t>
      </w:r>
      <w:r w:rsidR="000C17E5" w:rsidRPr="008A28AF">
        <w:rPr>
          <w:rFonts w:ascii="Calibri Light" w:hAnsi="Calibri Light" w:cstheme="majorBidi"/>
          <w:sz w:val="24"/>
          <w:szCs w:val="24"/>
        </w:rPr>
        <w:t xml:space="preserve">sebagai dalil lebih didahulukan dan berstatus menasakh dari nas tersebut? Atau sebaliknya menggunakan </w:t>
      </w:r>
      <w:r w:rsidR="00F665E2" w:rsidRPr="008A28AF">
        <w:rPr>
          <w:rFonts w:ascii="Calibri Light" w:hAnsi="Calibri Light" w:cstheme="majorBidi"/>
          <w:sz w:val="24"/>
          <w:szCs w:val="24"/>
        </w:rPr>
        <w:t>nash</w:t>
      </w:r>
      <w:r w:rsidR="000C17E5" w:rsidRPr="008A28AF">
        <w:rPr>
          <w:rFonts w:ascii="Calibri Light" w:hAnsi="Calibri Light" w:cstheme="majorBidi"/>
          <w:sz w:val="24"/>
          <w:szCs w:val="24"/>
        </w:rPr>
        <w:t xml:space="preserve"> </w:t>
      </w:r>
      <w:r w:rsidR="00F665E2" w:rsidRPr="008A28AF">
        <w:rPr>
          <w:rFonts w:ascii="Calibri Light" w:hAnsi="Calibri Light" w:cstheme="majorBidi"/>
          <w:sz w:val="24"/>
          <w:szCs w:val="24"/>
        </w:rPr>
        <w:t xml:space="preserve">dan </w:t>
      </w:r>
      <w:r w:rsidR="000C17E5" w:rsidRPr="008A28AF">
        <w:rPr>
          <w:rFonts w:ascii="Calibri Light" w:hAnsi="Calibri Light" w:cstheme="majorBidi"/>
          <w:sz w:val="24"/>
          <w:szCs w:val="24"/>
        </w:rPr>
        <w:t xml:space="preserve">meninggalkan ijma'? </w:t>
      </w:r>
      <w:r w:rsidR="00F665E2" w:rsidRPr="008A28AF">
        <w:rPr>
          <w:rFonts w:ascii="Calibri Light" w:hAnsi="Calibri Light" w:cstheme="majorBidi"/>
          <w:sz w:val="24"/>
          <w:szCs w:val="24"/>
        </w:rPr>
        <w:t xml:space="preserve">Ibnu Taimiyyah </w:t>
      </w:r>
      <w:r w:rsidR="000C17E5" w:rsidRPr="008A28AF">
        <w:rPr>
          <w:rFonts w:ascii="Calibri Light" w:hAnsi="Calibri Light" w:cstheme="majorBidi"/>
          <w:sz w:val="24"/>
          <w:szCs w:val="24"/>
        </w:rPr>
        <w:t xml:space="preserve">menyatakan bahwa itu merupakan suatu hal yang </w:t>
      </w:r>
      <w:r w:rsidR="00F665E2" w:rsidRPr="008A28AF">
        <w:rPr>
          <w:rFonts w:ascii="Calibri Light" w:hAnsi="Calibri Light" w:cstheme="majorBidi"/>
          <w:sz w:val="24"/>
          <w:szCs w:val="24"/>
        </w:rPr>
        <w:t xml:space="preserve">mustahil </w:t>
      </w:r>
      <w:r w:rsidR="000C17E5" w:rsidRPr="008A28AF">
        <w:rPr>
          <w:rFonts w:ascii="Calibri Light" w:hAnsi="Calibri Light" w:cstheme="majorBidi"/>
          <w:sz w:val="24"/>
          <w:szCs w:val="24"/>
        </w:rPr>
        <w:t xml:space="preserve">terdapat </w:t>
      </w:r>
      <w:r w:rsidR="00F665E2" w:rsidRPr="008A28AF">
        <w:rPr>
          <w:rFonts w:ascii="Calibri Light" w:hAnsi="Calibri Light" w:cstheme="majorBidi"/>
          <w:sz w:val="24"/>
          <w:szCs w:val="24"/>
        </w:rPr>
        <w:t xml:space="preserve">ijma' yang </w:t>
      </w:r>
      <w:r w:rsidR="000C17E5" w:rsidRPr="008A28AF">
        <w:rPr>
          <w:rFonts w:ascii="Calibri Light" w:hAnsi="Calibri Light" w:cstheme="majorBidi"/>
          <w:sz w:val="24"/>
          <w:szCs w:val="24"/>
        </w:rPr>
        <w:t>berbeda dengan sunah</w:t>
      </w:r>
      <w:r w:rsidR="00F665E2" w:rsidRPr="008A28AF">
        <w:rPr>
          <w:rFonts w:ascii="Calibri Light" w:hAnsi="Calibri Light" w:cstheme="majorBidi"/>
          <w:sz w:val="24"/>
          <w:szCs w:val="24"/>
        </w:rPr>
        <w:t>. Jika</w:t>
      </w:r>
      <w:r w:rsidR="00FF4CC0" w:rsidRPr="008A28AF">
        <w:rPr>
          <w:rFonts w:ascii="Calibri Light" w:hAnsi="Calibri Light" w:cstheme="majorBidi"/>
          <w:sz w:val="24"/>
          <w:szCs w:val="24"/>
        </w:rPr>
        <w:t xml:space="preserve">pun terdapat sunnah berbeda </w:t>
      </w:r>
      <w:r w:rsidR="00F665E2" w:rsidRPr="008A28AF">
        <w:rPr>
          <w:rFonts w:ascii="Calibri Light" w:hAnsi="Calibri Light" w:cstheme="majorBidi"/>
          <w:sz w:val="24"/>
          <w:szCs w:val="24"/>
        </w:rPr>
        <w:t>dengan ijma'</w:t>
      </w:r>
      <w:r w:rsidR="00FF4CC0" w:rsidRPr="008A28AF">
        <w:rPr>
          <w:rFonts w:ascii="Calibri Light" w:hAnsi="Calibri Light" w:cstheme="majorBidi"/>
          <w:sz w:val="24"/>
          <w:szCs w:val="24"/>
        </w:rPr>
        <w:t>,</w:t>
      </w:r>
      <w:r w:rsidR="00F665E2" w:rsidRPr="008A28AF">
        <w:rPr>
          <w:rFonts w:ascii="Calibri Light" w:hAnsi="Calibri Light" w:cstheme="majorBidi"/>
          <w:sz w:val="24"/>
          <w:szCs w:val="24"/>
        </w:rPr>
        <w:t xml:space="preserve"> maka di samping ijma' itu pasti </w:t>
      </w:r>
      <w:r w:rsidR="00FF4CC0" w:rsidRPr="008A28AF">
        <w:rPr>
          <w:rFonts w:ascii="Calibri Light" w:hAnsi="Calibri Light" w:cstheme="majorBidi"/>
          <w:sz w:val="24"/>
          <w:szCs w:val="24"/>
        </w:rPr>
        <w:t xml:space="preserve">terdapat </w:t>
      </w:r>
      <w:r w:rsidR="00F665E2" w:rsidRPr="008A28AF">
        <w:rPr>
          <w:rFonts w:ascii="Calibri Light" w:hAnsi="Calibri Light" w:cstheme="majorBidi"/>
          <w:sz w:val="24"/>
          <w:szCs w:val="24"/>
        </w:rPr>
        <w:t xml:space="preserve">ada </w:t>
      </w:r>
      <w:r w:rsidR="00FF4CC0" w:rsidRPr="008A28AF">
        <w:rPr>
          <w:rFonts w:ascii="Calibri Light" w:hAnsi="Calibri Light" w:cstheme="majorBidi"/>
          <w:sz w:val="24"/>
          <w:szCs w:val="24"/>
        </w:rPr>
        <w:t xml:space="preserve">sunnah </w:t>
      </w:r>
      <w:r w:rsidR="00F665E2" w:rsidRPr="008A28AF">
        <w:rPr>
          <w:rFonts w:ascii="Calibri Light" w:hAnsi="Calibri Light" w:cstheme="majorBidi"/>
          <w:sz w:val="24"/>
          <w:szCs w:val="24"/>
        </w:rPr>
        <w:t xml:space="preserve">lain yang </w:t>
      </w:r>
      <w:r w:rsidR="00FF4CC0" w:rsidRPr="008A28AF">
        <w:rPr>
          <w:rFonts w:ascii="Calibri Light" w:hAnsi="Calibri Light" w:cstheme="majorBidi"/>
          <w:sz w:val="24"/>
          <w:szCs w:val="24"/>
        </w:rPr>
        <w:t>menjelaskan tentang  sunnah yang pertama.</w:t>
      </w:r>
      <w:r w:rsidR="00932AE8" w:rsidRPr="008A28AF">
        <w:rPr>
          <w:rFonts w:ascii="Calibri Light" w:hAnsi="Calibri Light" w:cstheme="majorBidi"/>
          <w:sz w:val="24"/>
          <w:szCs w:val="24"/>
        </w:rPr>
        <w:t xml:space="preserve"> Dan yang jelas tidak pernah ada </w:t>
      </w:r>
      <w:r w:rsidR="00F665E2" w:rsidRPr="008A28AF">
        <w:rPr>
          <w:rFonts w:ascii="Calibri Light" w:hAnsi="Calibri Light" w:cstheme="majorBidi"/>
          <w:sz w:val="24"/>
          <w:szCs w:val="24"/>
        </w:rPr>
        <w:t xml:space="preserve">sunnah </w:t>
      </w:r>
      <w:r w:rsidR="00932AE8" w:rsidRPr="008A28AF">
        <w:rPr>
          <w:rFonts w:ascii="Calibri Light" w:hAnsi="Calibri Light" w:cstheme="majorBidi"/>
          <w:sz w:val="24"/>
          <w:szCs w:val="24"/>
        </w:rPr>
        <w:t xml:space="preserve">merubah </w:t>
      </w:r>
      <w:r w:rsidR="00F665E2" w:rsidRPr="008A28AF">
        <w:rPr>
          <w:rFonts w:ascii="Calibri Light" w:hAnsi="Calibri Light" w:cstheme="majorBidi"/>
          <w:sz w:val="24"/>
          <w:szCs w:val="24"/>
        </w:rPr>
        <w:t xml:space="preserve">hukum yang </w:t>
      </w:r>
      <w:r w:rsidR="00932AE8" w:rsidRPr="008A28AF">
        <w:rPr>
          <w:rFonts w:ascii="Calibri Light" w:hAnsi="Calibri Light" w:cstheme="majorBidi"/>
          <w:sz w:val="24"/>
          <w:szCs w:val="24"/>
        </w:rPr>
        <w:t xml:space="preserve">ada dalam </w:t>
      </w:r>
      <w:r w:rsidR="00F665E2" w:rsidRPr="008A28AF">
        <w:rPr>
          <w:rFonts w:ascii="Calibri Light" w:hAnsi="Calibri Light" w:cstheme="majorBidi"/>
          <w:sz w:val="24"/>
          <w:szCs w:val="24"/>
        </w:rPr>
        <w:t>al</w:t>
      </w:r>
      <w:r w:rsidR="00932AE8" w:rsidRPr="008A28AF">
        <w:rPr>
          <w:rFonts w:ascii="Calibri Light" w:hAnsi="Calibri Light" w:cstheme="majorBidi"/>
          <w:sz w:val="24"/>
          <w:szCs w:val="24"/>
        </w:rPr>
        <w:t xml:space="preserve"> </w:t>
      </w:r>
      <w:r w:rsidR="00F665E2" w:rsidRPr="008A28AF">
        <w:rPr>
          <w:rFonts w:ascii="Calibri Light" w:hAnsi="Calibri Light" w:cstheme="majorBidi"/>
          <w:sz w:val="24"/>
          <w:szCs w:val="24"/>
        </w:rPr>
        <w:t xml:space="preserve">Qur'an, </w:t>
      </w:r>
      <w:r w:rsidR="00932AE8" w:rsidRPr="008A28AF">
        <w:rPr>
          <w:rFonts w:ascii="Calibri Light" w:hAnsi="Calibri Light" w:cstheme="majorBidi"/>
          <w:sz w:val="24"/>
          <w:szCs w:val="24"/>
        </w:rPr>
        <w:t xml:space="preserve">dan sebaliknya </w:t>
      </w:r>
      <w:r w:rsidR="00F665E2" w:rsidRPr="008A28AF">
        <w:rPr>
          <w:rFonts w:ascii="Calibri Light" w:hAnsi="Calibri Light" w:cstheme="majorBidi"/>
          <w:sz w:val="24"/>
          <w:szCs w:val="24"/>
        </w:rPr>
        <w:t xml:space="preserve">sunnah </w:t>
      </w:r>
      <w:r w:rsidR="00932AE8" w:rsidRPr="008A28AF">
        <w:rPr>
          <w:rFonts w:ascii="Calibri Light" w:hAnsi="Calibri Light" w:cstheme="majorBidi"/>
          <w:sz w:val="24"/>
          <w:szCs w:val="24"/>
        </w:rPr>
        <w:t xml:space="preserve">tidak pernah bisa </w:t>
      </w:r>
      <w:r w:rsidR="00F665E2" w:rsidRPr="008A28AF">
        <w:rPr>
          <w:rFonts w:ascii="Calibri Light" w:hAnsi="Calibri Light" w:cstheme="majorBidi"/>
          <w:sz w:val="24"/>
          <w:szCs w:val="24"/>
        </w:rPr>
        <w:t xml:space="preserve">dinasakh </w:t>
      </w:r>
      <w:r w:rsidR="00DC0E2F" w:rsidRPr="008A28AF">
        <w:rPr>
          <w:rFonts w:ascii="Calibri Light" w:hAnsi="Calibri Light" w:cstheme="majorBidi"/>
          <w:sz w:val="24"/>
          <w:szCs w:val="24"/>
        </w:rPr>
        <w:t xml:space="preserve">dengan </w:t>
      </w:r>
      <w:r w:rsidR="00A0367F" w:rsidRPr="008A28AF">
        <w:rPr>
          <w:rFonts w:ascii="Calibri Light" w:hAnsi="Calibri Light" w:cstheme="majorBidi"/>
          <w:sz w:val="24"/>
          <w:szCs w:val="24"/>
        </w:rPr>
        <w:t>ijma’</w:t>
      </w:r>
      <w:r w:rsidR="00F665E2" w:rsidRPr="008A28AF">
        <w:rPr>
          <w:rFonts w:ascii="Calibri Light" w:hAnsi="Calibri Light" w:cstheme="majorBidi"/>
          <w:sz w:val="24"/>
          <w:szCs w:val="24"/>
        </w:rPr>
        <w:t>.</w:t>
      </w:r>
      <w:r w:rsidR="00E33766" w:rsidRPr="008A28AF">
        <w:rPr>
          <w:rStyle w:val="FootnoteReference"/>
          <w:rFonts w:ascii="Calibri Light" w:hAnsi="Calibri Light"/>
          <w:sz w:val="24"/>
          <w:szCs w:val="24"/>
        </w:rPr>
        <w:footnoteReference w:id="17"/>
      </w:r>
    </w:p>
    <w:p w:rsidR="00F10EF2" w:rsidRPr="008A28AF" w:rsidRDefault="00F10EF2"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Dari sini dapat diambil kesimpulan bahwa Ibnu Taimiyah berpedoman kepada  ijma’ dalam istinbat hukum akan tetapi selektif dan berhati-hati dengan melakukan kajian mendalam akan status ijma’ tersebut. Apakah ijma tersebut betul-betul produk dari para mujtahid atau masih ditemukan kemungkinan argumentasi lain selain ijma’ tersebut serta dijadikan pedoman dalam istinbat hukum hukum.</w:t>
      </w:r>
      <w:r w:rsidRPr="008A28AF">
        <w:rPr>
          <w:rStyle w:val="FootnoteReference"/>
          <w:rFonts w:ascii="Calibri Light" w:hAnsi="Calibri Light"/>
          <w:sz w:val="24"/>
          <w:szCs w:val="24"/>
        </w:rPr>
        <w:footnoteReference w:id="18"/>
      </w:r>
    </w:p>
    <w:p w:rsidR="00A0367F" w:rsidRPr="008A28AF" w:rsidRDefault="00BF74E5" w:rsidP="003A21B0">
      <w:pPr>
        <w:pStyle w:val="ListParagraph"/>
        <w:numPr>
          <w:ilvl w:val="0"/>
          <w:numId w:val="3"/>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Qoulu Shohabat</w:t>
      </w:r>
    </w:p>
    <w:p w:rsidR="00BF74E5" w:rsidRPr="008A28AF" w:rsidRDefault="00DE16B0"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Penggunaan qoulu shohabat ini dalam pandangan Ibnu Taimiyyah adalah boleh digunakan dalam istinbat hukum dengan ketentuan bahwa qoul shohabat tersebut sudah masyhur dalam ranah hukum dan tidak ada satupun shabat yang berbeda dengannya. Dan tidak dijumpai pula nash yang berbeda dengan qoul shohabat tersebut.</w:t>
      </w:r>
    </w:p>
    <w:p w:rsidR="005233C4" w:rsidRPr="008A28AF" w:rsidRDefault="005233C4"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Jika ditemukan qoul shohabat seperti ini dalam masalah hukum, maka ibnu Taimiyyah menggunakannya sebagai hujjah. Dan inilah madzhab kebanyakan ulama’. Seperti Abu Hanifah, Imam Malik, Imam Syafi’i sebagaimana dalam qoul jadidnya.</w:t>
      </w:r>
    </w:p>
    <w:p w:rsidR="00A27E9C" w:rsidRPr="008A28AF" w:rsidRDefault="00A27E9C"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lastRenderedPageBreak/>
        <w:t xml:space="preserve">Qoul shohabat ini dapat menjadi hujjah </w:t>
      </w:r>
      <w:r w:rsidR="00382E05" w:rsidRPr="008A28AF">
        <w:rPr>
          <w:rFonts w:ascii="Calibri Light" w:hAnsi="Calibri Light" w:cstheme="majorBidi"/>
          <w:sz w:val="24"/>
          <w:szCs w:val="24"/>
        </w:rPr>
        <w:t>di</w:t>
      </w:r>
      <w:r w:rsidRPr="008A28AF">
        <w:rPr>
          <w:rFonts w:ascii="Calibri Light" w:hAnsi="Calibri Light" w:cstheme="majorBidi"/>
          <w:sz w:val="24"/>
          <w:szCs w:val="24"/>
        </w:rPr>
        <w:t>karena</w:t>
      </w:r>
      <w:r w:rsidR="00382E05" w:rsidRPr="008A28AF">
        <w:rPr>
          <w:rFonts w:ascii="Calibri Light" w:hAnsi="Calibri Light" w:cstheme="majorBidi"/>
          <w:sz w:val="24"/>
          <w:szCs w:val="24"/>
        </w:rPr>
        <w:t>kan</w:t>
      </w:r>
      <w:r w:rsidRPr="008A28AF">
        <w:rPr>
          <w:rFonts w:ascii="Calibri Light" w:hAnsi="Calibri Light" w:cstheme="majorBidi"/>
          <w:sz w:val="24"/>
          <w:szCs w:val="24"/>
        </w:rPr>
        <w:t xml:space="preserve"> </w:t>
      </w:r>
      <w:r w:rsidR="00382E05" w:rsidRPr="008A28AF">
        <w:rPr>
          <w:rFonts w:ascii="Calibri Light" w:hAnsi="Calibri Light" w:cstheme="majorBidi"/>
          <w:sz w:val="24"/>
          <w:szCs w:val="24"/>
        </w:rPr>
        <w:t xml:space="preserve">prilaku dan keberadaan </w:t>
      </w:r>
      <w:r w:rsidRPr="008A28AF">
        <w:rPr>
          <w:rFonts w:ascii="Calibri Light" w:hAnsi="Calibri Light" w:cstheme="majorBidi"/>
          <w:sz w:val="24"/>
          <w:szCs w:val="24"/>
        </w:rPr>
        <w:t xml:space="preserve">sahabat </w:t>
      </w:r>
      <w:r w:rsidR="00382E05" w:rsidRPr="008A28AF">
        <w:rPr>
          <w:rFonts w:ascii="Calibri Light" w:hAnsi="Calibri Light" w:cstheme="majorBidi"/>
          <w:sz w:val="24"/>
          <w:szCs w:val="24"/>
        </w:rPr>
        <w:t xml:space="preserve">yang </w:t>
      </w:r>
      <w:r w:rsidRPr="008A28AF">
        <w:rPr>
          <w:rFonts w:ascii="Calibri Light" w:hAnsi="Calibri Light" w:cstheme="majorBidi"/>
          <w:sz w:val="24"/>
          <w:szCs w:val="24"/>
        </w:rPr>
        <w:t xml:space="preserve">lebih </w:t>
      </w:r>
      <w:r w:rsidR="00382E05" w:rsidRPr="008A28AF">
        <w:rPr>
          <w:rFonts w:ascii="Calibri Light" w:hAnsi="Calibri Light" w:cstheme="majorBidi"/>
          <w:sz w:val="24"/>
          <w:szCs w:val="24"/>
        </w:rPr>
        <w:t xml:space="preserve">tahu dan </w:t>
      </w:r>
      <w:r w:rsidRPr="008A28AF">
        <w:rPr>
          <w:rFonts w:ascii="Calibri Light" w:hAnsi="Calibri Light" w:cstheme="majorBidi"/>
          <w:sz w:val="24"/>
          <w:szCs w:val="24"/>
        </w:rPr>
        <w:t xml:space="preserve">utama </w:t>
      </w:r>
      <w:r w:rsidR="00382E05" w:rsidRPr="008A28AF">
        <w:rPr>
          <w:rFonts w:ascii="Calibri Light" w:hAnsi="Calibri Light" w:cstheme="majorBidi"/>
          <w:sz w:val="24"/>
          <w:szCs w:val="24"/>
        </w:rPr>
        <w:t>dalam kedudukannya</w:t>
      </w:r>
      <w:r w:rsidRPr="008A28AF">
        <w:rPr>
          <w:rFonts w:ascii="Calibri Light" w:hAnsi="Calibri Light" w:cstheme="majorBidi"/>
          <w:sz w:val="24"/>
          <w:szCs w:val="24"/>
        </w:rPr>
        <w:t xml:space="preserve">. </w:t>
      </w:r>
      <w:r w:rsidR="00382E05" w:rsidRPr="008A28AF">
        <w:rPr>
          <w:rFonts w:ascii="Calibri Light" w:hAnsi="Calibri Light" w:cstheme="majorBidi"/>
          <w:sz w:val="24"/>
          <w:szCs w:val="24"/>
        </w:rPr>
        <w:t xml:space="preserve">Yang bisa diibaratkan tidaklah ada orang yang lebih mengetahui dan </w:t>
      </w:r>
      <w:r w:rsidR="00EF3883" w:rsidRPr="008A28AF">
        <w:rPr>
          <w:rFonts w:ascii="Calibri Light" w:hAnsi="Calibri Light" w:cstheme="majorBidi"/>
          <w:sz w:val="24"/>
          <w:szCs w:val="24"/>
        </w:rPr>
        <w:t xml:space="preserve">faham atas suatu permasalahan pada zamannya daripada </w:t>
      </w:r>
      <w:r w:rsidRPr="008A28AF">
        <w:rPr>
          <w:rFonts w:ascii="Calibri Light" w:hAnsi="Calibri Light" w:cstheme="majorBidi"/>
          <w:sz w:val="24"/>
          <w:szCs w:val="24"/>
        </w:rPr>
        <w:t>sahabat</w:t>
      </w:r>
      <w:r w:rsidR="00EF3883" w:rsidRPr="008A28AF">
        <w:rPr>
          <w:rFonts w:ascii="Calibri Light" w:hAnsi="Calibri Light" w:cstheme="majorBidi"/>
          <w:sz w:val="24"/>
          <w:szCs w:val="24"/>
        </w:rPr>
        <w:t>.</w:t>
      </w:r>
      <w:r w:rsidR="00EF3883" w:rsidRPr="008A28AF">
        <w:rPr>
          <w:rStyle w:val="FootnoteReference"/>
          <w:rFonts w:ascii="Calibri Light" w:hAnsi="Calibri Light"/>
          <w:sz w:val="24"/>
          <w:szCs w:val="24"/>
        </w:rPr>
        <w:footnoteReference w:id="19"/>
      </w:r>
    </w:p>
    <w:p w:rsidR="00E33766" w:rsidRPr="008A28AF" w:rsidRDefault="00A0367F" w:rsidP="003A21B0">
      <w:pPr>
        <w:pStyle w:val="ListParagraph"/>
        <w:numPr>
          <w:ilvl w:val="0"/>
          <w:numId w:val="3"/>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Qiyas</w:t>
      </w:r>
    </w:p>
    <w:p w:rsidR="00C05232" w:rsidRPr="008A28AF" w:rsidRDefault="00667E65"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Alternatif istinbat hukum </w:t>
      </w:r>
      <w:r w:rsidR="00381850" w:rsidRPr="008A28AF">
        <w:rPr>
          <w:rFonts w:ascii="Calibri Light" w:hAnsi="Calibri Light" w:cstheme="majorBidi"/>
          <w:sz w:val="24"/>
          <w:szCs w:val="24"/>
        </w:rPr>
        <w:t xml:space="preserve">Islam ke empat </w:t>
      </w:r>
      <w:r w:rsidRPr="008A28AF">
        <w:rPr>
          <w:rFonts w:ascii="Calibri Light" w:hAnsi="Calibri Light" w:cstheme="majorBidi"/>
          <w:sz w:val="24"/>
          <w:szCs w:val="24"/>
        </w:rPr>
        <w:t>yang dijadikan pedoman oleh Ibnu Taimiyyah adalah Qiyas</w:t>
      </w:r>
      <w:r w:rsidR="00381850" w:rsidRPr="008A28AF">
        <w:rPr>
          <w:rFonts w:ascii="Calibri Light" w:hAnsi="Calibri Light" w:cstheme="majorBidi"/>
          <w:sz w:val="24"/>
          <w:szCs w:val="24"/>
        </w:rPr>
        <w:t xml:space="preserve"> ketika sumber utama al Qur’an, Sunnah dan Ijma’ masih belum mampu  mengurai masalah hukum yang komplek dan dinamis setelah meninggalnya Rosulullah dan para sahabat.</w:t>
      </w:r>
      <w:r w:rsidR="003A3F7B" w:rsidRPr="008A28AF">
        <w:rPr>
          <w:rFonts w:ascii="Calibri Light" w:hAnsi="Calibri Light" w:cstheme="majorBidi"/>
          <w:sz w:val="24"/>
          <w:szCs w:val="24"/>
        </w:rPr>
        <w:t xml:space="preserve"> Apalai jaman tekhnologi seperti saat ini yang permaslahan hukum Islam harus bisa hadir dalam dalam memecahkan problem hukum Islam kontemporer.</w:t>
      </w:r>
    </w:p>
    <w:p w:rsidR="00AA5DDD" w:rsidRPr="008A28AF" w:rsidRDefault="00AA5DDD"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Ibnu Taimiyyah </w:t>
      </w:r>
      <w:r w:rsidR="00F83A23" w:rsidRPr="008A28AF">
        <w:rPr>
          <w:rFonts w:ascii="Calibri Light" w:hAnsi="Calibri Light" w:cstheme="majorBidi"/>
          <w:sz w:val="24"/>
          <w:szCs w:val="24"/>
        </w:rPr>
        <w:t xml:space="preserve"> mengklasifikasikan</w:t>
      </w:r>
      <w:r w:rsidRPr="008A28AF">
        <w:rPr>
          <w:rFonts w:ascii="Calibri Light" w:hAnsi="Calibri Light" w:cstheme="majorBidi"/>
          <w:sz w:val="24"/>
          <w:szCs w:val="24"/>
        </w:rPr>
        <w:t xml:space="preserve"> qiyas</w:t>
      </w:r>
      <w:r w:rsidR="00F357D7" w:rsidRPr="008A28AF">
        <w:rPr>
          <w:rStyle w:val="FootnoteReference"/>
          <w:rFonts w:ascii="Calibri Light" w:hAnsi="Calibri Light"/>
          <w:sz w:val="24"/>
          <w:szCs w:val="24"/>
        </w:rPr>
        <w:footnoteReference w:id="20"/>
      </w:r>
      <w:r w:rsidRPr="008A28AF">
        <w:rPr>
          <w:rFonts w:ascii="Calibri Light" w:hAnsi="Calibri Light" w:cstheme="majorBidi"/>
          <w:sz w:val="24"/>
          <w:szCs w:val="24"/>
        </w:rPr>
        <w:t xml:space="preserve"> dalam dua </w:t>
      </w:r>
      <w:r w:rsidR="00F83A23" w:rsidRPr="008A28AF">
        <w:rPr>
          <w:rFonts w:ascii="Calibri Light" w:hAnsi="Calibri Light" w:cstheme="majorBidi"/>
          <w:sz w:val="24"/>
          <w:szCs w:val="24"/>
        </w:rPr>
        <w:t>kategori</w:t>
      </w:r>
      <w:r w:rsidRPr="008A28AF">
        <w:rPr>
          <w:rFonts w:ascii="Calibri Light" w:hAnsi="Calibri Light" w:cstheme="majorBidi"/>
          <w:sz w:val="24"/>
          <w:szCs w:val="24"/>
        </w:rPr>
        <w:t xml:space="preserve">, yaitu </w:t>
      </w:r>
      <w:r w:rsidRPr="008A28AF">
        <w:rPr>
          <w:rFonts w:ascii="Calibri Light" w:hAnsi="Calibri Light" w:cstheme="majorBidi"/>
          <w:i/>
          <w:iCs/>
          <w:sz w:val="24"/>
          <w:szCs w:val="24"/>
        </w:rPr>
        <w:t>qiyas sahih</w:t>
      </w:r>
      <w:r w:rsidR="00F83A23" w:rsidRPr="008A28AF">
        <w:rPr>
          <w:rFonts w:ascii="Calibri Light" w:hAnsi="Calibri Light" w:cstheme="majorBidi"/>
          <w:sz w:val="24"/>
          <w:szCs w:val="24"/>
        </w:rPr>
        <w:t xml:space="preserve"> yaitu proses </w:t>
      </w:r>
      <w:r w:rsidRPr="008A28AF">
        <w:rPr>
          <w:rFonts w:ascii="Calibri Light" w:hAnsi="Calibri Light" w:cstheme="majorBidi"/>
          <w:sz w:val="24"/>
          <w:szCs w:val="24"/>
        </w:rPr>
        <w:t xml:space="preserve">analogi yang </w:t>
      </w:r>
      <w:r w:rsidR="00F83A23" w:rsidRPr="008A28AF">
        <w:rPr>
          <w:rFonts w:ascii="Calibri Light" w:hAnsi="Calibri Light" w:cstheme="majorBidi"/>
          <w:sz w:val="24"/>
          <w:szCs w:val="24"/>
        </w:rPr>
        <w:t xml:space="preserve">yang berdasarkan atas kesamaan </w:t>
      </w:r>
      <w:r w:rsidRPr="008A28AF">
        <w:rPr>
          <w:rFonts w:ascii="Calibri Light" w:hAnsi="Calibri Light" w:cstheme="majorBidi"/>
          <w:i/>
          <w:iCs/>
          <w:sz w:val="24"/>
          <w:szCs w:val="24"/>
        </w:rPr>
        <w:t>illat</w:t>
      </w:r>
      <w:r w:rsidRPr="008A28AF">
        <w:rPr>
          <w:rFonts w:ascii="Calibri Light" w:hAnsi="Calibri Light" w:cstheme="majorBidi"/>
          <w:sz w:val="24"/>
          <w:szCs w:val="24"/>
        </w:rPr>
        <w:t xml:space="preserve"> yang </w:t>
      </w:r>
      <w:r w:rsidR="00F83A23" w:rsidRPr="008A28AF">
        <w:rPr>
          <w:rFonts w:ascii="Calibri Light" w:hAnsi="Calibri Light" w:cstheme="majorBidi"/>
          <w:sz w:val="24"/>
          <w:szCs w:val="24"/>
        </w:rPr>
        <w:t>soreh</w:t>
      </w:r>
      <w:r w:rsidRPr="008A28AF">
        <w:rPr>
          <w:rFonts w:ascii="Calibri Light" w:hAnsi="Calibri Light" w:cstheme="majorBidi"/>
          <w:sz w:val="24"/>
          <w:szCs w:val="24"/>
        </w:rPr>
        <w:t xml:space="preserve"> dan </w:t>
      </w:r>
      <w:r w:rsidRPr="008A28AF">
        <w:rPr>
          <w:rFonts w:ascii="Calibri Light" w:hAnsi="Calibri Light" w:cstheme="majorBidi"/>
          <w:i/>
          <w:iCs/>
          <w:sz w:val="24"/>
          <w:szCs w:val="24"/>
        </w:rPr>
        <w:t>qiyas fasid</w:t>
      </w:r>
      <w:r w:rsidRPr="008A28AF">
        <w:rPr>
          <w:rFonts w:ascii="Calibri Light" w:hAnsi="Calibri Light" w:cstheme="majorBidi"/>
          <w:sz w:val="24"/>
          <w:szCs w:val="24"/>
        </w:rPr>
        <w:t xml:space="preserve"> </w:t>
      </w:r>
      <w:r w:rsidR="00F83A23" w:rsidRPr="008A28AF">
        <w:rPr>
          <w:rFonts w:ascii="Calibri Light" w:hAnsi="Calibri Light" w:cstheme="majorBidi"/>
          <w:sz w:val="24"/>
          <w:szCs w:val="24"/>
        </w:rPr>
        <w:t xml:space="preserve">yaitu proses analogi berdasarkan atas analogi </w:t>
      </w:r>
      <w:r w:rsidRPr="008A28AF">
        <w:rPr>
          <w:rFonts w:ascii="Calibri Light" w:hAnsi="Calibri Light" w:cstheme="majorBidi"/>
          <w:i/>
          <w:iCs/>
          <w:sz w:val="24"/>
          <w:szCs w:val="24"/>
        </w:rPr>
        <w:t>illat</w:t>
      </w:r>
      <w:r w:rsidRPr="008A28AF">
        <w:rPr>
          <w:rFonts w:ascii="Calibri Light" w:hAnsi="Calibri Light" w:cstheme="majorBidi"/>
          <w:sz w:val="24"/>
          <w:szCs w:val="24"/>
        </w:rPr>
        <w:t xml:space="preserve"> yang </w:t>
      </w:r>
      <w:r w:rsidR="00F83A23" w:rsidRPr="008A28AF">
        <w:rPr>
          <w:rFonts w:ascii="Calibri Light" w:hAnsi="Calibri Light" w:cstheme="majorBidi"/>
          <w:sz w:val="24"/>
          <w:szCs w:val="24"/>
        </w:rPr>
        <w:t>diada-adakan.</w:t>
      </w:r>
    </w:p>
    <w:p w:rsidR="00840CA5" w:rsidRPr="008A28AF" w:rsidRDefault="00840CA5"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Ibnu Taimiyyah memberi batasan dan kategori qiyas yang benar dengan memenuhi beberapa syarat, yaitu </w:t>
      </w:r>
      <w:r w:rsidRPr="008A28AF">
        <w:rPr>
          <w:rFonts w:ascii="Calibri Light" w:hAnsi="Calibri Light" w:cstheme="majorBidi"/>
          <w:i/>
          <w:iCs/>
          <w:sz w:val="24"/>
          <w:szCs w:val="24"/>
        </w:rPr>
        <w:t>illat</w:t>
      </w:r>
      <w:r w:rsidRPr="008A28AF">
        <w:rPr>
          <w:rFonts w:ascii="Calibri Light" w:hAnsi="Calibri Light" w:cstheme="majorBidi"/>
          <w:sz w:val="24"/>
          <w:szCs w:val="24"/>
        </w:rPr>
        <w:t xml:space="preserve"> hukum tasyri' yang </w:t>
      </w:r>
      <w:r w:rsidR="00C15F79" w:rsidRPr="008A28AF">
        <w:rPr>
          <w:rFonts w:ascii="Calibri Light" w:hAnsi="Calibri Light" w:cstheme="majorBidi"/>
          <w:sz w:val="24"/>
          <w:szCs w:val="24"/>
        </w:rPr>
        <w:t xml:space="preserve">ada pada </w:t>
      </w:r>
      <w:r w:rsidRPr="008A28AF">
        <w:rPr>
          <w:rFonts w:ascii="Calibri Light" w:hAnsi="Calibri Light" w:cstheme="majorBidi"/>
          <w:sz w:val="24"/>
          <w:szCs w:val="24"/>
        </w:rPr>
        <w:t xml:space="preserve">asal </w:t>
      </w:r>
      <w:r w:rsidR="00C15F79" w:rsidRPr="008A28AF">
        <w:rPr>
          <w:rFonts w:ascii="Calibri Light" w:hAnsi="Calibri Light" w:cstheme="majorBidi"/>
          <w:sz w:val="24"/>
          <w:szCs w:val="24"/>
        </w:rPr>
        <w:t xml:space="preserve">masalah </w:t>
      </w:r>
      <w:r w:rsidRPr="008A28AF">
        <w:rPr>
          <w:rFonts w:ascii="Calibri Light" w:hAnsi="Calibri Light" w:cstheme="majorBidi"/>
          <w:sz w:val="24"/>
          <w:szCs w:val="24"/>
        </w:rPr>
        <w:t xml:space="preserve">harus </w:t>
      </w:r>
      <w:r w:rsidR="00C15F79" w:rsidRPr="008A28AF">
        <w:rPr>
          <w:rFonts w:ascii="Calibri Light" w:hAnsi="Calibri Light" w:cstheme="majorBidi"/>
          <w:sz w:val="24"/>
          <w:szCs w:val="24"/>
        </w:rPr>
        <w:t>berada</w:t>
      </w:r>
      <w:r w:rsidR="00D15945" w:rsidRPr="008A28AF">
        <w:rPr>
          <w:rFonts w:ascii="Calibri Light" w:hAnsi="Calibri Light" w:cstheme="majorBidi"/>
          <w:sz w:val="24"/>
          <w:szCs w:val="24"/>
        </w:rPr>
        <w:t xml:space="preserve"> pada furu’ </w:t>
      </w:r>
      <w:r w:rsidRPr="008A28AF">
        <w:rPr>
          <w:rFonts w:ascii="Calibri Light" w:hAnsi="Calibri Light" w:cstheme="majorBidi"/>
          <w:sz w:val="24"/>
          <w:szCs w:val="24"/>
        </w:rPr>
        <w:t>(</w:t>
      </w:r>
      <w:r w:rsidR="00D15945" w:rsidRPr="008A28AF">
        <w:rPr>
          <w:rFonts w:ascii="Calibri Light" w:hAnsi="Calibri Light" w:cstheme="majorBidi"/>
          <w:sz w:val="24"/>
          <w:szCs w:val="24"/>
        </w:rPr>
        <w:t>cabang</w:t>
      </w:r>
      <w:r w:rsidRPr="008A28AF">
        <w:rPr>
          <w:rFonts w:ascii="Calibri Light" w:hAnsi="Calibri Light" w:cstheme="majorBidi"/>
          <w:sz w:val="24"/>
          <w:szCs w:val="24"/>
        </w:rPr>
        <w:t xml:space="preserve">), tanpa </w:t>
      </w:r>
      <w:r w:rsidR="00583ACD" w:rsidRPr="008A28AF">
        <w:rPr>
          <w:rFonts w:ascii="Calibri Light" w:hAnsi="Calibri Light" w:cstheme="majorBidi"/>
          <w:sz w:val="24"/>
          <w:szCs w:val="24"/>
        </w:rPr>
        <w:t xml:space="preserve">ditemukannya pertentangan pada furu’ </w:t>
      </w:r>
      <w:r w:rsidRPr="008A28AF">
        <w:rPr>
          <w:rFonts w:ascii="Calibri Light" w:hAnsi="Calibri Light" w:cstheme="majorBidi"/>
          <w:sz w:val="24"/>
          <w:szCs w:val="24"/>
        </w:rPr>
        <w:t xml:space="preserve">yang </w:t>
      </w:r>
      <w:r w:rsidR="00594346" w:rsidRPr="008A28AF">
        <w:rPr>
          <w:rFonts w:ascii="Calibri Light" w:hAnsi="Calibri Light" w:cstheme="majorBidi"/>
          <w:sz w:val="24"/>
          <w:szCs w:val="24"/>
        </w:rPr>
        <w:t xml:space="preserve">menyebabkan terlarangnya </w:t>
      </w:r>
      <w:r w:rsidR="002A7CBC" w:rsidRPr="008A28AF">
        <w:rPr>
          <w:rFonts w:ascii="Calibri Light" w:hAnsi="Calibri Light" w:cstheme="majorBidi"/>
          <w:sz w:val="24"/>
          <w:szCs w:val="24"/>
        </w:rPr>
        <w:t xml:space="preserve">penetapan </w:t>
      </w:r>
      <w:r w:rsidRPr="008A28AF">
        <w:rPr>
          <w:rFonts w:ascii="Calibri Light" w:hAnsi="Calibri Light" w:cstheme="majorBidi"/>
          <w:sz w:val="24"/>
          <w:szCs w:val="24"/>
        </w:rPr>
        <w:t xml:space="preserve">hukum </w:t>
      </w:r>
      <w:r w:rsidR="002A7CBC" w:rsidRPr="008A28AF">
        <w:rPr>
          <w:rFonts w:ascii="Calibri Light" w:hAnsi="Calibri Light" w:cstheme="majorBidi"/>
          <w:sz w:val="24"/>
          <w:szCs w:val="24"/>
        </w:rPr>
        <w:t>illat tersebut</w:t>
      </w:r>
      <w:r w:rsidRPr="008A28AF">
        <w:rPr>
          <w:rFonts w:ascii="Calibri Light" w:hAnsi="Calibri Light" w:cstheme="majorBidi"/>
          <w:sz w:val="24"/>
          <w:szCs w:val="24"/>
        </w:rPr>
        <w:t xml:space="preserve">. </w:t>
      </w:r>
      <w:r w:rsidR="00BF74E5" w:rsidRPr="008A28AF">
        <w:rPr>
          <w:rFonts w:ascii="Calibri Light" w:hAnsi="Calibri Light" w:cstheme="majorBidi"/>
          <w:sz w:val="24"/>
          <w:szCs w:val="24"/>
        </w:rPr>
        <w:t xml:space="preserve">Selanjutnya qiyas </w:t>
      </w:r>
      <w:r w:rsidRPr="008A28AF">
        <w:rPr>
          <w:rFonts w:ascii="Calibri Light" w:hAnsi="Calibri Light" w:cstheme="majorBidi"/>
          <w:sz w:val="24"/>
          <w:szCs w:val="24"/>
        </w:rPr>
        <w:t xml:space="preserve">dengan pembatalan pembeda antara dua bentuk itu (asal dan cabang). </w:t>
      </w:r>
      <w:r w:rsidR="00273847" w:rsidRPr="008A28AF">
        <w:rPr>
          <w:rFonts w:ascii="Calibri Light" w:hAnsi="Calibri Light" w:cstheme="majorBidi"/>
          <w:sz w:val="24"/>
          <w:szCs w:val="24"/>
        </w:rPr>
        <w:t xml:space="preserve">Untuk itu, antara </w:t>
      </w:r>
      <w:r w:rsidRPr="008A28AF">
        <w:rPr>
          <w:rFonts w:ascii="Calibri Light" w:hAnsi="Calibri Light" w:cstheme="majorBidi"/>
          <w:sz w:val="24"/>
          <w:szCs w:val="24"/>
        </w:rPr>
        <w:t xml:space="preserve">asal dan cabang </w:t>
      </w:r>
      <w:r w:rsidR="00273847" w:rsidRPr="008A28AF">
        <w:rPr>
          <w:rFonts w:ascii="Calibri Light" w:hAnsi="Calibri Light" w:cstheme="majorBidi"/>
          <w:sz w:val="24"/>
          <w:szCs w:val="24"/>
        </w:rPr>
        <w:t xml:space="preserve">dilarang ada </w:t>
      </w:r>
      <w:r w:rsidRPr="008A28AF">
        <w:rPr>
          <w:rFonts w:ascii="Calibri Light" w:hAnsi="Calibri Light" w:cstheme="majorBidi"/>
          <w:sz w:val="24"/>
          <w:szCs w:val="24"/>
        </w:rPr>
        <w:t xml:space="preserve">pembeda yang </w:t>
      </w:r>
      <w:r w:rsidR="00273847" w:rsidRPr="008A28AF">
        <w:rPr>
          <w:rFonts w:ascii="Calibri Light" w:hAnsi="Calibri Light" w:cstheme="majorBidi"/>
          <w:sz w:val="24"/>
          <w:szCs w:val="24"/>
        </w:rPr>
        <w:t>dapat mempengaruhi syara’</w:t>
      </w:r>
      <w:r w:rsidRPr="008A28AF">
        <w:rPr>
          <w:rFonts w:ascii="Calibri Light" w:hAnsi="Calibri Light" w:cstheme="majorBidi"/>
          <w:sz w:val="24"/>
          <w:szCs w:val="24"/>
        </w:rPr>
        <w:t xml:space="preserve">. </w:t>
      </w:r>
    </w:p>
    <w:p w:rsidR="00840CA5" w:rsidRPr="008A28AF" w:rsidRDefault="00840CA5"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Menurut Ibnu Taimiyyah, qiyas yang shahih adalah qiyas yang sejalan dengan nash. Nash tak pernah bertentangan dengan qiyas. Sedangkan qiyas yang salah bisa bertentangan dengan nash. Dalam </w:t>
      </w:r>
      <w:r w:rsidR="00A000CC" w:rsidRPr="008A28AF">
        <w:rPr>
          <w:rFonts w:ascii="Calibri Light" w:hAnsi="Calibri Light" w:cstheme="majorBidi"/>
          <w:sz w:val="24"/>
          <w:szCs w:val="24"/>
        </w:rPr>
        <w:t>syariat</w:t>
      </w:r>
      <w:r w:rsidRPr="008A28AF">
        <w:rPr>
          <w:rFonts w:ascii="Calibri Light" w:hAnsi="Calibri Light" w:cstheme="majorBidi"/>
          <w:sz w:val="24"/>
          <w:szCs w:val="24"/>
        </w:rPr>
        <w:t xml:space="preserve"> tak ada suatu perkara yang bertentangan dengan qiyas.</w:t>
      </w:r>
    </w:p>
    <w:p w:rsidR="00AA5DDD" w:rsidRPr="008A28AF" w:rsidRDefault="00675B91" w:rsidP="003A21B0">
      <w:pPr>
        <w:pStyle w:val="ListParagraph"/>
        <w:numPr>
          <w:ilvl w:val="0"/>
          <w:numId w:val="3"/>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Istishab</w:t>
      </w:r>
    </w:p>
    <w:p w:rsidR="00675B91" w:rsidRPr="008A28AF" w:rsidRDefault="00675B91"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Istishab</w:t>
      </w:r>
      <w:r w:rsidR="00E80A5F" w:rsidRPr="008A28AF">
        <w:rPr>
          <w:rStyle w:val="FootnoteReference"/>
          <w:rFonts w:ascii="Calibri Light" w:hAnsi="Calibri Light"/>
          <w:sz w:val="24"/>
          <w:szCs w:val="24"/>
        </w:rPr>
        <w:footnoteReference w:id="21"/>
      </w:r>
      <w:r w:rsidRPr="008A28AF">
        <w:rPr>
          <w:rFonts w:ascii="Calibri Light" w:hAnsi="Calibri Light" w:cstheme="majorBidi"/>
          <w:sz w:val="24"/>
          <w:szCs w:val="24"/>
        </w:rPr>
        <w:t xml:space="preserve"> merupakan istidlal hukum merupakan kategori dalil yang lemah. Ibnu Taimiyyah tidak memeprbolehkan seorang dalam proses istinbat hukum </w:t>
      </w:r>
      <w:r w:rsidR="003F6213" w:rsidRPr="008A28AF">
        <w:rPr>
          <w:rFonts w:ascii="Calibri Light" w:hAnsi="Calibri Light" w:cstheme="majorBidi"/>
          <w:sz w:val="24"/>
          <w:szCs w:val="24"/>
        </w:rPr>
        <w:t xml:space="preserve">menggunakan istishab, kecuali seorang tersebut </w:t>
      </w:r>
      <w:r w:rsidRPr="008A28AF">
        <w:rPr>
          <w:rFonts w:ascii="Calibri Light" w:hAnsi="Calibri Light" w:cstheme="majorBidi"/>
          <w:sz w:val="24"/>
          <w:szCs w:val="24"/>
        </w:rPr>
        <w:t xml:space="preserve">tidak </w:t>
      </w:r>
      <w:r w:rsidR="003F6213" w:rsidRPr="008A28AF">
        <w:rPr>
          <w:rFonts w:ascii="Calibri Light" w:hAnsi="Calibri Light" w:cstheme="majorBidi"/>
          <w:sz w:val="24"/>
          <w:szCs w:val="24"/>
        </w:rPr>
        <w:t>menemukan dalil dalam masalah tersebut pada al Qur’an, Sunnah, Ijma’, Qoul Shohabat maupun qiyas.</w:t>
      </w:r>
      <w:r w:rsidR="005D2FE3" w:rsidRPr="008A28AF">
        <w:rPr>
          <w:rStyle w:val="FootnoteReference"/>
          <w:rFonts w:ascii="Calibri Light" w:hAnsi="Calibri Light"/>
          <w:sz w:val="24"/>
          <w:szCs w:val="24"/>
        </w:rPr>
        <w:footnoteReference w:id="22"/>
      </w:r>
    </w:p>
    <w:p w:rsidR="00E80A5F" w:rsidRPr="008A28AF" w:rsidRDefault="00C11DF9" w:rsidP="003A21B0">
      <w:pPr>
        <w:pStyle w:val="ListParagraph"/>
        <w:numPr>
          <w:ilvl w:val="0"/>
          <w:numId w:val="3"/>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lastRenderedPageBreak/>
        <w:t>Maslahah mursalah</w:t>
      </w:r>
    </w:p>
    <w:p w:rsidR="00E80A5F" w:rsidRPr="008A28AF" w:rsidRDefault="00617046"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Ibnu Taimiyyah </w:t>
      </w:r>
      <w:r w:rsidR="00B61579" w:rsidRPr="008A28AF">
        <w:rPr>
          <w:rFonts w:ascii="Calibri Light" w:hAnsi="Calibri Light" w:cstheme="majorBidi"/>
          <w:sz w:val="24"/>
          <w:szCs w:val="24"/>
        </w:rPr>
        <w:t>menggunakan</w:t>
      </w:r>
      <w:r w:rsidRPr="008A28AF">
        <w:rPr>
          <w:rFonts w:ascii="Calibri Light" w:hAnsi="Calibri Light" w:cstheme="majorBidi"/>
          <w:sz w:val="24"/>
          <w:szCs w:val="24"/>
        </w:rPr>
        <w:t xml:space="preserve"> metode </w:t>
      </w:r>
      <w:r w:rsidR="00B61579" w:rsidRPr="008A28AF">
        <w:rPr>
          <w:rFonts w:ascii="Calibri Light" w:hAnsi="Calibri Light" w:cstheme="majorBidi"/>
          <w:sz w:val="24"/>
          <w:szCs w:val="24"/>
        </w:rPr>
        <w:t>maslahah mursalah ini jika segala aktualisasi syariat tersebut tidak bertentangan denga syaria’t. Beliau berpendapat bahwa tidak mungkin bisa dijumpai suatu maslahah jika bertentangan dengan Nash.</w:t>
      </w:r>
      <w:r w:rsidR="00D5014F" w:rsidRPr="008A28AF">
        <w:rPr>
          <w:rFonts w:ascii="Calibri Light" w:hAnsi="Calibri Light" w:cstheme="majorBidi"/>
          <w:sz w:val="24"/>
          <w:szCs w:val="24"/>
        </w:rPr>
        <w:t xml:space="preserve"> Jika berkaca pada </w:t>
      </w:r>
      <w:r w:rsidRPr="008A28AF">
        <w:rPr>
          <w:rFonts w:ascii="Calibri Light" w:hAnsi="Calibri Light" w:cstheme="majorBidi"/>
          <w:sz w:val="24"/>
          <w:szCs w:val="24"/>
        </w:rPr>
        <w:t xml:space="preserve">dasar qiyas </w:t>
      </w:r>
      <w:r w:rsidR="00D5014F" w:rsidRPr="008A28AF">
        <w:rPr>
          <w:rFonts w:ascii="Calibri Light" w:hAnsi="Calibri Light" w:cstheme="majorBidi"/>
          <w:sz w:val="24"/>
          <w:szCs w:val="24"/>
        </w:rPr>
        <w:t xml:space="preserve">yaitu jika diketahui kesesuiannya dengan nash dan dipastikan terdapat </w:t>
      </w:r>
      <w:r w:rsidRPr="008A28AF">
        <w:rPr>
          <w:rFonts w:ascii="Calibri Light" w:hAnsi="Calibri Light" w:cstheme="majorBidi"/>
          <w:sz w:val="24"/>
          <w:szCs w:val="24"/>
        </w:rPr>
        <w:t>kemaslahatan</w:t>
      </w:r>
      <w:r w:rsidR="00D5014F" w:rsidRPr="008A28AF">
        <w:rPr>
          <w:rFonts w:ascii="Calibri Light" w:hAnsi="Calibri Light" w:cstheme="majorBidi"/>
          <w:sz w:val="24"/>
          <w:szCs w:val="24"/>
        </w:rPr>
        <w:t xml:space="preserve">, </w:t>
      </w:r>
      <w:r w:rsidRPr="008A28AF">
        <w:rPr>
          <w:rFonts w:ascii="Calibri Light" w:hAnsi="Calibri Light" w:cstheme="majorBidi"/>
          <w:sz w:val="24"/>
          <w:szCs w:val="24"/>
        </w:rPr>
        <w:t xml:space="preserve">wajib </w:t>
      </w:r>
      <w:r w:rsidR="00D5014F" w:rsidRPr="008A28AF">
        <w:rPr>
          <w:rFonts w:ascii="Calibri Light" w:hAnsi="Calibri Light" w:cstheme="majorBidi"/>
          <w:sz w:val="24"/>
          <w:szCs w:val="24"/>
        </w:rPr>
        <w:t>hukumnya mengikutinya. Jika hukum suatu problematika hukum tersebut mendapatkan suatu kemaslahatan</w:t>
      </w:r>
      <w:r w:rsidR="00EF01E1" w:rsidRPr="008A28AF">
        <w:rPr>
          <w:rStyle w:val="FootnoteReference"/>
          <w:rFonts w:ascii="Calibri Light" w:hAnsi="Calibri Light"/>
          <w:sz w:val="24"/>
          <w:szCs w:val="24"/>
        </w:rPr>
        <w:footnoteReference w:id="23"/>
      </w:r>
      <w:r w:rsidR="00D5014F" w:rsidRPr="008A28AF">
        <w:rPr>
          <w:rFonts w:ascii="Calibri Light" w:hAnsi="Calibri Light" w:cstheme="majorBidi"/>
          <w:sz w:val="24"/>
          <w:szCs w:val="24"/>
        </w:rPr>
        <w:t xml:space="preserve"> yang berbeda dengan nash, bisa dikatakan itu </w:t>
      </w:r>
      <w:r w:rsidR="009162C5" w:rsidRPr="008A28AF">
        <w:rPr>
          <w:rFonts w:ascii="Calibri Light" w:hAnsi="Calibri Light" w:cstheme="majorBidi"/>
          <w:sz w:val="24"/>
          <w:szCs w:val="24"/>
        </w:rPr>
        <w:t xml:space="preserve">tidak ada </w:t>
      </w:r>
      <w:r w:rsidRPr="008A28AF">
        <w:rPr>
          <w:rFonts w:ascii="Calibri Light" w:hAnsi="Calibri Light" w:cstheme="majorBidi"/>
          <w:sz w:val="24"/>
          <w:szCs w:val="24"/>
        </w:rPr>
        <w:t xml:space="preserve">maslahat </w:t>
      </w:r>
      <w:r w:rsidR="009162C5" w:rsidRPr="008A28AF">
        <w:rPr>
          <w:rFonts w:ascii="Calibri Light" w:hAnsi="Calibri Light" w:cstheme="majorBidi"/>
          <w:sz w:val="24"/>
          <w:szCs w:val="24"/>
        </w:rPr>
        <w:t xml:space="preserve">sama sekali secara haqiqi, melainkan masuk pada kategori </w:t>
      </w:r>
      <w:r w:rsidRPr="008A28AF">
        <w:rPr>
          <w:rFonts w:ascii="Calibri Light" w:hAnsi="Calibri Light" w:cstheme="majorBidi"/>
          <w:sz w:val="24"/>
          <w:szCs w:val="24"/>
        </w:rPr>
        <w:t>maslahat fiksi</w:t>
      </w:r>
      <w:r w:rsidR="00725E20" w:rsidRPr="008A28AF">
        <w:rPr>
          <w:rFonts w:ascii="Calibri Light" w:hAnsi="Calibri Light" w:cstheme="majorBidi"/>
          <w:sz w:val="24"/>
          <w:szCs w:val="24"/>
        </w:rPr>
        <w:t>.</w:t>
      </w:r>
      <w:r w:rsidR="00FC47D2" w:rsidRPr="008A28AF">
        <w:rPr>
          <w:rFonts w:ascii="Calibri Light" w:hAnsi="Calibri Light" w:cstheme="majorBidi"/>
          <w:sz w:val="24"/>
          <w:szCs w:val="24"/>
        </w:rPr>
        <w:t xml:space="preserve"> Karena maslahat yang haqiqi haruslah memenuhi ketentuan menjaga </w:t>
      </w:r>
      <w:r w:rsidR="00FC47D2" w:rsidRPr="008A28AF">
        <w:rPr>
          <w:rFonts w:ascii="Calibri Light" w:hAnsi="Calibri Light" w:cstheme="majorBidi"/>
          <w:i/>
          <w:iCs/>
          <w:sz w:val="24"/>
          <w:szCs w:val="24"/>
        </w:rPr>
        <w:t xml:space="preserve">doruriyyatt al khomsah </w:t>
      </w:r>
      <w:r w:rsidR="00FC47D2" w:rsidRPr="008A28AF">
        <w:rPr>
          <w:rFonts w:ascii="Calibri Light" w:hAnsi="Calibri Light" w:cstheme="majorBidi"/>
          <w:sz w:val="24"/>
          <w:szCs w:val="24"/>
        </w:rPr>
        <w:t>(kebutuhan pokok yang ada lima)</w:t>
      </w:r>
      <w:r w:rsidR="003F23F5" w:rsidRPr="008A28AF">
        <w:rPr>
          <w:rFonts w:ascii="Calibri Light" w:hAnsi="Calibri Light" w:cstheme="majorBidi"/>
          <w:sz w:val="24"/>
          <w:szCs w:val="24"/>
        </w:rPr>
        <w:t>.</w:t>
      </w:r>
      <w:r w:rsidR="0031014E" w:rsidRPr="008A28AF">
        <w:rPr>
          <w:rStyle w:val="FootnoteReference"/>
          <w:rFonts w:ascii="Calibri Light" w:hAnsi="Calibri Light"/>
          <w:sz w:val="24"/>
          <w:szCs w:val="24"/>
        </w:rPr>
        <w:footnoteReference w:id="24"/>
      </w:r>
    </w:p>
    <w:p w:rsidR="00463304" w:rsidRPr="008A28AF" w:rsidRDefault="00463304"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Sebuah </w:t>
      </w:r>
      <w:r w:rsidRPr="008A28AF">
        <w:rPr>
          <w:rFonts w:ascii="Calibri Light" w:hAnsi="Calibri Light" w:cstheme="majorBidi"/>
          <w:i/>
          <w:iCs/>
          <w:sz w:val="24"/>
          <w:szCs w:val="24"/>
        </w:rPr>
        <w:t xml:space="preserve">maslahah </w:t>
      </w:r>
      <w:r w:rsidRPr="008A28AF">
        <w:rPr>
          <w:rFonts w:ascii="Calibri Light" w:hAnsi="Calibri Light" w:cstheme="majorBidi"/>
          <w:sz w:val="24"/>
          <w:szCs w:val="24"/>
        </w:rPr>
        <w:t xml:space="preserve"> tidak boleh bertentangan dengan </w:t>
      </w:r>
      <w:r w:rsidRPr="008A28AF">
        <w:rPr>
          <w:rFonts w:ascii="Calibri Light" w:hAnsi="Calibri Light" w:cstheme="majorBidi"/>
          <w:i/>
          <w:iCs/>
          <w:sz w:val="24"/>
          <w:szCs w:val="24"/>
        </w:rPr>
        <w:t>maqashid al-shari’ah</w:t>
      </w:r>
      <w:r w:rsidRPr="008A28AF">
        <w:rPr>
          <w:rFonts w:ascii="Calibri Light" w:hAnsi="Calibri Light" w:cstheme="majorBidi"/>
          <w:sz w:val="24"/>
          <w:szCs w:val="24"/>
        </w:rPr>
        <w:t>. Dengan kata lain, semua</w:t>
      </w:r>
      <w:r w:rsidRPr="008A28AF">
        <w:rPr>
          <w:rFonts w:ascii="Calibri Light" w:hAnsi="Calibri Light" w:cstheme="majorBidi"/>
          <w:i/>
          <w:iCs/>
          <w:sz w:val="24"/>
          <w:szCs w:val="24"/>
        </w:rPr>
        <w:t xml:space="preserve"> maslahah</w:t>
      </w:r>
      <w:r w:rsidRPr="008A28AF">
        <w:rPr>
          <w:rFonts w:ascii="Calibri Light" w:hAnsi="Calibri Light" w:cstheme="majorBidi"/>
          <w:sz w:val="24"/>
          <w:szCs w:val="24"/>
        </w:rPr>
        <w:t xml:space="preserve"> yang ada tentunya adalah jenis dari </w:t>
      </w:r>
      <w:r w:rsidRPr="008A28AF">
        <w:rPr>
          <w:rFonts w:ascii="Calibri Light" w:hAnsi="Calibri Light" w:cstheme="majorBidi"/>
          <w:i/>
          <w:iCs/>
          <w:sz w:val="24"/>
          <w:szCs w:val="24"/>
        </w:rPr>
        <w:t>maslahah</w:t>
      </w:r>
      <w:r w:rsidRPr="008A28AF">
        <w:rPr>
          <w:rFonts w:ascii="Calibri Light" w:hAnsi="Calibri Light" w:cstheme="majorBidi"/>
          <w:sz w:val="24"/>
          <w:szCs w:val="24"/>
        </w:rPr>
        <w:t xml:space="preserve"> </w:t>
      </w:r>
      <w:r w:rsidRPr="008A28AF">
        <w:rPr>
          <w:rFonts w:ascii="Calibri Light" w:hAnsi="Calibri Light" w:cstheme="majorBidi"/>
          <w:i/>
          <w:iCs/>
          <w:sz w:val="24"/>
          <w:szCs w:val="24"/>
        </w:rPr>
        <w:t>mu’tabarah</w:t>
      </w:r>
      <w:r w:rsidRPr="008A28AF">
        <w:rPr>
          <w:rStyle w:val="FootnoteReference"/>
          <w:rFonts w:ascii="Calibri Light" w:hAnsi="Calibri Light"/>
          <w:sz w:val="24"/>
          <w:szCs w:val="24"/>
        </w:rPr>
        <w:footnoteReference w:id="25"/>
      </w:r>
      <w:r w:rsidRPr="008A28AF">
        <w:rPr>
          <w:rFonts w:ascii="Calibri Light" w:hAnsi="Calibri Light" w:cstheme="majorBidi"/>
          <w:sz w:val="24"/>
          <w:szCs w:val="24"/>
        </w:rPr>
        <w:t xml:space="preserve">, atau setidaknya </w:t>
      </w:r>
      <w:r w:rsidRPr="008A28AF">
        <w:rPr>
          <w:rFonts w:ascii="Calibri Light" w:hAnsi="Calibri Light" w:cstheme="majorBidi"/>
          <w:i/>
          <w:iCs/>
          <w:sz w:val="24"/>
          <w:szCs w:val="24"/>
        </w:rPr>
        <w:t>al-maslahah al-mursalah</w:t>
      </w:r>
      <w:r w:rsidRPr="008A28AF">
        <w:rPr>
          <w:rFonts w:ascii="Calibri Light" w:hAnsi="Calibri Light" w:cstheme="majorBidi"/>
          <w:sz w:val="24"/>
          <w:szCs w:val="24"/>
        </w:rPr>
        <w:t xml:space="preserve">. Karena walaupun </w:t>
      </w:r>
      <w:r w:rsidRPr="008A28AF">
        <w:rPr>
          <w:rFonts w:ascii="Calibri Light" w:hAnsi="Calibri Light" w:cstheme="majorBidi"/>
          <w:i/>
          <w:iCs/>
          <w:sz w:val="24"/>
          <w:szCs w:val="24"/>
        </w:rPr>
        <w:t>al-maslahah al-mursalah</w:t>
      </w:r>
      <w:r w:rsidRPr="008A28AF">
        <w:rPr>
          <w:rFonts w:ascii="Calibri Light" w:hAnsi="Calibri Light" w:cstheme="majorBidi"/>
          <w:sz w:val="24"/>
          <w:szCs w:val="24"/>
        </w:rPr>
        <w:t xml:space="preserve"> secara eksplisit tidak dijelaskan dalam </w:t>
      </w:r>
      <w:r w:rsidRPr="008A28AF">
        <w:rPr>
          <w:rFonts w:ascii="Calibri Light" w:hAnsi="Calibri Light" w:cstheme="majorBidi"/>
          <w:i/>
          <w:iCs/>
          <w:sz w:val="24"/>
          <w:szCs w:val="24"/>
        </w:rPr>
        <w:t>nass al-shar’i</w:t>
      </w:r>
      <w:r w:rsidRPr="008A28AF">
        <w:rPr>
          <w:rFonts w:ascii="Calibri Light" w:hAnsi="Calibri Light" w:cstheme="majorBidi"/>
          <w:sz w:val="24"/>
          <w:szCs w:val="24"/>
        </w:rPr>
        <w:t xml:space="preserve">, namun secara implisit didukung. Sebab </w:t>
      </w:r>
      <w:r w:rsidRPr="008A28AF">
        <w:rPr>
          <w:rFonts w:ascii="Calibri Light" w:hAnsi="Calibri Light" w:cstheme="majorBidi"/>
          <w:i/>
          <w:iCs/>
          <w:sz w:val="24"/>
          <w:szCs w:val="24"/>
        </w:rPr>
        <w:t>maqashid al-shari’ah</w:t>
      </w:r>
      <w:r w:rsidRPr="008A28AF">
        <w:rPr>
          <w:rFonts w:ascii="Calibri Light" w:hAnsi="Calibri Light" w:cstheme="majorBidi"/>
          <w:sz w:val="24"/>
          <w:szCs w:val="24"/>
        </w:rPr>
        <w:t xml:space="preserve">  adalah rumah besar yang menaungi </w:t>
      </w:r>
      <w:r w:rsidRPr="008A28AF">
        <w:rPr>
          <w:rFonts w:ascii="Calibri Light" w:hAnsi="Calibri Light" w:cstheme="majorBidi"/>
          <w:i/>
          <w:iCs/>
          <w:sz w:val="24"/>
          <w:szCs w:val="24"/>
        </w:rPr>
        <w:t>maslahah</w:t>
      </w:r>
      <w:r w:rsidRPr="008A28AF">
        <w:rPr>
          <w:rFonts w:ascii="Calibri Light" w:hAnsi="Calibri Light" w:cstheme="majorBidi"/>
          <w:sz w:val="24"/>
          <w:szCs w:val="24"/>
        </w:rPr>
        <w:t xml:space="preserve"> di dalamnya. </w:t>
      </w:r>
    </w:p>
    <w:p w:rsidR="008F22D6" w:rsidRPr="008A28AF" w:rsidRDefault="008F22D6" w:rsidP="003A21B0">
      <w:pPr>
        <w:pStyle w:val="ListParagraph"/>
        <w:numPr>
          <w:ilvl w:val="0"/>
          <w:numId w:val="3"/>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Sadd adz-</w:t>
      </w:r>
      <w:r w:rsidR="004C3046" w:rsidRPr="008A28AF">
        <w:rPr>
          <w:rFonts w:ascii="Calibri Light" w:hAnsi="Calibri Light" w:cstheme="majorBidi"/>
          <w:sz w:val="24"/>
          <w:szCs w:val="24"/>
        </w:rPr>
        <w:t>Dzari’</w:t>
      </w:r>
      <w:r w:rsidRPr="008A28AF">
        <w:rPr>
          <w:rFonts w:ascii="Calibri Light" w:hAnsi="Calibri Light" w:cstheme="majorBidi"/>
          <w:sz w:val="24"/>
          <w:szCs w:val="24"/>
        </w:rPr>
        <w:t>ah</w:t>
      </w:r>
    </w:p>
    <w:p w:rsidR="00675B91" w:rsidRPr="008A28AF" w:rsidRDefault="00B63340"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lastRenderedPageBreak/>
        <w:t xml:space="preserve">Dalam hal </w:t>
      </w:r>
      <w:r w:rsidRPr="008A28AF">
        <w:rPr>
          <w:rFonts w:ascii="Calibri Light" w:hAnsi="Calibri Light" w:cstheme="majorBidi"/>
          <w:i/>
          <w:iCs/>
          <w:sz w:val="24"/>
          <w:szCs w:val="24"/>
        </w:rPr>
        <w:t>sadd adz</w:t>
      </w:r>
      <w:r w:rsidR="004C3046" w:rsidRPr="008A28AF">
        <w:rPr>
          <w:rFonts w:ascii="Calibri Light" w:hAnsi="Calibri Light" w:cstheme="majorBidi"/>
          <w:i/>
          <w:iCs/>
          <w:sz w:val="24"/>
          <w:szCs w:val="24"/>
        </w:rPr>
        <w:t xml:space="preserve"> </w:t>
      </w:r>
      <w:r w:rsidRPr="008A28AF">
        <w:rPr>
          <w:rFonts w:ascii="Calibri Light" w:hAnsi="Calibri Light" w:cstheme="majorBidi"/>
          <w:i/>
          <w:iCs/>
          <w:sz w:val="24"/>
          <w:szCs w:val="24"/>
        </w:rPr>
        <w:t>dzari</w:t>
      </w:r>
      <w:r w:rsidR="004C3046" w:rsidRPr="008A28AF">
        <w:rPr>
          <w:rFonts w:ascii="Calibri Light" w:hAnsi="Calibri Light" w:cstheme="majorBidi"/>
          <w:i/>
          <w:iCs/>
          <w:sz w:val="24"/>
          <w:szCs w:val="24"/>
        </w:rPr>
        <w:t>’</w:t>
      </w:r>
      <w:r w:rsidRPr="008A28AF">
        <w:rPr>
          <w:rFonts w:ascii="Calibri Light" w:hAnsi="Calibri Light" w:cstheme="majorBidi"/>
          <w:i/>
          <w:iCs/>
          <w:sz w:val="24"/>
          <w:szCs w:val="24"/>
        </w:rPr>
        <w:t>ah</w:t>
      </w:r>
      <w:r w:rsidR="004C3046" w:rsidRPr="008A28AF">
        <w:rPr>
          <w:rStyle w:val="FootnoteReference"/>
          <w:rFonts w:ascii="Calibri Light" w:hAnsi="Calibri Light"/>
          <w:sz w:val="24"/>
          <w:szCs w:val="24"/>
        </w:rPr>
        <w:footnoteReference w:id="26"/>
      </w:r>
      <w:r w:rsidRPr="008A28AF">
        <w:rPr>
          <w:rFonts w:ascii="Calibri Light" w:hAnsi="Calibri Light" w:cstheme="majorBidi"/>
          <w:sz w:val="24"/>
          <w:szCs w:val="24"/>
        </w:rPr>
        <w:t xml:space="preserve"> dijadikan dalil dalam penetapan hukum Islam  ini, Ibnu Taimiyyah memilihnya dengan alasan bahwa </w:t>
      </w:r>
      <w:r w:rsidRPr="008A28AF">
        <w:rPr>
          <w:rFonts w:ascii="Calibri Light" w:hAnsi="Calibri Light" w:cstheme="majorBidi"/>
          <w:i/>
          <w:iCs/>
          <w:sz w:val="24"/>
          <w:szCs w:val="24"/>
        </w:rPr>
        <w:t>sadd adz-dzari</w:t>
      </w:r>
      <w:r w:rsidR="004C3046" w:rsidRPr="008A28AF">
        <w:rPr>
          <w:rFonts w:ascii="Calibri Light" w:hAnsi="Calibri Light" w:cstheme="majorBidi"/>
          <w:i/>
          <w:iCs/>
          <w:sz w:val="24"/>
          <w:szCs w:val="24"/>
        </w:rPr>
        <w:t>’</w:t>
      </w:r>
      <w:r w:rsidRPr="008A28AF">
        <w:rPr>
          <w:rFonts w:ascii="Calibri Light" w:hAnsi="Calibri Light" w:cstheme="majorBidi"/>
          <w:i/>
          <w:iCs/>
          <w:sz w:val="24"/>
          <w:szCs w:val="24"/>
        </w:rPr>
        <w:t xml:space="preserve">ah </w:t>
      </w:r>
      <w:r w:rsidRPr="008A28AF">
        <w:rPr>
          <w:rFonts w:ascii="Calibri Light" w:hAnsi="Calibri Light" w:cstheme="majorBidi"/>
          <w:sz w:val="24"/>
          <w:szCs w:val="24"/>
        </w:rPr>
        <w:t xml:space="preserve"> ini merupakan bagian dari syariat dan penjagaan syari’ pada Islam.</w:t>
      </w:r>
      <w:r w:rsidR="003B564C" w:rsidRPr="008A28AF">
        <w:rPr>
          <w:rFonts w:ascii="Calibri Light" w:hAnsi="Calibri Light" w:cstheme="majorBidi"/>
          <w:sz w:val="24"/>
          <w:szCs w:val="24"/>
        </w:rPr>
        <w:t xml:space="preserve"> </w:t>
      </w:r>
      <w:r w:rsidR="008A0D16" w:rsidRPr="008A28AF">
        <w:rPr>
          <w:rFonts w:ascii="Calibri Light" w:hAnsi="Calibri Light" w:cstheme="majorBidi"/>
          <w:sz w:val="24"/>
          <w:szCs w:val="24"/>
        </w:rPr>
        <w:t xml:space="preserve">Meskipun beliau sendiri mewanti-wanti agar keberadaan </w:t>
      </w:r>
      <w:r w:rsidR="008A0D16" w:rsidRPr="008A28AF">
        <w:rPr>
          <w:rFonts w:ascii="Calibri Light" w:hAnsi="Calibri Light" w:cstheme="majorBidi"/>
          <w:i/>
          <w:iCs/>
          <w:sz w:val="24"/>
          <w:szCs w:val="24"/>
        </w:rPr>
        <w:t>sadd adz-dzari</w:t>
      </w:r>
      <w:r w:rsidR="004C3046" w:rsidRPr="008A28AF">
        <w:rPr>
          <w:rFonts w:ascii="Calibri Light" w:hAnsi="Calibri Light" w:cstheme="majorBidi"/>
          <w:i/>
          <w:iCs/>
          <w:sz w:val="24"/>
          <w:szCs w:val="24"/>
        </w:rPr>
        <w:t>’</w:t>
      </w:r>
      <w:r w:rsidR="008A0D16" w:rsidRPr="008A28AF">
        <w:rPr>
          <w:rFonts w:ascii="Calibri Light" w:hAnsi="Calibri Light" w:cstheme="majorBidi"/>
          <w:i/>
          <w:iCs/>
          <w:sz w:val="24"/>
          <w:szCs w:val="24"/>
        </w:rPr>
        <w:t xml:space="preserve">ah </w:t>
      </w:r>
      <w:r w:rsidR="008A0D16" w:rsidRPr="008A28AF">
        <w:rPr>
          <w:rFonts w:ascii="Calibri Light" w:hAnsi="Calibri Light" w:cstheme="majorBidi"/>
          <w:sz w:val="24"/>
          <w:szCs w:val="24"/>
        </w:rPr>
        <w:t>ini tidak sampai mengarahkan dan menghantarkan seseorang tersebut dari perbuatan mubah kepada perbuatan yang diharamkan.</w:t>
      </w:r>
      <w:r w:rsidR="0070069E" w:rsidRPr="008A28AF">
        <w:rPr>
          <w:rStyle w:val="FootnoteReference"/>
          <w:rFonts w:ascii="Calibri Light" w:hAnsi="Calibri Light"/>
          <w:sz w:val="24"/>
          <w:szCs w:val="24"/>
        </w:rPr>
        <w:footnoteReference w:id="27"/>
      </w:r>
    </w:p>
    <w:p w:rsidR="003A3F7B" w:rsidRPr="008A28AF" w:rsidRDefault="00287E0E"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Adapun kotradiktif para ulama’ dalam penerimaan penggunaan </w:t>
      </w:r>
      <w:r w:rsidRPr="008A28AF">
        <w:rPr>
          <w:rFonts w:ascii="Calibri Light" w:hAnsi="Calibri Light" w:cstheme="majorBidi"/>
          <w:i/>
          <w:iCs/>
          <w:sz w:val="24"/>
          <w:szCs w:val="24"/>
        </w:rPr>
        <w:t xml:space="preserve">sadd adz-dzari’ah </w:t>
      </w:r>
      <w:r w:rsidRPr="008A28AF">
        <w:rPr>
          <w:rFonts w:ascii="Calibri Light" w:hAnsi="Calibri Light" w:cstheme="majorBidi"/>
          <w:sz w:val="24"/>
          <w:szCs w:val="24"/>
        </w:rPr>
        <w:t>ini dkarenakan berbeda perspektif dalam pengaplikasiannya. Golongan Malikiyah dalam menilai sah dan tidaknya suatu perbuatan dilihat dari  aspek niat, tujuan dan akibat dari aktifitas tersebut. Sedangkan Syafiiyyah dan Hanafiyah melihat dari segi akad, baik dari aspek rukun dan syaratnya.</w:t>
      </w:r>
      <w:r w:rsidRPr="008A28AF">
        <w:rPr>
          <w:rStyle w:val="FootnoteReference"/>
          <w:rFonts w:ascii="Calibri Light" w:hAnsi="Calibri Light"/>
          <w:sz w:val="24"/>
          <w:szCs w:val="24"/>
        </w:rPr>
        <w:footnoteReference w:id="28"/>
      </w:r>
    </w:p>
    <w:p w:rsidR="00C05232" w:rsidRPr="008A28AF" w:rsidRDefault="001B61BF" w:rsidP="003A21B0">
      <w:pPr>
        <w:pStyle w:val="ListParagraph"/>
        <w:numPr>
          <w:ilvl w:val="0"/>
          <w:numId w:val="3"/>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Urf (adat)</w:t>
      </w:r>
    </w:p>
    <w:p w:rsidR="00DE486F" w:rsidRPr="008A28AF" w:rsidRDefault="00DE486F"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Ibnu Taimiyyah menjeasakan tentang </w:t>
      </w:r>
      <w:r w:rsidRPr="008A28AF">
        <w:rPr>
          <w:rFonts w:ascii="Calibri Light" w:hAnsi="Calibri Light" w:cstheme="majorBidi"/>
          <w:i/>
          <w:iCs/>
          <w:sz w:val="24"/>
          <w:szCs w:val="24"/>
        </w:rPr>
        <w:t xml:space="preserve">urf  </w:t>
      </w:r>
      <w:r w:rsidRPr="008A28AF">
        <w:rPr>
          <w:rFonts w:ascii="Calibri Light" w:hAnsi="Calibri Light" w:cstheme="majorBidi"/>
          <w:sz w:val="24"/>
          <w:szCs w:val="24"/>
        </w:rPr>
        <w:t xml:space="preserve">dengan kebiasaan ya g diikuti oleh seseorang </w:t>
      </w:r>
      <w:r w:rsidR="007610C8" w:rsidRPr="008A28AF">
        <w:rPr>
          <w:rFonts w:ascii="Calibri Light" w:hAnsi="Calibri Light" w:cstheme="majorBidi"/>
          <w:sz w:val="24"/>
          <w:szCs w:val="24"/>
        </w:rPr>
        <w:t xml:space="preserve">di dalam urusan dunianya dari hal-hal yang dibutuhkan. Adat </w:t>
      </w:r>
      <w:r w:rsidRPr="008A28AF">
        <w:rPr>
          <w:rFonts w:ascii="Calibri Light" w:hAnsi="Calibri Light" w:cstheme="majorBidi"/>
          <w:sz w:val="24"/>
          <w:szCs w:val="24"/>
        </w:rPr>
        <w:t>kebiasaan itu perlu untuk diperhatikan dan merujuk kepadanya selama tidak ada pembatasan oleh syari’at dan </w:t>
      </w:r>
      <w:r w:rsidRPr="008A28AF">
        <w:rPr>
          <w:rFonts w:ascii="Calibri Light" w:hAnsi="Calibri Light" w:cstheme="majorBidi"/>
          <w:i/>
          <w:iCs/>
          <w:sz w:val="24"/>
          <w:szCs w:val="24"/>
        </w:rPr>
        <w:t>urf</w:t>
      </w:r>
      <w:r w:rsidRPr="008A28AF">
        <w:rPr>
          <w:rFonts w:ascii="Calibri Light" w:hAnsi="Calibri Light" w:cstheme="majorBidi"/>
          <w:sz w:val="24"/>
          <w:szCs w:val="24"/>
        </w:rPr>
        <w:t xml:space="preserve">  </w:t>
      </w:r>
      <w:r w:rsidR="00CA4F8C" w:rsidRPr="008A28AF">
        <w:rPr>
          <w:rFonts w:ascii="Calibri Light" w:hAnsi="Calibri Light" w:cstheme="majorBidi"/>
          <w:sz w:val="24"/>
          <w:szCs w:val="24"/>
        </w:rPr>
        <w:t xml:space="preserve">dan merujuk pada </w:t>
      </w:r>
      <w:r w:rsidR="007610C8" w:rsidRPr="008A28AF">
        <w:rPr>
          <w:rFonts w:ascii="Calibri Light" w:hAnsi="Calibri Light" w:cstheme="majorBidi"/>
          <w:sz w:val="24"/>
          <w:szCs w:val="24"/>
        </w:rPr>
        <w:t>penerapan hu</w:t>
      </w:r>
      <w:r w:rsidRPr="008A28AF">
        <w:rPr>
          <w:rFonts w:ascii="Calibri Light" w:hAnsi="Calibri Light" w:cstheme="majorBidi"/>
          <w:sz w:val="24"/>
          <w:szCs w:val="24"/>
        </w:rPr>
        <w:t xml:space="preserve">kum </w:t>
      </w:r>
      <w:r w:rsidR="002D2DE3" w:rsidRPr="008A28AF">
        <w:rPr>
          <w:rFonts w:ascii="Calibri Light" w:hAnsi="Calibri Light" w:cstheme="majorBidi"/>
          <w:sz w:val="24"/>
          <w:szCs w:val="24"/>
        </w:rPr>
        <w:t>syariat (ibadah) baik dalam perkataan maupun perbuatan. Aktualisasi perbuatan</w:t>
      </w:r>
      <w:r w:rsidR="0042664F" w:rsidRPr="008A28AF">
        <w:rPr>
          <w:rFonts w:ascii="Calibri Light" w:hAnsi="Calibri Light" w:cstheme="majorBidi"/>
          <w:sz w:val="24"/>
          <w:szCs w:val="24"/>
        </w:rPr>
        <w:t xml:space="preserve"> (</w:t>
      </w:r>
      <w:r w:rsidR="0042664F" w:rsidRPr="008A28AF">
        <w:rPr>
          <w:rFonts w:ascii="Calibri Light" w:hAnsi="Calibri Light" w:cstheme="majorBidi"/>
          <w:i/>
          <w:iCs/>
          <w:sz w:val="24"/>
          <w:szCs w:val="24"/>
        </w:rPr>
        <w:t>urf fi’li</w:t>
      </w:r>
      <w:r w:rsidR="0042664F" w:rsidRPr="008A28AF">
        <w:rPr>
          <w:rFonts w:ascii="Calibri Light" w:hAnsi="Calibri Light" w:cstheme="majorBidi"/>
          <w:sz w:val="24"/>
          <w:szCs w:val="24"/>
        </w:rPr>
        <w:t>)</w:t>
      </w:r>
      <w:r w:rsidR="008E007A" w:rsidRPr="008A28AF">
        <w:rPr>
          <w:rStyle w:val="FootnoteReference"/>
          <w:rFonts w:ascii="Calibri Light" w:hAnsi="Calibri Light"/>
          <w:sz w:val="24"/>
          <w:szCs w:val="24"/>
        </w:rPr>
        <w:footnoteReference w:id="29"/>
      </w:r>
      <w:r w:rsidR="0042664F" w:rsidRPr="008A28AF">
        <w:rPr>
          <w:rFonts w:ascii="Calibri Light" w:hAnsi="Calibri Light" w:cstheme="majorBidi"/>
          <w:sz w:val="24"/>
          <w:szCs w:val="24"/>
        </w:rPr>
        <w:t xml:space="preserve"> </w:t>
      </w:r>
      <w:r w:rsidR="002D2DE3" w:rsidRPr="008A28AF">
        <w:rPr>
          <w:rFonts w:ascii="Calibri Light" w:hAnsi="Calibri Light" w:cstheme="majorBidi"/>
          <w:sz w:val="24"/>
          <w:szCs w:val="24"/>
        </w:rPr>
        <w:t xml:space="preserve">dan perkataan </w:t>
      </w:r>
      <w:r w:rsidR="0042664F" w:rsidRPr="008A28AF">
        <w:rPr>
          <w:rFonts w:ascii="Calibri Light" w:hAnsi="Calibri Light" w:cstheme="majorBidi"/>
          <w:sz w:val="24"/>
          <w:szCs w:val="24"/>
        </w:rPr>
        <w:t>(</w:t>
      </w:r>
      <w:r w:rsidR="0042664F" w:rsidRPr="008A28AF">
        <w:rPr>
          <w:rFonts w:ascii="Calibri Light" w:hAnsi="Calibri Light" w:cstheme="majorBidi"/>
          <w:i/>
          <w:iCs/>
          <w:sz w:val="24"/>
          <w:szCs w:val="24"/>
        </w:rPr>
        <w:t>urf qouli</w:t>
      </w:r>
      <w:r w:rsidR="0042664F" w:rsidRPr="008A28AF">
        <w:rPr>
          <w:rFonts w:ascii="Calibri Light" w:hAnsi="Calibri Light" w:cstheme="majorBidi"/>
          <w:sz w:val="24"/>
          <w:szCs w:val="24"/>
        </w:rPr>
        <w:t>)</w:t>
      </w:r>
      <w:r w:rsidR="008E007A" w:rsidRPr="008A28AF">
        <w:rPr>
          <w:rStyle w:val="FootnoteReference"/>
          <w:rFonts w:ascii="Calibri Light" w:hAnsi="Calibri Light"/>
          <w:sz w:val="24"/>
          <w:szCs w:val="24"/>
        </w:rPr>
        <w:footnoteReference w:id="30"/>
      </w:r>
      <w:r w:rsidR="0042664F" w:rsidRPr="008A28AF">
        <w:rPr>
          <w:rFonts w:ascii="Calibri Light" w:hAnsi="Calibri Light" w:cstheme="majorBidi"/>
          <w:sz w:val="24"/>
          <w:szCs w:val="24"/>
        </w:rPr>
        <w:t xml:space="preserve"> </w:t>
      </w:r>
      <w:r w:rsidR="002D2DE3" w:rsidRPr="008A28AF">
        <w:rPr>
          <w:rFonts w:ascii="Calibri Light" w:hAnsi="Calibri Light" w:cstheme="majorBidi"/>
          <w:sz w:val="24"/>
          <w:szCs w:val="24"/>
        </w:rPr>
        <w:t>ini terbagi menjadi dua, yaitu ibadah  yang orientasinya untuk kebaikan agama, dan adat kebiasaan yang kita tidak bisa lepas darinya dalam pemenuhan kebutuhan dunia.</w:t>
      </w:r>
      <w:r w:rsidR="002D2DE3" w:rsidRPr="008A28AF">
        <w:rPr>
          <w:rStyle w:val="FootnoteReference"/>
          <w:rFonts w:ascii="Calibri Light" w:hAnsi="Calibri Light"/>
          <w:sz w:val="24"/>
          <w:szCs w:val="24"/>
        </w:rPr>
        <w:footnoteReference w:id="31"/>
      </w:r>
    </w:p>
    <w:p w:rsidR="00C05232" w:rsidRPr="008A28AF" w:rsidRDefault="008D7F1A"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Dalam hal penerapan urf ini, ulama bersepakat menjadikannya sebagai pijakan dalam istinbat apabila terpenuhi ketentuan-ketentuan </w:t>
      </w:r>
      <w:r w:rsidR="00021D09" w:rsidRPr="008A28AF">
        <w:rPr>
          <w:rFonts w:ascii="Calibri Light" w:hAnsi="Calibri Light" w:cstheme="majorBidi"/>
          <w:sz w:val="24"/>
          <w:szCs w:val="24"/>
        </w:rPr>
        <w:t>sebagai berikut</w:t>
      </w:r>
      <w:r w:rsidRPr="008A28AF">
        <w:rPr>
          <w:rFonts w:ascii="Calibri Light" w:hAnsi="Calibri Light" w:cstheme="majorBidi"/>
          <w:sz w:val="24"/>
          <w:szCs w:val="24"/>
        </w:rPr>
        <w:t>, yaitu</w:t>
      </w:r>
      <w:r w:rsidR="00155BF6" w:rsidRPr="008A28AF">
        <w:rPr>
          <w:rStyle w:val="FootnoteReference"/>
          <w:rFonts w:ascii="Calibri Light" w:hAnsi="Calibri Light"/>
          <w:sz w:val="24"/>
          <w:szCs w:val="24"/>
        </w:rPr>
        <w:footnoteReference w:id="32"/>
      </w:r>
      <w:r w:rsidRPr="008A28AF">
        <w:rPr>
          <w:rFonts w:ascii="Calibri Light" w:hAnsi="Calibri Light" w:cstheme="majorBidi"/>
          <w:sz w:val="24"/>
          <w:szCs w:val="24"/>
        </w:rPr>
        <w:t xml:space="preserve"> a)</w:t>
      </w:r>
      <w:r w:rsidR="00021D09" w:rsidRPr="008A28AF">
        <w:rPr>
          <w:rFonts w:ascii="Calibri Light" w:hAnsi="Calibri Light" w:cstheme="majorBidi"/>
          <w:sz w:val="24"/>
          <w:szCs w:val="24"/>
        </w:rPr>
        <w:t xml:space="preserve"> </w:t>
      </w:r>
      <w:r w:rsidRPr="008A28AF">
        <w:rPr>
          <w:rFonts w:ascii="Calibri Light" w:hAnsi="Calibri Light" w:cstheme="majorBidi"/>
          <w:sz w:val="24"/>
          <w:szCs w:val="24"/>
        </w:rPr>
        <w:t xml:space="preserve">tidak berbeda dengan ketentuan </w:t>
      </w:r>
      <w:r w:rsidR="00021D09" w:rsidRPr="008A28AF">
        <w:rPr>
          <w:rFonts w:ascii="Calibri Light" w:hAnsi="Calibri Light" w:cstheme="majorBidi"/>
          <w:sz w:val="24"/>
          <w:szCs w:val="24"/>
        </w:rPr>
        <w:t xml:space="preserve">syariah; </w:t>
      </w:r>
      <w:r w:rsidRPr="008A28AF">
        <w:rPr>
          <w:rFonts w:ascii="Calibri Light" w:hAnsi="Calibri Light" w:cstheme="majorBidi"/>
          <w:sz w:val="24"/>
          <w:szCs w:val="24"/>
        </w:rPr>
        <w:t xml:space="preserve">b) tidak menimbulkan kerusakan serta meniadakan </w:t>
      </w:r>
      <w:r w:rsidR="00021D09" w:rsidRPr="008A28AF">
        <w:rPr>
          <w:rFonts w:ascii="Calibri Light" w:hAnsi="Calibri Light" w:cstheme="majorBidi"/>
          <w:sz w:val="24"/>
          <w:szCs w:val="24"/>
        </w:rPr>
        <w:t xml:space="preserve">kemaslahatan; </w:t>
      </w:r>
      <w:r w:rsidRPr="008A28AF">
        <w:rPr>
          <w:rFonts w:ascii="Calibri Light" w:hAnsi="Calibri Light" w:cstheme="majorBidi"/>
          <w:sz w:val="24"/>
          <w:szCs w:val="24"/>
        </w:rPr>
        <w:t>c</w:t>
      </w:r>
      <w:r w:rsidR="00021D09" w:rsidRPr="008A28AF">
        <w:rPr>
          <w:rFonts w:ascii="Calibri Light" w:hAnsi="Calibri Light" w:cstheme="majorBidi"/>
          <w:sz w:val="24"/>
          <w:szCs w:val="24"/>
        </w:rPr>
        <w:t xml:space="preserve">) </w:t>
      </w:r>
      <w:r w:rsidRPr="008A28AF">
        <w:rPr>
          <w:rFonts w:ascii="Calibri Light" w:hAnsi="Calibri Light" w:cstheme="majorBidi"/>
          <w:sz w:val="24"/>
          <w:szCs w:val="24"/>
        </w:rPr>
        <w:t>jamak dilakukan oleh orang islam</w:t>
      </w:r>
      <w:r w:rsidR="00021D09" w:rsidRPr="008A28AF">
        <w:rPr>
          <w:rFonts w:ascii="Calibri Light" w:hAnsi="Calibri Light" w:cstheme="majorBidi"/>
          <w:sz w:val="24"/>
          <w:szCs w:val="24"/>
        </w:rPr>
        <w:t xml:space="preserve">; </w:t>
      </w:r>
      <w:r w:rsidRPr="008A28AF">
        <w:rPr>
          <w:rFonts w:ascii="Calibri Light" w:hAnsi="Calibri Light" w:cstheme="majorBidi"/>
          <w:sz w:val="24"/>
          <w:szCs w:val="24"/>
        </w:rPr>
        <w:t>e</w:t>
      </w:r>
      <w:r w:rsidR="00021D09" w:rsidRPr="008A28AF">
        <w:rPr>
          <w:rFonts w:ascii="Calibri Light" w:hAnsi="Calibri Light" w:cstheme="majorBidi"/>
          <w:sz w:val="24"/>
          <w:szCs w:val="24"/>
        </w:rPr>
        <w:t xml:space="preserve">) </w:t>
      </w:r>
      <w:r w:rsidRPr="008A28AF">
        <w:rPr>
          <w:rFonts w:ascii="Calibri Light" w:hAnsi="Calibri Light" w:cstheme="majorBidi"/>
          <w:sz w:val="24"/>
          <w:szCs w:val="24"/>
        </w:rPr>
        <w:t xml:space="preserve">tidak </w:t>
      </w:r>
      <w:r w:rsidR="00021D09" w:rsidRPr="008A28AF">
        <w:rPr>
          <w:rFonts w:ascii="Calibri Light" w:hAnsi="Calibri Light" w:cstheme="majorBidi"/>
          <w:sz w:val="24"/>
          <w:szCs w:val="24"/>
        </w:rPr>
        <w:t xml:space="preserve">berlaku </w:t>
      </w:r>
      <w:r w:rsidR="006A26CC" w:rsidRPr="008A28AF">
        <w:rPr>
          <w:rFonts w:ascii="Calibri Light" w:hAnsi="Calibri Light" w:cstheme="majorBidi"/>
          <w:sz w:val="24"/>
          <w:szCs w:val="24"/>
        </w:rPr>
        <w:t xml:space="preserve">pada permasalahan </w:t>
      </w:r>
      <w:r w:rsidR="00021D09" w:rsidRPr="008A28AF">
        <w:rPr>
          <w:rFonts w:ascii="Calibri Light" w:hAnsi="Calibri Light" w:cstheme="majorBidi"/>
          <w:sz w:val="24"/>
          <w:szCs w:val="24"/>
        </w:rPr>
        <w:t xml:space="preserve">ibadah mahdhoh; </w:t>
      </w:r>
      <w:r w:rsidR="006A26CC" w:rsidRPr="008A28AF">
        <w:rPr>
          <w:rFonts w:ascii="Calibri Light" w:hAnsi="Calibri Light" w:cstheme="majorBidi"/>
          <w:sz w:val="24"/>
          <w:szCs w:val="24"/>
        </w:rPr>
        <w:t>f</w:t>
      </w:r>
      <w:r w:rsidR="00021D09" w:rsidRPr="008A28AF">
        <w:rPr>
          <w:rFonts w:ascii="Calibri Light" w:hAnsi="Calibri Light" w:cstheme="majorBidi"/>
          <w:sz w:val="24"/>
          <w:szCs w:val="24"/>
        </w:rPr>
        <w:t>) ‘</w:t>
      </w:r>
      <w:r w:rsidR="006A26CC" w:rsidRPr="008A28AF">
        <w:rPr>
          <w:rFonts w:ascii="Calibri Light" w:hAnsi="Calibri Light" w:cstheme="majorBidi"/>
          <w:sz w:val="24"/>
          <w:szCs w:val="24"/>
        </w:rPr>
        <w:t>urf sudah menjadi kebiasaan dalam masyarakat dan telah menjadi dasar hukum dalam masyarakat tersebut.</w:t>
      </w:r>
    </w:p>
    <w:p w:rsidR="006A26CC" w:rsidRPr="008A28AF" w:rsidRDefault="006A26CC" w:rsidP="003A21B0">
      <w:pPr>
        <w:autoSpaceDE w:val="0"/>
        <w:autoSpaceDN w:val="0"/>
        <w:adjustRightInd w:val="0"/>
        <w:spacing w:after="0" w:line="240" w:lineRule="auto"/>
        <w:ind w:firstLine="720"/>
        <w:jc w:val="both"/>
        <w:rPr>
          <w:rFonts w:ascii="Calibri Light" w:hAnsi="Calibri Light" w:cstheme="majorBidi"/>
          <w:sz w:val="24"/>
          <w:szCs w:val="24"/>
        </w:rPr>
      </w:pPr>
    </w:p>
    <w:p w:rsidR="00C05232" w:rsidRPr="008A28AF" w:rsidRDefault="003A21B0" w:rsidP="003A21B0">
      <w:pPr>
        <w:pStyle w:val="ListParagraph"/>
        <w:numPr>
          <w:ilvl w:val="0"/>
          <w:numId w:val="2"/>
        </w:numPr>
        <w:spacing w:after="0" w:line="240" w:lineRule="auto"/>
        <w:jc w:val="both"/>
        <w:rPr>
          <w:rFonts w:ascii="Calibri Light" w:hAnsi="Calibri Light" w:cstheme="majorBidi"/>
          <w:b/>
          <w:bCs/>
          <w:sz w:val="24"/>
          <w:szCs w:val="24"/>
        </w:rPr>
      </w:pPr>
      <w:r>
        <w:rPr>
          <w:rFonts w:ascii="Calibri Light" w:hAnsi="Calibri Light" w:cstheme="majorBidi"/>
          <w:b/>
          <w:bCs/>
          <w:sz w:val="24"/>
          <w:szCs w:val="24"/>
        </w:rPr>
        <w:t>Aktualisasi</w:t>
      </w:r>
      <w:r w:rsidR="0075696B" w:rsidRPr="008A28AF">
        <w:rPr>
          <w:rFonts w:ascii="Calibri Light" w:hAnsi="Calibri Light" w:cstheme="majorBidi"/>
          <w:b/>
          <w:bCs/>
          <w:sz w:val="24"/>
          <w:szCs w:val="24"/>
        </w:rPr>
        <w:t xml:space="preserve"> </w:t>
      </w:r>
      <w:r w:rsidR="00A652A2" w:rsidRPr="008A28AF">
        <w:rPr>
          <w:rFonts w:ascii="Calibri Light" w:hAnsi="Calibri Light" w:cstheme="majorBidi"/>
          <w:b/>
          <w:bCs/>
          <w:sz w:val="24"/>
          <w:szCs w:val="24"/>
        </w:rPr>
        <w:t>Hasil Berfikir Ushuli Ibnu Taimiyyah</w:t>
      </w:r>
    </w:p>
    <w:p w:rsidR="004C6121" w:rsidRPr="008A28AF" w:rsidRDefault="004C6121"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Sebagai sosok yang alim, faqih dan sudah mencapai derajat kategori mujtahid bahkan mujtahid mutlak, Ibnu Taimiyyah dalam beberapa persoalan hukum Islam tidak terikat dengan hasil ijtihad madzhab ternteu dan terkadang cenderung berbeda dari madzhab jumhur ulama’. Bahkan beliau sendiri juga tidak segan-segan berbeda dengan madzhab Imam Ahmad bin Hambal sebagai madzhab yang diikutinya.</w:t>
      </w:r>
    </w:p>
    <w:p w:rsidR="0089519C" w:rsidRPr="008A28AF" w:rsidRDefault="00900DCB"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Ibn</w:t>
      </w:r>
      <w:r w:rsidR="00BA5BDC" w:rsidRPr="008A28AF">
        <w:rPr>
          <w:rFonts w:ascii="Calibri Light" w:hAnsi="Calibri Light" w:cstheme="majorBidi"/>
          <w:sz w:val="24"/>
          <w:szCs w:val="24"/>
        </w:rPr>
        <w:t>u</w:t>
      </w:r>
      <w:r w:rsidRPr="008A28AF">
        <w:rPr>
          <w:rFonts w:ascii="Calibri Light" w:hAnsi="Calibri Light" w:cstheme="majorBidi"/>
          <w:sz w:val="24"/>
          <w:szCs w:val="24"/>
        </w:rPr>
        <w:t xml:space="preserve"> Ta</w:t>
      </w:r>
      <w:r w:rsidR="00C70CE2" w:rsidRPr="008A28AF">
        <w:rPr>
          <w:rFonts w:ascii="Calibri Light" w:hAnsi="Calibri Light" w:cstheme="majorBidi"/>
          <w:sz w:val="24"/>
          <w:szCs w:val="24"/>
        </w:rPr>
        <w:t>i</w:t>
      </w:r>
      <w:r w:rsidRPr="008A28AF">
        <w:rPr>
          <w:rFonts w:ascii="Calibri Light" w:hAnsi="Calibri Light" w:cstheme="majorBidi"/>
          <w:sz w:val="24"/>
          <w:szCs w:val="24"/>
        </w:rPr>
        <w:t xml:space="preserve">miyyah </w:t>
      </w:r>
      <w:r w:rsidR="00C70CE2" w:rsidRPr="008A28AF">
        <w:rPr>
          <w:rFonts w:ascii="Calibri Light" w:hAnsi="Calibri Light" w:cstheme="majorBidi"/>
          <w:sz w:val="24"/>
          <w:szCs w:val="24"/>
        </w:rPr>
        <w:t xml:space="preserve">dalam </w:t>
      </w:r>
      <w:r w:rsidR="0089519C" w:rsidRPr="008A28AF">
        <w:rPr>
          <w:rFonts w:ascii="Calibri Light" w:hAnsi="Calibri Light" w:cstheme="majorBidi"/>
          <w:sz w:val="24"/>
          <w:szCs w:val="24"/>
        </w:rPr>
        <w:t>proses istinbat berani berbeda dengan jumhur asalkan tidak terlepas dari  al Qu’ran</w:t>
      </w:r>
      <w:r w:rsidRPr="008A28AF">
        <w:rPr>
          <w:rFonts w:ascii="Calibri Light" w:hAnsi="Calibri Light" w:cstheme="majorBidi"/>
          <w:sz w:val="24"/>
          <w:szCs w:val="24"/>
        </w:rPr>
        <w:t xml:space="preserve">, Sunnah dan </w:t>
      </w:r>
      <w:r w:rsidR="0089519C" w:rsidRPr="008A28AF">
        <w:rPr>
          <w:rFonts w:ascii="Calibri Light" w:hAnsi="Calibri Light" w:cstheme="majorBidi"/>
          <w:sz w:val="24"/>
          <w:szCs w:val="24"/>
        </w:rPr>
        <w:t>Ijma’. Beliau bukanlah olah yang merasa benar sendiri atas pendapat yang dikemukakan. Sehingga siapapun yang berpegangan kepada al Qur’an, Nash dan Ijma’ juga berhak untuk diikuti.</w:t>
      </w:r>
    </w:p>
    <w:p w:rsidR="00690293" w:rsidRPr="008A28AF" w:rsidRDefault="00690293"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Di bawah ini akan diuraikan beberapa masalah hukum yang Ibnu Taimiyyah berbeda dengan  madzhab jumhur ulama’ sebagaimana berikut:</w:t>
      </w:r>
    </w:p>
    <w:p w:rsidR="00690293" w:rsidRPr="008A28AF" w:rsidRDefault="00690293" w:rsidP="003A21B0">
      <w:pPr>
        <w:pStyle w:val="ListParagraph"/>
        <w:numPr>
          <w:ilvl w:val="0"/>
          <w:numId w:val="5"/>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 xml:space="preserve">Ibn Taymiyyah berpendapat </w:t>
      </w:r>
      <w:r w:rsidR="006E7BF6" w:rsidRPr="008A28AF">
        <w:rPr>
          <w:rFonts w:ascii="Calibri Light" w:hAnsi="Calibri Light" w:cstheme="majorBidi"/>
          <w:sz w:val="24"/>
          <w:szCs w:val="24"/>
        </w:rPr>
        <w:t xml:space="preserve">dalam masalah talak, beliau menyatakan </w:t>
      </w:r>
      <w:r w:rsidRPr="008A28AF">
        <w:rPr>
          <w:rFonts w:ascii="Calibri Light" w:hAnsi="Calibri Light" w:cstheme="majorBidi"/>
          <w:sz w:val="24"/>
          <w:szCs w:val="24"/>
        </w:rPr>
        <w:t>bahwa jika seseorang menjatuhkan tiga talak dalam satu waktu, maka hukumnya bagi seorang tersebut adalah jatuh talak satu. Pendapat yang dikemukakannya ini sesuai dengan pendapat al-Zahiri, pendapat sebagian sahabat, seperti Zubair bin al-‘Awwam dan ‘Abdul Rahman bin ‘Auf.</w:t>
      </w:r>
      <w:r w:rsidR="00D56328" w:rsidRPr="008A28AF">
        <w:rPr>
          <w:rStyle w:val="FootnoteReference"/>
          <w:rFonts w:ascii="Calibri Light" w:hAnsi="Calibri Light"/>
          <w:sz w:val="24"/>
          <w:szCs w:val="24"/>
        </w:rPr>
        <w:footnoteReference w:id="33"/>
      </w:r>
    </w:p>
    <w:p w:rsidR="00667D5A" w:rsidRPr="008A28AF" w:rsidRDefault="00255756" w:rsidP="003A21B0">
      <w:pPr>
        <w:pStyle w:val="ListParagraph"/>
        <w:autoSpaceDE w:val="0"/>
        <w:autoSpaceDN w:val="0"/>
        <w:adjustRightInd w:val="0"/>
        <w:spacing w:after="0" w:line="240" w:lineRule="auto"/>
        <w:ind w:left="1080"/>
        <w:jc w:val="both"/>
        <w:rPr>
          <w:rFonts w:ascii="Calibri Light" w:hAnsi="Calibri Light" w:cstheme="majorBidi"/>
          <w:sz w:val="24"/>
          <w:szCs w:val="24"/>
        </w:rPr>
      </w:pPr>
      <w:r w:rsidRPr="008A28AF">
        <w:rPr>
          <w:rFonts w:ascii="Calibri Light" w:hAnsi="Calibri Light" w:cstheme="majorBidi"/>
          <w:sz w:val="24"/>
          <w:szCs w:val="24"/>
        </w:rPr>
        <w:t>Pemikiran Ibnu Taimiyyah dalam permasalahan ini menurut pandangan ahli huku</w:t>
      </w:r>
      <w:r w:rsidR="00667D5A" w:rsidRPr="008A28AF">
        <w:rPr>
          <w:rFonts w:ascii="Calibri Light" w:hAnsi="Calibri Light" w:cstheme="majorBidi"/>
          <w:sz w:val="24"/>
          <w:szCs w:val="24"/>
        </w:rPr>
        <w:t>m</w:t>
      </w:r>
      <w:r w:rsidRPr="008A28AF">
        <w:rPr>
          <w:rFonts w:ascii="Calibri Light" w:hAnsi="Calibri Light" w:cstheme="majorBidi"/>
          <w:sz w:val="24"/>
          <w:szCs w:val="24"/>
        </w:rPr>
        <w:t xml:space="preserve"> Islam beliau terlalu berani untuk keluar dari pendapat yang dikeluarkan oleh jumhur ulama’.</w:t>
      </w:r>
      <w:r w:rsidR="00667D5A" w:rsidRPr="008A28AF">
        <w:rPr>
          <w:rFonts w:ascii="Calibri Light" w:hAnsi="Calibri Light" w:cstheme="majorBidi"/>
          <w:sz w:val="24"/>
          <w:szCs w:val="24"/>
        </w:rPr>
        <w:t xml:space="preserve"> Akan tetapi, ada juga ulama’ yang membenarkan dan mentarjih pendapat beliau dalam hal ini sebagaimana yang diutarakan  oleh al-Shaukani dan Ibnu Qoyyim al Jauziyyah.</w:t>
      </w:r>
      <w:r w:rsidR="00667D5A" w:rsidRPr="008A28AF">
        <w:rPr>
          <w:rStyle w:val="FootnoteReference"/>
          <w:rFonts w:ascii="Calibri Light" w:hAnsi="Calibri Light"/>
          <w:sz w:val="24"/>
          <w:szCs w:val="24"/>
        </w:rPr>
        <w:footnoteReference w:id="34"/>
      </w:r>
    </w:p>
    <w:p w:rsidR="00D56328" w:rsidRPr="008A28AF" w:rsidRDefault="00866D6B" w:rsidP="003A21B0">
      <w:pPr>
        <w:pStyle w:val="ListParagraph"/>
        <w:numPr>
          <w:ilvl w:val="0"/>
          <w:numId w:val="5"/>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Ibn Tai</w:t>
      </w:r>
      <w:r w:rsidR="006E7BF6" w:rsidRPr="008A28AF">
        <w:rPr>
          <w:rFonts w:ascii="Calibri Light" w:hAnsi="Calibri Light" w:cstheme="majorBidi"/>
          <w:sz w:val="24"/>
          <w:szCs w:val="24"/>
        </w:rPr>
        <w:t xml:space="preserve">miyyah berpendapat dalam masalah waqaf beliau menyatakan bahwa penjualan aset waqaf yang berbetuk masjid itu diperbolehkan selama dengan adanya alasan-alasan </w:t>
      </w:r>
      <w:r w:rsidR="002E5F71" w:rsidRPr="008A28AF">
        <w:rPr>
          <w:rFonts w:ascii="Calibri Light" w:hAnsi="Calibri Light" w:cstheme="majorBidi"/>
          <w:sz w:val="24"/>
          <w:szCs w:val="24"/>
        </w:rPr>
        <w:t xml:space="preserve">darurat dan maslahat </w:t>
      </w:r>
      <w:r w:rsidR="006E7BF6" w:rsidRPr="008A28AF">
        <w:rPr>
          <w:rFonts w:ascii="Calibri Light" w:hAnsi="Calibri Light" w:cstheme="majorBidi"/>
          <w:sz w:val="24"/>
          <w:szCs w:val="24"/>
        </w:rPr>
        <w:t>yang bisa diterima. Seperti masjid sudah tidak bisa lagi menampung jamaah yang semain banyak dan tidak mungkin terjadi perluasan masjid.</w:t>
      </w:r>
      <w:r w:rsidR="00215485" w:rsidRPr="008A28AF">
        <w:rPr>
          <w:rStyle w:val="FootnoteReference"/>
          <w:rFonts w:ascii="Calibri Light" w:hAnsi="Calibri Light"/>
          <w:sz w:val="24"/>
          <w:szCs w:val="24"/>
        </w:rPr>
        <w:footnoteReference w:id="35"/>
      </w:r>
    </w:p>
    <w:p w:rsidR="002E5F71" w:rsidRPr="008A28AF" w:rsidRDefault="002E5F71" w:rsidP="003A21B0">
      <w:pPr>
        <w:pStyle w:val="ListParagraph"/>
        <w:autoSpaceDE w:val="0"/>
        <w:autoSpaceDN w:val="0"/>
        <w:adjustRightInd w:val="0"/>
        <w:spacing w:after="0" w:line="240" w:lineRule="auto"/>
        <w:ind w:left="1080"/>
        <w:jc w:val="both"/>
        <w:rPr>
          <w:rFonts w:ascii="Calibri Light" w:hAnsi="Calibri Light" w:cstheme="majorBidi"/>
          <w:sz w:val="24"/>
          <w:szCs w:val="24"/>
        </w:rPr>
      </w:pPr>
      <w:r w:rsidRPr="008A28AF">
        <w:rPr>
          <w:rFonts w:ascii="Calibri Light" w:hAnsi="Calibri Light" w:cstheme="majorBidi"/>
          <w:sz w:val="24"/>
          <w:szCs w:val="24"/>
        </w:rPr>
        <w:t>Beliau berpendapat bahwa melakukan pertukaran aset waqaf bisa dilakukan karena dua alasan, yaitu kebutuhan (</w:t>
      </w:r>
      <w:r w:rsidRPr="008A28AF">
        <w:rPr>
          <w:rFonts w:ascii="Calibri Light" w:hAnsi="Calibri Light" w:cstheme="majorBidi"/>
          <w:i/>
          <w:iCs/>
          <w:sz w:val="24"/>
          <w:szCs w:val="24"/>
        </w:rPr>
        <w:t>hajah</w:t>
      </w:r>
      <w:r w:rsidRPr="008A28AF">
        <w:rPr>
          <w:rFonts w:ascii="Calibri Light" w:hAnsi="Calibri Light" w:cstheme="majorBidi"/>
          <w:sz w:val="24"/>
          <w:szCs w:val="24"/>
        </w:rPr>
        <w:t xml:space="preserve">) dan adanya unsur maslahah yang lebih besar. Seperti kasus di atas yaitu menjual mesjid yang merupakan harta waqaf dan hasil penjualannya digunakan untuk membeli tanah yang lebih besar dan luas dari pada masjid yang lama. Hal seperti ini pernah dipraktikkan oleh khalifah Umar bin Khottob tatkala </w:t>
      </w:r>
      <w:r w:rsidR="00083A7D" w:rsidRPr="008A28AF">
        <w:rPr>
          <w:rFonts w:ascii="Calibri Light" w:hAnsi="Calibri Light" w:cstheme="majorBidi"/>
          <w:sz w:val="24"/>
          <w:szCs w:val="24"/>
        </w:rPr>
        <w:t xml:space="preserve">melakukan perpindahan masjid </w:t>
      </w:r>
      <w:r w:rsidRPr="008A28AF">
        <w:rPr>
          <w:rFonts w:ascii="Calibri Light" w:hAnsi="Calibri Light" w:cstheme="majorBidi"/>
          <w:sz w:val="24"/>
          <w:szCs w:val="24"/>
        </w:rPr>
        <w:t xml:space="preserve">Kufah dari tempat </w:t>
      </w:r>
      <w:r w:rsidR="00083A7D" w:rsidRPr="008A28AF">
        <w:rPr>
          <w:rFonts w:ascii="Calibri Light" w:hAnsi="Calibri Light" w:cstheme="majorBidi"/>
          <w:sz w:val="24"/>
          <w:szCs w:val="24"/>
        </w:rPr>
        <w:t xml:space="preserve">asalnya </w:t>
      </w:r>
      <w:r w:rsidRPr="008A28AF">
        <w:rPr>
          <w:rFonts w:ascii="Calibri Light" w:hAnsi="Calibri Light" w:cstheme="majorBidi"/>
          <w:sz w:val="24"/>
          <w:szCs w:val="24"/>
        </w:rPr>
        <w:t>ke tempat baru.</w:t>
      </w:r>
      <w:r w:rsidR="00462E94" w:rsidRPr="008A28AF">
        <w:rPr>
          <w:rStyle w:val="FootnoteReference"/>
          <w:rFonts w:ascii="Calibri Light" w:hAnsi="Calibri Light"/>
          <w:sz w:val="24"/>
          <w:szCs w:val="24"/>
        </w:rPr>
        <w:footnoteReference w:id="36"/>
      </w:r>
    </w:p>
    <w:p w:rsidR="00866D6B" w:rsidRPr="008A28AF" w:rsidRDefault="00866D6B" w:rsidP="003A21B0">
      <w:pPr>
        <w:pStyle w:val="ListParagraph"/>
        <w:numPr>
          <w:ilvl w:val="0"/>
          <w:numId w:val="5"/>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lastRenderedPageBreak/>
        <w:t>Ibn</w:t>
      </w:r>
      <w:r w:rsidR="00F170F9" w:rsidRPr="008A28AF">
        <w:rPr>
          <w:rFonts w:ascii="Calibri Light" w:hAnsi="Calibri Light" w:cstheme="majorBidi"/>
          <w:sz w:val="24"/>
          <w:szCs w:val="24"/>
        </w:rPr>
        <w:t>u</w:t>
      </w:r>
      <w:r w:rsidRPr="008A28AF">
        <w:rPr>
          <w:rFonts w:ascii="Calibri Light" w:hAnsi="Calibri Light" w:cstheme="majorBidi"/>
          <w:sz w:val="24"/>
          <w:szCs w:val="24"/>
        </w:rPr>
        <w:t xml:space="preserve"> Taimiyyah berpendapat dalam hal </w:t>
      </w:r>
      <w:r w:rsidR="00853A60" w:rsidRPr="008A28AF">
        <w:rPr>
          <w:rFonts w:ascii="Calibri Light" w:hAnsi="Calibri Light" w:cstheme="majorBidi"/>
          <w:sz w:val="24"/>
          <w:szCs w:val="24"/>
        </w:rPr>
        <w:t xml:space="preserve">air untuk bersuci. Beliau berpendapat bahwa semua air mutlaq itu bisa digunakan untuk bersuci. Beliau tidak sepakat dengan adanya pembagian atau kategorisasi status air yang terbagi pada </w:t>
      </w:r>
      <w:r w:rsidR="00853A60" w:rsidRPr="008A28AF">
        <w:rPr>
          <w:rFonts w:ascii="Calibri Light" w:hAnsi="Calibri Light" w:cstheme="majorBidi"/>
          <w:i/>
          <w:iCs/>
          <w:sz w:val="24"/>
          <w:szCs w:val="24"/>
        </w:rPr>
        <w:t>tohur</w:t>
      </w:r>
      <w:r w:rsidR="00853A60" w:rsidRPr="008A28AF">
        <w:rPr>
          <w:rFonts w:ascii="Calibri Light" w:hAnsi="Calibri Light" w:cstheme="majorBidi"/>
          <w:sz w:val="24"/>
          <w:szCs w:val="24"/>
        </w:rPr>
        <w:t xml:space="preserve"> dan </w:t>
      </w:r>
      <w:r w:rsidR="00853A60" w:rsidRPr="008A28AF">
        <w:rPr>
          <w:rFonts w:ascii="Calibri Light" w:hAnsi="Calibri Light" w:cstheme="majorBidi"/>
          <w:i/>
          <w:iCs/>
          <w:sz w:val="24"/>
          <w:szCs w:val="24"/>
        </w:rPr>
        <w:t xml:space="preserve">goiru </w:t>
      </w:r>
      <w:r w:rsidR="00C2021F" w:rsidRPr="008A28AF">
        <w:rPr>
          <w:rFonts w:ascii="Calibri Light" w:hAnsi="Calibri Light" w:cstheme="majorBidi"/>
          <w:i/>
          <w:iCs/>
          <w:sz w:val="24"/>
          <w:szCs w:val="24"/>
        </w:rPr>
        <w:t xml:space="preserve">tuhur. </w:t>
      </w:r>
      <w:r w:rsidR="00C2021F" w:rsidRPr="008A28AF">
        <w:rPr>
          <w:rFonts w:ascii="Calibri Light" w:hAnsi="Calibri Light" w:cstheme="majorBidi"/>
          <w:sz w:val="24"/>
          <w:szCs w:val="24"/>
        </w:rPr>
        <w:t>Beliau berpendapat bahwa, kategorisasi ini bertentangan dengan kitab dan sunnah yang mengistilahkan air saja tanpa ada klasifikasi. Sehingga dapat dikatakan meskipun air tersebut musta’mal, atau terkena najis baik air tersebut sedikit maupun banyak selama tidak berubah maka tetap dihukumi tidak najis.</w:t>
      </w:r>
      <w:r w:rsidR="00173E79" w:rsidRPr="008A28AF">
        <w:rPr>
          <w:rStyle w:val="FootnoteReference"/>
          <w:rFonts w:ascii="Calibri Light" w:hAnsi="Calibri Light"/>
          <w:sz w:val="24"/>
          <w:szCs w:val="24"/>
        </w:rPr>
        <w:footnoteReference w:id="37"/>
      </w:r>
    </w:p>
    <w:p w:rsidR="00F170F9" w:rsidRPr="008A28AF" w:rsidRDefault="0019759F" w:rsidP="003A21B0">
      <w:pPr>
        <w:pStyle w:val="ListParagraph"/>
        <w:autoSpaceDE w:val="0"/>
        <w:autoSpaceDN w:val="0"/>
        <w:adjustRightInd w:val="0"/>
        <w:spacing w:after="0" w:line="240" w:lineRule="auto"/>
        <w:ind w:left="1080"/>
        <w:jc w:val="both"/>
        <w:rPr>
          <w:rFonts w:ascii="Calibri Light" w:hAnsi="Calibri Light" w:cstheme="majorBidi"/>
          <w:sz w:val="24"/>
          <w:szCs w:val="24"/>
        </w:rPr>
      </w:pPr>
      <w:r w:rsidRPr="008A28AF">
        <w:rPr>
          <w:rFonts w:ascii="Calibri Light" w:hAnsi="Calibri Light" w:cstheme="majorBidi"/>
          <w:sz w:val="24"/>
          <w:szCs w:val="24"/>
        </w:rPr>
        <w:t>Pendapat yang dikemukakan ini sekali lagi berbeda dengan pendapat jumhur yang mengklasifikasikan pada jenis air dalam kategori suci, mensucikan, najis, mustakmal, mutanajjis dan lain-lain.</w:t>
      </w:r>
    </w:p>
    <w:p w:rsidR="002327BE" w:rsidRPr="008A28AF" w:rsidRDefault="00FF626D" w:rsidP="003A21B0">
      <w:pPr>
        <w:pStyle w:val="ListParagraph"/>
        <w:numPr>
          <w:ilvl w:val="0"/>
          <w:numId w:val="5"/>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 xml:space="preserve">Ibnu Taimiyyah berpendapat bahwa tidak rusak wudu’nya seseorang yang menyentuh perempuan kecuali orang tersebut menyentuhnya dengan syahwat. </w:t>
      </w:r>
      <w:r w:rsidR="0073632B" w:rsidRPr="008A28AF">
        <w:rPr>
          <w:rFonts w:ascii="Calibri Light" w:hAnsi="Calibri Light" w:cstheme="majorBidi"/>
          <w:sz w:val="24"/>
          <w:szCs w:val="24"/>
        </w:rPr>
        <w:t xml:space="preserve">Karena beliau mengartikan bahwa kata </w:t>
      </w:r>
      <w:r w:rsidR="0073632B" w:rsidRPr="008A28AF">
        <w:rPr>
          <w:rFonts w:ascii="Calibri Light" w:hAnsi="Calibri Light" w:cstheme="majorBidi"/>
          <w:i/>
          <w:iCs/>
          <w:sz w:val="24"/>
          <w:szCs w:val="24"/>
        </w:rPr>
        <w:t>lumsun</w:t>
      </w:r>
      <w:r w:rsidR="0073632B" w:rsidRPr="008A28AF">
        <w:rPr>
          <w:rFonts w:ascii="Calibri Light" w:hAnsi="Calibri Light" w:cstheme="majorBidi"/>
          <w:sz w:val="24"/>
          <w:szCs w:val="24"/>
        </w:rPr>
        <w:t xml:space="preserve">  diartikan dengan </w:t>
      </w:r>
      <w:r w:rsidR="0073632B" w:rsidRPr="008A28AF">
        <w:rPr>
          <w:rFonts w:ascii="Calibri Light" w:hAnsi="Calibri Light" w:cstheme="majorBidi"/>
          <w:i/>
          <w:iCs/>
          <w:sz w:val="24"/>
          <w:szCs w:val="24"/>
        </w:rPr>
        <w:t>Jima’</w:t>
      </w:r>
      <w:r w:rsidR="0073632B" w:rsidRPr="008A28AF">
        <w:rPr>
          <w:rFonts w:ascii="Calibri Light" w:hAnsi="Calibri Light" w:cstheme="majorBidi"/>
          <w:sz w:val="24"/>
          <w:szCs w:val="24"/>
        </w:rPr>
        <w:t xml:space="preserve">. Pendapat ini berbeda dengan pendapat golongan syafiiyyah yang menyataka dalam keadaan apapun jika seorang laki-aki dan perempuan yang bukan </w:t>
      </w:r>
      <w:r w:rsidR="0073632B" w:rsidRPr="008A28AF">
        <w:rPr>
          <w:rFonts w:ascii="Calibri Light" w:hAnsi="Calibri Light" w:cstheme="majorBidi"/>
          <w:i/>
          <w:iCs/>
          <w:sz w:val="24"/>
          <w:szCs w:val="24"/>
        </w:rPr>
        <w:t>mahrom</w:t>
      </w:r>
      <w:r w:rsidR="0073632B" w:rsidRPr="008A28AF">
        <w:rPr>
          <w:rFonts w:ascii="Calibri Light" w:hAnsi="Calibri Light" w:cstheme="majorBidi"/>
          <w:sz w:val="24"/>
          <w:szCs w:val="24"/>
        </w:rPr>
        <w:t xml:space="preserve"> bersentuhan maka wajib wudu’.</w:t>
      </w:r>
    </w:p>
    <w:p w:rsidR="00690293" w:rsidRPr="008A28AF" w:rsidRDefault="00BC47F4" w:rsidP="003A21B0">
      <w:pPr>
        <w:pStyle w:val="ListParagraph"/>
        <w:numPr>
          <w:ilvl w:val="0"/>
          <w:numId w:val="5"/>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Ibnu Taimiyyah berpendapat bahwa memakan daging unta adalah membatalkan wudlu sebagaimana pendapat Imam Ahmad bin Hambal. Ini berdasarkan atas hadis dari sahabat Jabir, Nabi pernah ditanya ditanya, Apakah kami berwudlu tatkala memamakn daging onta? Nabi menjawab: ya. Kemudian orang tersebut tanya lagi: Apakah kami berwudlu setelah makan daging kambing?" Nabi menjawab: “terserah kamu.</w:t>
      </w:r>
      <w:r w:rsidR="00F8609F" w:rsidRPr="008A28AF">
        <w:rPr>
          <w:rFonts w:ascii="Calibri Light" w:hAnsi="Calibri Light" w:cstheme="majorBidi"/>
          <w:sz w:val="24"/>
          <w:szCs w:val="24"/>
        </w:rPr>
        <w:t xml:space="preserve"> </w:t>
      </w:r>
    </w:p>
    <w:p w:rsidR="00F8609F" w:rsidRPr="008A28AF" w:rsidRDefault="00F8609F" w:rsidP="003A21B0">
      <w:pPr>
        <w:pStyle w:val="ListParagraph"/>
        <w:numPr>
          <w:ilvl w:val="0"/>
          <w:numId w:val="5"/>
        </w:numPr>
        <w:autoSpaceDE w:val="0"/>
        <w:autoSpaceDN w:val="0"/>
        <w:adjustRightInd w:val="0"/>
        <w:spacing w:after="0" w:line="240" w:lineRule="auto"/>
        <w:jc w:val="both"/>
        <w:rPr>
          <w:rFonts w:ascii="Calibri Light" w:hAnsi="Calibri Light" w:cstheme="majorBidi"/>
          <w:sz w:val="24"/>
          <w:szCs w:val="24"/>
        </w:rPr>
      </w:pPr>
      <w:r w:rsidRPr="008A28AF">
        <w:rPr>
          <w:rFonts w:ascii="Calibri Light" w:hAnsi="Calibri Light" w:cstheme="majorBidi"/>
          <w:sz w:val="24"/>
          <w:szCs w:val="24"/>
        </w:rPr>
        <w:t xml:space="preserve">Pendapat dari Ibnu Taimiyyah dan Imam Ahmad bin Hambal ini berbeda dengan mayoritas ulama yang menyatakan bahwa memakan unta tidak membatalkan wudlu karena meraka berpegangan pada </w:t>
      </w:r>
      <w:r w:rsidR="00E323C7" w:rsidRPr="008A28AF">
        <w:rPr>
          <w:rFonts w:ascii="Calibri Light" w:hAnsi="Calibri Light" w:cstheme="majorBidi"/>
          <w:sz w:val="24"/>
          <w:szCs w:val="24"/>
        </w:rPr>
        <w:t>tidak perlu untuk wudhu jika memakan daging yang telah terkena api.</w:t>
      </w:r>
    </w:p>
    <w:p w:rsidR="00FB00CC" w:rsidRPr="008A28AF" w:rsidRDefault="00FB00CC" w:rsidP="003A21B0">
      <w:pPr>
        <w:pStyle w:val="ListParagraph"/>
        <w:autoSpaceDE w:val="0"/>
        <w:autoSpaceDN w:val="0"/>
        <w:adjustRightInd w:val="0"/>
        <w:spacing w:after="0" w:line="240" w:lineRule="auto"/>
        <w:ind w:left="1080"/>
        <w:jc w:val="both"/>
        <w:rPr>
          <w:rFonts w:ascii="Calibri Light" w:hAnsi="Calibri Light" w:cstheme="majorBidi"/>
          <w:sz w:val="24"/>
          <w:szCs w:val="24"/>
        </w:rPr>
      </w:pPr>
    </w:p>
    <w:p w:rsidR="00A66D56" w:rsidRPr="008A28AF" w:rsidRDefault="00FB00CC" w:rsidP="003A21B0">
      <w:pPr>
        <w:spacing w:after="0" w:line="240" w:lineRule="auto"/>
        <w:jc w:val="both"/>
        <w:rPr>
          <w:rFonts w:ascii="Calibri Light" w:hAnsi="Calibri Light" w:cstheme="majorBidi"/>
          <w:b/>
          <w:bCs/>
          <w:sz w:val="24"/>
          <w:szCs w:val="24"/>
        </w:rPr>
      </w:pPr>
      <w:r w:rsidRPr="008A28AF">
        <w:rPr>
          <w:rFonts w:ascii="Calibri Light" w:hAnsi="Calibri Light" w:cstheme="majorBidi"/>
          <w:b/>
          <w:bCs/>
          <w:sz w:val="24"/>
          <w:szCs w:val="24"/>
        </w:rPr>
        <w:t xml:space="preserve">Kesimpulan  </w:t>
      </w:r>
    </w:p>
    <w:p w:rsidR="00FB00CC" w:rsidRPr="008A28AF" w:rsidRDefault="00FB00CC"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Ibnu Taimiyah </w:t>
      </w:r>
      <w:r w:rsidR="00DA1528" w:rsidRPr="008A28AF">
        <w:rPr>
          <w:rFonts w:ascii="Calibri Light" w:hAnsi="Calibri Light" w:cstheme="majorBidi"/>
          <w:sz w:val="24"/>
          <w:szCs w:val="24"/>
        </w:rPr>
        <w:t xml:space="preserve">merupakan sosok yang fenomenal, pembaharu dan independen dalam melakukan ijtihad. Beliau selalu konsisten dalam tahapan-tahapan berijtihad dan selalu berusaha mencari dalil-dalil dengan dikembalikan pada al Qur’an dan Sunnah dan Ijma’. </w:t>
      </w:r>
      <w:r w:rsidR="00D6178B" w:rsidRPr="008A28AF">
        <w:rPr>
          <w:rFonts w:ascii="Calibri Light" w:hAnsi="Calibri Light" w:cstheme="majorBidi"/>
          <w:sz w:val="24"/>
          <w:szCs w:val="24"/>
        </w:rPr>
        <w:t xml:space="preserve">Beliau tidak terkungkung dalam pakem-pakem manhaj </w:t>
      </w:r>
      <w:r w:rsidRPr="008A28AF">
        <w:rPr>
          <w:rFonts w:ascii="Calibri Light" w:hAnsi="Calibri Light" w:cstheme="majorBidi"/>
          <w:sz w:val="24"/>
          <w:szCs w:val="24"/>
        </w:rPr>
        <w:t>mazhab</w:t>
      </w:r>
      <w:r w:rsidR="00D6178B" w:rsidRPr="008A28AF">
        <w:rPr>
          <w:rFonts w:ascii="Calibri Light" w:hAnsi="Calibri Light" w:cstheme="majorBidi"/>
          <w:sz w:val="24"/>
          <w:szCs w:val="24"/>
        </w:rPr>
        <w:t xml:space="preserve"> terlebih dari madzhab </w:t>
      </w:r>
      <w:r w:rsidRPr="008A28AF">
        <w:rPr>
          <w:rFonts w:ascii="Calibri Light" w:hAnsi="Calibri Light" w:cstheme="majorBidi"/>
          <w:sz w:val="24"/>
          <w:szCs w:val="24"/>
        </w:rPr>
        <w:t xml:space="preserve">Hanafiyah, Malikiyah dan Syafi’iyah. Ia </w:t>
      </w:r>
      <w:r w:rsidR="00FC5E7E" w:rsidRPr="008A28AF">
        <w:rPr>
          <w:rFonts w:ascii="Calibri Light" w:hAnsi="Calibri Light" w:cstheme="majorBidi"/>
          <w:sz w:val="24"/>
          <w:szCs w:val="24"/>
        </w:rPr>
        <w:t xml:space="preserve">lebih berafiliasi pada madzhab </w:t>
      </w:r>
      <w:r w:rsidRPr="008A28AF">
        <w:rPr>
          <w:rFonts w:ascii="Calibri Light" w:hAnsi="Calibri Light" w:cstheme="majorBidi"/>
          <w:sz w:val="24"/>
          <w:szCs w:val="24"/>
        </w:rPr>
        <w:t>Hanbaliyyi</w:t>
      </w:r>
      <w:r w:rsidR="00FC5E7E" w:rsidRPr="008A28AF">
        <w:rPr>
          <w:rFonts w:ascii="Calibri Light" w:hAnsi="Calibri Light" w:cstheme="majorBidi"/>
          <w:sz w:val="24"/>
          <w:szCs w:val="24"/>
        </w:rPr>
        <w:t xml:space="preserve"> meskipun beliau juga berbeda dari segi manhaj dalam istinbat hukum. Sehingga persoalan-persoalan hukum banyak dilakukan pemecahannya dengan kemampuan dan manhajnya sendiri.</w:t>
      </w:r>
      <w:r w:rsidRPr="008A28AF">
        <w:rPr>
          <w:rFonts w:ascii="Calibri Light" w:hAnsi="Calibri Light" w:cstheme="majorBidi"/>
          <w:sz w:val="24"/>
          <w:szCs w:val="24"/>
        </w:rPr>
        <w:t xml:space="preserve"> </w:t>
      </w:r>
    </w:p>
    <w:p w:rsidR="001458BB" w:rsidRPr="008A28AF" w:rsidRDefault="00956126" w:rsidP="003A21B0">
      <w:pPr>
        <w:tabs>
          <w:tab w:val="num" w:pos="720"/>
        </w:tabs>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Secara garis besar manhaj ushuli beliau dalam menyelesaikan persoalan hukum dan ijtihad secara berurutan beliau menggunakan dalil </w:t>
      </w:r>
      <w:r w:rsidR="00025454" w:rsidRPr="008A28AF">
        <w:rPr>
          <w:rFonts w:ascii="Calibri Light" w:hAnsi="Calibri Light" w:cstheme="majorBidi"/>
          <w:sz w:val="24"/>
          <w:szCs w:val="24"/>
        </w:rPr>
        <w:t>Al</w:t>
      </w:r>
      <w:r w:rsidRPr="008A28AF">
        <w:rPr>
          <w:rFonts w:ascii="Calibri Light" w:hAnsi="Calibri Light" w:cstheme="majorBidi"/>
          <w:sz w:val="24"/>
          <w:szCs w:val="24"/>
        </w:rPr>
        <w:t xml:space="preserve"> </w:t>
      </w:r>
      <w:r w:rsidR="00025454" w:rsidRPr="008A28AF">
        <w:rPr>
          <w:rFonts w:ascii="Calibri Light" w:hAnsi="Calibri Light" w:cstheme="majorBidi"/>
          <w:sz w:val="24"/>
          <w:szCs w:val="24"/>
        </w:rPr>
        <w:t>Qur’an</w:t>
      </w:r>
      <w:r w:rsidRPr="008A28AF">
        <w:rPr>
          <w:rFonts w:ascii="Calibri Light" w:hAnsi="Calibri Light" w:cstheme="majorBidi"/>
          <w:sz w:val="24"/>
          <w:szCs w:val="24"/>
        </w:rPr>
        <w:t xml:space="preserve">, </w:t>
      </w:r>
      <w:r w:rsidR="00025454" w:rsidRPr="008A28AF">
        <w:rPr>
          <w:rFonts w:ascii="Calibri Light" w:hAnsi="Calibri Light" w:cstheme="majorBidi"/>
          <w:sz w:val="24"/>
          <w:szCs w:val="24"/>
        </w:rPr>
        <w:t>As</w:t>
      </w:r>
      <w:r w:rsidRPr="008A28AF">
        <w:rPr>
          <w:rFonts w:ascii="Calibri Light" w:hAnsi="Calibri Light" w:cstheme="majorBidi"/>
          <w:sz w:val="24"/>
          <w:szCs w:val="24"/>
        </w:rPr>
        <w:t xml:space="preserve"> </w:t>
      </w:r>
      <w:r w:rsidR="00025454" w:rsidRPr="008A28AF">
        <w:rPr>
          <w:rFonts w:ascii="Calibri Light" w:hAnsi="Calibri Light" w:cstheme="majorBidi"/>
          <w:sz w:val="24"/>
          <w:szCs w:val="24"/>
        </w:rPr>
        <w:t>Sunnah</w:t>
      </w:r>
      <w:r w:rsidRPr="008A28AF">
        <w:rPr>
          <w:rFonts w:ascii="Calibri Light" w:hAnsi="Calibri Light" w:cstheme="majorBidi"/>
          <w:sz w:val="24"/>
          <w:szCs w:val="24"/>
        </w:rPr>
        <w:t xml:space="preserve">, </w:t>
      </w:r>
      <w:r w:rsidR="00025454" w:rsidRPr="008A28AF">
        <w:rPr>
          <w:rFonts w:ascii="Calibri Light" w:hAnsi="Calibri Light" w:cstheme="majorBidi"/>
          <w:sz w:val="24"/>
          <w:szCs w:val="24"/>
        </w:rPr>
        <w:t>Ijma’</w:t>
      </w:r>
      <w:r w:rsidRPr="008A28AF">
        <w:rPr>
          <w:rFonts w:ascii="Calibri Light" w:hAnsi="Calibri Light" w:cstheme="majorBidi"/>
          <w:sz w:val="24"/>
          <w:szCs w:val="24"/>
        </w:rPr>
        <w:t xml:space="preserve">, </w:t>
      </w:r>
      <w:r w:rsidR="00025454" w:rsidRPr="008A28AF">
        <w:rPr>
          <w:rFonts w:ascii="Calibri Light" w:hAnsi="Calibri Light" w:cstheme="majorBidi"/>
          <w:sz w:val="24"/>
          <w:szCs w:val="24"/>
        </w:rPr>
        <w:t>Qaul sahabat</w:t>
      </w:r>
      <w:r w:rsidRPr="008A28AF">
        <w:rPr>
          <w:rFonts w:ascii="Calibri Light" w:hAnsi="Calibri Light" w:cstheme="majorBidi"/>
          <w:sz w:val="24"/>
          <w:szCs w:val="24"/>
        </w:rPr>
        <w:t xml:space="preserve">, </w:t>
      </w:r>
      <w:r w:rsidR="00025454" w:rsidRPr="008A28AF">
        <w:rPr>
          <w:rFonts w:ascii="Calibri Light" w:hAnsi="Calibri Light" w:cstheme="majorBidi"/>
          <w:sz w:val="24"/>
          <w:szCs w:val="24"/>
        </w:rPr>
        <w:t>Qiyas</w:t>
      </w:r>
      <w:r w:rsidRPr="008A28AF">
        <w:rPr>
          <w:rFonts w:ascii="Calibri Light" w:hAnsi="Calibri Light" w:cstheme="majorBidi"/>
          <w:sz w:val="24"/>
          <w:szCs w:val="24"/>
        </w:rPr>
        <w:t xml:space="preserve">, </w:t>
      </w:r>
      <w:r w:rsidR="00025454" w:rsidRPr="008A28AF">
        <w:rPr>
          <w:rFonts w:ascii="Calibri Light" w:hAnsi="Calibri Light" w:cstheme="majorBidi"/>
          <w:sz w:val="24"/>
          <w:szCs w:val="24"/>
        </w:rPr>
        <w:t>Istishab</w:t>
      </w:r>
      <w:r w:rsidRPr="008A28AF">
        <w:rPr>
          <w:rFonts w:ascii="Calibri Light" w:hAnsi="Calibri Light" w:cstheme="majorBidi"/>
          <w:sz w:val="24"/>
          <w:szCs w:val="24"/>
        </w:rPr>
        <w:t xml:space="preserve">, </w:t>
      </w:r>
      <w:r w:rsidR="00025454" w:rsidRPr="008A28AF">
        <w:rPr>
          <w:rFonts w:ascii="Calibri Light" w:hAnsi="Calibri Light" w:cstheme="majorBidi"/>
          <w:sz w:val="24"/>
          <w:szCs w:val="24"/>
        </w:rPr>
        <w:t>Maslahah murs</w:t>
      </w:r>
      <w:r w:rsidRPr="008A28AF">
        <w:rPr>
          <w:rFonts w:ascii="Calibri Light" w:hAnsi="Calibri Light" w:cstheme="majorBidi"/>
          <w:sz w:val="24"/>
          <w:szCs w:val="24"/>
        </w:rPr>
        <w:t>a</w:t>
      </w:r>
      <w:r w:rsidR="00025454" w:rsidRPr="008A28AF">
        <w:rPr>
          <w:rFonts w:ascii="Calibri Light" w:hAnsi="Calibri Light" w:cstheme="majorBidi"/>
          <w:sz w:val="24"/>
          <w:szCs w:val="24"/>
        </w:rPr>
        <w:t>lah</w:t>
      </w:r>
      <w:r w:rsidRPr="008A28AF">
        <w:rPr>
          <w:rFonts w:ascii="Calibri Light" w:hAnsi="Calibri Light" w:cstheme="majorBidi"/>
          <w:sz w:val="24"/>
          <w:szCs w:val="24"/>
        </w:rPr>
        <w:t xml:space="preserve">, </w:t>
      </w:r>
      <w:r w:rsidR="00025454" w:rsidRPr="008A28AF">
        <w:rPr>
          <w:rFonts w:ascii="Calibri Light" w:hAnsi="Calibri Light" w:cstheme="majorBidi"/>
          <w:sz w:val="24"/>
          <w:szCs w:val="24"/>
        </w:rPr>
        <w:t>Sadd Adz-</w:t>
      </w:r>
      <w:r w:rsidR="00025454" w:rsidRPr="008A28AF">
        <w:rPr>
          <w:rFonts w:ascii="Calibri Light" w:hAnsi="Calibri Light" w:cstheme="majorBidi"/>
          <w:sz w:val="24"/>
          <w:szCs w:val="24"/>
        </w:rPr>
        <w:lastRenderedPageBreak/>
        <w:t>Dz</w:t>
      </w:r>
      <w:r w:rsidRPr="008A28AF">
        <w:rPr>
          <w:rFonts w:ascii="Calibri Light" w:hAnsi="Calibri Light" w:cstheme="majorBidi"/>
          <w:sz w:val="24"/>
          <w:szCs w:val="24"/>
        </w:rPr>
        <w:t>a</w:t>
      </w:r>
      <w:r w:rsidR="00025454" w:rsidRPr="008A28AF">
        <w:rPr>
          <w:rFonts w:ascii="Calibri Light" w:hAnsi="Calibri Light" w:cstheme="majorBidi"/>
          <w:sz w:val="24"/>
          <w:szCs w:val="24"/>
        </w:rPr>
        <w:t>ri’ah</w:t>
      </w:r>
      <w:r w:rsidRPr="008A28AF">
        <w:rPr>
          <w:rFonts w:ascii="Calibri Light" w:hAnsi="Calibri Light" w:cstheme="majorBidi"/>
          <w:sz w:val="24"/>
          <w:szCs w:val="24"/>
        </w:rPr>
        <w:t>, dan ‘</w:t>
      </w:r>
      <w:r w:rsidR="00025454" w:rsidRPr="008A28AF">
        <w:rPr>
          <w:rFonts w:ascii="Calibri Light" w:hAnsi="Calibri Light" w:cstheme="majorBidi"/>
          <w:sz w:val="24"/>
          <w:szCs w:val="24"/>
        </w:rPr>
        <w:t>Urf</w:t>
      </w:r>
      <w:r w:rsidRPr="008A28AF">
        <w:rPr>
          <w:rFonts w:ascii="Calibri Light" w:hAnsi="Calibri Light" w:cstheme="majorBidi"/>
          <w:sz w:val="24"/>
          <w:szCs w:val="24"/>
        </w:rPr>
        <w:t>.</w:t>
      </w:r>
      <w:r w:rsidR="00652F30" w:rsidRPr="008A28AF">
        <w:rPr>
          <w:rFonts w:ascii="Calibri Light" w:hAnsi="Calibri Light" w:cstheme="majorBidi"/>
          <w:sz w:val="24"/>
          <w:szCs w:val="24"/>
        </w:rPr>
        <w:t xml:space="preserve"> Yang semuanya memiliki ketentuan-ketentuan tertentu </w:t>
      </w:r>
      <w:r w:rsidR="00687D11" w:rsidRPr="008A28AF">
        <w:rPr>
          <w:rFonts w:ascii="Calibri Light" w:hAnsi="Calibri Light" w:cstheme="majorBidi"/>
          <w:sz w:val="24"/>
          <w:szCs w:val="24"/>
        </w:rPr>
        <w:t xml:space="preserve">dengan persyaratan yang selektif dan ketat </w:t>
      </w:r>
      <w:r w:rsidR="00652F30" w:rsidRPr="008A28AF">
        <w:rPr>
          <w:rFonts w:ascii="Calibri Light" w:hAnsi="Calibri Light" w:cstheme="majorBidi"/>
          <w:sz w:val="24"/>
          <w:szCs w:val="24"/>
        </w:rPr>
        <w:t>jika ingin dijadikan dalil dalam istinbat hukum.</w:t>
      </w:r>
    </w:p>
    <w:p w:rsidR="00956126" w:rsidRPr="008A28AF" w:rsidRDefault="00AC6E29" w:rsidP="003A21B0">
      <w:pPr>
        <w:autoSpaceDE w:val="0"/>
        <w:autoSpaceDN w:val="0"/>
        <w:adjustRightInd w:val="0"/>
        <w:spacing w:after="0" w:line="240" w:lineRule="auto"/>
        <w:ind w:firstLine="720"/>
        <w:jc w:val="both"/>
        <w:rPr>
          <w:rFonts w:ascii="Calibri Light" w:hAnsi="Calibri Light" w:cstheme="majorBidi"/>
          <w:sz w:val="24"/>
          <w:szCs w:val="24"/>
        </w:rPr>
      </w:pPr>
      <w:r w:rsidRPr="008A28AF">
        <w:rPr>
          <w:rFonts w:ascii="Calibri Light" w:hAnsi="Calibri Light" w:cstheme="majorBidi"/>
          <w:sz w:val="24"/>
          <w:szCs w:val="24"/>
        </w:rPr>
        <w:t xml:space="preserve"> Nalar berfikir yang beliau gunakan dalam ranah metodologis ushuli yang sistematis sbegaimana keterangan di atas tersebut, menghasilkan berbagai macam pemikiran hukum yang cenderung berani dan berbeda dengan pendapat jumhur ulama’. Tapi inilah yang menegaskan keberanian sosok beliau yang sudah berada pada level mujtahid mutlak dan tidak salah jika beliau dijuluki syekhul Islam karena keluasan ilmu agama yang Allah SWT karuniakan dan ditupang dengan keberanian yang tidak pandang bulu dalam mengemukakan kebenara.</w:t>
      </w:r>
    </w:p>
    <w:p w:rsidR="00956126" w:rsidRPr="008A28AF" w:rsidRDefault="00956126" w:rsidP="003A21B0">
      <w:pPr>
        <w:autoSpaceDE w:val="0"/>
        <w:autoSpaceDN w:val="0"/>
        <w:adjustRightInd w:val="0"/>
        <w:spacing w:after="0" w:line="240" w:lineRule="auto"/>
        <w:ind w:firstLine="720"/>
        <w:jc w:val="both"/>
        <w:rPr>
          <w:rFonts w:ascii="Calibri Light" w:hAnsi="Calibri Light" w:cstheme="majorBidi"/>
          <w:sz w:val="24"/>
          <w:szCs w:val="24"/>
        </w:rPr>
      </w:pPr>
    </w:p>
    <w:p w:rsidR="00001025" w:rsidRPr="008A28AF" w:rsidRDefault="00001025" w:rsidP="003A21B0">
      <w:pPr>
        <w:spacing w:line="240" w:lineRule="auto"/>
        <w:rPr>
          <w:rFonts w:ascii="Calibri Light" w:hAnsi="Calibri Light" w:cstheme="majorBidi"/>
          <w:sz w:val="24"/>
          <w:szCs w:val="24"/>
        </w:rPr>
      </w:pPr>
      <w:r w:rsidRPr="008A28AF">
        <w:rPr>
          <w:rFonts w:ascii="Calibri Light" w:hAnsi="Calibri Light" w:cstheme="majorBidi"/>
          <w:sz w:val="24"/>
          <w:szCs w:val="24"/>
        </w:rPr>
        <w:br w:type="page"/>
      </w:r>
    </w:p>
    <w:p w:rsidR="00001025" w:rsidRPr="008A28AF" w:rsidRDefault="00001025" w:rsidP="003A21B0">
      <w:pPr>
        <w:pStyle w:val="FootnoteText"/>
        <w:jc w:val="center"/>
        <w:rPr>
          <w:rStyle w:val="FootnoteReference"/>
          <w:rFonts w:ascii="Calibri Light" w:hAnsi="Calibri Light" w:cstheme="majorBidi"/>
          <w:b/>
          <w:bCs/>
          <w:sz w:val="24"/>
          <w:szCs w:val="24"/>
        </w:rPr>
      </w:pPr>
      <w:r w:rsidRPr="008A28AF">
        <w:rPr>
          <w:rFonts w:ascii="Calibri Light" w:hAnsi="Calibri Light" w:cstheme="majorBidi"/>
          <w:b/>
          <w:bCs/>
          <w:sz w:val="24"/>
          <w:szCs w:val="24"/>
        </w:rPr>
        <w:lastRenderedPageBreak/>
        <w:t>DAFTAR PUSTAKA</w:t>
      </w:r>
    </w:p>
    <w:p w:rsidR="00001025" w:rsidRPr="008A28AF" w:rsidRDefault="00001025" w:rsidP="003A21B0">
      <w:pPr>
        <w:pStyle w:val="FootnoteText"/>
        <w:jc w:val="both"/>
        <w:rPr>
          <w:rFonts w:ascii="Calibri Light" w:hAnsi="Calibri Light" w:cstheme="majorBidi"/>
          <w:sz w:val="24"/>
          <w:szCs w:val="24"/>
        </w:rPr>
      </w:pP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Abdul Halim Uways, al-Fiqh al-Islami Bayna al-Tathawwur wa al-Thabat</w:t>
      </w:r>
      <w:r w:rsidR="00B020C3" w:rsidRPr="00C027F9">
        <w:rPr>
          <w:rFonts w:ascii="Calibri Light" w:hAnsi="Calibri Light" w:cs="Calibri Light"/>
          <w:sz w:val="24"/>
          <w:szCs w:val="24"/>
        </w:rPr>
        <w:t>(tt, tp)</w:t>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Abi Abdullah bin Mohammed bin Said Ruslan, Haulu Hayati Syakhil Islam Ibni Taimiyah, (Mesir: Maktabah Manar, 2002)</w:t>
      </w:r>
    </w:p>
    <w:p w:rsidR="00B020C3"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7A7986">
        <w:rPr>
          <w:rFonts w:ascii="Calibri Light" w:hAnsi="Calibri Light" w:cs="Calibri Light"/>
          <w:sz w:val="24"/>
          <w:szCs w:val="24"/>
        </w:rPr>
        <w:fldChar w:fldCharType="begin"/>
      </w:r>
      <w:r w:rsidR="00AB0539" w:rsidRPr="00C027F9">
        <w:rPr>
          <w:rFonts w:ascii="Calibri Light" w:hAnsi="Calibri Light" w:cs="Calibri Light"/>
          <w:sz w:val="24"/>
          <w:szCs w:val="24"/>
        </w:rPr>
        <w:instrText xml:space="preserve"> ADDIN ZOTERO_ITEM CSL_CITATION {"citationID":"yZVs8jlV","properties":{"formattedCitation":"Abidin, \\uc0\\u8220{}CORAK PEMIKIRAN DAN METODE IJTIHAD IBN TAYMIYYAH,\\uc0\\u8221{} 19.","plainCitation":"Abidin, “CORAK PEMIKIRAN DAN METODE IJTIHAD IBN TAYMIYYAH,” 19.","dontUpdate":true,"noteIndex":0},"citationItems":[{"id":220,"uris":["http://zotero.org/users/local/0WfYOsPF/items/WZXT8PXZ"],"uri":["http://zotero.org/users/local/0WfYOsPF/items/WZXT8PXZ"],"itemData":{"id":220,"type":"article-journal","abstract":"This article discusses the thought color and methods of ijtihad of Ibn Taymiyyah, one of the most influential figures in the movement of of Islamic thought renewal. He raised a number of criticisms of the logician. The arguments he used indicated that he is a thinker of empiricism. This empiricism complexion coloring intellectual works in various fields. In the field of fiqh, in the beginning he was a follower of the school of Hanbaliyah, however, in further development he performed ijtihad independently without being tied down by other schools. That is why Ibn Taymiyya was known as a mujtahid mutlaq. Although in performing ijtihad he remains grounded in the Qur’an and Sunnah as well as admits the ijmâ’ and qiyâs as a source of Islamic law, his thoughts are often different from other scholars of his time, both on the aspect of methodology and the results of his ijtihad.","container-title":"Millah","DOI":"10.20885/millah.ed.khus.art2","ISSN":"14120992","issue":"khus","journalAbbreviation":"millah","language":"id","page":"31-53","source":"DOI.org (Crossref)","title":"CORAK PEMIKIRAN DAN METODE IJTIHAD IBN TAYMIYYAH","volume":"ed","author":[{"family":"Abidin","given":"Zainal"}],"issued":{"date-parts":[["2010",12,20]]}},"locator":"19","label":"page"}],"schema":"https://github.com/citation-style-language/schema/raw/master/csl-citation.json"} </w:instrText>
      </w:r>
      <w:r w:rsidRPr="007A7986">
        <w:rPr>
          <w:rFonts w:ascii="Calibri Light" w:hAnsi="Calibri Light" w:cs="Calibri Light"/>
          <w:sz w:val="24"/>
          <w:szCs w:val="24"/>
        </w:rPr>
        <w:fldChar w:fldCharType="separate"/>
      </w:r>
      <w:r w:rsidRPr="00C027F9">
        <w:rPr>
          <w:rFonts w:ascii="Calibri Light" w:hAnsi="Calibri Light" w:cs="Calibri Light"/>
          <w:sz w:val="24"/>
          <w:szCs w:val="24"/>
        </w:rPr>
        <w:t>Abidin, “</w:t>
      </w:r>
      <w:r w:rsidR="007A7986" w:rsidRPr="00C027F9">
        <w:rPr>
          <w:rFonts w:ascii="Calibri Light" w:hAnsi="Calibri Light" w:cs="Calibri Light"/>
          <w:sz w:val="24"/>
          <w:szCs w:val="24"/>
        </w:rPr>
        <w:t>Corak Pemikiran Dan Metode Ijtihad Ibn Taymiyyah</w:t>
      </w:r>
      <w:r w:rsidRPr="00C027F9">
        <w:rPr>
          <w:rFonts w:ascii="Calibri Light" w:hAnsi="Calibri Light" w:cs="Calibri Light"/>
          <w:sz w:val="24"/>
          <w:szCs w:val="24"/>
        </w:rPr>
        <w:t xml:space="preserve">,” </w:t>
      </w:r>
    </w:p>
    <w:p w:rsidR="00001025" w:rsidRPr="007A7986"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7A7986">
        <w:rPr>
          <w:rFonts w:ascii="Calibri Light" w:hAnsi="Calibri Light" w:cs="Calibri Light"/>
          <w:sz w:val="24"/>
          <w:szCs w:val="24"/>
        </w:rPr>
        <w:fldChar w:fldCharType="end"/>
      </w:r>
      <w:r w:rsidRPr="007A7986">
        <w:rPr>
          <w:rFonts w:ascii="Calibri Light" w:hAnsi="Calibri Light" w:cs="Calibri Light"/>
          <w:sz w:val="24"/>
          <w:szCs w:val="24"/>
        </w:rPr>
        <w:fldChar w:fldCharType="begin"/>
      </w:r>
      <w:r w:rsidR="00AB0539" w:rsidRPr="007A7986">
        <w:rPr>
          <w:rFonts w:ascii="Calibri Light" w:hAnsi="Calibri Light" w:cs="Calibri Light"/>
          <w:sz w:val="24"/>
          <w:szCs w:val="24"/>
        </w:rPr>
        <w:instrText xml:space="preserve"> ADDIN ZOTERO_ITEM CSL_CITATION {"citationID":"2LorWyea","properties":{"formattedCitation":"Abu Yazid, \\uc0\\u8220{}Mendialogkan Dimensi Keilmuan Ushul Fiqh\\uc0\\u8221{} 7, no. 1 (2012): 2.","plainCitation":"Abu Yazid, “Mendialogkan Dimensi Keilmuan Ushul Fiqh” 7, no. 1 (2012): 2.","dontUpdate":true,"noteIndex":0},"citationItems":[{"id":235,"uris":["http://zotero.org/users/local/0WfYOsPF/items/2QH8GS4N"],"uri":["http://zotero.org/users/local/0WfYOsPF/items/2QH8GS4N"],"itemData":{"id":235,"type":"article-journal","issue":"1","language":"id","page":"25","source":"Zotero","title":"Mendialogkan Dimensi Keilmuan Ushul Fiqh","volume":"7","author":[{"family":"Yazid","given":"Abu"}],"issued":{"date-parts":[["2012"]]}},"locator":"2","label":"page"}],"schema":"https://github.com/citation-style-language/schema/raw/master/csl-citation.json"} </w:instrText>
      </w:r>
      <w:r w:rsidRPr="007A7986">
        <w:rPr>
          <w:rFonts w:ascii="Calibri Light" w:hAnsi="Calibri Light" w:cs="Calibri Light"/>
          <w:sz w:val="24"/>
          <w:szCs w:val="24"/>
        </w:rPr>
        <w:fldChar w:fldCharType="separate"/>
      </w:r>
      <w:r w:rsidRPr="007A7986">
        <w:rPr>
          <w:rFonts w:ascii="Calibri Light" w:hAnsi="Calibri Light" w:cs="Calibri Light"/>
          <w:sz w:val="24"/>
          <w:szCs w:val="24"/>
        </w:rPr>
        <w:t>Abu Yazid, “Mendialogkan Dimensi Keilmuan Ushul Fiqh” 7, no. 1 (2012):</w:t>
      </w:r>
      <w:r w:rsidRPr="007A7986">
        <w:rPr>
          <w:rFonts w:ascii="Calibri Light" w:hAnsi="Calibri Light" w:cs="Calibri Light"/>
          <w:sz w:val="24"/>
          <w:szCs w:val="24"/>
        </w:rPr>
        <w:fldChar w:fldCharType="end"/>
      </w:r>
      <w:r w:rsidR="00B020C3" w:rsidRPr="007A7986">
        <w:rPr>
          <w:rFonts w:ascii="Calibri Light" w:hAnsi="Calibri Light" w:cs="Calibri Light"/>
          <w:sz w:val="24"/>
          <w:szCs w:val="24"/>
        </w:rPr>
        <w:t xml:space="preserve"> </w:t>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Al Ghozali, al Mustashfa min ilmil Ushul, Juz 1</w:t>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Dewan Redaksi Ensiklopedi Islam, Ensiklopedi Islam, (Jakarta : PT Ichti</w:t>
      </w:r>
      <w:r w:rsidR="00B020C3" w:rsidRPr="00C027F9">
        <w:rPr>
          <w:rFonts w:ascii="Calibri Light" w:hAnsi="Calibri Light" w:cs="Calibri Light"/>
          <w:sz w:val="24"/>
          <w:szCs w:val="24"/>
        </w:rPr>
        <w:t>ar Baru van Hoeve, 2000)</w:t>
      </w:r>
      <w:r w:rsidRPr="00C027F9">
        <w:rPr>
          <w:rFonts w:ascii="Calibri Light" w:hAnsi="Calibri Light" w:cs="Calibri Light"/>
          <w:sz w:val="24"/>
          <w:szCs w:val="24"/>
        </w:rPr>
        <w:t xml:space="preserve"> </w:t>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fldChar w:fldCharType="begin"/>
      </w:r>
      <w:r w:rsidR="00AB0539" w:rsidRPr="00C027F9">
        <w:rPr>
          <w:rFonts w:ascii="Calibri Light" w:hAnsi="Calibri Light" w:cs="Calibri Light"/>
          <w:sz w:val="24"/>
          <w:szCs w:val="24"/>
        </w:rPr>
        <w:instrText xml:space="preserve"> ADDIN ZOTERO_ITEM CSL_CITATION {"citationID":"kmEBdh46","properties":{"formattedCitation":"Hanif Aidhil Alwana, \\uc0\\u8220{}ALIRAN PEMIKIRAN USHUL FIQH DAN PENGARUHNYA TERHADAP PENDEKATAN HUKUM ISLAM,\\uc0\\u8221{} {\\i{}JURIS (Jurnal Ilmiah Syariah)} 19, no. 2 (December 18, 2020): 12, https://doi.org/10.31958/juris.v19i2.2375.","plainCitation":"Hanif Aidhil Alwana, “ALIRAN PEMIKIRAN USHUL FIQH DAN PENGARUHNYA TERHADAP PENDEKATAN HUKUM ISLAM,” JURIS (Jurnal Ilmiah Syariah) 19, no. 2 (December 18, 2020): 12, https://doi.org/10.31958/juris.v19i2.2375.","noteIndex":0},"citationItems":[{"id":237,"uris":["http://zotero.org/users/local/0WfYOsPF/items/K3876PMG"],"uri":["http://zotero.org/users/local/0WfYOsPF/items/K3876PMG"],"itemData":{"id":237,"type":"article-journal","abstract":"Law is the result of Fuqaha's ijtihad regarding an act of mukallaf, in its understanding Islamic law is derived from the al-Quran and Sunnah. Although the existence of the al-Qur`an and the Sunnah is not in doubt, the understanding of law from these sources often experiences ikhtilaf (differences) of opinion, besides this the risk of causing divisions in society, these problems are influenced by schools of legal thought. This paper will describe the history of these schools of thought and their relevance in establishing law. The method used was descriptive analysis, with a qualitative approach based on the content (content analysis) of previous writings. In this paper, it is found that the difference in legal opinion is influenced by the way of thinking of the mujtahid which is divided into mutakallimin schools which are identical to understanding the legal text; fuqaha with the style of rules and legal reasons extracted from the law-making text (syari`) or also termed a contextual style; and a combination that seeks to combine the two types of legal understanding, this gives birth to different legal features. This is the scientific treasure of Islamic law which must be developed in the future to always exist in answering legal problems in the future.","container-title":"JURIS (Jurnal Ilmiah Syariah)","DOI":"10.31958/juris.v19i2.2375","ISSN":"2580-2763, 1412-6109","issue":"2","journalAbbreviation":"JURIS","language":"id","page":"147","source":"DOI.org (Crossref)","title":"ALIRAN PEMIKIRAN USHUL FIQH DAN PENGARUHNYA TERHADAP PENDEKATAN HUKUM ISLAM","volume":"19","author":[{"family":"Alwana","given":"Hanif Aidhil"}],"issued":{"date-parts":[["2020",12,18]]}},"locator":"12","label":"page"}],"schema":"https://github.com/citation-style-language/schema/raw/master/csl-citation.json"} </w:instrText>
      </w:r>
      <w:r w:rsidRPr="00C027F9">
        <w:rPr>
          <w:rFonts w:ascii="Calibri Light" w:hAnsi="Calibri Light" w:cs="Calibri Light"/>
          <w:sz w:val="24"/>
          <w:szCs w:val="24"/>
        </w:rPr>
        <w:fldChar w:fldCharType="separate"/>
      </w:r>
      <w:r w:rsidRPr="00C027F9">
        <w:rPr>
          <w:rFonts w:ascii="Calibri Light" w:hAnsi="Calibri Light" w:cs="Calibri Light"/>
          <w:sz w:val="24"/>
          <w:szCs w:val="24"/>
        </w:rPr>
        <w:t xml:space="preserve">Hanif Aidhil Alwana, </w:t>
      </w:r>
      <w:r w:rsidR="007A7986" w:rsidRPr="00C027F9">
        <w:rPr>
          <w:rFonts w:ascii="Calibri Light" w:hAnsi="Calibri Light" w:cs="Calibri Light"/>
          <w:sz w:val="24"/>
          <w:szCs w:val="24"/>
        </w:rPr>
        <w:t>“Aliran Pemikiran Ushul Fiqh Dan Pengaruhnya Terhadap Pendekatan Hukum Islam</w:t>
      </w:r>
      <w:r w:rsidRPr="00C027F9">
        <w:rPr>
          <w:rFonts w:ascii="Calibri Light" w:hAnsi="Calibri Light" w:cs="Calibri Light"/>
          <w:sz w:val="24"/>
          <w:szCs w:val="24"/>
        </w:rPr>
        <w:t>,” JURIS (Jurnal Ilmiah Syariah) 19, no. 2 (December 18, 2020): 12, https://doi.org/10.31958/juris.v19i2.2375.</w:t>
      </w:r>
      <w:r w:rsidRPr="00C027F9">
        <w:rPr>
          <w:rFonts w:ascii="Calibri Light" w:hAnsi="Calibri Light" w:cs="Calibri Light"/>
          <w:sz w:val="24"/>
          <w:szCs w:val="24"/>
        </w:rPr>
        <w:fldChar w:fldCharType="end"/>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Ibnu Qayyim al-Jawziyyah, I’lam al-Muwaqi’in ‘an Rabb al-‘Alamin, Jilid 2, (Beir</w:t>
      </w:r>
      <w:r w:rsidR="00B020C3" w:rsidRPr="00C027F9">
        <w:rPr>
          <w:rFonts w:ascii="Calibri Light" w:hAnsi="Calibri Light" w:cs="Calibri Light"/>
          <w:sz w:val="24"/>
          <w:szCs w:val="24"/>
        </w:rPr>
        <w:t>ut: Dar al-Jalil, t.th.)</w:t>
      </w:r>
    </w:p>
    <w:p w:rsidR="007A7986"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Ibnu Taimiyyah, Majmu Fatawa Ibn Taimiyyah, Juz 33, (t.tp.: Dar Alam al-Kutub, t.th.)</w:t>
      </w:r>
    </w:p>
    <w:p w:rsidR="00001025" w:rsidRPr="007A7986"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7A7986">
        <w:rPr>
          <w:rFonts w:ascii="Calibri Light" w:hAnsi="Calibri Light" w:cs="Calibri Light"/>
          <w:sz w:val="24"/>
          <w:szCs w:val="24"/>
        </w:rPr>
        <w:fldChar w:fldCharType="begin"/>
      </w:r>
      <w:r w:rsidR="00AB0539" w:rsidRPr="007A7986">
        <w:rPr>
          <w:rFonts w:ascii="Calibri Light" w:hAnsi="Calibri Light" w:cs="Calibri Light"/>
          <w:sz w:val="24"/>
          <w:szCs w:val="24"/>
        </w:rPr>
        <w:instrText xml:space="preserve"> ADDIN ZOTERO_ITEM CSL_CITATION {"citationID":"ZaV5Q8Uj","properties":{"formattedCitation":"Intan arafah Intan arafah, \\uc0\\u8220{}Pendekatan Sadd Adz-Dzari\\uc0\\u8217{}ah Dalam Studi Islam,\\uc0\\u8221{} {\\i{}Al - Muamalat: Jurnal Hukum dan Ekonomi Syariah} 5, no. 1 (September 26, 2020): 14, https://doi.org/10.32505/muamalat.v5i1.1443.","plainCitation":"Intan arafah Intan arafah, “Pendekatan Sadd Adz-Dzari’ah Dalam Studi Islam,” Al - Muamalat: Jurnal Hukum dan Ekonomi Syariah 5, no. 1 (September 26, 2020): 14, https://doi.org/10.32505/muamalat.v5i1.1443.","noteIndex":0},"citationItems":[{"id":241,"uris":["http://zotero.org/users/local/0WfYOsPF/items/C5M54NZR"],"uri":["http://zotero.org/users/local/0WfYOsPF/items/C5M54NZR"],"itemData":{"id":241,"type":"article-journal","abstract":"This article discusses sadd adz-dzariah in Islamic studies. Sadd adz-dzariah is a method produced by previous ushul fiqh scholars in an effort to keep humans as fallen mukallaf from falling into damage. This is done by closing and blocking all the means, tools and wasilah that will be used for an act. This article concludes that in determining a legal goal that forbids to a goal, sadd adz-Dzari'ah has three main elements that need to be considered, namely: First, the goal or purpose that you want to be desired. If the goal is evil, then the path is forbidden, and if the goal is good then the way is obligatory. Second, the intention or motive seen from the point of view of the target. If the intention is to achieve what is lawful, then the law of the ingredients is lawful, and if the intention to be achieved is haram, then the path to take that path is also haram. Third, namely the result of an action done.","container-title":"Al - Muamalat: Jurnal Hukum dan Ekonomi Syariah","DOI":"10.32505/muamalat.v5i1.1443","ISSN":"2656-288X, 2460-5115","issue":"1","journalAbbreviation":"muamalat","language":"id","page":"68-86","source":"DOI.org (Crossref)","title":"Pendekatan Sadd Adz-Dzari’ah Dalam Studi Islam","volume":"5","author":[{"family":"Intan arafah","given":"Intan","dropping-particle":"arafah"}],"issued":{"date-parts":[["2020",9,26]]}},"locator":"14","label":"page"}],"schema":"https://github.com/citation-style-language/schema/raw/master/csl-citation.json"} </w:instrText>
      </w:r>
      <w:r w:rsidRPr="007A7986">
        <w:rPr>
          <w:rFonts w:ascii="Calibri Light" w:hAnsi="Calibri Light" w:cs="Calibri Light"/>
          <w:sz w:val="24"/>
          <w:szCs w:val="24"/>
        </w:rPr>
        <w:fldChar w:fldCharType="separate"/>
      </w:r>
      <w:r w:rsidRPr="007A7986">
        <w:rPr>
          <w:rFonts w:ascii="Calibri Light" w:hAnsi="Calibri Light" w:cs="Calibri Light"/>
          <w:sz w:val="24"/>
          <w:szCs w:val="24"/>
        </w:rPr>
        <w:t>Intan arafah Intan arafah, “Pendekatan Sadd Adz-Dzari’ah Dalam Studi Islam,” Al - Muamalat: Jurnal Hukum dan Ekonomi Syariah 5, no. 1 (September 26, 2020): 14, https://doi.org/10.32505/muamalat.v5i1.1443.</w:t>
      </w:r>
      <w:r w:rsidRPr="007A7986">
        <w:rPr>
          <w:rFonts w:ascii="Calibri Light" w:hAnsi="Calibri Light" w:cs="Calibri Light"/>
          <w:sz w:val="24"/>
          <w:szCs w:val="24"/>
        </w:rPr>
        <w:fldChar w:fldCharType="end"/>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fldChar w:fldCharType="begin"/>
      </w:r>
      <w:r w:rsidR="00AB0539" w:rsidRPr="00C027F9">
        <w:rPr>
          <w:rFonts w:ascii="Calibri Light" w:hAnsi="Calibri Light" w:cs="Calibri Light"/>
          <w:sz w:val="24"/>
          <w:szCs w:val="24"/>
        </w:rPr>
        <w:instrText xml:space="preserve"> ADDIN ZOTERO_ITEM CSL_CITATION {"citationID":"XVICiI57","properties":{"formattedCitation":"M Nasri Hamang, \\uc0\\u8220{}SISTEM IJTIHA DALAM HUKUM ISLAM,\\uc0\\u8221{} n.d., 5.","plainCitation":"M Nasri Hamang, “SISTEM IJTIHA DALAM HUKUM ISLAM,” n.d., 5.","dontUpdate":true,"noteIndex":0},"citationItems":[{"id":224,"uris":["http://zotero.org/users/local/0WfYOsPF/items/VP6ZCY6R"],"uri":["http://zotero.org/users/local/0WfYOsPF/items/VP6ZCY6R"],"itemData":{"id":224,"type":"article-journal","abstract":"This article explores the ijtihad system in Islamic law with special reference to ibn Taimiyah’s reform method. This study reveals that ibn Taimiyah is one of proponents of reform in ijtihad methodology. In this methodology, he frequently follows the line of Hanbalite system, and neglects three other systems, Hanafite, Malikite, and Syafi’ite. He even produces some works according to his own methodology. Ibn Taimiyah lays so much emphasis on the application of ijtihad methodology based on Qur’an and Sunnah, yet does not neglect ijma’, qiyas, and maslahah mursalah, with strict requirement. He is different from Abu Hanifah who emphasizes the application of istihsan and ‘urf, from Malik who emphasizes maslahah mursalah, and from Syafi’i who prefers the istidlal methodology. Actually, ibn Taimiyah appreciates the rational faculty in analizing the texts (nash). According to him, the usage of rational reasoning makes Islamic law logical. In comprehending religious truth, especially related to natural phenomena and social life, ibn Taimiyah is an empiricist and rationalist. This in turn endorses the scientific experiment and direct observation.","language":"id","page":"10","source":"Zotero","title":"SISTEM IJTIHA DALAM HUKUM ISLAM","author":[{"family":"Hamang","given":"M Nasri"}]},"locator":"5","label":"page"}],"schema":"https://github.com/citation-style-language/schema/raw/master/csl-citation.json"} </w:instrText>
      </w:r>
      <w:r w:rsidRPr="00C027F9">
        <w:rPr>
          <w:rFonts w:ascii="Calibri Light" w:hAnsi="Calibri Light" w:cs="Calibri Light"/>
          <w:sz w:val="24"/>
          <w:szCs w:val="24"/>
        </w:rPr>
        <w:fldChar w:fldCharType="separate"/>
      </w:r>
      <w:r w:rsidR="007A7986" w:rsidRPr="00C027F9">
        <w:rPr>
          <w:rFonts w:ascii="Calibri Light" w:hAnsi="Calibri Light" w:cs="Calibri Light"/>
          <w:sz w:val="24"/>
          <w:szCs w:val="24"/>
        </w:rPr>
        <w:t>m Nasri Hamang, “Sistem Ijtiha Dalam Hukum Islam</w:t>
      </w:r>
      <w:r w:rsidRPr="00C027F9">
        <w:rPr>
          <w:rFonts w:ascii="Calibri Light" w:hAnsi="Calibri Light" w:cs="Calibri Light"/>
          <w:sz w:val="24"/>
          <w:szCs w:val="24"/>
        </w:rPr>
        <w:t xml:space="preserve">,” n.d., </w:t>
      </w:r>
      <w:r w:rsidRPr="00C027F9">
        <w:rPr>
          <w:rFonts w:ascii="Calibri Light" w:hAnsi="Calibri Light" w:cs="Calibri Light"/>
          <w:sz w:val="24"/>
          <w:szCs w:val="24"/>
        </w:rPr>
        <w:fldChar w:fldCharType="end"/>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Masyhud, Pemikiran Ibnu Taimiyah Tentang Metode Penafsiran Al-Qur’an Sebagai Upaya Pemurnian Pemahaman Terhadap Al-Qur’an, Jurnal Penelitian Agama,Vol. 9, No. 2 (Januari 2009</w:t>
      </w:r>
      <w:r w:rsidR="00B020C3" w:rsidRPr="00C027F9">
        <w:rPr>
          <w:rFonts w:ascii="Calibri Light" w:hAnsi="Calibri Light" w:cs="Calibri Light"/>
          <w:sz w:val="24"/>
          <w:szCs w:val="24"/>
        </w:rPr>
        <w:t>)</w:t>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 xml:space="preserve">Muchlis Sabir, Akidah Islam Menurut Ibnu Taimiyah, (Cet. I; </w:t>
      </w:r>
      <w:r w:rsidR="00B020C3" w:rsidRPr="00C027F9">
        <w:rPr>
          <w:rFonts w:ascii="Calibri Light" w:hAnsi="Calibri Light" w:cs="Calibri Light"/>
          <w:sz w:val="24"/>
          <w:szCs w:val="24"/>
        </w:rPr>
        <w:t>Bandung: Al-Ma’arif, 1981)</w:t>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Muhammad Jawad Mughniyyah, al-Ahwal al-Shakhsiyyah ‘ala al-Mazhahib al-Khamsah, (Beirut: Dar al-ilm li al-Malayin, 1964)</w:t>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 xml:space="preserve">Muhammad Ma’sum Zainy al-Hasyimy, Sistematika Teori Hukum Islam </w:t>
      </w:r>
      <w:r w:rsidR="00B020C3" w:rsidRPr="00C027F9">
        <w:rPr>
          <w:rFonts w:ascii="Calibri Light" w:hAnsi="Calibri Light" w:cs="Calibri Light"/>
          <w:sz w:val="24"/>
          <w:szCs w:val="24"/>
        </w:rPr>
        <w:t>(Jombang: Qowa’id Fiqhiyyah)</w:t>
      </w:r>
    </w:p>
    <w:p w:rsidR="00B020C3"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7A7986">
        <w:rPr>
          <w:rFonts w:ascii="Calibri Light" w:hAnsi="Calibri Light" w:cs="Calibri Light"/>
          <w:sz w:val="24"/>
          <w:szCs w:val="24"/>
        </w:rPr>
        <w:fldChar w:fldCharType="begin"/>
      </w:r>
      <w:r w:rsidR="00AB0539" w:rsidRPr="00C027F9">
        <w:rPr>
          <w:rFonts w:ascii="Calibri Light" w:hAnsi="Calibri Light" w:cs="Calibri Light"/>
          <w:sz w:val="24"/>
          <w:szCs w:val="24"/>
        </w:rPr>
        <w:instrText xml:space="preserve"> ADDIN ZOTERO_ITEM CSL_CITATION {"citationID":"jcOS7xUJ","properties":{"formattedCitation":"Muhammad Singgih, \\uc0\\u8220{}HUJJAH QAUL SHAHABAT DALAM PERSPEKTIF HUKUM ISLAM,\\uc0\\u8221{} n.d., 8.","plainCitation":"Muhammad Singgih, “HUJJAH QAUL SHAHABAT DALAM PERSPEKTIF HUKUM ISLAM,” n.d., 8.","dontUpdate":true,"noteIndex":0},"citationItems":[{"id":239,"uris":["http://zotero.org/users/local/0WfYOsPF/items/8MDJL82I"],"uri":["http://zotero.org/users/local/0WfYOsPF/items/8MDJL82I"],"itemData":{"id":239,"type":"article-journal","abstract":"Rasulullah SAW, said, \"That the best generation is the generation in my day then the generation afterwards then the generation afterwards ...\". The generation in which the Prophet was sent is the generation of friends. They are the best generation, from the aspect of the faith they are very strict about Islamic teachings, and love Allah and His Messenger more than anything. This can be seen from the story of the friends in maintaining their aqeedah, although it must be tortured and beaten by various tortures and insults from the infidels of Quraysh. They are the generation that we should set as an example, both from the strength of the faith, from its application in daily life and the efforts of the Companions to not just become pious themselves but it is they who spread the teachings of Islam (aqeedah, morals and sharia) to others. The scholars categorize qaul as-shahabi as one source of legal decision that is still contested for its validity. In contrast to the Qur'an, the sunnah, ijma ’and the qiyas of the ulama have agreed to it as a source of law-making in Islam. What is meant by jumhur ulama here are the four Imams of the school who don't teach. Therefore, to find out the opinions of the scholars who differed on the validity of qaul as-shahabi, the author tries to give a little picture of this in this simple paper.","language":"id","page":"15","source":"Zotero","title":"HUJJAH QAUL SHAHABAT DALAM PERSPEKTIF HUKUM ISLAM","author":[{"family":"Singgih","given":"Muhammad"}]},"locator":"8","label":"page"}],"schema":"https://github.com/citation-style-language/schema/raw/master/csl-citation.json"} </w:instrText>
      </w:r>
      <w:r w:rsidRPr="007A7986">
        <w:rPr>
          <w:rFonts w:ascii="Calibri Light" w:hAnsi="Calibri Light" w:cs="Calibri Light"/>
          <w:sz w:val="24"/>
          <w:szCs w:val="24"/>
        </w:rPr>
        <w:fldChar w:fldCharType="separate"/>
      </w:r>
      <w:r w:rsidR="007A7986" w:rsidRPr="00C027F9">
        <w:rPr>
          <w:rFonts w:ascii="Calibri Light" w:hAnsi="Calibri Light" w:cs="Calibri Light"/>
          <w:sz w:val="24"/>
          <w:szCs w:val="24"/>
        </w:rPr>
        <w:t>muhammad Singgih, “Hujjah Qaul Shahabat Dalam Perspektif Hukum Islam</w:t>
      </w:r>
      <w:r w:rsidRPr="00C027F9">
        <w:rPr>
          <w:rFonts w:ascii="Calibri Light" w:hAnsi="Calibri Light" w:cs="Calibri Light"/>
          <w:sz w:val="24"/>
          <w:szCs w:val="24"/>
        </w:rPr>
        <w:t xml:space="preserve">,” n.d., </w:t>
      </w:r>
    </w:p>
    <w:p w:rsidR="00B020C3" w:rsidRPr="007A7986"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7A7986">
        <w:rPr>
          <w:rFonts w:ascii="Calibri Light" w:hAnsi="Calibri Light" w:cs="Calibri Light"/>
          <w:sz w:val="24"/>
          <w:szCs w:val="24"/>
        </w:rPr>
        <w:fldChar w:fldCharType="end"/>
      </w:r>
      <w:r w:rsidRPr="007A7986">
        <w:rPr>
          <w:rFonts w:ascii="Calibri Light" w:hAnsi="Calibri Light" w:cs="Calibri Light"/>
          <w:sz w:val="24"/>
          <w:szCs w:val="24"/>
        </w:rPr>
        <w:fldChar w:fldCharType="begin"/>
      </w:r>
      <w:r w:rsidR="00AB0539" w:rsidRPr="007A7986">
        <w:rPr>
          <w:rFonts w:ascii="Calibri Light" w:hAnsi="Calibri Light" w:cs="Calibri Light"/>
          <w:sz w:val="24"/>
          <w:szCs w:val="24"/>
        </w:rPr>
        <w:instrText xml:space="preserve"> ADDIN ZOTERO_ITEM CSL_CITATION {"citationID":"UNtrJmnn","properties":{"formattedCitation":"Muhammad Syaikhon, \\uc0\\u8220{}PEMIKIRAN HUKUM ISLAM IBNU TAIMIYYAH\\uc0\\u8221{} 7, no. 2 (n.d.): 11.","plainCitation":"Muhammad Syaikhon, “PEMIKIRAN HUKUM ISLAM IBNU TAIMIYYAH” 7, no. 2 (n.d.): 11.","dontUpdate":true,"noteIndex":0},"citationItems":[{"id":225,"uris":["http://zotero.org/users/local/0WfYOsPF/items/27FUZHWM"],"uri":["http://zotero.org/users/local/0WfYOsPF/items/27FUZHWM"],"itemData":{"id":225,"type":"article-journal","abstract":"Ibn Taymiyyah was a reformer and medieval Islamic purifiers who had high authority . His thinking method was Salaf method which was based on the Qur'an and Hadis . The laws of fiqh that he often used leaned to the priest, imam Ahmad ibn Hanbal . Ushul fiqh method or Islamic legal thought of Ibn Taymiyah was Qur'an and Hadis , ijma ' , qiyas , istishab , and mashlahah mursalah .Thoughts of Ibn Taymiyyah can be classified into three types, namely: the same thinking by Imam Ahmad bin Hanbal , thoughts were not characterize a particular schools but according to Ibn Taymiyah 's own thoughts and ideas that are contrary to the opinions of Imam whole Islamic schools .","issue":"2","language":"id","page":"18","source":"Zotero","title":"PEMIKIRAN HUKUM ISLAM IBNU TAIMIYYAH","volume":"7","author":[{"family":"Syaikhon","given":"Muhammad"}]},"locator":"11","label":"page"}],"schema":"https://github.com/citation-style-language/schema/raw/master/csl-citation.json"} </w:instrText>
      </w:r>
      <w:r w:rsidRPr="007A7986">
        <w:rPr>
          <w:rFonts w:ascii="Calibri Light" w:hAnsi="Calibri Light" w:cs="Calibri Light"/>
          <w:sz w:val="24"/>
          <w:szCs w:val="24"/>
        </w:rPr>
        <w:fldChar w:fldCharType="separate"/>
      </w:r>
      <w:r w:rsidRPr="007A7986">
        <w:rPr>
          <w:rFonts w:ascii="Calibri Light" w:hAnsi="Calibri Light" w:cs="Calibri Light"/>
          <w:sz w:val="24"/>
          <w:szCs w:val="24"/>
        </w:rPr>
        <w:t xml:space="preserve">Muhammad Syaikhon, </w:t>
      </w:r>
      <w:r w:rsidR="007A7986" w:rsidRPr="007A7986">
        <w:rPr>
          <w:rFonts w:ascii="Calibri Light" w:hAnsi="Calibri Light" w:cs="Calibri Light"/>
          <w:sz w:val="24"/>
          <w:szCs w:val="24"/>
        </w:rPr>
        <w:t xml:space="preserve">“Pemikiran Hukum Islam Ibnu Taimiyyah” 7, NO. 2 (N.D.): </w:t>
      </w:r>
    </w:p>
    <w:p w:rsidR="00001025" w:rsidRPr="007A7986"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7A7986">
        <w:rPr>
          <w:rFonts w:ascii="Calibri Light" w:hAnsi="Calibri Light" w:cs="Calibri Light"/>
          <w:sz w:val="24"/>
          <w:szCs w:val="24"/>
        </w:rPr>
        <w:fldChar w:fldCharType="end"/>
      </w:r>
      <w:r w:rsidRPr="007A7986">
        <w:rPr>
          <w:rFonts w:ascii="Calibri Light" w:hAnsi="Calibri Light" w:cs="Calibri Light"/>
          <w:sz w:val="24"/>
          <w:szCs w:val="24"/>
        </w:rPr>
        <w:t>Muhammad Yusuf Musa, Ibnu Taimiyyah, (Kairo: al Mu’assasah al Ma</w:t>
      </w:r>
      <w:r w:rsidR="00B020C3" w:rsidRPr="007A7986">
        <w:rPr>
          <w:rFonts w:ascii="Calibri Light" w:hAnsi="Calibri Light" w:cs="Calibri Light"/>
          <w:sz w:val="24"/>
          <w:szCs w:val="24"/>
        </w:rPr>
        <w:t>sriyah al-Ammah,1962)</w:t>
      </w:r>
      <w:r w:rsidRPr="007A7986">
        <w:rPr>
          <w:rFonts w:ascii="Calibri Light" w:hAnsi="Calibri Light" w:cs="Calibri Light"/>
          <w:sz w:val="24"/>
          <w:szCs w:val="24"/>
        </w:rPr>
        <w:t xml:space="preserve"> </w:t>
      </w:r>
    </w:p>
    <w:p w:rsidR="00B020C3"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Munawir Sjaddzali, Islam dan Tata Negara, (Jakarta: UI-Press, 2003</w:t>
      </w:r>
      <w:r w:rsidR="00B020C3" w:rsidRPr="00C027F9">
        <w:rPr>
          <w:rFonts w:ascii="Calibri Light" w:hAnsi="Calibri Light" w:cs="Calibri Light"/>
          <w:sz w:val="24"/>
          <w:szCs w:val="24"/>
        </w:rPr>
        <w:t>)</w:t>
      </w:r>
    </w:p>
    <w:p w:rsidR="00001025" w:rsidRPr="007A7986"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7A7986">
        <w:rPr>
          <w:rFonts w:ascii="Calibri Light" w:hAnsi="Calibri Light" w:cs="Calibri Light"/>
          <w:sz w:val="24"/>
          <w:szCs w:val="24"/>
        </w:rPr>
        <w:lastRenderedPageBreak/>
        <w:t xml:space="preserve">  </w:t>
      </w:r>
      <w:r w:rsidRPr="007A7986">
        <w:rPr>
          <w:rFonts w:ascii="Calibri Light" w:hAnsi="Calibri Light" w:cs="Calibri Light"/>
          <w:sz w:val="24"/>
          <w:szCs w:val="24"/>
        </w:rPr>
        <w:fldChar w:fldCharType="begin"/>
      </w:r>
      <w:r w:rsidR="00AB0539" w:rsidRPr="007A7986">
        <w:rPr>
          <w:rFonts w:ascii="Calibri Light" w:hAnsi="Calibri Light" w:cs="Calibri Light"/>
          <w:sz w:val="24"/>
          <w:szCs w:val="24"/>
        </w:rPr>
        <w:instrText xml:space="preserve"> ADDIN ZOTERO_ITEM CSL_CITATION {"citationID":"nkdHLqCq","properties":{"formattedCitation":"Sakirman Sakirman, \\uc0\\u8220{}EPISTIMOLOGI USHUL FIQH DALAM KONSTRUK HISTORIS,\\uc0\\u8221{} {\\i{}EMPIRISMA} 25, no. 1 (May 2, 2018): 2, https://doi.org/10.30762/empirisma.v25i1.187.","plainCitation":"Sakirman Sakirman, “EPISTIMOLOGI USHUL FIQH DALAM KONSTRUK HISTORIS,” EMPIRISMA 25, no. 1 (May 2, 2018): 2, https://doi.org/10.30762/empirisma.v25i1.187.","noteIndex":0},"citationItems":[{"id":233,"uris":["http://zotero.org/users/local/0WfYOsPF/items/58FMP73E"],"uri":["http://zotero.org/users/local/0WfYOsPF/items/58FMP73E"],"itemData":{"id":233,"type":"article-journal","abstract":"At the time of the Prophet was alive all the issues were based on the revelations and ordinances of the prophet. However, when the prophet had died, Muslims find it difficult to decide on various issues, especially relating to new problems that have not been mentioned in the Qur’an and Sunnah. Therefore, after the death of the prophet every cleric diligence to provide answers to the problems faced by law. In the historical development of uṣūl fiqh, two categorization are dominating: Mutakalimīn and Ḥanafiyyah. The Mutakalimīn were known as rationalists, while Ḥanafiyyah are doctriners. However, the majority of Muslim scholars argued that the latter is nearest to al-ra’yi. This article provides an historical accounts of the two schools by looking at their basic arguments .","container-title":"EMPIRISMA","DOI":"10.30762/empirisma.v25i1.187","ISSN":"1829-9563","issue":"1","journalAbbreviation":"empirisma","language":"id","source":"DOI.org (Crossref)","title":"EPISTIMOLOGI USHUL FIQH DALAM KONSTRUK HISTORIS","URL":"https://jurnal.iainkediri.ac.id/index.php/empirisma/article/view/187","volume":"25","author":[{"family":"Sakirman","given":"Sakirman"}],"accessed":{"date-parts":[["2021",8,29]]},"issued":{"date-parts":[["2018",5,2]]}},"locator":"2","label":"page"}],"schema":"https://github.com/citation-style-language/schema/raw/master/csl-citation.json"} </w:instrText>
      </w:r>
      <w:r w:rsidRPr="007A7986">
        <w:rPr>
          <w:rFonts w:ascii="Calibri Light" w:hAnsi="Calibri Light" w:cs="Calibri Light"/>
          <w:sz w:val="24"/>
          <w:szCs w:val="24"/>
        </w:rPr>
        <w:fldChar w:fldCharType="separate"/>
      </w:r>
      <w:r w:rsidRPr="007A7986">
        <w:rPr>
          <w:rFonts w:ascii="Calibri Light" w:hAnsi="Calibri Light" w:cs="Calibri Light"/>
          <w:sz w:val="24"/>
          <w:szCs w:val="24"/>
        </w:rPr>
        <w:t>Sakirman Sakirman, “</w:t>
      </w:r>
      <w:r w:rsidR="007A7986" w:rsidRPr="007A7986">
        <w:rPr>
          <w:rFonts w:ascii="Calibri Light" w:hAnsi="Calibri Light" w:cs="Calibri Light"/>
          <w:sz w:val="24"/>
          <w:szCs w:val="24"/>
        </w:rPr>
        <w:t xml:space="preserve">Epistimologi Ushul Fiqh Dalam Konstruk Historis,” Empirisma </w:t>
      </w:r>
      <w:r w:rsidRPr="007A7986">
        <w:rPr>
          <w:rFonts w:ascii="Calibri Light" w:hAnsi="Calibri Light" w:cs="Calibri Light"/>
          <w:sz w:val="24"/>
          <w:szCs w:val="24"/>
        </w:rPr>
        <w:t>25, no. 1 (May 2, 2018): 2, https://doi.org/10.30762/empirisma.v25i1.187.</w:t>
      </w:r>
      <w:r w:rsidRPr="007A7986">
        <w:rPr>
          <w:rFonts w:ascii="Calibri Light" w:hAnsi="Calibri Light" w:cs="Calibri Light"/>
          <w:sz w:val="24"/>
          <w:szCs w:val="24"/>
        </w:rPr>
        <w:fldChar w:fldCharType="end"/>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Sholeh ibni Abdul Aziz Ali Manshur, Ushul Fiqh wa Ibnu Taimiyah (Mesir: Darun Nashri, 1985</w:t>
      </w:r>
      <w:r w:rsidR="008042C6" w:rsidRPr="00C027F9">
        <w:rPr>
          <w:rFonts w:ascii="Calibri Light" w:hAnsi="Calibri Light" w:cs="Calibri Light"/>
          <w:sz w:val="24"/>
          <w:szCs w:val="24"/>
        </w:rPr>
        <w:t>)</w:t>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fldChar w:fldCharType="begin"/>
      </w:r>
      <w:r w:rsidR="00AB0539" w:rsidRPr="00C027F9">
        <w:rPr>
          <w:rFonts w:ascii="Calibri Light" w:hAnsi="Calibri Light" w:cs="Calibri Light"/>
          <w:sz w:val="24"/>
          <w:szCs w:val="24"/>
        </w:rPr>
        <w:instrText xml:space="preserve"> ADDIN ZOTERO_ITEM CSL_CITATION {"citationID":"n4zmwuwX","properties":{"formattedCitation":"Syaikhon, \\uc0\\u8220{}PEMIKIRAN HUKUM ISLAM IBNU TAIMIYYAH,\\uc0\\u8221{} 11.","plainCitation":"Syaikhon, “PEMIKIRAN HUKUM ISLAM IBNU TAIMIYYAH,” 11.","noteIndex":0},"citationItems":[{"id":225,"uris":["http://zotero.org/users/local/0WfYOsPF/items/27FUZHWM"],"uri":["http://zotero.org/users/local/0WfYOsPF/items/27FUZHWM"],"itemData":{"id":225,"type":"article-journal","abstract":"Ibn Taymiyyah was a reformer and medieval Islamic purifiers who had high authority . His thinking method was Salaf method which was based on the Qur'an and Hadis . The laws of fiqh that he often used leaned to the priest, imam Ahmad ibn Hanbal . Ushul fiqh method or Islamic legal thought of Ibn Taymiyah was Qur'an and Hadis , ijma ' , qiyas , istishab , and mashlahah mursalah .Thoughts of Ibn Taymiyyah can be classified into three types, namely: the same thinking by Imam Ahmad bin Hanbal , thoughts were not characterize a particular schools but according to Ibn Taymiyah 's own thoughts and ideas that are contrary to the opinions of Imam whole Islamic schools .","issue":"2","language":"id","page":"18","source":"Zotero","title":"PEMIKIRAN HUKUM ISLAM IBNU TAIMIYYAH","volume":"7","author":[{"family":"Syaikhon","given":"Muhammad"}]},"locator":"11","label":"page"}],"schema":"https://github.com/citation-style-language/schema/raw/master/csl-citation.json"} </w:instrText>
      </w:r>
      <w:r w:rsidRPr="00C027F9">
        <w:rPr>
          <w:rFonts w:ascii="Calibri Light" w:hAnsi="Calibri Light" w:cs="Calibri Light"/>
          <w:sz w:val="24"/>
          <w:szCs w:val="24"/>
        </w:rPr>
        <w:fldChar w:fldCharType="separate"/>
      </w:r>
      <w:r w:rsidRPr="00C027F9">
        <w:rPr>
          <w:rFonts w:ascii="Calibri Light" w:hAnsi="Calibri Light" w:cs="Calibri Light"/>
          <w:sz w:val="24"/>
          <w:szCs w:val="24"/>
        </w:rPr>
        <w:t xml:space="preserve">Syaikhon, </w:t>
      </w:r>
      <w:r w:rsidR="007A7986" w:rsidRPr="00C027F9">
        <w:rPr>
          <w:rFonts w:ascii="Calibri Light" w:hAnsi="Calibri Light" w:cs="Calibri Light"/>
          <w:sz w:val="24"/>
          <w:szCs w:val="24"/>
        </w:rPr>
        <w:t>“Pemikiran Hukum Islam Ibnu Taimiyyah</w:t>
      </w:r>
      <w:r w:rsidRPr="00C027F9">
        <w:rPr>
          <w:rFonts w:ascii="Calibri Light" w:hAnsi="Calibri Light" w:cs="Calibri Light"/>
          <w:sz w:val="24"/>
          <w:szCs w:val="24"/>
        </w:rPr>
        <w:t>,” 11.</w:t>
      </w:r>
      <w:r w:rsidRPr="00C027F9">
        <w:rPr>
          <w:rFonts w:ascii="Calibri Light" w:hAnsi="Calibri Light" w:cs="Calibri Light"/>
          <w:sz w:val="24"/>
          <w:szCs w:val="24"/>
        </w:rPr>
        <w:fldChar w:fldCharType="end"/>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Wahbah Al- Zuhaili, Al Wajiz  fi Usul Al Fiqh (Damaskus: Dar Al Fiqr, 1999)</w:t>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t xml:space="preserve">Wahbah Zuhaili, Ushul al Fiqh al Islamy, (Damaskus: Dar al </w:t>
      </w:r>
      <w:r w:rsidR="008042C6" w:rsidRPr="00C027F9">
        <w:rPr>
          <w:rFonts w:ascii="Calibri Light" w:hAnsi="Calibri Light" w:cs="Calibri Light"/>
          <w:sz w:val="24"/>
          <w:szCs w:val="24"/>
        </w:rPr>
        <w:t>Fikr, 1986)</w:t>
      </w:r>
    </w:p>
    <w:p w:rsidR="00001025" w:rsidRPr="00C027F9" w:rsidRDefault="00001025" w:rsidP="007A7986">
      <w:pPr>
        <w:pStyle w:val="ListParagraph"/>
        <w:numPr>
          <w:ilvl w:val="0"/>
          <w:numId w:val="15"/>
        </w:numPr>
        <w:spacing w:before="120" w:after="120" w:line="240" w:lineRule="auto"/>
        <w:ind w:left="426" w:right="-1" w:hanging="426"/>
        <w:contextualSpacing w:val="0"/>
        <w:jc w:val="both"/>
        <w:rPr>
          <w:rFonts w:ascii="Calibri Light" w:hAnsi="Calibri Light" w:cs="Calibri Light"/>
          <w:sz w:val="24"/>
          <w:szCs w:val="24"/>
        </w:rPr>
      </w:pPr>
      <w:r w:rsidRPr="00C027F9">
        <w:rPr>
          <w:rFonts w:ascii="Calibri Light" w:hAnsi="Calibri Light" w:cs="Calibri Light"/>
          <w:sz w:val="24"/>
          <w:szCs w:val="24"/>
        </w:rPr>
        <w:fldChar w:fldCharType="begin"/>
      </w:r>
      <w:r w:rsidR="00AB0539" w:rsidRPr="00C027F9">
        <w:rPr>
          <w:rFonts w:ascii="Calibri Light" w:hAnsi="Calibri Light" w:cs="Calibri Light"/>
          <w:sz w:val="24"/>
          <w:szCs w:val="24"/>
        </w:rPr>
        <w:instrText xml:space="preserve"> ADDIN ZOTERO_ITEM CSL_CITATION {"citationID":"9eep4INy","properties":{"formattedCitation":"Abidin, \\uc0\\u8220{}CORAK PEMIKIRAN DAN METODE IJTIHAD IBN TAYMIYYAH,\\uc0\\u8221{} 2.","plainCitation":"Abidin, “CORAK PEMIKIRAN DAN METODE IJTIHAD IBN TAYMIYYAH,” 2.","noteIndex":0},"citationItems":[{"id":220,"uris":["http://zotero.org/users/local/0WfYOsPF/items/WZXT8PXZ"],"uri":["http://zotero.org/users/local/0WfYOsPF/items/WZXT8PXZ"],"itemData":{"id":220,"type":"article-journal","abstract":"This article discusses the thought color and methods of ijtihad of Ibn Taymiyyah, one of the most influential figures in the movement of of Islamic thought renewal. He raised a number of criticisms of the logician. The arguments he used indicated that he is a thinker of empiricism. This empiricism complexion coloring intellectual works in various fields. In the field of fiqh, in the beginning he was a follower of the school of Hanbaliyah, however, in further development he performed ijtihad independently without being tied down by other schools. That is why Ibn Taymiyya was known as a mujtahid mutlaq. Although in performing ijtihad he remains grounded in the Qur’an and Sunnah as well as admits the ijmâ’ and qiyâs as a source of Islamic law, his thoughts are often different from other scholars of his time, both on the aspect of methodology and the results of his ijtihad.","container-title":"Millah","DOI":"10.20885/millah.ed.khus.art2","ISSN":"14120992","issue":"khus","journalAbbreviation":"millah","language":"id","page":"31-53","source":"DOI.org (Crossref)","title":"CORAK PEMIKIRAN DAN METODE IJTIHAD IBN TAYMIYYAH","volume":"ed","author":[{"family":"Abidin","given":"Zainal"}],"issued":{"date-parts":[["2010",12,20]]}},"locator":"2","label":"page"}],"schema":"https://github.com/citation-style-language/schema/raw/master/csl-citation.json"} </w:instrText>
      </w:r>
      <w:r w:rsidRPr="00C027F9">
        <w:rPr>
          <w:rFonts w:ascii="Calibri Light" w:hAnsi="Calibri Light" w:cs="Calibri Light"/>
          <w:sz w:val="24"/>
          <w:szCs w:val="24"/>
        </w:rPr>
        <w:fldChar w:fldCharType="separate"/>
      </w:r>
      <w:r w:rsidR="00AB0539" w:rsidRPr="00C027F9">
        <w:rPr>
          <w:rFonts w:ascii="Calibri Light" w:hAnsi="Calibri Light" w:cs="Calibri Light"/>
          <w:sz w:val="24"/>
          <w:szCs w:val="24"/>
        </w:rPr>
        <w:t xml:space="preserve">Abidin, </w:t>
      </w:r>
      <w:r w:rsidR="007A7986" w:rsidRPr="00C027F9">
        <w:rPr>
          <w:rFonts w:ascii="Calibri Light" w:hAnsi="Calibri Light" w:cs="Calibri Light"/>
          <w:sz w:val="24"/>
          <w:szCs w:val="24"/>
        </w:rPr>
        <w:t>“Corak Pemikiran Dan Metode Ijtihad Ibn Taymiyyah,”</w:t>
      </w:r>
      <w:r w:rsidR="00AB0539" w:rsidRPr="00C027F9">
        <w:rPr>
          <w:rFonts w:ascii="Calibri Light" w:hAnsi="Calibri Light" w:cs="Calibri Light"/>
          <w:sz w:val="24"/>
          <w:szCs w:val="24"/>
        </w:rPr>
        <w:t xml:space="preserve"> 2.</w:t>
      </w:r>
      <w:r w:rsidRPr="00C027F9">
        <w:rPr>
          <w:rFonts w:ascii="Calibri Light" w:hAnsi="Calibri Light" w:cs="Calibri Light"/>
          <w:sz w:val="24"/>
          <w:szCs w:val="24"/>
        </w:rPr>
        <w:fldChar w:fldCharType="end"/>
      </w:r>
    </w:p>
    <w:p w:rsidR="00FB00CC" w:rsidRPr="008A28AF" w:rsidRDefault="00FB00CC" w:rsidP="003A21B0">
      <w:pPr>
        <w:autoSpaceDE w:val="0"/>
        <w:autoSpaceDN w:val="0"/>
        <w:adjustRightInd w:val="0"/>
        <w:spacing w:after="0" w:line="240" w:lineRule="auto"/>
        <w:ind w:firstLine="720"/>
        <w:jc w:val="both"/>
        <w:rPr>
          <w:rFonts w:ascii="Calibri Light" w:hAnsi="Calibri Light" w:cstheme="majorBidi"/>
          <w:sz w:val="24"/>
          <w:szCs w:val="24"/>
        </w:rPr>
      </w:pPr>
    </w:p>
    <w:sectPr w:rsidR="00FB00CC" w:rsidRPr="008A28AF" w:rsidSect="00F665E2">
      <w:footerReference w:type="default" r:id="rId10"/>
      <w:pgSz w:w="11906" w:h="16838" w:code="9"/>
      <w:pgMar w:top="1701" w:right="1701" w:bottom="1701" w:left="226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2A3B" w:rsidRDefault="00612A3B" w:rsidP="00B15372">
      <w:pPr>
        <w:spacing w:after="0" w:line="240" w:lineRule="auto"/>
      </w:pPr>
      <w:r>
        <w:separator/>
      </w:r>
    </w:p>
  </w:endnote>
  <w:endnote w:type="continuationSeparator" w:id="0">
    <w:p w:rsidR="00612A3B" w:rsidRDefault="00612A3B" w:rsidP="00B153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43"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Calibri">
    <w:altName w:val="Century Gothic"/>
    <w:panose1 w:val="020F0502020204030204"/>
    <w:charset w:val="00"/>
    <w:family w:val="swiss"/>
    <w:pitch w:val="variable"/>
    <w:sig w:usb0="E00002FF" w:usb1="4000ACFF" w:usb2="00000001" w:usb3="00000000" w:csb0="0000019F" w:csb1="00000000"/>
  </w:font>
  <w:font w:name="Cambria">
    <w:altName w:val="Calisto MT"/>
    <w:panose1 w:val="02040503050406030204"/>
    <w:charset w:val="00"/>
    <w:family w:val="roman"/>
    <w:pitch w:val="variable"/>
    <w:sig w:usb0="E00002FF" w:usb1="400004FF" w:usb2="00000000" w:usb3="00000000" w:csb0="0000019F" w:csb1="00000000"/>
  </w:font>
  <w:font w:name="Courier New">
    <w:altName w:val="Courier New"/>
    <w:panose1 w:val="02070309020205020404"/>
    <w:charset w:val="00"/>
    <w:family w:val="modern"/>
    <w:pitch w:val="fixed"/>
    <w:sig w:usb0="E0002E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GentiumBookBas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7563997"/>
      <w:docPartObj>
        <w:docPartGallery w:val="Page Numbers (Bottom of Page)"/>
        <w:docPartUnique/>
      </w:docPartObj>
    </w:sdtPr>
    <w:sdtEndPr>
      <w:rPr>
        <w:noProof/>
      </w:rPr>
    </w:sdtEndPr>
    <w:sdtContent>
      <w:p w:rsidR="005A0AEB" w:rsidRDefault="005A0AEB">
        <w:pPr>
          <w:pStyle w:val="Footer"/>
          <w:jc w:val="center"/>
        </w:pPr>
        <w:r>
          <w:fldChar w:fldCharType="begin"/>
        </w:r>
        <w:r>
          <w:instrText xml:space="preserve"> PAGE   \* MERGEFORMAT </w:instrText>
        </w:r>
        <w:r>
          <w:fldChar w:fldCharType="separate"/>
        </w:r>
        <w:r w:rsidR="00617C64">
          <w:rPr>
            <w:noProof/>
          </w:rPr>
          <w:t>3</w:t>
        </w:r>
        <w:r>
          <w:rPr>
            <w:noProof/>
          </w:rPr>
          <w:fldChar w:fldCharType="end"/>
        </w:r>
      </w:p>
    </w:sdtContent>
  </w:sdt>
  <w:p w:rsidR="005A0AEB" w:rsidRDefault="005A0A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2A3B" w:rsidRDefault="00612A3B" w:rsidP="00B15372">
      <w:pPr>
        <w:spacing w:after="0" w:line="240" w:lineRule="auto"/>
      </w:pPr>
      <w:r>
        <w:separator/>
      </w:r>
    </w:p>
  </w:footnote>
  <w:footnote w:type="continuationSeparator" w:id="0">
    <w:p w:rsidR="00612A3B" w:rsidRDefault="00612A3B" w:rsidP="00B15372">
      <w:pPr>
        <w:spacing w:after="0" w:line="240" w:lineRule="auto"/>
      </w:pPr>
      <w:r>
        <w:continuationSeparator/>
      </w:r>
    </w:p>
  </w:footnote>
  <w:footnote w:id="1">
    <w:p w:rsidR="005A0AEB" w:rsidRPr="003A21B0" w:rsidRDefault="005A0AEB" w:rsidP="00027C9D">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w:t>
      </w:r>
      <w:r w:rsidRPr="003A21B0">
        <w:rPr>
          <w:rFonts w:ascii="Calibri Light" w:hAnsi="Calibri Light" w:cstheme="majorBidi"/>
        </w:rPr>
        <w:fldChar w:fldCharType="begin"/>
      </w:r>
      <w:r w:rsidR="00AB0539" w:rsidRPr="003A21B0">
        <w:rPr>
          <w:rFonts w:ascii="Calibri Light" w:hAnsi="Calibri Light" w:cstheme="majorBidi"/>
        </w:rPr>
        <w:instrText xml:space="preserve"> ADDIN ZOTERO_ITEM CSL_CITATION {"citationID":"Kq9uFuO3","properties":{"formattedCitation":"Abu Yazid, \\uc0\\u8220{}Mendialogkan Dimensi Keilmuan Ushul Fiqh\\uc0\\u8221{} 7, no. 1 (2012): 2.","plainCitation":"Abu Yazid, “Mendialogkan Dimensi Keilmuan Ushul Fiqh” 7, no. 1 (2012): 2.","noteIndex":2},"citationItems":[{"id":235,"uris":["http://zotero.org/users/local/0WfYOsPF/items/2QH8GS4N"],"uri":["http://zotero.org/users/local/0WfYOsPF/items/2QH8GS4N"],"itemData":{"id":235,"type":"article-journal","issue":"1","language":"id","page":"25","source":"Zotero","title":"Mendialogkan Dimensi Keilmuan Ushul Fiqh","volume":"7","author":[{"family":"Yazid","given":"Abu"}],"issued":{"date-parts":[["2012"]]}},"locator":"2","label":"page"}],"schema":"https://github.com/citation-style-language/schema/raw/master/csl-citation.json"} </w:instrText>
      </w:r>
      <w:r w:rsidRPr="003A21B0">
        <w:rPr>
          <w:rFonts w:ascii="Calibri Light" w:hAnsi="Calibri Light" w:cstheme="majorBidi"/>
        </w:rPr>
        <w:fldChar w:fldCharType="separate"/>
      </w:r>
      <w:r w:rsidR="00027C9D">
        <w:rPr>
          <w:rFonts w:ascii="Calibri Light" w:hAnsi="Calibri Light" w:cstheme="majorBidi"/>
        </w:rPr>
        <w:t xml:space="preserve">Abu Yazid, </w:t>
      </w:r>
      <w:r w:rsidRPr="003A21B0">
        <w:rPr>
          <w:rFonts w:ascii="Calibri Light" w:hAnsi="Calibri Light" w:cstheme="majorBidi"/>
        </w:rPr>
        <w:t>Mendialogkan Dimensi Keilmuan Ushul Fiqh</w:t>
      </w:r>
      <w:r w:rsidR="00027C9D">
        <w:rPr>
          <w:rFonts w:ascii="Calibri Light" w:hAnsi="Calibri Light" w:cstheme="majorBidi"/>
        </w:rPr>
        <w:t>, (1), 2012,</w:t>
      </w:r>
      <w:r w:rsidRPr="003A21B0">
        <w:rPr>
          <w:rFonts w:ascii="Calibri Light" w:hAnsi="Calibri Light" w:cstheme="majorBidi"/>
        </w:rPr>
        <w:t xml:space="preserve"> 2.</w:t>
      </w:r>
      <w:r w:rsidRPr="003A21B0">
        <w:rPr>
          <w:rFonts w:ascii="Calibri Light" w:hAnsi="Calibri Light" w:cstheme="majorBidi"/>
        </w:rPr>
        <w:fldChar w:fldCharType="end"/>
      </w:r>
    </w:p>
  </w:footnote>
  <w:footnote w:id="2">
    <w:p w:rsidR="005A0AEB" w:rsidRPr="003A21B0" w:rsidRDefault="005A0AEB" w:rsidP="00F85627">
      <w:pPr>
        <w:autoSpaceDE w:val="0"/>
        <w:autoSpaceDN w:val="0"/>
        <w:adjustRightInd w:val="0"/>
        <w:spacing w:after="0" w:line="240" w:lineRule="auto"/>
        <w:jc w:val="both"/>
        <w:rPr>
          <w:rFonts w:ascii="Calibri Light" w:hAnsi="Calibri Light" w:cstheme="majorBidi"/>
          <w:sz w:val="20"/>
          <w:szCs w:val="20"/>
        </w:rPr>
      </w:pPr>
      <w:r w:rsidRPr="003A21B0">
        <w:rPr>
          <w:rStyle w:val="FootnoteReference"/>
          <w:rFonts w:ascii="Calibri Light" w:hAnsi="Calibri Light"/>
          <w:sz w:val="20"/>
          <w:szCs w:val="20"/>
        </w:rPr>
        <w:footnoteRef/>
      </w:r>
      <w:r w:rsidRPr="003A21B0">
        <w:rPr>
          <w:rFonts w:ascii="Calibri Light" w:hAnsi="Calibri Light" w:cstheme="majorBidi"/>
          <w:sz w:val="20"/>
          <w:szCs w:val="20"/>
        </w:rPr>
        <w:t xml:space="preserve"> Abdul Halim </w:t>
      </w:r>
      <w:r w:rsidRPr="00BF3753">
        <w:rPr>
          <w:rFonts w:ascii="Calibri Light" w:hAnsi="Calibri Light" w:cstheme="majorBidi"/>
          <w:sz w:val="20"/>
          <w:szCs w:val="20"/>
        </w:rPr>
        <w:t>Uways, al-Fiqh al-Islami Bayna al-Tathawwur wa al-Thabat :</w:t>
      </w:r>
      <w:r w:rsidRPr="003A21B0">
        <w:rPr>
          <w:rFonts w:ascii="Calibri Light" w:hAnsi="Calibri Light" w:cstheme="majorBidi"/>
          <w:sz w:val="20"/>
          <w:szCs w:val="20"/>
        </w:rPr>
        <w:t xml:space="preserve"> 160</w:t>
      </w:r>
    </w:p>
  </w:footnote>
  <w:footnote w:id="3">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w:t>
      </w:r>
      <w:r w:rsidRPr="003A21B0">
        <w:rPr>
          <w:rFonts w:ascii="Calibri Light" w:hAnsi="Calibri Light" w:cstheme="majorBidi"/>
        </w:rPr>
        <w:fldChar w:fldCharType="begin"/>
      </w:r>
      <w:r w:rsidR="00AB0539" w:rsidRPr="003A21B0">
        <w:rPr>
          <w:rFonts w:ascii="Calibri Light" w:hAnsi="Calibri Light" w:cstheme="majorBidi"/>
        </w:rPr>
        <w:instrText xml:space="preserve"> ADDIN ZOTERO_ITEM CSL_CITATION {"citationID":"ymagvCGX","properties":{"formattedCitation":"Sakirman, \\uc0\\u8220{}EPISTIMOLOGI USHUL FIQH DALAM KONSTRUK HISTORIS,\\uc0\\u8221{} 2.","plainCitation":"Sakirman, “EPISTIMOLOGI USHUL FIQH DALAM KONSTRUK HISTORIS,” 2.","noteIndex":4},"citationItems":[{"id":233,"uris":["http://zotero.org/users/local/0WfYOsPF/items/58FMP73E"],"uri":["http://zotero.org/users/local/0WfYOsPF/items/58FMP73E"],"itemData":{"id":233,"type":"article-journal","abstract":"At the time of the Prophet was alive all the issues were based on the revelations and ordinances of the prophet. However, when the prophet had died, Muslims find it difficult to decide on various issues, especially relating to new problems that have not been mentioned in the Qur’an and Sunnah. Therefore, after the death of the prophet every cleric diligence to provide answers to the problems faced by law. In the historical development of uṣūl fiqh, two categorization are dominating: Mutakalimīn and Ḥanafiyyah. The Mutakalimīn were known as rationalists, while Ḥanafiyyah are doctriners. However, the majority of Muslim scholars argued that the latter is nearest to al-ra’yi. This article provides an historical accounts of the two schools by looking at their basic arguments .","container-title":"EMPIRISMA","DOI":"10.30762/empirisma.v25i1.187","ISSN":"1829-9563","issue":"1","journalAbbreviation":"empirisma","language":"id","source":"DOI.org (Crossref)","title":"EPISTIMOLOGI USHUL FIQH DALAM KONSTRUK HISTORIS","URL":"https://jurnal.iainkediri.ac.id/index.php/empirisma/article/view/187","volume":"25","author":[{"family":"Sakirman","given":"Sakirman"}],"accessed":{"date-parts":[["2021",8,29]]},"issued":{"date-parts":[["2018",5,2]]}},"locator":"2","label":"page"}],"schema":"https://github.com/citation-style-language/schema/raw/master/csl-citation.json"} </w:instrText>
      </w:r>
      <w:r w:rsidRPr="003A21B0">
        <w:rPr>
          <w:rFonts w:ascii="Calibri Light" w:hAnsi="Calibri Light" w:cstheme="majorBidi"/>
        </w:rPr>
        <w:fldChar w:fldCharType="separate"/>
      </w:r>
      <w:r w:rsidR="00142031" w:rsidRPr="003A21B0">
        <w:rPr>
          <w:rFonts w:ascii="Calibri Light" w:hAnsi="Calibri Light" w:cs="Times New Roman"/>
        </w:rPr>
        <w:t>Sakirman, “Epistimologi Ushul Fiqh Dalam Konstruk Historis,” 2.</w:t>
      </w:r>
      <w:r w:rsidRPr="003A21B0">
        <w:rPr>
          <w:rFonts w:ascii="Calibri Light" w:hAnsi="Calibri Light" w:cstheme="majorBidi"/>
        </w:rPr>
        <w:fldChar w:fldCharType="end"/>
      </w:r>
    </w:p>
  </w:footnote>
  <w:footnote w:id="4">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w:t>
      </w:r>
      <w:r w:rsidRPr="003A21B0">
        <w:rPr>
          <w:rFonts w:ascii="Calibri Light" w:hAnsi="Calibri Light" w:cstheme="majorBidi"/>
        </w:rPr>
        <w:fldChar w:fldCharType="begin"/>
      </w:r>
      <w:r w:rsidR="00AB0539" w:rsidRPr="003A21B0">
        <w:rPr>
          <w:rFonts w:ascii="Calibri Light" w:hAnsi="Calibri Light" w:cstheme="majorBidi"/>
        </w:rPr>
        <w:instrText xml:space="preserve"> ADDIN ZOTERO_ITEM CSL_CITATION {"citationID":"lgA8mhDo","properties":{"formattedCitation":"Zainal Abidin, \\uc0\\u8220{}CORAK PEMIKIRAN DAN METODE IJTIHAD IBN TAYMIYYAH,\\uc0\\u8221{} {\\i{}Millah} ed, no. khus (December 20, 2010): 2, https://doi.org/10.20885/millah.ed.khus.art2.","plainCitation":"Zainal Abidin, “CORAK PEMIKIRAN DAN METODE IJTIHAD IBN TAYMIYYAH,” Millah ed, no. khus (December 20, 2010): 2, https://doi.org/10.20885/millah.ed.khus.art2.","noteIndex":5},"citationItems":[{"id":220,"uris":["http://zotero.org/users/local/0WfYOsPF/items/WZXT8PXZ"],"uri":["http://zotero.org/users/local/0WfYOsPF/items/WZXT8PXZ"],"itemData":{"id":220,"type":"article-journal","abstract":"This article discusses the thought color and methods of ijtihad of Ibn Taymiyyah, one of the most influential figures in the movement of of Islamic thought renewal. He raised a number of criticisms of the logician. The arguments he used indicated that he is a thinker of empiricism. This empiricism complexion coloring intellectual works in various fields. In the field of fiqh, in the beginning he was a follower of the school of Hanbaliyah, however, in further development he performed ijtihad independently without being tied down by other schools. That is why Ibn Taymiyya was known as a mujtahid mutlaq. Although in performing ijtihad he remains grounded in the Qur’an and Sunnah as well as admits the ijmâ’ and qiyâs as a source of Islamic law, his thoughts are often different from other scholars of his time, both on the aspect of methodology and the results of his ijtihad.","container-title":"Millah","DOI":"10.20885/millah.ed.khus.art2","ISSN":"14120992","issue":"khus","journalAbbreviation":"millah","language":"id","page":"31-53","source":"DOI.org (Crossref)","title":"CORAK PEMIKIRAN DAN METODE IJTIHAD IBN TAYMIYYAH","volume":"ed","author":[{"family":"Abidin","given":"Zainal"}],"issued":{"date-parts":[["2010",12,20]]}},"locator":"2","label":"page"}],"schema":"https://github.com/citation-style-language/schema/raw/master/csl-citation.json"} </w:instrText>
      </w:r>
      <w:r w:rsidRPr="003A21B0">
        <w:rPr>
          <w:rFonts w:ascii="Calibri Light" w:hAnsi="Calibri Light" w:cstheme="majorBidi"/>
        </w:rPr>
        <w:fldChar w:fldCharType="separate"/>
      </w:r>
      <w:r w:rsidRPr="003A21B0">
        <w:rPr>
          <w:rFonts w:ascii="Calibri Light" w:hAnsi="Calibri Light" w:cstheme="majorBidi"/>
        </w:rPr>
        <w:t>Zainal Abidin, “</w:t>
      </w:r>
      <w:r w:rsidR="00142031" w:rsidRPr="003A21B0">
        <w:rPr>
          <w:rFonts w:ascii="Calibri Light" w:hAnsi="Calibri Light" w:cstheme="majorBidi"/>
        </w:rPr>
        <w:t>Corak Pemikiran Dan Metode Ijtihad Ibn Taymiyyah</w:t>
      </w:r>
      <w:r w:rsidRPr="003A21B0">
        <w:rPr>
          <w:rFonts w:ascii="Calibri Light" w:hAnsi="Calibri Light" w:cstheme="majorBidi"/>
        </w:rPr>
        <w:t xml:space="preserve">,” </w:t>
      </w:r>
      <w:r w:rsidRPr="003A21B0">
        <w:rPr>
          <w:rFonts w:ascii="Calibri Light" w:hAnsi="Calibri Light" w:cstheme="majorBidi"/>
          <w:i/>
          <w:iCs/>
        </w:rPr>
        <w:t>Millah</w:t>
      </w:r>
      <w:r w:rsidRPr="003A21B0">
        <w:rPr>
          <w:rFonts w:ascii="Calibri Light" w:hAnsi="Calibri Light" w:cstheme="majorBidi"/>
        </w:rPr>
        <w:t xml:space="preserve"> ed, no. khus (December 20, 2010): 2, https://doi.org/10.20885/millah.ed.khus.art2.</w:t>
      </w:r>
      <w:r w:rsidRPr="003A21B0">
        <w:rPr>
          <w:rFonts w:ascii="Calibri Light" w:hAnsi="Calibri Light" w:cstheme="majorBidi"/>
        </w:rPr>
        <w:fldChar w:fldCharType="end"/>
      </w:r>
    </w:p>
  </w:footnote>
  <w:footnote w:id="5">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Abi Abdullah bin Mohammed bin Said Ruslan, </w:t>
      </w:r>
      <w:r w:rsidRPr="003A21B0">
        <w:rPr>
          <w:rFonts w:ascii="Calibri Light" w:hAnsi="Calibri Light" w:cstheme="majorBidi"/>
          <w:i/>
          <w:iCs/>
        </w:rPr>
        <w:t xml:space="preserve">Haulu Hayati Syakhil Islam Ibni Taimiyah, </w:t>
      </w:r>
      <w:r w:rsidRPr="003A21B0">
        <w:rPr>
          <w:rFonts w:ascii="Calibri Light" w:hAnsi="Calibri Light" w:cstheme="majorBidi"/>
        </w:rPr>
        <w:t>(Mesir: Maktabah Manar, 2002), 13-6</w:t>
      </w:r>
    </w:p>
  </w:footnote>
  <w:footnote w:id="6">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Dewan Redaksi Ensiklopedi Islam, </w:t>
      </w:r>
      <w:r w:rsidRPr="003A21B0">
        <w:rPr>
          <w:rFonts w:ascii="Calibri Light" w:hAnsi="Calibri Light" w:cstheme="majorBidi"/>
          <w:i/>
          <w:iCs/>
        </w:rPr>
        <w:t>Ensiklopedi Islam</w:t>
      </w:r>
      <w:r w:rsidRPr="003A21B0">
        <w:rPr>
          <w:rFonts w:ascii="Calibri Light" w:hAnsi="Calibri Light" w:cstheme="majorBidi"/>
        </w:rPr>
        <w:t xml:space="preserve">, (Jakarta : PT Ichtiar Baru van Hoeve, 2000): 169  </w:t>
      </w:r>
    </w:p>
  </w:footnote>
  <w:footnote w:id="7">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Masyhud, </w:t>
      </w:r>
      <w:r w:rsidRPr="003A21B0">
        <w:rPr>
          <w:rFonts w:ascii="Calibri Light" w:hAnsi="Calibri Light" w:cstheme="majorBidi"/>
          <w:i/>
          <w:iCs/>
        </w:rPr>
        <w:t>Pemikiran Ibnu Taimiyah Tentang Metode Penafsiran Al-Qur’an Sebagai Upaya Pemurnian Pemahaman Terhadap Al-Qur’an</w:t>
      </w:r>
      <w:r w:rsidRPr="003A21B0">
        <w:rPr>
          <w:rFonts w:ascii="Calibri Light" w:hAnsi="Calibri Light" w:cstheme="majorBidi"/>
        </w:rPr>
        <w:t xml:space="preserve">, </w:t>
      </w:r>
      <w:r w:rsidRPr="003A21B0">
        <w:rPr>
          <w:rFonts w:ascii="Calibri Light" w:hAnsi="Calibri Light" w:cstheme="majorBidi"/>
          <w:i/>
          <w:iCs/>
        </w:rPr>
        <w:t>Jurnal Penelitian Agama,</w:t>
      </w:r>
      <w:r w:rsidRPr="003A21B0">
        <w:rPr>
          <w:rFonts w:ascii="Calibri Light" w:hAnsi="Calibri Light" w:cstheme="majorBidi"/>
        </w:rPr>
        <w:t>Vol. 9, No. 2 (Januari 2009): 36</w:t>
      </w:r>
    </w:p>
  </w:footnote>
  <w:footnote w:id="8">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Munawir Sjaddzali, </w:t>
      </w:r>
      <w:r w:rsidRPr="003A21B0">
        <w:rPr>
          <w:rFonts w:ascii="Calibri Light" w:hAnsi="Calibri Light" w:cstheme="majorBidi"/>
          <w:i/>
          <w:iCs/>
        </w:rPr>
        <w:t>Islam dan Tata Negara</w:t>
      </w:r>
      <w:r w:rsidRPr="003A21B0">
        <w:rPr>
          <w:rFonts w:ascii="Calibri Light" w:hAnsi="Calibri Light" w:cstheme="majorBidi"/>
        </w:rPr>
        <w:t xml:space="preserve">, (Jakarta: UI-Press, 2003): 82.  </w:t>
      </w:r>
    </w:p>
  </w:footnote>
  <w:footnote w:id="9">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Muhammad Yusuf Musa, </w:t>
      </w:r>
      <w:r w:rsidRPr="003A21B0">
        <w:rPr>
          <w:rFonts w:ascii="Calibri Light" w:hAnsi="Calibri Light" w:cstheme="majorBidi"/>
          <w:i/>
          <w:iCs/>
        </w:rPr>
        <w:t xml:space="preserve">Ibnu Taimiyyah, </w:t>
      </w:r>
      <w:r w:rsidRPr="003A21B0">
        <w:rPr>
          <w:rFonts w:ascii="Calibri Light" w:hAnsi="Calibri Light" w:cstheme="majorBidi"/>
        </w:rPr>
        <w:t>(Kairo: al-Mu’assasah al-Masriyah al-Ammah,1962), 168</w:t>
      </w:r>
    </w:p>
  </w:footnote>
  <w:footnote w:id="10">
    <w:p w:rsidR="005A0AEB" w:rsidRPr="003A21B0" w:rsidRDefault="005A0AEB" w:rsidP="00F85627">
      <w:pPr>
        <w:spacing w:after="0" w:line="240" w:lineRule="auto"/>
        <w:jc w:val="both"/>
        <w:rPr>
          <w:rFonts w:ascii="Calibri Light" w:hAnsi="Calibri Light" w:cstheme="majorBidi"/>
          <w:sz w:val="20"/>
          <w:szCs w:val="20"/>
        </w:rPr>
      </w:pPr>
      <w:r w:rsidRPr="003A21B0">
        <w:rPr>
          <w:rStyle w:val="FootnoteReference"/>
          <w:rFonts w:ascii="Calibri Light" w:hAnsi="Calibri Light"/>
          <w:sz w:val="20"/>
          <w:szCs w:val="20"/>
        </w:rPr>
        <w:footnoteRef/>
      </w:r>
      <w:r w:rsidRPr="003A21B0">
        <w:rPr>
          <w:rFonts w:ascii="Calibri Light" w:hAnsi="Calibri Light" w:cstheme="majorBidi"/>
          <w:sz w:val="20"/>
          <w:szCs w:val="20"/>
        </w:rPr>
        <w:t xml:space="preserve"> Dalam pembahasan kaidah-kaidah Ushuliyah aliran ini berpegang pada analisis-analisis kebebasan atau linguistik dan analisis terhadap illat-illat hukum cara yang mereka tempuh cenderung memakai cara yang ditempuh oleh ulama-ulama kalam artinya kaidah-kaidah yang ditetapkan ditopang dengan alasan-alasan yang kuat baik dengan nash maupun dengan logika atau mantiq tanpa terikat dengan hukum-hukum huruf yang telah ada dalam satu mazhab, sehingga menyebabkan pembahasan mereka lebih bersifat teoritis. Kombinasi wahyu dan logika sebagai dasar pijakan ushul fiqh juga pernah diapresiasi Imam al-Ghazali (w. 1111 M) dalam karyanya </w:t>
      </w:r>
      <w:r w:rsidRPr="003A21B0">
        <w:rPr>
          <w:rFonts w:ascii="Calibri Light" w:hAnsi="Calibri Light" w:cstheme="majorBidi"/>
          <w:i/>
          <w:iCs/>
          <w:sz w:val="20"/>
          <w:szCs w:val="20"/>
        </w:rPr>
        <w:t xml:space="preserve">al-Mustashfa min ‘Ilm al-Ushul </w:t>
      </w:r>
      <w:r w:rsidRPr="003A21B0">
        <w:rPr>
          <w:rFonts w:ascii="Calibri Light" w:hAnsi="Calibri Light" w:cstheme="majorBidi"/>
          <w:sz w:val="20"/>
          <w:szCs w:val="20"/>
        </w:rPr>
        <w:t xml:space="preserve">. Ulama’ </w:t>
      </w:r>
      <w:r w:rsidRPr="003A21B0">
        <w:rPr>
          <w:rFonts w:ascii="Calibri Light" w:hAnsi="Calibri Light" w:cstheme="majorBidi"/>
          <w:i/>
          <w:iCs/>
          <w:sz w:val="20"/>
          <w:szCs w:val="20"/>
        </w:rPr>
        <w:t xml:space="preserve">Ushuli </w:t>
      </w:r>
      <w:r w:rsidRPr="003A21B0">
        <w:rPr>
          <w:rFonts w:ascii="Calibri Light" w:hAnsi="Calibri Light" w:cstheme="majorBidi"/>
          <w:sz w:val="20"/>
          <w:szCs w:val="20"/>
        </w:rPr>
        <w:t xml:space="preserve">dari kalangan Syafi’iyyah (Mutakallimin) ini membagi ilmu pengetahuan menjadi tiga bagian. Pertama: </w:t>
      </w:r>
      <w:r w:rsidRPr="003A21B0">
        <w:rPr>
          <w:rFonts w:ascii="Calibri Light" w:hAnsi="Calibri Light" w:cstheme="majorBidi"/>
          <w:i/>
          <w:iCs/>
          <w:sz w:val="20"/>
          <w:szCs w:val="20"/>
        </w:rPr>
        <w:t xml:space="preserve">’aqli mahdl </w:t>
      </w:r>
      <w:r w:rsidRPr="003A21B0">
        <w:rPr>
          <w:rFonts w:ascii="Calibri Light" w:hAnsi="Calibri Light" w:cstheme="majorBidi"/>
          <w:sz w:val="20"/>
          <w:szCs w:val="20"/>
        </w:rPr>
        <w:t xml:space="preserve">(nalar murni), yaitu ilmu pengetahuan yang semata-mata dilandaskan pada akal manusia tanpa dasar pijakan wahyu, seperti ilmu matematika, ilmu tehnik, ilmu astronomi dan lain-lain. Kedua: </w:t>
      </w:r>
      <w:r w:rsidRPr="003A21B0">
        <w:rPr>
          <w:rFonts w:ascii="Calibri Light" w:hAnsi="Calibri Light" w:cstheme="majorBidi"/>
          <w:i/>
          <w:iCs/>
          <w:sz w:val="20"/>
          <w:szCs w:val="20"/>
        </w:rPr>
        <w:t xml:space="preserve">naqli mahdl </w:t>
      </w:r>
      <w:r w:rsidRPr="003A21B0">
        <w:rPr>
          <w:rFonts w:ascii="Calibri Light" w:hAnsi="Calibri Light" w:cstheme="majorBidi"/>
          <w:sz w:val="20"/>
          <w:szCs w:val="20"/>
        </w:rPr>
        <w:t xml:space="preserve">(wahyu murni), yakni ilmu pengetahuan yang bertumpu pada teks-teks wahyu tanpa ada intervensi nalar, seperti ilmu tafsir, ilmu hadis dan lain-lain. Ketiga: </w:t>
      </w:r>
      <w:r w:rsidRPr="003A21B0">
        <w:rPr>
          <w:rFonts w:ascii="Calibri Light" w:hAnsi="Calibri Light" w:cstheme="majorBidi"/>
          <w:i/>
          <w:iCs/>
          <w:sz w:val="20"/>
          <w:szCs w:val="20"/>
        </w:rPr>
        <w:t xml:space="preserve">izdiwaji </w:t>
      </w:r>
      <w:r w:rsidRPr="003A21B0">
        <w:rPr>
          <w:rFonts w:ascii="Calibri Light" w:hAnsi="Calibri Light" w:cstheme="majorBidi"/>
          <w:sz w:val="20"/>
          <w:szCs w:val="20"/>
        </w:rPr>
        <w:t xml:space="preserve">(gabungan logika dan wahyu), yaitu ilmu pengetahuan yang dasar pijakannya adalah wahyu dan nalar secara bersamaan dan berimbang. Ilmu fiqh dan ushul fiqh menurut al-Ghazali termasuk dalam kategori ketiga ini dan beliau menggolongkannya dalam level ilmu paling tinggi. Lihat Al Ghozali, </w:t>
      </w:r>
      <w:r w:rsidRPr="003A21B0">
        <w:rPr>
          <w:rFonts w:ascii="Calibri Light" w:hAnsi="Calibri Light" w:cstheme="majorBidi"/>
          <w:i/>
          <w:iCs/>
          <w:sz w:val="20"/>
          <w:szCs w:val="20"/>
        </w:rPr>
        <w:t>al Mustashfa min ilmil Ushul</w:t>
      </w:r>
      <w:r w:rsidRPr="003A21B0">
        <w:rPr>
          <w:rFonts w:ascii="Calibri Light" w:hAnsi="Calibri Light" w:cstheme="majorBidi"/>
          <w:sz w:val="20"/>
          <w:szCs w:val="20"/>
        </w:rPr>
        <w:t xml:space="preserve">, Juz 1, 13-14 </w:t>
      </w:r>
    </w:p>
  </w:footnote>
  <w:footnote w:id="11">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w:t>
      </w:r>
      <w:r w:rsidRPr="003A21B0">
        <w:rPr>
          <w:rFonts w:ascii="Calibri Light" w:hAnsi="Calibri Light" w:cstheme="majorBidi"/>
        </w:rPr>
        <w:fldChar w:fldCharType="begin"/>
      </w:r>
      <w:r w:rsidR="00AB0539" w:rsidRPr="003A21B0">
        <w:rPr>
          <w:rFonts w:ascii="Calibri Light" w:hAnsi="Calibri Light" w:cstheme="majorBidi"/>
        </w:rPr>
        <w:instrText xml:space="preserve"> ADDIN ZOTERO_ITEM CSL_CITATION {"citationID":"JfproPlw","properties":{"formattedCitation":"Hanif Aidhil Alwana, \\uc0\\u8220{}ALIRAN PEMIKIRAN USHUL FIQH DAN PENGARUHNYA TERHADAP PENDEKATAN HUKUM ISLAM,\\uc0\\u8221{} {\\i{}JURIS (Jurnal Ilmiah Syariah)} 19, no. 2 (December 18, 2020): 12, https://doi.org/10.31958/juris.v19i2.2375.","plainCitation":"Hanif Aidhil Alwana, “ALIRAN PEMIKIRAN USHUL FIQH DAN PENGARUHNYA TERHADAP PENDEKATAN HUKUM ISLAM,” JURIS (Jurnal Ilmiah Syariah) 19, no. 2 (December 18, 2020): 12, https://doi.org/10.31958/juris.v19i2.2375.","noteIndex":12},"citationItems":[{"id":237,"uris":["http://zotero.org/users/local/0WfYOsPF/items/K3876PMG"],"uri":["http://zotero.org/users/local/0WfYOsPF/items/K3876PMG"],"itemData":{"id":237,"type":"article-journal","abstract":"Law is the result of Fuqaha's ijtihad regarding an act of mukallaf, in its understanding Islamic law is derived from the al-Quran and Sunnah. Although the existence of the al-Qur`an and the Sunnah is not in doubt, the understanding of law from these sources often experiences ikhtilaf (differences) of opinion, besides this the risk of causing divisions in society, these problems are influenced by schools of legal thought. This paper will describe the history of these schools of thought and their relevance in establishing law. The method used was descriptive analysis, with a qualitative approach based on the content (content analysis) of previous writings. In this paper, it is found that the difference in legal opinion is influenced by the way of thinking of the mujtahid which is divided into mutakallimin schools which are identical to understanding the legal text; fuqaha with the style of rules and legal reasons extracted from the law-making text (syari`) or also termed a contextual style; and a combination that seeks to combine the two types of legal understanding, this gives birth to different legal features. This is the scientific treasure of Islamic law which must be developed in the future to always exist in answering legal problems in the future.","container-title":"JURIS (Jurnal Ilmiah Syariah)","DOI":"10.31958/juris.v19i2.2375","ISSN":"2580-2763, 1412-6109","issue":"2","journalAbbreviation":"JURIS","language":"id","page":"147","source":"DOI.org (Crossref)","title":"ALIRAN PEMIKIRAN USHUL FIQH DAN PENGARUHNYA TERHADAP PENDEKATAN HUKUM ISLAM","volume":"19","author":[{"family":"Alwana","given":"Hanif Aidhil"}],"issued":{"date-parts":[["2020",12,18]]}},"locator":"12","label":"page"}],"schema":"https://github.com/citation-style-language/schema/raw/master/csl-citation.json"} </w:instrText>
      </w:r>
      <w:r w:rsidRPr="003A21B0">
        <w:rPr>
          <w:rFonts w:ascii="Calibri Light" w:hAnsi="Calibri Light" w:cstheme="majorBidi"/>
        </w:rPr>
        <w:fldChar w:fldCharType="separate"/>
      </w:r>
      <w:r w:rsidRPr="003A21B0">
        <w:rPr>
          <w:rFonts w:ascii="Calibri Light" w:hAnsi="Calibri Light" w:cstheme="majorBidi"/>
        </w:rPr>
        <w:t>Hanif Aidhil Alwana, “</w:t>
      </w:r>
      <w:r w:rsidR="00142031" w:rsidRPr="003A21B0">
        <w:rPr>
          <w:rFonts w:ascii="Calibri Light" w:hAnsi="Calibri Light" w:cstheme="majorBidi"/>
        </w:rPr>
        <w:t>Aliran Pemikiran Ushul Fiqh Dan Pengaruhnya Terhadap Pendekatan Hukum Islam,</w:t>
      </w:r>
      <w:r w:rsidRPr="003A21B0">
        <w:rPr>
          <w:rFonts w:ascii="Calibri Light" w:hAnsi="Calibri Light" w:cstheme="majorBidi"/>
        </w:rPr>
        <w:t xml:space="preserve">” </w:t>
      </w:r>
      <w:r w:rsidRPr="003A21B0">
        <w:rPr>
          <w:rFonts w:ascii="Calibri Light" w:hAnsi="Calibri Light" w:cstheme="majorBidi"/>
          <w:i/>
          <w:iCs/>
        </w:rPr>
        <w:t>JURIS (Jurnal Ilmiah Syariah)</w:t>
      </w:r>
      <w:r w:rsidRPr="003A21B0">
        <w:rPr>
          <w:rFonts w:ascii="Calibri Light" w:hAnsi="Calibri Light" w:cstheme="majorBidi"/>
        </w:rPr>
        <w:t xml:space="preserve"> 19, no. 2 (December 18, 2020): 12, https://doi.org/10.31958/juris.v19i2.2375.</w:t>
      </w:r>
      <w:r w:rsidRPr="003A21B0">
        <w:rPr>
          <w:rFonts w:ascii="Calibri Light" w:hAnsi="Calibri Light" w:cstheme="majorBidi"/>
        </w:rPr>
        <w:fldChar w:fldCharType="end"/>
      </w:r>
    </w:p>
  </w:footnote>
  <w:footnote w:id="12">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Sholeh ibni Abdul Aziz Ali Manshur, Ushul Fiqh wa Ibnu Taimiyah (Mesir: Darun Nashri, 1985), 224 </w:t>
      </w:r>
    </w:p>
  </w:footnote>
  <w:footnote w:id="13">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Ibid, 243</w:t>
      </w:r>
    </w:p>
  </w:footnote>
  <w:footnote w:id="14">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Muhammad Yusuf Musa, </w:t>
      </w:r>
      <w:r w:rsidRPr="003A21B0">
        <w:rPr>
          <w:rFonts w:ascii="Calibri Light" w:hAnsi="Calibri Light" w:cstheme="majorBidi"/>
          <w:i/>
          <w:iCs/>
        </w:rPr>
        <w:t xml:space="preserve">Ibnu Taimiyyah, </w:t>
      </w:r>
      <w:r w:rsidRPr="003A21B0">
        <w:rPr>
          <w:rFonts w:ascii="Calibri Light" w:hAnsi="Calibri Light" w:cstheme="majorBidi"/>
        </w:rPr>
        <w:t xml:space="preserve">(Kairo: al Mu’assasah al Masriyah al-Ammah,1962), 168-222.  </w:t>
      </w:r>
    </w:p>
  </w:footnote>
  <w:footnote w:id="15">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w:t>
      </w:r>
      <w:r w:rsidRPr="003A21B0">
        <w:rPr>
          <w:rFonts w:ascii="Calibri Light" w:hAnsi="Calibri Light" w:cstheme="majorBidi"/>
        </w:rPr>
        <w:fldChar w:fldCharType="begin"/>
      </w:r>
      <w:r w:rsidR="00AB0539" w:rsidRPr="003A21B0">
        <w:rPr>
          <w:rFonts w:ascii="Calibri Light" w:hAnsi="Calibri Light" w:cstheme="majorBidi"/>
        </w:rPr>
        <w:instrText xml:space="preserve"> ADDIN ZOTERO_ITEM CSL_CITATION {"citationID":"p8gOdANX","properties":{"formattedCitation":"Muhammad Syaikhon, \\uc0\\u8220{}PEMIKIRAN HUKUM ISLAM IBNU TAIMIYYAH\\uc0\\u8221{} 7, no. 2 (n.d.): 11.","plainCitation":"Muhammad Syaikhon, “PEMIKIRAN HUKUM ISLAM IBNU TAIMIYYAH” 7, no. 2 (n.d.): 11.","noteIndex":16},"citationItems":[{"id":225,"uris":["http://zotero.org/users/local/0WfYOsPF/items/27FUZHWM"],"uri":["http://zotero.org/users/local/0WfYOsPF/items/27FUZHWM"],"itemData":{"id":225,"type":"article-journal","abstract":"Ibn Taymiyyah was a reformer and medieval Islamic purifiers who had high authority . His thinking method was Salaf method which was based on the Qur'an and Hadis . The laws of fiqh that he often used leaned to the priest, imam Ahmad ibn Hanbal . Ushul fiqh method or Islamic legal thought of Ibn Taymiyah was Qur'an and Hadis , ijma ' , qiyas , istishab , and mashlahah mursalah .Thoughts of Ibn Taymiyyah can be classified into three types, namely: the same thinking by Imam Ahmad bin Hanbal , thoughts were not characterize a particular schools but according to Ibn Taymiyah 's own thoughts and ideas that are contrary to the opinions of Imam whole Islamic schools .","issue":"2","language":"id","page":"18","source":"Zotero","title":"PEMIKIRAN HUKUM ISLAM IBNU TAIMIYYAH","volume":"7","author":[{"family":"Syaikhon","given":"Muhammad"}]},"locator":"11","label":"page"}],"schema":"https://github.com/citation-style-language/schema/raw/master/csl-citation.json"} </w:instrText>
      </w:r>
      <w:r w:rsidRPr="003A21B0">
        <w:rPr>
          <w:rFonts w:ascii="Calibri Light" w:hAnsi="Calibri Light" w:cstheme="majorBidi"/>
        </w:rPr>
        <w:fldChar w:fldCharType="separate"/>
      </w:r>
      <w:r w:rsidRPr="003A21B0">
        <w:rPr>
          <w:rFonts w:ascii="Calibri Light" w:hAnsi="Calibri Light" w:cstheme="majorBidi"/>
        </w:rPr>
        <w:t>Muhammad Syaikhon, “</w:t>
      </w:r>
      <w:r w:rsidR="00142031" w:rsidRPr="003A21B0">
        <w:rPr>
          <w:rFonts w:ascii="Calibri Light" w:hAnsi="Calibri Light" w:cstheme="majorBidi"/>
        </w:rPr>
        <w:t>Pemikiran Hukum Islam Ibnu Taimiyyah</w:t>
      </w:r>
      <w:r w:rsidRPr="003A21B0">
        <w:rPr>
          <w:rFonts w:ascii="Calibri Light" w:hAnsi="Calibri Light" w:cstheme="majorBidi"/>
        </w:rPr>
        <w:t>” 7, no. 2 (n.d.): 11.</w:t>
      </w:r>
      <w:r w:rsidRPr="003A21B0">
        <w:rPr>
          <w:rFonts w:ascii="Calibri Light" w:hAnsi="Calibri Light" w:cstheme="majorBidi"/>
        </w:rPr>
        <w:fldChar w:fldCharType="end"/>
      </w:r>
    </w:p>
  </w:footnote>
  <w:footnote w:id="16">
    <w:p w:rsidR="005A0AEB" w:rsidRPr="003A21B0" w:rsidRDefault="005A0AEB" w:rsidP="00F85627">
      <w:pPr>
        <w:spacing w:after="0" w:line="240" w:lineRule="auto"/>
        <w:jc w:val="both"/>
        <w:rPr>
          <w:rFonts w:ascii="Calibri Light" w:hAnsi="Calibri Light" w:cstheme="majorBidi"/>
          <w:sz w:val="20"/>
          <w:szCs w:val="20"/>
        </w:rPr>
      </w:pPr>
      <w:r w:rsidRPr="003A21B0">
        <w:rPr>
          <w:rStyle w:val="FootnoteReference"/>
          <w:rFonts w:ascii="Calibri Light" w:hAnsi="Calibri Light"/>
          <w:sz w:val="20"/>
          <w:szCs w:val="20"/>
        </w:rPr>
        <w:footnoteRef/>
      </w:r>
      <w:r w:rsidRPr="003A21B0">
        <w:rPr>
          <w:rFonts w:ascii="Calibri Light" w:hAnsi="Calibri Light" w:cstheme="majorBidi"/>
          <w:sz w:val="20"/>
          <w:szCs w:val="20"/>
        </w:rPr>
        <w:t xml:space="preserve"> Muchlis Sabir, </w:t>
      </w:r>
      <w:r w:rsidRPr="003A21B0">
        <w:rPr>
          <w:rFonts w:ascii="Calibri Light" w:hAnsi="Calibri Light" w:cstheme="majorBidi"/>
          <w:i/>
          <w:iCs/>
          <w:sz w:val="20"/>
          <w:szCs w:val="20"/>
        </w:rPr>
        <w:t>Akidah Islam Menurut Ibnu Taimiyah</w:t>
      </w:r>
      <w:r w:rsidRPr="003A21B0">
        <w:rPr>
          <w:rFonts w:ascii="Calibri Light" w:hAnsi="Calibri Light" w:cstheme="majorBidi"/>
          <w:sz w:val="20"/>
          <w:szCs w:val="20"/>
        </w:rPr>
        <w:t>, (Cet. I; Bandung: Al-Ma’arif, 1981), 123.</w:t>
      </w:r>
    </w:p>
  </w:footnote>
  <w:footnote w:id="17">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w:t>
      </w:r>
      <w:r w:rsidRPr="003A21B0">
        <w:rPr>
          <w:rFonts w:ascii="Calibri Light" w:hAnsi="Calibri Light" w:cstheme="majorBidi"/>
        </w:rPr>
        <w:fldChar w:fldCharType="begin"/>
      </w:r>
      <w:r w:rsidR="00AB0539" w:rsidRPr="003A21B0">
        <w:rPr>
          <w:rFonts w:ascii="Calibri Light" w:hAnsi="Calibri Light" w:cstheme="majorBidi"/>
        </w:rPr>
        <w:instrText xml:space="preserve"> ADDIN ZOTERO_ITEM CSL_CITATION {"citationID":"Wi0vUgGe","properties":{"formattedCitation":"Syaikhon, \\uc0\\u8220{}PEMIKIRAN HUKUM ISLAM IBNU TAIMIYYAH,\\uc0\\u8221{} 11.","plainCitation":"Syaikhon, “PEMIKIRAN HUKUM ISLAM IBNU TAIMIYYAH,” 11.","noteIndex":18},"citationItems":[{"id":225,"uris":["http://zotero.org/users/local/0WfYOsPF/items/27FUZHWM"],"uri":["http://zotero.org/users/local/0WfYOsPF/items/27FUZHWM"],"itemData":{"id":225,"type":"article-journal","abstract":"Ibn Taymiyyah was a reformer and medieval Islamic purifiers who had high authority . His thinking method was Salaf method which was based on the Qur'an and Hadis . The laws of fiqh that he often used leaned to the priest, imam Ahmad ibn Hanbal . Ushul fiqh method or Islamic legal thought of Ibn Taymiyah was Qur'an and Hadis , ijma ' , qiyas , istishab , and mashlahah mursalah .Thoughts of Ibn Taymiyyah can be classified into three types, namely: the same thinking by Imam Ahmad bin Hanbal , thoughts were not characterize a particular schools but according to Ibn Taymiyah 's own thoughts and ideas that are contrary to the opinions of Imam whole Islamic schools .","issue":"2","language":"id","page":"18","source":"Zotero","title":"PEMIKIRAN HUKUM ISLAM IBNU TAIMIYYAH","volume":"7","author":[{"family":"Syaikhon","given":"Muhammad"}]},"locator":"11","label":"page"}],"schema":"https://github.com/citation-style-language/schema/raw/master/csl-citation.json"} </w:instrText>
      </w:r>
      <w:r w:rsidRPr="003A21B0">
        <w:rPr>
          <w:rFonts w:ascii="Calibri Light" w:hAnsi="Calibri Light" w:cstheme="majorBidi"/>
        </w:rPr>
        <w:fldChar w:fldCharType="separate"/>
      </w:r>
      <w:r w:rsidR="00142031" w:rsidRPr="003A21B0">
        <w:rPr>
          <w:rFonts w:ascii="Calibri Light" w:hAnsi="Calibri Light" w:cstheme="majorBidi"/>
        </w:rPr>
        <w:t>Syaikhon, “Pemikiran Hukum Islam Ibnu Taimiyyah,” 11.</w:t>
      </w:r>
      <w:r w:rsidRPr="003A21B0">
        <w:rPr>
          <w:rFonts w:ascii="Calibri Light" w:hAnsi="Calibri Light" w:cstheme="majorBidi"/>
        </w:rPr>
        <w:fldChar w:fldCharType="end"/>
      </w:r>
    </w:p>
  </w:footnote>
  <w:footnote w:id="18">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w:t>
      </w:r>
      <w:r w:rsidRPr="003A21B0">
        <w:rPr>
          <w:rFonts w:ascii="Calibri Light" w:hAnsi="Calibri Light" w:cstheme="majorBidi"/>
        </w:rPr>
        <w:fldChar w:fldCharType="begin"/>
      </w:r>
      <w:r w:rsidR="00AB0539" w:rsidRPr="003A21B0">
        <w:rPr>
          <w:rFonts w:ascii="Calibri Light" w:hAnsi="Calibri Light" w:cstheme="majorBidi"/>
        </w:rPr>
        <w:instrText xml:space="preserve"> ADDIN ZOTERO_ITEM CSL_CITATION {"citationID":"MdPXC4De","properties":{"formattedCitation":"M Nasri Hamang, \\uc0\\u8220{}SISTEM IJTIHA DALAM HUKUM ISLAM,\\uc0\\u8221{} n.d., 5.","plainCitation":"M Nasri Hamang, “SISTEM IJTIHA DALAM HUKUM ISLAM,” n.d., 5.","noteIndex":19},"citationItems":[{"id":224,"uris":["http://zotero.org/users/local/0WfYOsPF/items/VP6ZCY6R"],"uri":["http://zotero.org/users/local/0WfYOsPF/items/VP6ZCY6R"],"itemData":{"id":224,"type":"article-journal","abstract":"This article explores the ijtihad system in Islamic law with special reference to ibn Taimiyah’s reform method. This study reveals that ibn Taimiyah is one of proponents of reform in ijtihad methodology. In this methodology, he frequently follows the line of Hanbalite system, and neglects three other systems, Hanafite, Malikite, and Syafi’ite. He even produces some works according to his own methodology. Ibn Taimiyah lays so much emphasis on the application of ijtihad methodology based on Qur’an and Sunnah, yet does not neglect ijma’, qiyas, and maslahah mursalah, with strict requirement. He is different from Abu Hanifah who emphasizes the application of istihsan and ‘urf, from Malik who emphasizes maslahah mursalah, and from Syafi’i who prefers the istidlal methodology. Actually, ibn Taimiyah appreciates the rational faculty in analizing the texts (nash). According to him, the usage of rational reasoning makes Islamic law logical. In comprehending religious truth, especially related to natural phenomena and social life, ibn Taimiyah is an empiricist and rationalist. This in turn endorses the scientific experiment and direct observation.","language":"id","page":"10","source":"Zotero","title":"SISTEM IJTIHA DALAM HUKUM ISLAM","author":[{"family":"Hamang","given":"M Nasri"}]},"locator":"5","label":"page"}],"schema":"https://github.com/citation-style-language/schema/raw/master/csl-citation.json"} </w:instrText>
      </w:r>
      <w:r w:rsidRPr="003A21B0">
        <w:rPr>
          <w:rFonts w:ascii="Calibri Light" w:hAnsi="Calibri Light" w:cstheme="majorBidi"/>
        </w:rPr>
        <w:fldChar w:fldCharType="separate"/>
      </w:r>
      <w:r w:rsidR="00142031" w:rsidRPr="003A21B0">
        <w:rPr>
          <w:rFonts w:ascii="Calibri Light" w:hAnsi="Calibri Light" w:cstheme="majorBidi"/>
        </w:rPr>
        <w:t>M Nasri Hamang, “Sistem Ijtiha</w:t>
      </w:r>
      <w:r w:rsidR="00142031">
        <w:rPr>
          <w:rFonts w:ascii="Calibri Light" w:hAnsi="Calibri Light" w:cstheme="majorBidi"/>
        </w:rPr>
        <w:t>d</w:t>
      </w:r>
      <w:r w:rsidR="00142031" w:rsidRPr="003A21B0">
        <w:rPr>
          <w:rFonts w:ascii="Calibri Light" w:hAnsi="Calibri Light" w:cstheme="majorBidi"/>
        </w:rPr>
        <w:t xml:space="preserve"> Dalam Hukum Islam,” N.D., 5.</w:t>
      </w:r>
      <w:r w:rsidRPr="003A21B0">
        <w:rPr>
          <w:rFonts w:ascii="Calibri Light" w:hAnsi="Calibri Light" w:cstheme="majorBidi"/>
        </w:rPr>
        <w:fldChar w:fldCharType="end"/>
      </w:r>
    </w:p>
  </w:footnote>
  <w:footnote w:id="19">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w:t>
      </w:r>
      <w:r w:rsidRPr="003A21B0">
        <w:rPr>
          <w:rFonts w:ascii="Calibri Light" w:hAnsi="Calibri Light" w:cstheme="majorBidi"/>
        </w:rPr>
        <w:fldChar w:fldCharType="begin"/>
      </w:r>
      <w:r w:rsidR="00AB0539" w:rsidRPr="003A21B0">
        <w:rPr>
          <w:rFonts w:ascii="Calibri Light" w:hAnsi="Calibri Light" w:cstheme="majorBidi"/>
        </w:rPr>
        <w:instrText xml:space="preserve"> ADDIN ZOTERO_ITEM CSL_CITATION {"citationID":"3JFEYljk","properties":{"formattedCitation":"Muhammad Singgih, \\uc0\\u8220{}HUJJAH QAUL SHAHABAT DALAM PERSPEKTIF HUKUM ISLAM,\\uc0\\u8221{} n.d., 8.","plainCitation":"Muhammad Singgih, “HUJJAH QAUL SHAHABAT DALAM PERSPEKTIF HUKUM ISLAM,” n.d., 8.","noteIndex":20},"citationItems":[{"id":239,"uris":["http://zotero.org/users/local/0WfYOsPF/items/8MDJL82I"],"uri":["http://zotero.org/users/local/0WfYOsPF/items/8MDJL82I"],"itemData":{"id":239,"type":"article-journal","abstract":"Rasulullah SAW, said, \"That the best generation is the generation in my day then the generation afterwards then the generation afterwards ...\". The generation in which the Prophet was sent is the generation of friends. They are the best generation, from the aspect of the faith they are very strict about Islamic teachings, and love Allah and His Messenger more than anything. This can be seen from the story of the friends in maintaining their aqeedah, although it must be tortured and beaten by various tortures and insults from the infidels of Quraysh. They are the generation that we should set as an example, both from the strength of the faith, from its application in daily life and the efforts of the Companions to not just become pious themselves but it is they who spread the teachings of Islam (aqeedah, morals and sharia) to others. The scholars categorize qaul as-shahabi as one source of legal decision that is still contested for its validity. In contrast to the Qur'an, the sunnah, ijma ’and the qiyas of the ulama have agreed to it as a source of law-making in Islam. What is meant by jumhur ulama here are the four Imams of the school who don't teach. Therefore, to find out the opinions of the scholars who differed on the validity of qaul as-shahabi, the author tries to give a little picture of this in this simple paper.","language":"id","page":"15","source":"Zotero","title":"HUJJAH QAUL SHAHABAT DALAM PERSPEKTIF HUKUM ISLAM","author":[{"family":"Singgih","given":"Muhammad"}]},"locator":"8","label":"page"}],"schema":"https://github.com/citation-style-language/schema/raw/master/csl-citation.json"} </w:instrText>
      </w:r>
      <w:r w:rsidRPr="003A21B0">
        <w:rPr>
          <w:rFonts w:ascii="Calibri Light" w:hAnsi="Calibri Light" w:cstheme="majorBidi"/>
        </w:rPr>
        <w:fldChar w:fldCharType="separate"/>
      </w:r>
      <w:r w:rsidRPr="003A21B0">
        <w:rPr>
          <w:rFonts w:ascii="Calibri Light" w:hAnsi="Calibri Light" w:cstheme="majorBidi"/>
        </w:rPr>
        <w:t>Muhammad Singgih, “HUJJAH QAUL SHAHABAT DALAM PERSPEKTIF HUKUM ISLAM,” n.d., 8.</w:t>
      </w:r>
      <w:r w:rsidRPr="003A21B0">
        <w:rPr>
          <w:rFonts w:ascii="Calibri Light" w:hAnsi="Calibri Light" w:cstheme="majorBidi"/>
        </w:rPr>
        <w:fldChar w:fldCharType="end"/>
      </w:r>
    </w:p>
  </w:footnote>
  <w:footnote w:id="20">
    <w:p w:rsidR="005A0AEB" w:rsidRPr="003A21B0" w:rsidRDefault="005A0AEB" w:rsidP="00251403">
      <w:pPr>
        <w:autoSpaceDE w:val="0"/>
        <w:autoSpaceDN w:val="0"/>
        <w:adjustRightInd w:val="0"/>
        <w:spacing w:after="0" w:line="240" w:lineRule="auto"/>
        <w:jc w:val="both"/>
        <w:rPr>
          <w:rFonts w:ascii="Calibri Light" w:hAnsi="Calibri Light" w:cstheme="majorBidi"/>
          <w:sz w:val="20"/>
          <w:szCs w:val="20"/>
        </w:rPr>
      </w:pPr>
      <w:r w:rsidRPr="003A21B0">
        <w:rPr>
          <w:rStyle w:val="FootnoteReference"/>
          <w:rFonts w:ascii="Calibri Light" w:hAnsi="Calibri Light"/>
          <w:sz w:val="20"/>
          <w:szCs w:val="20"/>
        </w:rPr>
        <w:footnoteRef/>
      </w:r>
      <w:r w:rsidRPr="003A21B0">
        <w:rPr>
          <w:rFonts w:ascii="Calibri Light" w:hAnsi="Calibri Light" w:cstheme="majorBidi"/>
          <w:sz w:val="20"/>
          <w:szCs w:val="20"/>
        </w:rPr>
        <w:t xml:space="preserve"> Dalam panadangan Imam Ahmad bin Hanbal sebagai pijakan Ibnu Taimiyyah dalam bermazdhab menjelasakan bahwa penggunaan qiyas itu didasarkan atas keadaan terpaksa, dalam artian jika terjadi kasus tertentu yang jelas atas problematika hukum Islam yang tidak ditemukan hukumnya dalam al Qur'an atau sunnah, begitu juga tidak ada fatwa dari golongan shohabat atau salah satu dari sahabat, tidak ada juga keterangan dari hadith mursal atau hadith da'if. </w:t>
      </w:r>
    </w:p>
  </w:footnote>
  <w:footnote w:id="21">
    <w:p w:rsidR="005A0AEB" w:rsidRPr="003A21B0" w:rsidRDefault="005A0AEB" w:rsidP="00F85627">
      <w:pPr>
        <w:spacing w:after="0" w:line="240" w:lineRule="auto"/>
        <w:jc w:val="both"/>
        <w:rPr>
          <w:rFonts w:ascii="Calibri Light" w:hAnsi="Calibri Light" w:cstheme="majorBidi"/>
          <w:sz w:val="20"/>
          <w:szCs w:val="20"/>
        </w:rPr>
      </w:pPr>
      <w:r w:rsidRPr="003A21B0">
        <w:rPr>
          <w:rStyle w:val="FootnoteReference"/>
          <w:rFonts w:ascii="Calibri Light" w:hAnsi="Calibri Light"/>
          <w:sz w:val="20"/>
          <w:szCs w:val="20"/>
        </w:rPr>
        <w:footnoteRef/>
      </w:r>
      <w:r w:rsidRPr="003A21B0">
        <w:rPr>
          <w:rFonts w:ascii="Calibri Light" w:hAnsi="Calibri Light" w:cstheme="majorBidi"/>
          <w:sz w:val="20"/>
          <w:szCs w:val="20"/>
        </w:rPr>
        <w:t xml:space="preserve"> Wahbah Zuhaily dalam bukunya Ushul Fiqh membagi istishab kedalam 5 perkara, yaitu a)</w:t>
      </w:r>
      <w:r w:rsidRPr="003A21B0">
        <w:rPr>
          <w:rFonts w:ascii="Calibri Light" w:eastAsia="Times New Roman" w:hAnsi="Calibri Light" w:cstheme="majorBidi"/>
          <w:color w:val="000000"/>
          <w:sz w:val="20"/>
          <w:szCs w:val="20"/>
          <w:lang w:eastAsia="id-ID"/>
        </w:rPr>
        <w:t xml:space="preserve"> pemberlakuan hukum asal dari sesuatu itu mubah untuk hal-hal yang belum ada dalil yang mengharamkannya; b) pemberlakuan suatu hukum umum sampai ada dalil yang mengkhususkan, dan meneruskan pemberlakuan redaksi dalil sampai ada yang menghapusn; c) pemberlakuan apa yang ditunjuk oleh akal dan syara’ tentang tetap dan berlanjutnya; d) pemberlakuan prinsip tidak ada menurut asalnya, yang diketahui oleh akal dalam hukum syariat; e) pemberlakuan hukum yang ditetapkan dengan Ijma’ pada hal yang dipertentangkan oleh ulama. Lihat </w:t>
      </w:r>
      <w:r w:rsidRPr="003A21B0">
        <w:rPr>
          <w:rFonts w:ascii="Calibri Light" w:hAnsi="Calibri Light" w:cstheme="majorBidi"/>
          <w:color w:val="000000"/>
          <w:sz w:val="20"/>
          <w:szCs w:val="20"/>
          <w:shd w:val="clear" w:color="auto" w:fill="F2F2F2"/>
        </w:rPr>
        <w:t>Wahbah Zuhaili, </w:t>
      </w:r>
      <w:r w:rsidRPr="003A21B0">
        <w:rPr>
          <w:rFonts w:ascii="Calibri Light" w:hAnsi="Calibri Light" w:cstheme="majorBidi"/>
          <w:i/>
          <w:iCs/>
          <w:color w:val="000000"/>
          <w:sz w:val="20"/>
          <w:szCs w:val="20"/>
          <w:shd w:val="clear" w:color="auto" w:fill="F2F2F2"/>
        </w:rPr>
        <w:t>Ushul al Fiqh al Islamy</w:t>
      </w:r>
      <w:r w:rsidRPr="003A21B0">
        <w:rPr>
          <w:rFonts w:ascii="Calibri Light" w:hAnsi="Calibri Light" w:cstheme="majorBidi"/>
          <w:color w:val="000000"/>
          <w:sz w:val="20"/>
          <w:szCs w:val="20"/>
          <w:shd w:val="clear" w:color="auto" w:fill="F2F2F2"/>
        </w:rPr>
        <w:t>, (Damaskus: Dar al Fikr, 1986), 860-864</w:t>
      </w:r>
    </w:p>
  </w:footnote>
  <w:footnote w:id="22">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Sholeh ibni Abdul Aziz Ali Manshur, Ushul Fiqh wa Ibnu Taimiyah (Mesir: Darun Nashri, 1985), 452</w:t>
      </w:r>
    </w:p>
  </w:footnote>
  <w:footnote w:id="23">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Ada tiga kategori </w:t>
      </w:r>
      <w:r w:rsidRPr="003A21B0">
        <w:rPr>
          <w:rFonts w:ascii="Calibri Light" w:hAnsi="Calibri Light" w:cstheme="majorBidi"/>
          <w:i/>
          <w:iCs/>
        </w:rPr>
        <w:t>maslahah mu’tabarah</w:t>
      </w:r>
      <w:r w:rsidRPr="003A21B0">
        <w:rPr>
          <w:rFonts w:ascii="Calibri Light" w:hAnsi="Calibri Light" w:cstheme="majorBidi"/>
        </w:rPr>
        <w:t xml:space="preserve"> yang lazimnya dikenal denan maqashid al-shariah ; (a) </w:t>
      </w:r>
      <w:r w:rsidRPr="003A21B0">
        <w:rPr>
          <w:rFonts w:ascii="Calibri Light" w:hAnsi="Calibri Light" w:cstheme="majorBidi"/>
          <w:i/>
          <w:iCs/>
        </w:rPr>
        <w:t>Daruriyat</w:t>
      </w:r>
      <w:r w:rsidRPr="003A21B0">
        <w:rPr>
          <w:rFonts w:ascii="Calibri Light" w:hAnsi="Calibri Light" w:cstheme="majorBidi"/>
        </w:rPr>
        <w:t xml:space="preserve"> (utama ). Yaitu sesuatu yang harus ada untuk mewujudkan maslahah  baik di dunia ini atau pun nanti di akhirat nanti. Sekiranya hal tersebut tidak ada maka akan menyebabkan kehidupan berjalan tidak normal sehingga menimbulkan kesulitan atau bahkan kebinasaan  karena hilangnya kenikmatan, sehingga ia dikategorikan sebgai orang-orang yang sengsara. Hal ini meliputi pemeliharan lima hal ; agama, jiwa, keturunan, akal dan harta. (b) </w:t>
      </w:r>
      <w:r w:rsidRPr="003A21B0">
        <w:rPr>
          <w:rFonts w:ascii="Calibri Light" w:hAnsi="Calibri Light" w:cstheme="majorBidi"/>
          <w:i/>
          <w:iCs/>
        </w:rPr>
        <w:t xml:space="preserve">Hajiyat </w:t>
      </w:r>
      <w:r w:rsidRPr="003A21B0">
        <w:rPr>
          <w:rFonts w:ascii="Calibri Light" w:hAnsi="Calibri Light" w:cstheme="majorBidi"/>
        </w:rPr>
        <w:t xml:space="preserve"> ( pendukung). Yaitu sesutu yang dibutuhkan untuk  mendukung berlangsungya kehidupan yang dilakukan dengan cara mempermudah atau menghilangkan kesulitan yang ada. Sekiranya hal ini tidak ada, maka akan menyebabkan kebinasaan, meski tidak sampai derjatnya pada kebinasaan yang timbul akibat ketiadaan maslahah dururiyat. Contohnya, rukhsah yang ada pada ibadah maupun muamalah. (c) </w:t>
      </w:r>
      <w:r w:rsidRPr="003A21B0">
        <w:rPr>
          <w:rFonts w:ascii="Calibri Light" w:hAnsi="Calibri Light" w:cstheme="majorBidi"/>
          <w:i/>
          <w:iCs/>
        </w:rPr>
        <w:t>Tahsiniyat</w:t>
      </w:r>
      <w:r w:rsidRPr="003A21B0">
        <w:rPr>
          <w:rFonts w:ascii="Calibri Light" w:hAnsi="Calibri Light" w:cstheme="majorBidi"/>
        </w:rPr>
        <w:t xml:space="preserve"> ( pelengkap). Yaitu sesuatu yang  berfungsi untuk melengkapi kebutuhan yang telah ada. Hal ini biasa terdapat pada hal-hal etika dan moral. Contohnya, taharah, menutup aurat ketika shalat, mengenakan pakaian yang bagus , adab makan dan minum, larangan menjual benda najis dan lain sebagainya.</w:t>
      </w:r>
    </w:p>
  </w:footnote>
  <w:footnote w:id="24">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Sholeh ibni Abdul Aziz Ali Manshur, Ushul Fiqh wa Ibnu Taimiyah (Mesir: Darun Nashri, 1985),, 465</w:t>
      </w:r>
    </w:p>
  </w:footnote>
  <w:footnote w:id="25">
    <w:p w:rsidR="005A0AEB" w:rsidRPr="003A21B0" w:rsidRDefault="005A0AEB" w:rsidP="00F85627">
      <w:pPr>
        <w:pStyle w:val="FootnoteText"/>
        <w:ind w:firstLine="709"/>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Ada tiga kategori </w:t>
      </w:r>
      <w:r w:rsidRPr="003A21B0">
        <w:rPr>
          <w:rFonts w:ascii="Calibri Light" w:hAnsi="Calibri Light" w:cstheme="majorBidi"/>
          <w:i/>
          <w:iCs/>
        </w:rPr>
        <w:t>maslahah mu’tabarah</w:t>
      </w:r>
      <w:r w:rsidRPr="003A21B0">
        <w:rPr>
          <w:rFonts w:ascii="Calibri Light" w:hAnsi="Calibri Light" w:cstheme="majorBidi"/>
        </w:rPr>
        <w:t xml:space="preserve"> yang lazimnya dikenal denan maqashid al-shariah ; (a) </w:t>
      </w:r>
      <w:r w:rsidRPr="003A21B0">
        <w:rPr>
          <w:rFonts w:ascii="Calibri Light" w:hAnsi="Calibri Light" w:cstheme="majorBidi"/>
          <w:i/>
          <w:iCs/>
        </w:rPr>
        <w:t>Daruriyat</w:t>
      </w:r>
      <w:r w:rsidRPr="003A21B0">
        <w:rPr>
          <w:rFonts w:ascii="Calibri Light" w:hAnsi="Calibri Light" w:cstheme="majorBidi"/>
        </w:rPr>
        <w:t xml:space="preserve"> (utama ). Yaitu sesuatu yang harus ada untuk mewujudkan maslahah  baik di dunia ini atau pun nanti di akhirat nanti. Sekiranya hal tersebut tidak ada maka akan menyebabkan kehidupan berjalan tidak normal sehingga menimbulkan kesulitan atau bahkan kebinasaan  karena hilangnya kenikmatan, sehingga ia dikategorikan sebgai orang-orang yang sengsara. Hal ini meliputi pemeliharan lima hal ; agama, jiwa, keturunan, akal dan harta. (b) </w:t>
      </w:r>
      <w:r w:rsidRPr="003A21B0">
        <w:rPr>
          <w:rFonts w:ascii="Calibri Light" w:hAnsi="Calibri Light" w:cstheme="majorBidi"/>
          <w:i/>
          <w:iCs/>
        </w:rPr>
        <w:t xml:space="preserve">Hajiyat </w:t>
      </w:r>
      <w:r w:rsidRPr="003A21B0">
        <w:rPr>
          <w:rFonts w:ascii="Calibri Light" w:hAnsi="Calibri Light" w:cstheme="majorBidi"/>
        </w:rPr>
        <w:t xml:space="preserve"> ( pendukung). Yaitu sesutu yang dibutuhkan untuk  mendukung berlangsungya kehidupan yang dilakukan dengan cara mempermudah atau menghilangkan kesulitan yang ada. Sekiranya hal ini tidak ada, maka akan menyebabkan kebinasaan, meski tidak sampai derjatnya pada kebinasaan yang timbul akibat ketiadaan maslahah dururiyat. Contohnya, rukhsah yang ada pada ibadah maupun muamalah. (c) </w:t>
      </w:r>
      <w:r w:rsidRPr="003A21B0">
        <w:rPr>
          <w:rFonts w:ascii="Calibri Light" w:hAnsi="Calibri Light" w:cstheme="majorBidi"/>
          <w:i/>
          <w:iCs/>
        </w:rPr>
        <w:t>Tahsiniyat</w:t>
      </w:r>
      <w:r w:rsidRPr="003A21B0">
        <w:rPr>
          <w:rFonts w:ascii="Calibri Light" w:hAnsi="Calibri Light" w:cstheme="majorBidi"/>
        </w:rPr>
        <w:t xml:space="preserve"> ( pelengkap). Yaitu sesuatu yang  berfungsi untuk melengkapi kebutuhan yang telah ada. Hal ini biasa terdapat pada hal-hal etika dan moral. Contohnya, taharah, menutup aurat ketika shalat, mengenakan pakaian yang bagus , adab makan dan minum, larangan menjual benda najis dan lain sebagainya.</w:t>
      </w:r>
    </w:p>
  </w:footnote>
  <w:footnote w:id="26">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Wahbah Zuhaily mendefinisikan </w:t>
      </w:r>
      <w:r w:rsidRPr="003A21B0">
        <w:rPr>
          <w:rFonts w:ascii="Calibri Light" w:hAnsi="Calibri Light" w:cstheme="majorBidi"/>
          <w:i/>
          <w:iCs/>
        </w:rPr>
        <w:t xml:space="preserve">sadd adz-dzari’ah </w:t>
      </w:r>
      <w:r w:rsidRPr="003A21B0">
        <w:rPr>
          <w:rFonts w:ascii="Calibri Light" w:hAnsi="Calibri Light" w:cstheme="majorBidi"/>
        </w:rPr>
        <w:t>dengan mencegah suatu perbuatan atau perkataan yang bisa menghantarkan sesuatu tersebut pada hal yang terlarang yang di dalamnya terdapat unsur bahaya serta kerusakan.</w:t>
      </w:r>
      <w:r w:rsidRPr="003A21B0">
        <w:rPr>
          <w:rFonts w:ascii="Calibri Light" w:hAnsi="Calibri Light" w:cstheme="majorBidi"/>
          <w:i/>
          <w:iCs/>
        </w:rPr>
        <w:t xml:space="preserve"> </w:t>
      </w:r>
      <w:r w:rsidRPr="003A21B0">
        <w:rPr>
          <w:rFonts w:ascii="Calibri Light" w:hAnsi="Calibri Light" w:cstheme="majorBidi"/>
        </w:rPr>
        <w:t xml:space="preserve">Lihat Wahbah Al- Zuhaili, </w:t>
      </w:r>
      <w:r w:rsidRPr="003A21B0">
        <w:rPr>
          <w:rFonts w:ascii="Calibri Light" w:hAnsi="Calibri Light" w:cstheme="majorBidi"/>
          <w:i/>
          <w:iCs/>
        </w:rPr>
        <w:t xml:space="preserve">Al Wajiz  fi Usul Al Fiqh </w:t>
      </w:r>
      <w:r w:rsidRPr="003A21B0">
        <w:rPr>
          <w:rFonts w:ascii="Calibri Light" w:hAnsi="Calibri Light" w:cstheme="majorBidi"/>
        </w:rPr>
        <w:t>(Damaskus: Dar Al Fiqr, 1999), 108</w:t>
      </w:r>
    </w:p>
  </w:footnote>
  <w:footnote w:id="27">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Sholeh ibni Abdul Aziz Ali Manshur, Ushul Fiqh wa Ibnu Taimiyah (Mesir: Darun Nashri, 1985), 490</w:t>
      </w:r>
    </w:p>
  </w:footnote>
  <w:footnote w:id="28">
    <w:p w:rsidR="005A0AEB" w:rsidRPr="003A21B0" w:rsidRDefault="005A0AEB" w:rsidP="00F85627">
      <w:pPr>
        <w:pStyle w:val="FootnoteText"/>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w:t>
      </w:r>
      <w:r w:rsidRPr="003A21B0">
        <w:rPr>
          <w:rFonts w:ascii="Calibri Light" w:hAnsi="Calibri Light" w:cstheme="majorBidi"/>
        </w:rPr>
        <w:fldChar w:fldCharType="begin"/>
      </w:r>
      <w:r w:rsidR="00AB0539" w:rsidRPr="003A21B0">
        <w:rPr>
          <w:rFonts w:ascii="Calibri Light" w:hAnsi="Calibri Light" w:cstheme="majorBidi"/>
        </w:rPr>
        <w:instrText xml:space="preserve"> ADDIN ZOTERO_ITEM CSL_CITATION {"citationID":"5pFzlJ3V","properties":{"formattedCitation":"Intan arafah Intan arafah, \\uc0\\u8220{}Pendekatan Sadd Adz-Dzari\\uc0\\u8217{}ah Dalam Studi Islam,\\uc0\\u8221{} {\\i{}Al - Muamalat: Jurnal Hukum dan Ekonomi Syariah} 5, no. 1 (September 26, 2020): 14, https://doi.org/10.32505/muamalat.v5i1.1443.","plainCitation":"Intan arafah Intan arafah, “Pendekatan Sadd Adz-Dzari’ah Dalam Studi Islam,” Al - Muamalat: Jurnal Hukum dan Ekonomi Syariah 5, no. 1 (September 26, 2020): 14, https://doi.org/10.32505/muamalat.v5i1.1443.","noteIndex":29},"citationItems":[{"id":241,"uris":["http://zotero.org/users/local/0WfYOsPF/items/C5M54NZR"],"uri":["http://zotero.org/users/local/0WfYOsPF/items/C5M54NZR"],"itemData":{"id":241,"type":"article-journal","abstract":"This article discusses sadd adz-dzariah in Islamic studies. Sadd adz-dzariah is a method produced by previous ushul fiqh scholars in an effort to keep humans as fallen mukallaf from falling into damage. This is done by closing and blocking all the means, tools and wasilah that will be used for an act. This article concludes that in determining a legal goal that forbids to a goal, sadd adz-Dzari'ah has three main elements that need to be considered, namely: First, the goal or purpose that you want to be desired. If the goal is evil, then the path is forbidden, and if the goal is good then the way is obligatory. Second, the intention or motive seen from the point of view of the target. If the intention is to achieve what is lawful, then the law of the ingredients is lawful, and if the intention to be achieved is haram, then the path to take that path is also haram. Third, namely the result of an action done.","container-title":"Al - Muamalat: Jurnal Hukum dan Ekonomi Syariah","DOI":"10.32505/muamalat.v5i1.1443","ISSN":"2656-288X, 2460-5115","issue":"1","journalAbbreviation":"muamalat","language":"id","page":"68-86","source":"DOI.org (Crossref)","title":"Pendekatan Sadd Adz-Dzari’ah Dalam Studi Islam","volume":"5","author":[{"family":"Intan arafah","given":"Intan","dropping-particle":"arafah"}],"issued":{"date-parts":[["2020",9,26]]}},"locator":"14","label":"page"}],"schema":"https://github.com/citation-style-language/schema/raw/master/csl-citation.json"} </w:instrText>
      </w:r>
      <w:r w:rsidRPr="003A21B0">
        <w:rPr>
          <w:rFonts w:ascii="Calibri Light" w:hAnsi="Calibri Light" w:cstheme="majorBidi"/>
        </w:rPr>
        <w:fldChar w:fldCharType="separate"/>
      </w:r>
      <w:r w:rsidRPr="003A21B0">
        <w:rPr>
          <w:rFonts w:ascii="Calibri Light" w:hAnsi="Calibri Light" w:cstheme="majorBidi"/>
        </w:rPr>
        <w:t xml:space="preserve">Intan arafah Intan arafah, “Pendekatan Sadd Adz-Dzari’ah Dalam Studi Islam,” </w:t>
      </w:r>
      <w:r w:rsidRPr="003A21B0">
        <w:rPr>
          <w:rFonts w:ascii="Calibri Light" w:hAnsi="Calibri Light" w:cstheme="majorBidi"/>
          <w:i/>
          <w:iCs/>
        </w:rPr>
        <w:t>Al - Muamalat: Jurnal Hukum dan Ekonomi Syariah</w:t>
      </w:r>
      <w:r w:rsidRPr="003A21B0">
        <w:rPr>
          <w:rFonts w:ascii="Calibri Light" w:hAnsi="Calibri Light" w:cstheme="majorBidi"/>
        </w:rPr>
        <w:t xml:space="preserve"> 5, no. 1 (September 26, 2020): 14, https://doi.org/10.32505/muamalat.v5i1.1443.</w:t>
      </w:r>
      <w:r w:rsidRPr="003A21B0">
        <w:rPr>
          <w:rFonts w:ascii="Calibri Light" w:hAnsi="Calibri Light" w:cstheme="majorBidi"/>
        </w:rPr>
        <w:fldChar w:fldCharType="end"/>
      </w:r>
    </w:p>
  </w:footnote>
  <w:footnote w:id="29">
    <w:p w:rsidR="005A0AEB" w:rsidRPr="003A21B0" w:rsidRDefault="005A0AEB" w:rsidP="00F85627">
      <w:pPr>
        <w:autoSpaceDE w:val="0"/>
        <w:autoSpaceDN w:val="0"/>
        <w:adjustRightInd w:val="0"/>
        <w:spacing w:after="0" w:line="240" w:lineRule="auto"/>
        <w:jc w:val="both"/>
        <w:rPr>
          <w:rFonts w:ascii="Calibri Light" w:hAnsi="Calibri Light" w:cstheme="majorBidi"/>
          <w:sz w:val="20"/>
          <w:szCs w:val="20"/>
        </w:rPr>
      </w:pPr>
      <w:r w:rsidRPr="003A21B0">
        <w:rPr>
          <w:rStyle w:val="FootnoteReference"/>
          <w:rFonts w:ascii="Calibri Light" w:hAnsi="Calibri Light"/>
          <w:sz w:val="20"/>
          <w:szCs w:val="20"/>
        </w:rPr>
        <w:footnoteRef/>
      </w:r>
      <w:r w:rsidRPr="003A21B0">
        <w:rPr>
          <w:rFonts w:ascii="Calibri Light" w:hAnsi="Calibri Light" w:cstheme="majorBidi"/>
          <w:sz w:val="20"/>
          <w:szCs w:val="20"/>
        </w:rPr>
        <w:t xml:space="preserve"> </w:t>
      </w:r>
      <w:r w:rsidRPr="003A21B0">
        <w:rPr>
          <w:rFonts w:ascii="Calibri Light" w:hAnsi="Calibri Light" w:cstheme="majorBidi"/>
          <w:i/>
          <w:iCs/>
          <w:sz w:val="20"/>
          <w:szCs w:val="20"/>
        </w:rPr>
        <w:t xml:space="preserve">Urf qawli </w:t>
      </w:r>
      <w:r w:rsidRPr="003A21B0">
        <w:rPr>
          <w:rFonts w:ascii="Calibri Light" w:hAnsi="Calibri Light" w:cstheme="majorBidi"/>
          <w:sz w:val="20"/>
          <w:szCs w:val="20"/>
        </w:rPr>
        <w:t>merupakan ungkapan kata atau peristilahan yang biasa dalam suatu kelompok masyarakat yang menunjukkan arti khusus dan tidak multi tafsir. Jika diucapkan maka komunitas tersebut menjadi paham akan maknanya tanpa perlu ada pemahaman yang khusus. Seperti orang Arab berkata walad, maka orang arab pasti memahami yang dituju adalah anak laki-laki, bukan anak perempuan.</w:t>
      </w:r>
    </w:p>
  </w:footnote>
  <w:footnote w:id="30">
    <w:p w:rsidR="005A0AEB" w:rsidRPr="003A21B0" w:rsidRDefault="005A0AEB" w:rsidP="00F85627">
      <w:pPr>
        <w:spacing w:after="0" w:line="240" w:lineRule="auto"/>
        <w:jc w:val="both"/>
        <w:rPr>
          <w:rFonts w:ascii="Calibri Light" w:hAnsi="Calibri Light" w:cstheme="majorBidi"/>
          <w:sz w:val="20"/>
          <w:szCs w:val="20"/>
        </w:rPr>
      </w:pPr>
      <w:r w:rsidRPr="003A21B0">
        <w:rPr>
          <w:rStyle w:val="FootnoteReference"/>
          <w:rFonts w:ascii="Calibri Light" w:hAnsi="Calibri Light"/>
          <w:sz w:val="20"/>
          <w:szCs w:val="20"/>
        </w:rPr>
        <w:footnoteRef/>
      </w:r>
      <w:r w:rsidRPr="003A21B0">
        <w:rPr>
          <w:rFonts w:ascii="Calibri Light" w:hAnsi="Calibri Light" w:cstheme="majorBidi"/>
          <w:sz w:val="20"/>
          <w:szCs w:val="20"/>
        </w:rPr>
        <w:t xml:space="preserve"> </w:t>
      </w:r>
      <w:r w:rsidRPr="003A21B0">
        <w:rPr>
          <w:rFonts w:ascii="Calibri Light" w:hAnsi="Calibri Light" w:cstheme="majorBidi"/>
          <w:i/>
          <w:iCs/>
          <w:sz w:val="20"/>
          <w:szCs w:val="20"/>
        </w:rPr>
        <w:t xml:space="preserve">urf fi’li </w:t>
      </w:r>
      <w:r w:rsidRPr="003A21B0">
        <w:rPr>
          <w:rFonts w:ascii="Calibri Light" w:hAnsi="Calibri Light" w:cstheme="majorBidi"/>
          <w:sz w:val="20"/>
          <w:szCs w:val="20"/>
        </w:rPr>
        <w:t xml:space="preserve">merupakan perbuatan khusus yang telah dilakukan terus menerus sampai menjadi kebiasaan dalam suatu masyarakat (komunitas). Perbuatan ini dalam jika mencontohkan komunitas Arab bisa dilihat dalam prakti jual beli tanpa </w:t>
      </w:r>
      <w:r w:rsidRPr="003A21B0">
        <w:rPr>
          <w:rFonts w:ascii="Calibri Light" w:hAnsi="Calibri Light" w:cstheme="majorBidi"/>
          <w:i/>
          <w:iCs/>
          <w:sz w:val="20"/>
          <w:szCs w:val="20"/>
        </w:rPr>
        <w:t>sighat</w:t>
      </w:r>
      <w:r w:rsidRPr="003A21B0">
        <w:rPr>
          <w:rFonts w:ascii="Calibri Light" w:hAnsi="Calibri Light" w:cstheme="majorBidi"/>
          <w:sz w:val="20"/>
          <w:szCs w:val="20"/>
        </w:rPr>
        <w:t>. Praktik ini sudah menjadi kebiasaan dalam masyarakat arab dan sulit untuk dihindari.</w:t>
      </w:r>
    </w:p>
  </w:footnote>
  <w:footnote w:id="31">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Ibid, 519</w:t>
      </w:r>
    </w:p>
  </w:footnote>
  <w:footnote w:id="32">
    <w:p w:rsidR="005A0AEB" w:rsidRPr="003A21B0" w:rsidRDefault="005A0AEB" w:rsidP="00F85627">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cstheme="majorBidi"/>
        </w:rPr>
        <w:t xml:space="preserve"> Muhammad Ma’sum Zainy al-Hasyimy, </w:t>
      </w:r>
      <w:r w:rsidRPr="003A21B0">
        <w:rPr>
          <w:rFonts w:ascii="Calibri Light" w:hAnsi="Calibri Light" w:cstheme="majorBidi"/>
          <w:i/>
          <w:iCs/>
        </w:rPr>
        <w:t>Sistematika Teori Hukum Islam</w:t>
      </w:r>
      <w:r w:rsidRPr="003A21B0">
        <w:rPr>
          <w:rFonts w:ascii="Calibri Light" w:hAnsi="Calibri Light" w:cstheme="majorBidi"/>
        </w:rPr>
        <w:t xml:space="preserve"> (Jombang: Qowa’id Fiqhiyyah), 83</w:t>
      </w:r>
    </w:p>
  </w:footnote>
  <w:footnote w:id="33">
    <w:p w:rsidR="00D56328" w:rsidRPr="003A21B0" w:rsidRDefault="00D56328" w:rsidP="00D56328">
      <w:pPr>
        <w:autoSpaceDE w:val="0"/>
        <w:autoSpaceDN w:val="0"/>
        <w:adjustRightInd w:val="0"/>
        <w:spacing w:after="0" w:line="240" w:lineRule="auto"/>
        <w:jc w:val="both"/>
        <w:rPr>
          <w:rFonts w:ascii="Calibri Light" w:hAnsi="Calibri Light" w:cstheme="majorBidi"/>
          <w:sz w:val="20"/>
          <w:szCs w:val="20"/>
        </w:rPr>
      </w:pPr>
      <w:r w:rsidRPr="003A21B0">
        <w:rPr>
          <w:rStyle w:val="FootnoteReference"/>
          <w:rFonts w:ascii="Calibri Light" w:hAnsi="Calibri Light"/>
          <w:sz w:val="20"/>
          <w:szCs w:val="20"/>
        </w:rPr>
        <w:footnoteRef/>
      </w:r>
      <w:r w:rsidRPr="003A21B0">
        <w:rPr>
          <w:rFonts w:ascii="Calibri Light" w:hAnsi="Calibri Light" w:cstheme="majorBidi"/>
          <w:sz w:val="20"/>
          <w:szCs w:val="20"/>
        </w:rPr>
        <w:t xml:space="preserve"> Ibnu Taimiyyah, Majmu Fatawa Ibn Taimiyyah, Juz 33, (t.tp.: Dar Alam al-Kutub, t.th.), 5</w:t>
      </w:r>
    </w:p>
  </w:footnote>
  <w:footnote w:id="34">
    <w:p w:rsidR="00667D5A" w:rsidRPr="003A21B0" w:rsidRDefault="00667D5A" w:rsidP="002A1BD3">
      <w:pPr>
        <w:autoSpaceDE w:val="0"/>
        <w:autoSpaceDN w:val="0"/>
        <w:adjustRightInd w:val="0"/>
        <w:spacing w:after="0" w:line="240" w:lineRule="auto"/>
        <w:jc w:val="both"/>
        <w:rPr>
          <w:rFonts w:ascii="Calibri Light" w:hAnsi="Calibri Light" w:cstheme="majorBidi"/>
          <w:sz w:val="20"/>
          <w:szCs w:val="20"/>
        </w:rPr>
      </w:pPr>
      <w:r w:rsidRPr="003A21B0">
        <w:rPr>
          <w:rStyle w:val="FootnoteReference"/>
          <w:rFonts w:ascii="Calibri Light" w:hAnsi="Calibri Light"/>
          <w:sz w:val="20"/>
          <w:szCs w:val="20"/>
        </w:rPr>
        <w:footnoteRef/>
      </w:r>
      <w:r w:rsidRPr="003A21B0">
        <w:rPr>
          <w:rFonts w:ascii="Calibri Light" w:hAnsi="Calibri Light"/>
          <w:sz w:val="20"/>
          <w:szCs w:val="20"/>
        </w:rPr>
        <w:t xml:space="preserve"> </w:t>
      </w:r>
      <w:r w:rsidR="002A1BD3" w:rsidRPr="003A21B0">
        <w:rPr>
          <w:rFonts w:ascii="Calibri Light" w:hAnsi="Calibri Light" w:cstheme="majorBidi"/>
          <w:sz w:val="20"/>
          <w:szCs w:val="20"/>
        </w:rPr>
        <w:t>Ibnu Qayyim al-Jawziyyah, I’lam al-Muwaqi’in ‘an Rabb al-‘Alamin, Jilid 2, (Beirut: Dar al-Jalil, t.th.), 34-35.</w:t>
      </w:r>
    </w:p>
  </w:footnote>
  <w:footnote w:id="35">
    <w:p w:rsidR="00215485" w:rsidRPr="003A21B0" w:rsidRDefault="00215485" w:rsidP="00953BD6">
      <w:pPr>
        <w:autoSpaceDE w:val="0"/>
        <w:autoSpaceDN w:val="0"/>
        <w:adjustRightInd w:val="0"/>
        <w:spacing w:after="0" w:line="240" w:lineRule="auto"/>
        <w:jc w:val="both"/>
        <w:rPr>
          <w:rFonts w:ascii="Calibri Light" w:hAnsi="Calibri Light" w:cstheme="majorBidi"/>
          <w:sz w:val="20"/>
          <w:szCs w:val="20"/>
        </w:rPr>
      </w:pPr>
      <w:r w:rsidRPr="003A21B0">
        <w:rPr>
          <w:rStyle w:val="FootnoteReference"/>
          <w:rFonts w:ascii="Calibri Light" w:hAnsi="Calibri Light"/>
          <w:sz w:val="20"/>
          <w:szCs w:val="20"/>
        </w:rPr>
        <w:footnoteRef/>
      </w:r>
      <w:r w:rsidRPr="003A21B0">
        <w:rPr>
          <w:rFonts w:ascii="Calibri Light" w:hAnsi="Calibri Light" w:cstheme="majorBidi"/>
          <w:sz w:val="20"/>
          <w:szCs w:val="20"/>
        </w:rPr>
        <w:t>Muhammad Jawad Mughniyyah, al-Ahwal al-Shakhsiyyah ‘ala al-Mazhahib al-Khamsah, (Beirut: Dar al-ilm li al-Malayin, 1964), 329.</w:t>
      </w:r>
    </w:p>
  </w:footnote>
  <w:footnote w:id="36">
    <w:p w:rsidR="00462E94" w:rsidRPr="003A21B0" w:rsidRDefault="00462E94">
      <w:pPr>
        <w:pStyle w:val="FootnoteText"/>
        <w:rPr>
          <w:rFonts w:ascii="Calibri Light" w:hAnsi="Calibri Light"/>
        </w:rPr>
      </w:pPr>
      <w:r w:rsidRPr="003A21B0">
        <w:rPr>
          <w:rStyle w:val="FootnoteReference"/>
          <w:rFonts w:ascii="Calibri Light" w:hAnsi="Calibri Light"/>
        </w:rPr>
        <w:footnoteRef/>
      </w:r>
      <w:r w:rsidRPr="003A21B0">
        <w:rPr>
          <w:rFonts w:ascii="Calibri Light" w:hAnsi="Calibri Light"/>
        </w:rPr>
        <w:t xml:space="preserve"> </w:t>
      </w:r>
      <w:r w:rsidRPr="003A21B0">
        <w:rPr>
          <w:rFonts w:ascii="Calibri Light" w:hAnsi="Calibri Light"/>
        </w:rPr>
        <w:fldChar w:fldCharType="begin"/>
      </w:r>
      <w:r w:rsidR="00AB0539" w:rsidRPr="003A21B0">
        <w:rPr>
          <w:rFonts w:ascii="Calibri Light" w:hAnsi="Calibri Light"/>
        </w:rPr>
        <w:instrText xml:space="preserve"> ADDIN ZOTERO_ITEM CSL_CITATION {"citationID":"YU2fWued","properties":{"formattedCitation":"Abidin, \\uc0\\u8220{}CORAK PEMIKIRAN DAN METODE IJTIHAD IBN TAYMIYYAH,\\uc0\\u8221{} 19.","plainCitation":"Abidin, “CORAK PEMIKIRAN DAN METODE IJTIHAD IBN TAYMIYYAH,” 19.","noteIndex":37},"citationItems":[{"id":220,"uris":["http://zotero.org/users/local/0WfYOsPF/items/WZXT8PXZ"],"uri":["http://zotero.org/users/local/0WfYOsPF/items/WZXT8PXZ"],"itemData":{"id":220,"type":"article-journal","abstract":"This article discusses the thought color and methods of ijtihad of Ibn Taymiyyah, one of the most influential figures in the movement of of Islamic thought renewal. He raised a number of criticisms of the logician. The arguments he used indicated that he is a thinker of empiricism. This empiricism complexion coloring intellectual works in various fields. In the field of fiqh, in the beginning he was a follower of the school of Hanbaliyah, however, in further development he performed ijtihad independently without being tied down by other schools. That is why Ibn Taymiyya was known as a mujtahid mutlaq. Although in performing ijtihad he remains grounded in the Qur’an and Sunnah as well as admits the ijmâ’ and qiyâs as a source of Islamic law, his thoughts are often different from other scholars of his time, both on the aspect of methodology and the results of his ijtihad.","container-title":"Millah","DOI":"10.20885/millah.ed.khus.art2","ISSN":"14120992","issue":"khus","journalAbbreviation":"millah","language":"id","page":"31-53","source":"DOI.org (Crossref)","title":"CORAK PEMIKIRAN DAN METODE IJTIHAD IBN TAYMIYYAH","volume":"ed","author":[{"family":"Abidin","given":"Zainal"}],"issued":{"date-parts":[["2010",12,20]]}},"locator":"19","label":"page"}],"schema":"https://github.com/citation-style-language/schema/raw/master/csl-citation.json"} </w:instrText>
      </w:r>
      <w:r w:rsidRPr="003A21B0">
        <w:rPr>
          <w:rFonts w:ascii="Calibri Light" w:hAnsi="Calibri Light"/>
        </w:rPr>
        <w:fldChar w:fldCharType="separate"/>
      </w:r>
      <w:r w:rsidRPr="003A21B0">
        <w:rPr>
          <w:rFonts w:ascii="Calibri Light" w:hAnsi="Calibri Light" w:cs="Times New Roman"/>
        </w:rPr>
        <w:t>Abidin, “</w:t>
      </w:r>
      <w:r w:rsidR="00142031" w:rsidRPr="003A21B0">
        <w:rPr>
          <w:rFonts w:ascii="Calibri Light" w:hAnsi="Calibri Light" w:cs="Times New Roman"/>
        </w:rPr>
        <w:t>Corak Pemikiran Dan Metode Ijtihad Ibn Taymiyyah</w:t>
      </w:r>
      <w:r w:rsidRPr="003A21B0">
        <w:rPr>
          <w:rFonts w:ascii="Calibri Light" w:hAnsi="Calibri Light" w:cs="Times New Roman"/>
        </w:rPr>
        <w:t>,” 19.</w:t>
      </w:r>
      <w:r w:rsidRPr="003A21B0">
        <w:rPr>
          <w:rFonts w:ascii="Calibri Light" w:hAnsi="Calibri Light"/>
        </w:rPr>
        <w:fldChar w:fldCharType="end"/>
      </w:r>
    </w:p>
  </w:footnote>
  <w:footnote w:id="37">
    <w:p w:rsidR="00173E79" w:rsidRPr="003A21B0" w:rsidRDefault="00173E79" w:rsidP="00173E79">
      <w:pPr>
        <w:pStyle w:val="FootnoteText"/>
        <w:jc w:val="both"/>
        <w:rPr>
          <w:rFonts w:ascii="Calibri Light" w:hAnsi="Calibri Light" w:cstheme="majorBidi"/>
        </w:rPr>
      </w:pPr>
      <w:r w:rsidRPr="003A21B0">
        <w:rPr>
          <w:rStyle w:val="FootnoteReference"/>
          <w:rFonts w:ascii="Calibri Light" w:hAnsi="Calibri Light"/>
        </w:rPr>
        <w:footnoteRef/>
      </w:r>
      <w:r w:rsidRPr="003A21B0">
        <w:rPr>
          <w:rFonts w:ascii="Calibri Light" w:hAnsi="Calibri Light"/>
        </w:rPr>
        <w:t xml:space="preserve"> </w:t>
      </w:r>
      <w:r w:rsidRPr="003A21B0">
        <w:rPr>
          <w:rFonts w:ascii="Calibri Light" w:hAnsi="Calibri Light" w:cstheme="majorBidi"/>
        </w:rPr>
        <w:t>Sholeh ibni Abdul Aziz Ali Manshur, Ushul Fiqh wa Ibnu Taimiyah (Mesir: Darun Nashri, 1985), 737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8308D"/>
    <w:multiLevelType w:val="hybridMultilevel"/>
    <w:tmpl w:val="70DC3E42"/>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7C71448"/>
    <w:multiLevelType w:val="hybridMultilevel"/>
    <w:tmpl w:val="6D8E7180"/>
    <w:lvl w:ilvl="0" w:tplc="9EA6BFE8">
      <w:start w:val="1"/>
      <w:numFmt w:val="decimal"/>
      <w:lvlText w:val="%1."/>
      <w:lvlJc w:val="left"/>
      <w:pPr>
        <w:tabs>
          <w:tab w:val="num" w:pos="720"/>
        </w:tabs>
        <w:ind w:left="720" w:hanging="360"/>
      </w:pPr>
    </w:lvl>
    <w:lvl w:ilvl="1" w:tplc="A0EAD9BA" w:tentative="1">
      <w:start w:val="1"/>
      <w:numFmt w:val="decimal"/>
      <w:lvlText w:val="%2."/>
      <w:lvlJc w:val="left"/>
      <w:pPr>
        <w:tabs>
          <w:tab w:val="num" w:pos="1440"/>
        </w:tabs>
        <w:ind w:left="1440" w:hanging="360"/>
      </w:pPr>
    </w:lvl>
    <w:lvl w:ilvl="2" w:tplc="435A2018" w:tentative="1">
      <w:start w:val="1"/>
      <w:numFmt w:val="decimal"/>
      <w:lvlText w:val="%3."/>
      <w:lvlJc w:val="left"/>
      <w:pPr>
        <w:tabs>
          <w:tab w:val="num" w:pos="2160"/>
        </w:tabs>
        <w:ind w:left="2160" w:hanging="360"/>
      </w:pPr>
    </w:lvl>
    <w:lvl w:ilvl="3" w:tplc="A58C6652" w:tentative="1">
      <w:start w:val="1"/>
      <w:numFmt w:val="decimal"/>
      <w:lvlText w:val="%4."/>
      <w:lvlJc w:val="left"/>
      <w:pPr>
        <w:tabs>
          <w:tab w:val="num" w:pos="2880"/>
        </w:tabs>
        <w:ind w:left="2880" w:hanging="360"/>
      </w:pPr>
    </w:lvl>
    <w:lvl w:ilvl="4" w:tplc="BC22030E" w:tentative="1">
      <w:start w:val="1"/>
      <w:numFmt w:val="decimal"/>
      <w:lvlText w:val="%5."/>
      <w:lvlJc w:val="left"/>
      <w:pPr>
        <w:tabs>
          <w:tab w:val="num" w:pos="3600"/>
        </w:tabs>
        <w:ind w:left="3600" w:hanging="360"/>
      </w:pPr>
    </w:lvl>
    <w:lvl w:ilvl="5" w:tplc="B07AE86C" w:tentative="1">
      <w:start w:val="1"/>
      <w:numFmt w:val="decimal"/>
      <w:lvlText w:val="%6."/>
      <w:lvlJc w:val="left"/>
      <w:pPr>
        <w:tabs>
          <w:tab w:val="num" w:pos="4320"/>
        </w:tabs>
        <w:ind w:left="4320" w:hanging="360"/>
      </w:pPr>
    </w:lvl>
    <w:lvl w:ilvl="6" w:tplc="FA58ADA0" w:tentative="1">
      <w:start w:val="1"/>
      <w:numFmt w:val="decimal"/>
      <w:lvlText w:val="%7."/>
      <w:lvlJc w:val="left"/>
      <w:pPr>
        <w:tabs>
          <w:tab w:val="num" w:pos="5040"/>
        </w:tabs>
        <w:ind w:left="5040" w:hanging="360"/>
      </w:pPr>
    </w:lvl>
    <w:lvl w:ilvl="7" w:tplc="5C4C27B0" w:tentative="1">
      <w:start w:val="1"/>
      <w:numFmt w:val="decimal"/>
      <w:lvlText w:val="%8."/>
      <w:lvlJc w:val="left"/>
      <w:pPr>
        <w:tabs>
          <w:tab w:val="num" w:pos="5760"/>
        </w:tabs>
        <w:ind w:left="5760" w:hanging="360"/>
      </w:pPr>
    </w:lvl>
    <w:lvl w:ilvl="8" w:tplc="EE524B78" w:tentative="1">
      <w:start w:val="1"/>
      <w:numFmt w:val="decimal"/>
      <w:lvlText w:val="%9."/>
      <w:lvlJc w:val="left"/>
      <w:pPr>
        <w:tabs>
          <w:tab w:val="num" w:pos="6480"/>
        </w:tabs>
        <w:ind w:left="6480" w:hanging="360"/>
      </w:pPr>
    </w:lvl>
  </w:abstractNum>
  <w:abstractNum w:abstractNumId="2">
    <w:nsid w:val="16114C0B"/>
    <w:multiLevelType w:val="hybridMultilevel"/>
    <w:tmpl w:val="0D4A54AE"/>
    <w:lvl w:ilvl="0" w:tplc="0E040892">
      <w:start w:val="1"/>
      <w:numFmt w:val="bullet"/>
      <w:lvlText w:val="•"/>
      <w:lvlJc w:val="left"/>
      <w:pPr>
        <w:tabs>
          <w:tab w:val="num" w:pos="720"/>
        </w:tabs>
        <w:ind w:left="720" w:hanging="360"/>
      </w:pPr>
      <w:rPr>
        <w:rFonts w:ascii="Arial" w:hAnsi="Arial" w:hint="default"/>
      </w:rPr>
    </w:lvl>
    <w:lvl w:ilvl="1" w:tplc="4C62CBAA" w:tentative="1">
      <w:start w:val="1"/>
      <w:numFmt w:val="bullet"/>
      <w:lvlText w:val="•"/>
      <w:lvlJc w:val="left"/>
      <w:pPr>
        <w:tabs>
          <w:tab w:val="num" w:pos="1440"/>
        </w:tabs>
        <w:ind w:left="1440" w:hanging="360"/>
      </w:pPr>
      <w:rPr>
        <w:rFonts w:ascii="Arial" w:hAnsi="Arial" w:hint="default"/>
      </w:rPr>
    </w:lvl>
    <w:lvl w:ilvl="2" w:tplc="EE12D1FA" w:tentative="1">
      <w:start w:val="1"/>
      <w:numFmt w:val="bullet"/>
      <w:lvlText w:val="•"/>
      <w:lvlJc w:val="left"/>
      <w:pPr>
        <w:tabs>
          <w:tab w:val="num" w:pos="2160"/>
        </w:tabs>
        <w:ind w:left="2160" w:hanging="360"/>
      </w:pPr>
      <w:rPr>
        <w:rFonts w:ascii="Arial" w:hAnsi="Arial" w:hint="default"/>
      </w:rPr>
    </w:lvl>
    <w:lvl w:ilvl="3" w:tplc="E7845C08" w:tentative="1">
      <w:start w:val="1"/>
      <w:numFmt w:val="bullet"/>
      <w:lvlText w:val="•"/>
      <w:lvlJc w:val="left"/>
      <w:pPr>
        <w:tabs>
          <w:tab w:val="num" w:pos="2880"/>
        </w:tabs>
        <w:ind w:left="2880" w:hanging="360"/>
      </w:pPr>
      <w:rPr>
        <w:rFonts w:ascii="Arial" w:hAnsi="Arial" w:hint="default"/>
      </w:rPr>
    </w:lvl>
    <w:lvl w:ilvl="4" w:tplc="F6D4A622" w:tentative="1">
      <w:start w:val="1"/>
      <w:numFmt w:val="bullet"/>
      <w:lvlText w:val="•"/>
      <w:lvlJc w:val="left"/>
      <w:pPr>
        <w:tabs>
          <w:tab w:val="num" w:pos="3600"/>
        </w:tabs>
        <w:ind w:left="3600" w:hanging="360"/>
      </w:pPr>
      <w:rPr>
        <w:rFonts w:ascii="Arial" w:hAnsi="Arial" w:hint="default"/>
      </w:rPr>
    </w:lvl>
    <w:lvl w:ilvl="5" w:tplc="D98ED90C" w:tentative="1">
      <w:start w:val="1"/>
      <w:numFmt w:val="bullet"/>
      <w:lvlText w:val="•"/>
      <w:lvlJc w:val="left"/>
      <w:pPr>
        <w:tabs>
          <w:tab w:val="num" w:pos="4320"/>
        </w:tabs>
        <w:ind w:left="4320" w:hanging="360"/>
      </w:pPr>
      <w:rPr>
        <w:rFonts w:ascii="Arial" w:hAnsi="Arial" w:hint="default"/>
      </w:rPr>
    </w:lvl>
    <w:lvl w:ilvl="6" w:tplc="2A648424" w:tentative="1">
      <w:start w:val="1"/>
      <w:numFmt w:val="bullet"/>
      <w:lvlText w:val="•"/>
      <w:lvlJc w:val="left"/>
      <w:pPr>
        <w:tabs>
          <w:tab w:val="num" w:pos="5040"/>
        </w:tabs>
        <w:ind w:left="5040" w:hanging="360"/>
      </w:pPr>
      <w:rPr>
        <w:rFonts w:ascii="Arial" w:hAnsi="Arial" w:hint="default"/>
      </w:rPr>
    </w:lvl>
    <w:lvl w:ilvl="7" w:tplc="E13680EC" w:tentative="1">
      <w:start w:val="1"/>
      <w:numFmt w:val="bullet"/>
      <w:lvlText w:val="•"/>
      <w:lvlJc w:val="left"/>
      <w:pPr>
        <w:tabs>
          <w:tab w:val="num" w:pos="5760"/>
        </w:tabs>
        <w:ind w:left="5760" w:hanging="360"/>
      </w:pPr>
      <w:rPr>
        <w:rFonts w:ascii="Arial" w:hAnsi="Arial" w:hint="default"/>
      </w:rPr>
    </w:lvl>
    <w:lvl w:ilvl="8" w:tplc="7D8ABAA2" w:tentative="1">
      <w:start w:val="1"/>
      <w:numFmt w:val="bullet"/>
      <w:lvlText w:val="•"/>
      <w:lvlJc w:val="left"/>
      <w:pPr>
        <w:tabs>
          <w:tab w:val="num" w:pos="6480"/>
        </w:tabs>
        <w:ind w:left="6480" w:hanging="360"/>
      </w:pPr>
      <w:rPr>
        <w:rFonts w:ascii="Arial" w:hAnsi="Arial" w:hint="default"/>
      </w:rPr>
    </w:lvl>
  </w:abstractNum>
  <w:abstractNum w:abstractNumId="3">
    <w:nsid w:val="1D1E3992"/>
    <w:multiLevelType w:val="hybridMultilevel"/>
    <w:tmpl w:val="7C32134A"/>
    <w:lvl w:ilvl="0" w:tplc="40486B24">
      <w:start w:val="1"/>
      <w:numFmt w:val="decimal"/>
      <w:lvlText w:val="[%1]"/>
      <w:lvlJc w:val="left"/>
      <w:pPr>
        <w:ind w:left="928" w:hanging="360"/>
      </w:pPr>
      <w:rPr>
        <w:rFonts w:cs="Times New Roman" w:hint="default"/>
        <w:color w:val="auto"/>
      </w:rPr>
    </w:lvl>
    <w:lvl w:ilvl="1" w:tplc="04210019" w:tentative="1">
      <w:start w:val="1"/>
      <w:numFmt w:val="lowerLetter"/>
      <w:lvlText w:val="%2."/>
      <w:lvlJc w:val="left"/>
      <w:pPr>
        <w:ind w:left="1648" w:hanging="360"/>
      </w:pPr>
      <w:rPr>
        <w:rFonts w:cs="Times New Roman"/>
      </w:rPr>
    </w:lvl>
    <w:lvl w:ilvl="2" w:tplc="0421001B" w:tentative="1">
      <w:start w:val="1"/>
      <w:numFmt w:val="lowerRoman"/>
      <w:lvlText w:val="%3."/>
      <w:lvlJc w:val="right"/>
      <w:pPr>
        <w:ind w:left="2368" w:hanging="180"/>
      </w:pPr>
      <w:rPr>
        <w:rFonts w:cs="Times New Roman"/>
      </w:rPr>
    </w:lvl>
    <w:lvl w:ilvl="3" w:tplc="0421000F" w:tentative="1">
      <w:start w:val="1"/>
      <w:numFmt w:val="decimal"/>
      <w:lvlText w:val="%4."/>
      <w:lvlJc w:val="left"/>
      <w:pPr>
        <w:ind w:left="3088" w:hanging="360"/>
      </w:pPr>
      <w:rPr>
        <w:rFonts w:cs="Times New Roman"/>
      </w:rPr>
    </w:lvl>
    <w:lvl w:ilvl="4" w:tplc="04210019" w:tentative="1">
      <w:start w:val="1"/>
      <w:numFmt w:val="lowerLetter"/>
      <w:lvlText w:val="%5."/>
      <w:lvlJc w:val="left"/>
      <w:pPr>
        <w:ind w:left="3808" w:hanging="360"/>
      </w:pPr>
      <w:rPr>
        <w:rFonts w:cs="Times New Roman"/>
      </w:rPr>
    </w:lvl>
    <w:lvl w:ilvl="5" w:tplc="0421001B" w:tentative="1">
      <w:start w:val="1"/>
      <w:numFmt w:val="lowerRoman"/>
      <w:lvlText w:val="%6."/>
      <w:lvlJc w:val="right"/>
      <w:pPr>
        <w:ind w:left="4528" w:hanging="180"/>
      </w:pPr>
      <w:rPr>
        <w:rFonts w:cs="Times New Roman"/>
      </w:rPr>
    </w:lvl>
    <w:lvl w:ilvl="6" w:tplc="0421000F" w:tentative="1">
      <w:start w:val="1"/>
      <w:numFmt w:val="decimal"/>
      <w:lvlText w:val="%7."/>
      <w:lvlJc w:val="left"/>
      <w:pPr>
        <w:ind w:left="5248" w:hanging="360"/>
      </w:pPr>
      <w:rPr>
        <w:rFonts w:cs="Times New Roman"/>
      </w:rPr>
    </w:lvl>
    <w:lvl w:ilvl="7" w:tplc="04210019" w:tentative="1">
      <w:start w:val="1"/>
      <w:numFmt w:val="lowerLetter"/>
      <w:lvlText w:val="%8."/>
      <w:lvlJc w:val="left"/>
      <w:pPr>
        <w:ind w:left="5968" w:hanging="360"/>
      </w:pPr>
      <w:rPr>
        <w:rFonts w:cs="Times New Roman"/>
      </w:rPr>
    </w:lvl>
    <w:lvl w:ilvl="8" w:tplc="0421001B" w:tentative="1">
      <w:start w:val="1"/>
      <w:numFmt w:val="lowerRoman"/>
      <w:lvlText w:val="%9."/>
      <w:lvlJc w:val="right"/>
      <w:pPr>
        <w:ind w:left="6688" w:hanging="180"/>
      </w:pPr>
      <w:rPr>
        <w:rFonts w:cs="Times New Roman"/>
      </w:rPr>
    </w:lvl>
  </w:abstractNum>
  <w:abstractNum w:abstractNumId="4">
    <w:nsid w:val="1DE34F0F"/>
    <w:multiLevelType w:val="hybridMultilevel"/>
    <w:tmpl w:val="817251C0"/>
    <w:lvl w:ilvl="0" w:tplc="8C08AFE0">
      <w:start w:val="1"/>
      <w:numFmt w:val="bullet"/>
      <w:lvlText w:val="•"/>
      <w:lvlJc w:val="left"/>
      <w:pPr>
        <w:tabs>
          <w:tab w:val="num" w:pos="720"/>
        </w:tabs>
        <w:ind w:left="720" w:hanging="360"/>
      </w:pPr>
      <w:rPr>
        <w:rFonts w:ascii="Arial" w:hAnsi="Arial" w:hint="default"/>
      </w:rPr>
    </w:lvl>
    <w:lvl w:ilvl="1" w:tplc="D1869186" w:tentative="1">
      <w:start w:val="1"/>
      <w:numFmt w:val="bullet"/>
      <w:lvlText w:val="•"/>
      <w:lvlJc w:val="left"/>
      <w:pPr>
        <w:tabs>
          <w:tab w:val="num" w:pos="1440"/>
        </w:tabs>
        <w:ind w:left="1440" w:hanging="360"/>
      </w:pPr>
      <w:rPr>
        <w:rFonts w:ascii="Arial" w:hAnsi="Arial" w:hint="default"/>
      </w:rPr>
    </w:lvl>
    <w:lvl w:ilvl="2" w:tplc="4E440C24" w:tentative="1">
      <w:start w:val="1"/>
      <w:numFmt w:val="bullet"/>
      <w:lvlText w:val="•"/>
      <w:lvlJc w:val="left"/>
      <w:pPr>
        <w:tabs>
          <w:tab w:val="num" w:pos="2160"/>
        </w:tabs>
        <w:ind w:left="2160" w:hanging="360"/>
      </w:pPr>
      <w:rPr>
        <w:rFonts w:ascii="Arial" w:hAnsi="Arial" w:hint="default"/>
      </w:rPr>
    </w:lvl>
    <w:lvl w:ilvl="3" w:tplc="FBC68FC4" w:tentative="1">
      <w:start w:val="1"/>
      <w:numFmt w:val="bullet"/>
      <w:lvlText w:val="•"/>
      <w:lvlJc w:val="left"/>
      <w:pPr>
        <w:tabs>
          <w:tab w:val="num" w:pos="2880"/>
        </w:tabs>
        <w:ind w:left="2880" w:hanging="360"/>
      </w:pPr>
      <w:rPr>
        <w:rFonts w:ascii="Arial" w:hAnsi="Arial" w:hint="default"/>
      </w:rPr>
    </w:lvl>
    <w:lvl w:ilvl="4" w:tplc="B860AF24" w:tentative="1">
      <w:start w:val="1"/>
      <w:numFmt w:val="bullet"/>
      <w:lvlText w:val="•"/>
      <w:lvlJc w:val="left"/>
      <w:pPr>
        <w:tabs>
          <w:tab w:val="num" w:pos="3600"/>
        </w:tabs>
        <w:ind w:left="3600" w:hanging="360"/>
      </w:pPr>
      <w:rPr>
        <w:rFonts w:ascii="Arial" w:hAnsi="Arial" w:hint="default"/>
      </w:rPr>
    </w:lvl>
    <w:lvl w:ilvl="5" w:tplc="ADECC2B6" w:tentative="1">
      <w:start w:val="1"/>
      <w:numFmt w:val="bullet"/>
      <w:lvlText w:val="•"/>
      <w:lvlJc w:val="left"/>
      <w:pPr>
        <w:tabs>
          <w:tab w:val="num" w:pos="4320"/>
        </w:tabs>
        <w:ind w:left="4320" w:hanging="360"/>
      </w:pPr>
      <w:rPr>
        <w:rFonts w:ascii="Arial" w:hAnsi="Arial" w:hint="default"/>
      </w:rPr>
    </w:lvl>
    <w:lvl w:ilvl="6" w:tplc="50DCA262" w:tentative="1">
      <w:start w:val="1"/>
      <w:numFmt w:val="bullet"/>
      <w:lvlText w:val="•"/>
      <w:lvlJc w:val="left"/>
      <w:pPr>
        <w:tabs>
          <w:tab w:val="num" w:pos="5040"/>
        </w:tabs>
        <w:ind w:left="5040" w:hanging="360"/>
      </w:pPr>
      <w:rPr>
        <w:rFonts w:ascii="Arial" w:hAnsi="Arial" w:hint="default"/>
      </w:rPr>
    </w:lvl>
    <w:lvl w:ilvl="7" w:tplc="27D8F9D0" w:tentative="1">
      <w:start w:val="1"/>
      <w:numFmt w:val="bullet"/>
      <w:lvlText w:val="•"/>
      <w:lvlJc w:val="left"/>
      <w:pPr>
        <w:tabs>
          <w:tab w:val="num" w:pos="5760"/>
        </w:tabs>
        <w:ind w:left="5760" w:hanging="360"/>
      </w:pPr>
      <w:rPr>
        <w:rFonts w:ascii="Arial" w:hAnsi="Arial" w:hint="default"/>
      </w:rPr>
    </w:lvl>
    <w:lvl w:ilvl="8" w:tplc="4C6C5168" w:tentative="1">
      <w:start w:val="1"/>
      <w:numFmt w:val="bullet"/>
      <w:lvlText w:val="•"/>
      <w:lvlJc w:val="left"/>
      <w:pPr>
        <w:tabs>
          <w:tab w:val="num" w:pos="6480"/>
        </w:tabs>
        <w:ind w:left="6480" w:hanging="360"/>
      </w:pPr>
      <w:rPr>
        <w:rFonts w:ascii="Arial" w:hAnsi="Arial" w:hint="default"/>
      </w:rPr>
    </w:lvl>
  </w:abstractNum>
  <w:abstractNum w:abstractNumId="5">
    <w:nsid w:val="26F95250"/>
    <w:multiLevelType w:val="hybridMultilevel"/>
    <w:tmpl w:val="190ADF46"/>
    <w:lvl w:ilvl="0" w:tplc="217C1CBE">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6">
    <w:nsid w:val="2918335B"/>
    <w:multiLevelType w:val="hybridMultilevel"/>
    <w:tmpl w:val="C38ECD6C"/>
    <w:lvl w:ilvl="0" w:tplc="43628448">
      <w:start w:val="1"/>
      <w:numFmt w:val="bullet"/>
      <w:lvlText w:val="•"/>
      <w:lvlJc w:val="left"/>
      <w:pPr>
        <w:tabs>
          <w:tab w:val="num" w:pos="720"/>
        </w:tabs>
        <w:ind w:left="720" w:hanging="360"/>
      </w:pPr>
      <w:rPr>
        <w:rFonts w:ascii="Arial" w:hAnsi="Arial" w:hint="default"/>
      </w:rPr>
    </w:lvl>
    <w:lvl w:ilvl="1" w:tplc="528E84DC" w:tentative="1">
      <w:start w:val="1"/>
      <w:numFmt w:val="bullet"/>
      <w:lvlText w:val="•"/>
      <w:lvlJc w:val="left"/>
      <w:pPr>
        <w:tabs>
          <w:tab w:val="num" w:pos="1440"/>
        </w:tabs>
        <w:ind w:left="1440" w:hanging="360"/>
      </w:pPr>
      <w:rPr>
        <w:rFonts w:ascii="Arial" w:hAnsi="Arial" w:hint="default"/>
      </w:rPr>
    </w:lvl>
    <w:lvl w:ilvl="2" w:tplc="930A751E" w:tentative="1">
      <w:start w:val="1"/>
      <w:numFmt w:val="bullet"/>
      <w:lvlText w:val="•"/>
      <w:lvlJc w:val="left"/>
      <w:pPr>
        <w:tabs>
          <w:tab w:val="num" w:pos="2160"/>
        </w:tabs>
        <w:ind w:left="2160" w:hanging="360"/>
      </w:pPr>
      <w:rPr>
        <w:rFonts w:ascii="Arial" w:hAnsi="Arial" w:hint="default"/>
      </w:rPr>
    </w:lvl>
    <w:lvl w:ilvl="3" w:tplc="8C68E9C8" w:tentative="1">
      <w:start w:val="1"/>
      <w:numFmt w:val="bullet"/>
      <w:lvlText w:val="•"/>
      <w:lvlJc w:val="left"/>
      <w:pPr>
        <w:tabs>
          <w:tab w:val="num" w:pos="2880"/>
        </w:tabs>
        <w:ind w:left="2880" w:hanging="360"/>
      </w:pPr>
      <w:rPr>
        <w:rFonts w:ascii="Arial" w:hAnsi="Arial" w:hint="default"/>
      </w:rPr>
    </w:lvl>
    <w:lvl w:ilvl="4" w:tplc="29D8C8A4" w:tentative="1">
      <w:start w:val="1"/>
      <w:numFmt w:val="bullet"/>
      <w:lvlText w:val="•"/>
      <w:lvlJc w:val="left"/>
      <w:pPr>
        <w:tabs>
          <w:tab w:val="num" w:pos="3600"/>
        </w:tabs>
        <w:ind w:left="3600" w:hanging="360"/>
      </w:pPr>
      <w:rPr>
        <w:rFonts w:ascii="Arial" w:hAnsi="Arial" w:hint="default"/>
      </w:rPr>
    </w:lvl>
    <w:lvl w:ilvl="5" w:tplc="D8A00800" w:tentative="1">
      <w:start w:val="1"/>
      <w:numFmt w:val="bullet"/>
      <w:lvlText w:val="•"/>
      <w:lvlJc w:val="left"/>
      <w:pPr>
        <w:tabs>
          <w:tab w:val="num" w:pos="4320"/>
        </w:tabs>
        <w:ind w:left="4320" w:hanging="360"/>
      </w:pPr>
      <w:rPr>
        <w:rFonts w:ascii="Arial" w:hAnsi="Arial" w:hint="default"/>
      </w:rPr>
    </w:lvl>
    <w:lvl w:ilvl="6" w:tplc="3C42093A" w:tentative="1">
      <w:start w:val="1"/>
      <w:numFmt w:val="bullet"/>
      <w:lvlText w:val="•"/>
      <w:lvlJc w:val="left"/>
      <w:pPr>
        <w:tabs>
          <w:tab w:val="num" w:pos="5040"/>
        </w:tabs>
        <w:ind w:left="5040" w:hanging="360"/>
      </w:pPr>
      <w:rPr>
        <w:rFonts w:ascii="Arial" w:hAnsi="Arial" w:hint="default"/>
      </w:rPr>
    </w:lvl>
    <w:lvl w:ilvl="7" w:tplc="51024888" w:tentative="1">
      <w:start w:val="1"/>
      <w:numFmt w:val="bullet"/>
      <w:lvlText w:val="•"/>
      <w:lvlJc w:val="left"/>
      <w:pPr>
        <w:tabs>
          <w:tab w:val="num" w:pos="5760"/>
        </w:tabs>
        <w:ind w:left="5760" w:hanging="360"/>
      </w:pPr>
      <w:rPr>
        <w:rFonts w:ascii="Arial" w:hAnsi="Arial" w:hint="default"/>
      </w:rPr>
    </w:lvl>
    <w:lvl w:ilvl="8" w:tplc="D67AB10C" w:tentative="1">
      <w:start w:val="1"/>
      <w:numFmt w:val="bullet"/>
      <w:lvlText w:val="•"/>
      <w:lvlJc w:val="left"/>
      <w:pPr>
        <w:tabs>
          <w:tab w:val="num" w:pos="6480"/>
        </w:tabs>
        <w:ind w:left="6480" w:hanging="360"/>
      </w:pPr>
      <w:rPr>
        <w:rFonts w:ascii="Arial" w:hAnsi="Arial" w:hint="default"/>
      </w:rPr>
    </w:lvl>
  </w:abstractNum>
  <w:abstractNum w:abstractNumId="7">
    <w:nsid w:val="321F7C9D"/>
    <w:multiLevelType w:val="hybridMultilevel"/>
    <w:tmpl w:val="E258DAB4"/>
    <w:lvl w:ilvl="0" w:tplc="C792D8AC">
      <w:start w:val="1"/>
      <w:numFmt w:val="bullet"/>
      <w:lvlText w:val="•"/>
      <w:lvlJc w:val="left"/>
      <w:pPr>
        <w:tabs>
          <w:tab w:val="num" w:pos="720"/>
        </w:tabs>
        <w:ind w:left="720" w:hanging="360"/>
      </w:pPr>
      <w:rPr>
        <w:rFonts w:ascii="Arial" w:hAnsi="Arial" w:hint="default"/>
      </w:rPr>
    </w:lvl>
    <w:lvl w:ilvl="1" w:tplc="C8587B98" w:tentative="1">
      <w:start w:val="1"/>
      <w:numFmt w:val="bullet"/>
      <w:lvlText w:val="•"/>
      <w:lvlJc w:val="left"/>
      <w:pPr>
        <w:tabs>
          <w:tab w:val="num" w:pos="1440"/>
        </w:tabs>
        <w:ind w:left="1440" w:hanging="360"/>
      </w:pPr>
      <w:rPr>
        <w:rFonts w:ascii="Arial" w:hAnsi="Arial" w:hint="default"/>
      </w:rPr>
    </w:lvl>
    <w:lvl w:ilvl="2" w:tplc="EFB0E53C" w:tentative="1">
      <w:start w:val="1"/>
      <w:numFmt w:val="bullet"/>
      <w:lvlText w:val="•"/>
      <w:lvlJc w:val="left"/>
      <w:pPr>
        <w:tabs>
          <w:tab w:val="num" w:pos="2160"/>
        </w:tabs>
        <w:ind w:left="2160" w:hanging="360"/>
      </w:pPr>
      <w:rPr>
        <w:rFonts w:ascii="Arial" w:hAnsi="Arial" w:hint="default"/>
      </w:rPr>
    </w:lvl>
    <w:lvl w:ilvl="3" w:tplc="D31674CC" w:tentative="1">
      <w:start w:val="1"/>
      <w:numFmt w:val="bullet"/>
      <w:lvlText w:val="•"/>
      <w:lvlJc w:val="left"/>
      <w:pPr>
        <w:tabs>
          <w:tab w:val="num" w:pos="2880"/>
        </w:tabs>
        <w:ind w:left="2880" w:hanging="360"/>
      </w:pPr>
      <w:rPr>
        <w:rFonts w:ascii="Arial" w:hAnsi="Arial" w:hint="default"/>
      </w:rPr>
    </w:lvl>
    <w:lvl w:ilvl="4" w:tplc="36CA694E" w:tentative="1">
      <w:start w:val="1"/>
      <w:numFmt w:val="bullet"/>
      <w:lvlText w:val="•"/>
      <w:lvlJc w:val="left"/>
      <w:pPr>
        <w:tabs>
          <w:tab w:val="num" w:pos="3600"/>
        </w:tabs>
        <w:ind w:left="3600" w:hanging="360"/>
      </w:pPr>
      <w:rPr>
        <w:rFonts w:ascii="Arial" w:hAnsi="Arial" w:hint="default"/>
      </w:rPr>
    </w:lvl>
    <w:lvl w:ilvl="5" w:tplc="5F20D05E" w:tentative="1">
      <w:start w:val="1"/>
      <w:numFmt w:val="bullet"/>
      <w:lvlText w:val="•"/>
      <w:lvlJc w:val="left"/>
      <w:pPr>
        <w:tabs>
          <w:tab w:val="num" w:pos="4320"/>
        </w:tabs>
        <w:ind w:left="4320" w:hanging="360"/>
      </w:pPr>
      <w:rPr>
        <w:rFonts w:ascii="Arial" w:hAnsi="Arial" w:hint="default"/>
      </w:rPr>
    </w:lvl>
    <w:lvl w:ilvl="6" w:tplc="4986FB5A" w:tentative="1">
      <w:start w:val="1"/>
      <w:numFmt w:val="bullet"/>
      <w:lvlText w:val="•"/>
      <w:lvlJc w:val="left"/>
      <w:pPr>
        <w:tabs>
          <w:tab w:val="num" w:pos="5040"/>
        </w:tabs>
        <w:ind w:left="5040" w:hanging="360"/>
      </w:pPr>
      <w:rPr>
        <w:rFonts w:ascii="Arial" w:hAnsi="Arial" w:hint="default"/>
      </w:rPr>
    </w:lvl>
    <w:lvl w:ilvl="7" w:tplc="428C6922" w:tentative="1">
      <w:start w:val="1"/>
      <w:numFmt w:val="bullet"/>
      <w:lvlText w:val="•"/>
      <w:lvlJc w:val="left"/>
      <w:pPr>
        <w:tabs>
          <w:tab w:val="num" w:pos="5760"/>
        </w:tabs>
        <w:ind w:left="5760" w:hanging="360"/>
      </w:pPr>
      <w:rPr>
        <w:rFonts w:ascii="Arial" w:hAnsi="Arial" w:hint="default"/>
      </w:rPr>
    </w:lvl>
    <w:lvl w:ilvl="8" w:tplc="DC069194" w:tentative="1">
      <w:start w:val="1"/>
      <w:numFmt w:val="bullet"/>
      <w:lvlText w:val="•"/>
      <w:lvlJc w:val="left"/>
      <w:pPr>
        <w:tabs>
          <w:tab w:val="num" w:pos="6480"/>
        </w:tabs>
        <w:ind w:left="6480" w:hanging="360"/>
      </w:pPr>
      <w:rPr>
        <w:rFonts w:ascii="Arial" w:hAnsi="Arial" w:hint="default"/>
      </w:rPr>
    </w:lvl>
  </w:abstractNum>
  <w:abstractNum w:abstractNumId="8">
    <w:nsid w:val="36517104"/>
    <w:multiLevelType w:val="hybridMultilevel"/>
    <w:tmpl w:val="D5825D04"/>
    <w:lvl w:ilvl="0" w:tplc="C2863072">
      <w:start w:val="1"/>
      <w:numFmt w:val="bullet"/>
      <w:lvlText w:val="•"/>
      <w:lvlJc w:val="left"/>
      <w:pPr>
        <w:tabs>
          <w:tab w:val="num" w:pos="720"/>
        </w:tabs>
        <w:ind w:left="720" w:hanging="360"/>
      </w:pPr>
      <w:rPr>
        <w:rFonts w:ascii="Arial" w:hAnsi="Arial" w:hint="default"/>
      </w:rPr>
    </w:lvl>
    <w:lvl w:ilvl="1" w:tplc="09B02112" w:tentative="1">
      <w:start w:val="1"/>
      <w:numFmt w:val="bullet"/>
      <w:lvlText w:val="•"/>
      <w:lvlJc w:val="left"/>
      <w:pPr>
        <w:tabs>
          <w:tab w:val="num" w:pos="1440"/>
        </w:tabs>
        <w:ind w:left="1440" w:hanging="360"/>
      </w:pPr>
      <w:rPr>
        <w:rFonts w:ascii="Arial" w:hAnsi="Arial" w:hint="default"/>
      </w:rPr>
    </w:lvl>
    <w:lvl w:ilvl="2" w:tplc="00BEF68C" w:tentative="1">
      <w:start w:val="1"/>
      <w:numFmt w:val="bullet"/>
      <w:lvlText w:val="•"/>
      <w:lvlJc w:val="left"/>
      <w:pPr>
        <w:tabs>
          <w:tab w:val="num" w:pos="2160"/>
        </w:tabs>
        <w:ind w:left="2160" w:hanging="360"/>
      </w:pPr>
      <w:rPr>
        <w:rFonts w:ascii="Arial" w:hAnsi="Arial" w:hint="default"/>
      </w:rPr>
    </w:lvl>
    <w:lvl w:ilvl="3" w:tplc="20FA88AE" w:tentative="1">
      <w:start w:val="1"/>
      <w:numFmt w:val="bullet"/>
      <w:lvlText w:val="•"/>
      <w:lvlJc w:val="left"/>
      <w:pPr>
        <w:tabs>
          <w:tab w:val="num" w:pos="2880"/>
        </w:tabs>
        <w:ind w:left="2880" w:hanging="360"/>
      </w:pPr>
      <w:rPr>
        <w:rFonts w:ascii="Arial" w:hAnsi="Arial" w:hint="default"/>
      </w:rPr>
    </w:lvl>
    <w:lvl w:ilvl="4" w:tplc="DF2086AE" w:tentative="1">
      <w:start w:val="1"/>
      <w:numFmt w:val="bullet"/>
      <w:lvlText w:val="•"/>
      <w:lvlJc w:val="left"/>
      <w:pPr>
        <w:tabs>
          <w:tab w:val="num" w:pos="3600"/>
        </w:tabs>
        <w:ind w:left="3600" w:hanging="360"/>
      </w:pPr>
      <w:rPr>
        <w:rFonts w:ascii="Arial" w:hAnsi="Arial" w:hint="default"/>
      </w:rPr>
    </w:lvl>
    <w:lvl w:ilvl="5" w:tplc="5D2E3962" w:tentative="1">
      <w:start w:val="1"/>
      <w:numFmt w:val="bullet"/>
      <w:lvlText w:val="•"/>
      <w:lvlJc w:val="left"/>
      <w:pPr>
        <w:tabs>
          <w:tab w:val="num" w:pos="4320"/>
        </w:tabs>
        <w:ind w:left="4320" w:hanging="360"/>
      </w:pPr>
      <w:rPr>
        <w:rFonts w:ascii="Arial" w:hAnsi="Arial" w:hint="default"/>
      </w:rPr>
    </w:lvl>
    <w:lvl w:ilvl="6" w:tplc="E26CE2E4" w:tentative="1">
      <w:start w:val="1"/>
      <w:numFmt w:val="bullet"/>
      <w:lvlText w:val="•"/>
      <w:lvlJc w:val="left"/>
      <w:pPr>
        <w:tabs>
          <w:tab w:val="num" w:pos="5040"/>
        </w:tabs>
        <w:ind w:left="5040" w:hanging="360"/>
      </w:pPr>
      <w:rPr>
        <w:rFonts w:ascii="Arial" w:hAnsi="Arial" w:hint="default"/>
      </w:rPr>
    </w:lvl>
    <w:lvl w:ilvl="7" w:tplc="C6960C1C" w:tentative="1">
      <w:start w:val="1"/>
      <w:numFmt w:val="bullet"/>
      <w:lvlText w:val="•"/>
      <w:lvlJc w:val="left"/>
      <w:pPr>
        <w:tabs>
          <w:tab w:val="num" w:pos="5760"/>
        </w:tabs>
        <w:ind w:left="5760" w:hanging="360"/>
      </w:pPr>
      <w:rPr>
        <w:rFonts w:ascii="Arial" w:hAnsi="Arial" w:hint="default"/>
      </w:rPr>
    </w:lvl>
    <w:lvl w:ilvl="8" w:tplc="F322E67C" w:tentative="1">
      <w:start w:val="1"/>
      <w:numFmt w:val="bullet"/>
      <w:lvlText w:val="•"/>
      <w:lvlJc w:val="left"/>
      <w:pPr>
        <w:tabs>
          <w:tab w:val="num" w:pos="6480"/>
        </w:tabs>
        <w:ind w:left="6480" w:hanging="360"/>
      </w:pPr>
      <w:rPr>
        <w:rFonts w:ascii="Arial" w:hAnsi="Arial" w:hint="default"/>
      </w:rPr>
    </w:lvl>
  </w:abstractNum>
  <w:abstractNum w:abstractNumId="9">
    <w:nsid w:val="48CB619B"/>
    <w:multiLevelType w:val="hybridMultilevel"/>
    <w:tmpl w:val="E2929248"/>
    <w:lvl w:ilvl="0" w:tplc="33FEF08C">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0">
    <w:nsid w:val="4F0B31C9"/>
    <w:multiLevelType w:val="hybridMultilevel"/>
    <w:tmpl w:val="5F5240B2"/>
    <w:lvl w:ilvl="0" w:tplc="6834086C">
      <w:start w:val="1"/>
      <w:numFmt w:val="bullet"/>
      <w:lvlText w:val="•"/>
      <w:lvlJc w:val="left"/>
      <w:pPr>
        <w:tabs>
          <w:tab w:val="num" w:pos="720"/>
        </w:tabs>
        <w:ind w:left="720" w:hanging="360"/>
      </w:pPr>
      <w:rPr>
        <w:rFonts w:ascii="Arial" w:hAnsi="Arial" w:hint="default"/>
      </w:rPr>
    </w:lvl>
    <w:lvl w:ilvl="1" w:tplc="89E8FA64" w:tentative="1">
      <w:start w:val="1"/>
      <w:numFmt w:val="bullet"/>
      <w:lvlText w:val="•"/>
      <w:lvlJc w:val="left"/>
      <w:pPr>
        <w:tabs>
          <w:tab w:val="num" w:pos="1440"/>
        </w:tabs>
        <w:ind w:left="1440" w:hanging="360"/>
      </w:pPr>
      <w:rPr>
        <w:rFonts w:ascii="Arial" w:hAnsi="Arial" w:hint="default"/>
      </w:rPr>
    </w:lvl>
    <w:lvl w:ilvl="2" w:tplc="8286CE52" w:tentative="1">
      <w:start w:val="1"/>
      <w:numFmt w:val="bullet"/>
      <w:lvlText w:val="•"/>
      <w:lvlJc w:val="left"/>
      <w:pPr>
        <w:tabs>
          <w:tab w:val="num" w:pos="2160"/>
        </w:tabs>
        <w:ind w:left="2160" w:hanging="360"/>
      </w:pPr>
      <w:rPr>
        <w:rFonts w:ascii="Arial" w:hAnsi="Arial" w:hint="default"/>
      </w:rPr>
    </w:lvl>
    <w:lvl w:ilvl="3" w:tplc="ADAE763E" w:tentative="1">
      <w:start w:val="1"/>
      <w:numFmt w:val="bullet"/>
      <w:lvlText w:val="•"/>
      <w:lvlJc w:val="left"/>
      <w:pPr>
        <w:tabs>
          <w:tab w:val="num" w:pos="2880"/>
        </w:tabs>
        <w:ind w:left="2880" w:hanging="360"/>
      </w:pPr>
      <w:rPr>
        <w:rFonts w:ascii="Arial" w:hAnsi="Arial" w:hint="default"/>
      </w:rPr>
    </w:lvl>
    <w:lvl w:ilvl="4" w:tplc="8BEA2430" w:tentative="1">
      <w:start w:val="1"/>
      <w:numFmt w:val="bullet"/>
      <w:lvlText w:val="•"/>
      <w:lvlJc w:val="left"/>
      <w:pPr>
        <w:tabs>
          <w:tab w:val="num" w:pos="3600"/>
        </w:tabs>
        <w:ind w:left="3600" w:hanging="360"/>
      </w:pPr>
      <w:rPr>
        <w:rFonts w:ascii="Arial" w:hAnsi="Arial" w:hint="default"/>
      </w:rPr>
    </w:lvl>
    <w:lvl w:ilvl="5" w:tplc="A3F0B26A" w:tentative="1">
      <w:start w:val="1"/>
      <w:numFmt w:val="bullet"/>
      <w:lvlText w:val="•"/>
      <w:lvlJc w:val="left"/>
      <w:pPr>
        <w:tabs>
          <w:tab w:val="num" w:pos="4320"/>
        </w:tabs>
        <w:ind w:left="4320" w:hanging="360"/>
      </w:pPr>
      <w:rPr>
        <w:rFonts w:ascii="Arial" w:hAnsi="Arial" w:hint="default"/>
      </w:rPr>
    </w:lvl>
    <w:lvl w:ilvl="6" w:tplc="17A8D10A" w:tentative="1">
      <w:start w:val="1"/>
      <w:numFmt w:val="bullet"/>
      <w:lvlText w:val="•"/>
      <w:lvlJc w:val="left"/>
      <w:pPr>
        <w:tabs>
          <w:tab w:val="num" w:pos="5040"/>
        </w:tabs>
        <w:ind w:left="5040" w:hanging="360"/>
      </w:pPr>
      <w:rPr>
        <w:rFonts w:ascii="Arial" w:hAnsi="Arial" w:hint="default"/>
      </w:rPr>
    </w:lvl>
    <w:lvl w:ilvl="7" w:tplc="F93AA988" w:tentative="1">
      <w:start w:val="1"/>
      <w:numFmt w:val="bullet"/>
      <w:lvlText w:val="•"/>
      <w:lvlJc w:val="left"/>
      <w:pPr>
        <w:tabs>
          <w:tab w:val="num" w:pos="5760"/>
        </w:tabs>
        <w:ind w:left="5760" w:hanging="360"/>
      </w:pPr>
      <w:rPr>
        <w:rFonts w:ascii="Arial" w:hAnsi="Arial" w:hint="default"/>
      </w:rPr>
    </w:lvl>
    <w:lvl w:ilvl="8" w:tplc="5CAA4D4C" w:tentative="1">
      <w:start w:val="1"/>
      <w:numFmt w:val="bullet"/>
      <w:lvlText w:val="•"/>
      <w:lvlJc w:val="left"/>
      <w:pPr>
        <w:tabs>
          <w:tab w:val="num" w:pos="6480"/>
        </w:tabs>
        <w:ind w:left="6480" w:hanging="360"/>
      </w:pPr>
      <w:rPr>
        <w:rFonts w:ascii="Arial" w:hAnsi="Arial" w:hint="default"/>
      </w:rPr>
    </w:lvl>
  </w:abstractNum>
  <w:abstractNum w:abstractNumId="11">
    <w:nsid w:val="51405091"/>
    <w:multiLevelType w:val="hybridMultilevel"/>
    <w:tmpl w:val="290CF64E"/>
    <w:lvl w:ilvl="0" w:tplc="0486C8E8">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2">
    <w:nsid w:val="5495137C"/>
    <w:multiLevelType w:val="hybridMultilevel"/>
    <w:tmpl w:val="3F586F1A"/>
    <w:lvl w:ilvl="0" w:tplc="C0D2EA6C">
      <w:start w:val="1"/>
      <w:numFmt w:val="bullet"/>
      <w:lvlText w:val="•"/>
      <w:lvlJc w:val="left"/>
      <w:pPr>
        <w:tabs>
          <w:tab w:val="num" w:pos="720"/>
        </w:tabs>
        <w:ind w:left="720" w:hanging="360"/>
      </w:pPr>
      <w:rPr>
        <w:rFonts w:ascii="Arial" w:hAnsi="Arial" w:hint="default"/>
      </w:rPr>
    </w:lvl>
    <w:lvl w:ilvl="1" w:tplc="B35C4022" w:tentative="1">
      <w:start w:val="1"/>
      <w:numFmt w:val="bullet"/>
      <w:lvlText w:val="•"/>
      <w:lvlJc w:val="left"/>
      <w:pPr>
        <w:tabs>
          <w:tab w:val="num" w:pos="1440"/>
        </w:tabs>
        <w:ind w:left="1440" w:hanging="360"/>
      </w:pPr>
      <w:rPr>
        <w:rFonts w:ascii="Arial" w:hAnsi="Arial" w:hint="default"/>
      </w:rPr>
    </w:lvl>
    <w:lvl w:ilvl="2" w:tplc="DD92ED90" w:tentative="1">
      <w:start w:val="1"/>
      <w:numFmt w:val="bullet"/>
      <w:lvlText w:val="•"/>
      <w:lvlJc w:val="left"/>
      <w:pPr>
        <w:tabs>
          <w:tab w:val="num" w:pos="2160"/>
        </w:tabs>
        <w:ind w:left="2160" w:hanging="360"/>
      </w:pPr>
      <w:rPr>
        <w:rFonts w:ascii="Arial" w:hAnsi="Arial" w:hint="default"/>
      </w:rPr>
    </w:lvl>
    <w:lvl w:ilvl="3" w:tplc="4EF68E06" w:tentative="1">
      <w:start w:val="1"/>
      <w:numFmt w:val="bullet"/>
      <w:lvlText w:val="•"/>
      <w:lvlJc w:val="left"/>
      <w:pPr>
        <w:tabs>
          <w:tab w:val="num" w:pos="2880"/>
        </w:tabs>
        <w:ind w:left="2880" w:hanging="360"/>
      </w:pPr>
      <w:rPr>
        <w:rFonts w:ascii="Arial" w:hAnsi="Arial" w:hint="default"/>
      </w:rPr>
    </w:lvl>
    <w:lvl w:ilvl="4" w:tplc="2488C72C" w:tentative="1">
      <w:start w:val="1"/>
      <w:numFmt w:val="bullet"/>
      <w:lvlText w:val="•"/>
      <w:lvlJc w:val="left"/>
      <w:pPr>
        <w:tabs>
          <w:tab w:val="num" w:pos="3600"/>
        </w:tabs>
        <w:ind w:left="3600" w:hanging="360"/>
      </w:pPr>
      <w:rPr>
        <w:rFonts w:ascii="Arial" w:hAnsi="Arial" w:hint="default"/>
      </w:rPr>
    </w:lvl>
    <w:lvl w:ilvl="5" w:tplc="5EE4EA20" w:tentative="1">
      <w:start w:val="1"/>
      <w:numFmt w:val="bullet"/>
      <w:lvlText w:val="•"/>
      <w:lvlJc w:val="left"/>
      <w:pPr>
        <w:tabs>
          <w:tab w:val="num" w:pos="4320"/>
        </w:tabs>
        <w:ind w:left="4320" w:hanging="360"/>
      </w:pPr>
      <w:rPr>
        <w:rFonts w:ascii="Arial" w:hAnsi="Arial" w:hint="default"/>
      </w:rPr>
    </w:lvl>
    <w:lvl w:ilvl="6" w:tplc="62B67726" w:tentative="1">
      <w:start w:val="1"/>
      <w:numFmt w:val="bullet"/>
      <w:lvlText w:val="•"/>
      <w:lvlJc w:val="left"/>
      <w:pPr>
        <w:tabs>
          <w:tab w:val="num" w:pos="5040"/>
        </w:tabs>
        <w:ind w:left="5040" w:hanging="360"/>
      </w:pPr>
      <w:rPr>
        <w:rFonts w:ascii="Arial" w:hAnsi="Arial" w:hint="default"/>
      </w:rPr>
    </w:lvl>
    <w:lvl w:ilvl="7" w:tplc="7B9C7AFA" w:tentative="1">
      <w:start w:val="1"/>
      <w:numFmt w:val="bullet"/>
      <w:lvlText w:val="•"/>
      <w:lvlJc w:val="left"/>
      <w:pPr>
        <w:tabs>
          <w:tab w:val="num" w:pos="5760"/>
        </w:tabs>
        <w:ind w:left="5760" w:hanging="360"/>
      </w:pPr>
      <w:rPr>
        <w:rFonts w:ascii="Arial" w:hAnsi="Arial" w:hint="default"/>
      </w:rPr>
    </w:lvl>
    <w:lvl w:ilvl="8" w:tplc="2C32EEE2" w:tentative="1">
      <w:start w:val="1"/>
      <w:numFmt w:val="bullet"/>
      <w:lvlText w:val="•"/>
      <w:lvlJc w:val="left"/>
      <w:pPr>
        <w:tabs>
          <w:tab w:val="num" w:pos="6480"/>
        </w:tabs>
        <w:ind w:left="6480" w:hanging="360"/>
      </w:pPr>
      <w:rPr>
        <w:rFonts w:ascii="Arial" w:hAnsi="Arial" w:hint="default"/>
      </w:rPr>
    </w:lvl>
  </w:abstractNum>
  <w:abstractNum w:abstractNumId="13">
    <w:nsid w:val="685C5A61"/>
    <w:multiLevelType w:val="hybridMultilevel"/>
    <w:tmpl w:val="F0882C2C"/>
    <w:lvl w:ilvl="0" w:tplc="0E7287E6">
      <w:start w:val="1"/>
      <w:numFmt w:val="bullet"/>
      <w:lvlText w:val="•"/>
      <w:lvlJc w:val="left"/>
      <w:pPr>
        <w:tabs>
          <w:tab w:val="num" w:pos="720"/>
        </w:tabs>
        <w:ind w:left="720" w:hanging="360"/>
      </w:pPr>
      <w:rPr>
        <w:rFonts w:ascii="Arial" w:hAnsi="Arial" w:hint="default"/>
      </w:rPr>
    </w:lvl>
    <w:lvl w:ilvl="1" w:tplc="1BA6F46E" w:tentative="1">
      <w:start w:val="1"/>
      <w:numFmt w:val="bullet"/>
      <w:lvlText w:val="•"/>
      <w:lvlJc w:val="left"/>
      <w:pPr>
        <w:tabs>
          <w:tab w:val="num" w:pos="1440"/>
        </w:tabs>
        <w:ind w:left="1440" w:hanging="360"/>
      </w:pPr>
      <w:rPr>
        <w:rFonts w:ascii="Arial" w:hAnsi="Arial" w:hint="default"/>
      </w:rPr>
    </w:lvl>
    <w:lvl w:ilvl="2" w:tplc="EABE285A" w:tentative="1">
      <w:start w:val="1"/>
      <w:numFmt w:val="bullet"/>
      <w:lvlText w:val="•"/>
      <w:lvlJc w:val="left"/>
      <w:pPr>
        <w:tabs>
          <w:tab w:val="num" w:pos="2160"/>
        </w:tabs>
        <w:ind w:left="2160" w:hanging="360"/>
      </w:pPr>
      <w:rPr>
        <w:rFonts w:ascii="Arial" w:hAnsi="Arial" w:hint="default"/>
      </w:rPr>
    </w:lvl>
    <w:lvl w:ilvl="3" w:tplc="8898D470" w:tentative="1">
      <w:start w:val="1"/>
      <w:numFmt w:val="bullet"/>
      <w:lvlText w:val="•"/>
      <w:lvlJc w:val="left"/>
      <w:pPr>
        <w:tabs>
          <w:tab w:val="num" w:pos="2880"/>
        </w:tabs>
        <w:ind w:left="2880" w:hanging="360"/>
      </w:pPr>
      <w:rPr>
        <w:rFonts w:ascii="Arial" w:hAnsi="Arial" w:hint="default"/>
      </w:rPr>
    </w:lvl>
    <w:lvl w:ilvl="4" w:tplc="5B263D64" w:tentative="1">
      <w:start w:val="1"/>
      <w:numFmt w:val="bullet"/>
      <w:lvlText w:val="•"/>
      <w:lvlJc w:val="left"/>
      <w:pPr>
        <w:tabs>
          <w:tab w:val="num" w:pos="3600"/>
        </w:tabs>
        <w:ind w:left="3600" w:hanging="360"/>
      </w:pPr>
      <w:rPr>
        <w:rFonts w:ascii="Arial" w:hAnsi="Arial" w:hint="default"/>
      </w:rPr>
    </w:lvl>
    <w:lvl w:ilvl="5" w:tplc="70283864" w:tentative="1">
      <w:start w:val="1"/>
      <w:numFmt w:val="bullet"/>
      <w:lvlText w:val="•"/>
      <w:lvlJc w:val="left"/>
      <w:pPr>
        <w:tabs>
          <w:tab w:val="num" w:pos="4320"/>
        </w:tabs>
        <w:ind w:left="4320" w:hanging="360"/>
      </w:pPr>
      <w:rPr>
        <w:rFonts w:ascii="Arial" w:hAnsi="Arial" w:hint="default"/>
      </w:rPr>
    </w:lvl>
    <w:lvl w:ilvl="6" w:tplc="BD4A783C" w:tentative="1">
      <w:start w:val="1"/>
      <w:numFmt w:val="bullet"/>
      <w:lvlText w:val="•"/>
      <w:lvlJc w:val="left"/>
      <w:pPr>
        <w:tabs>
          <w:tab w:val="num" w:pos="5040"/>
        </w:tabs>
        <w:ind w:left="5040" w:hanging="360"/>
      </w:pPr>
      <w:rPr>
        <w:rFonts w:ascii="Arial" w:hAnsi="Arial" w:hint="default"/>
      </w:rPr>
    </w:lvl>
    <w:lvl w:ilvl="7" w:tplc="2834DEB6" w:tentative="1">
      <w:start w:val="1"/>
      <w:numFmt w:val="bullet"/>
      <w:lvlText w:val="•"/>
      <w:lvlJc w:val="left"/>
      <w:pPr>
        <w:tabs>
          <w:tab w:val="num" w:pos="5760"/>
        </w:tabs>
        <w:ind w:left="5760" w:hanging="360"/>
      </w:pPr>
      <w:rPr>
        <w:rFonts w:ascii="Arial" w:hAnsi="Arial" w:hint="default"/>
      </w:rPr>
    </w:lvl>
    <w:lvl w:ilvl="8" w:tplc="991C6BF2" w:tentative="1">
      <w:start w:val="1"/>
      <w:numFmt w:val="bullet"/>
      <w:lvlText w:val="•"/>
      <w:lvlJc w:val="left"/>
      <w:pPr>
        <w:tabs>
          <w:tab w:val="num" w:pos="6480"/>
        </w:tabs>
        <w:ind w:left="6480" w:hanging="360"/>
      </w:pPr>
      <w:rPr>
        <w:rFonts w:ascii="Arial" w:hAnsi="Arial" w:hint="default"/>
      </w:rPr>
    </w:lvl>
  </w:abstractNum>
  <w:abstractNum w:abstractNumId="14">
    <w:nsid w:val="6D692143"/>
    <w:multiLevelType w:val="hybridMultilevel"/>
    <w:tmpl w:val="4FFA9AD8"/>
    <w:lvl w:ilvl="0" w:tplc="06D69F4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num w:numId="1">
    <w:abstractNumId w:val="0"/>
  </w:num>
  <w:num w:numId="2">
    <w:abstractNumId w:val="14"/>
  </w:num>
  <w:num w:numId="3">
    <w:abstractNumId w:val="5"/>
  </w:num>
  <w:num w:numId="4">
    <w:abstractNumId w:val="11"/>
  </w:num>
  <w:num w:numId="5">
    <w:abstractNumId w:val="9"/>
  </w:num>
  <w:num w:numId="6">
    <w:abstractNumId w:val="12"/>
  </w:num>
  <w:num w:numId="7">
    <w:abstractNumId w:val="1"/>
  </w:num>
  <w:num w:numId="8">
    <w:abstractNumId w:val="13"/>
  </w:num>
  <w:num w:numId="9">
    <w:abstractNumId w:val="4"/>
  </w:num>
  <w:num w:numId="10">
    <w:abstractNumId w:val="7"/>
  </w:num>
  <w:num w:numId="11">
    <w:abstractNumId w:val="8"/>
  </w:num>
  <w:num w:numId="12">
    <w:abstractNumId w:val="10"/>
  </w:num>
  <w:num w:numId="13">
    <w:abstractNumId w:val="2"/>
  </w:num>
  <w:num w:numId="14">
    <w:abstractNumId w:val="6"/>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FDB"/>
    <w:rsid w:val="00001025"/>
    <w:rsid w:val="00021D09"/>
    <w:rsid w:val="00025454"/>
    <w:rsid w:val="00027C9D"/>
    <w:rsid w:val="00035931"/>
    <w:rsid w:val="0003687B"/>
    <w:rsid w:val="00047FD7"/>
    <w:rsid w:val="000609E9"/>
    <w:rsid w:val="00067BA7"/>
    <w:rsid w:val="00071131"/>
    <w:rsid w:val="00071FE4"/>
    <w:rsid w:val="00077AAC"/>
    <w:rsid w:val="00083A7D"/>
    <w:rsid w:val="00092901"/>
    <w:rsid w:val="00095421"/>
    <w:rsid w:val="000B04A4"/>
    <w:rsid w:val="000B6732"/>
    <w:rsid w:val="000C17E5"/>
    <w:rsid w:val="000C1C8E"/>
    <w:rsid w:val="000D41E3"/>
    <w:rsid w:val="000E6BD5"/>
    <w:rsid w:val="000E75E3"/>
    <w:rsid w:val="000F2EF8"/>
    <w:rsid w:val="00100FAC"/>
    <w:rsid w:val="00115C7F"/>
    <w:rsid w:val="00122A23"/>
    <w:rsid w:val="001245A8"/>
    <w:rsid w:val="00142031"/>
    <w:rsid w:val="001458BB"/>
    <w:rsid w:val="00155BF6"/>
    <w:rsid w:val="00173E79"/>
    <w:rsid w:val="00190707"/>
    <w:rsid w:val="00193F6B"/>
    <w:rsid w:val="00194C7B"/>
    <w:rsid w:val="0019637E"/>
    <w:rsid w:val="0019759F"/>
    <w:rsid w:val="001B61BF"/>
    <w:rsid w:val="001B7E3B"/>
    <w:rsid w:val="001D2D74"/>
    <w:rsid w:val="001F1463"/>
    <w:rsid w:val="002004D9"/>
    <w:rsid w:val="0020695C"/>
    <w:rsid w:val="00215485"/>
    <w:rsid w:val="0022382E"/>
    <w:rsid w:val="00227041"/>
    <w:rsid w:val="002327BE"/>
    <w:rsid w:val="00232E1B"/>
    <w:rsid w:val="0024044F"/>
    <w:rsid w:val="00251403"/>
    <w:rsid w:val="00252839"/>
    <w:rsid w:val="00255756"/>
    <w:rsid w:val="00256F65"/>
    <w:rsid w:val="00261F9B"/>
    <w:rsid w:val="00273847"/>
    <w:rsid w:val="00274726"/>
    <w:rsid w:val="002857DA"/>
    <w:rsid w:val="00287E0E"/>
    <w:rsid w:val="002968D0"/>
    <w:rsid w:val="002A1BD3"/>
    <w:rsid w:val="002A52E8"/>
    <w:rsid w:val="002A6A45"/>
    <w:rsid w:val="002A7CBC"/>
    <w:rsid w:val="002C42FF"/>
    <w:rsid w:val="002C5666"/>
    <w:rsid w:val="002C7FCD"/>
    <w:rsid w:val="002D2DE3"/>
    <w:rsid w:val="002E5F71"/>
    <w:rsid w:val="002F05BF"/>
    <w:rsid w:val="002F0C64"/>
    <w:rsid w:val="002F4F8F"/>
    <w:rsid w:val="002F64F5"/>
    <w:rsid w:val="0031014E"/>
    <w:rsid w:val="00312D53"/>
    <w:rsid w:val="00315310"/>
    <w:rsid w:val="00325E21"/>
    <w:rsid w:val="00335A79"/>
    <w:rsid w:val="00350553"/>
    <w:rsid w:val="00355DC3"/>
    <w:rsid w:val="00361379"/>
    <w:rsid w:val="003651A5"/>
    <w:rsid w:val="0037405E"/>
    <w:rsid w:val="00374303"/>
    <w:rsid w:val="00381850"/>
    <w:rsid w:val="00382E05"/>
    <w:rsid w:val="00384C34"/>
    <w:rsid w:val="003851D4"/>
    <w:rsid w:val="00386D85"/>
    <w:rsid w:val="003A21B0"/>
    <w:rsid w:val="003A3F7B"/>
    <w:rsid w:val="003A4E35"/>
    <w:rsid w:val="003A647B"/>
    <w:rsid w:val="003B1737"/>
    <w:rsid w:val="003B564C"/>
    <w:rsid w:val="003C7601"/>
    <w:rsid w:val="003E2E37"/>
    <w:rsid w:val="003E4074"/>
    <w:rsid w:val="003E6C2C"/>
    <w:rsid w:val="003E7FB7"/>
    <w:rsid w:val="003F1709"/>
    <w:rsid w:val="003F237A"/>
    <w:rsid w:val="003F23F5"/>
    <w:rsid w:val="003F5208"/>
    <w:rsid w:val="003F5717"/>
    <w:rsid w:val="003F6213"/>
    <w:rsid w:val="00402EE2"/>
    <w:rsid w:val="004063DE"/>
    <w:rsid w:val="004106A4"/>
    <w:rsid w:val="004204AF"/>
    <w:rsid w:val="00424F0D"/>
    <w:rsid w:val="0042525A"/>
    <w:rsid w:val="0042664F"/>
    <w:rsid w:val="004357B0"/>
    <w:rsid w:val="004370DF"/>
    <w:rsid w:val="00461C5C"/>
    <w:rsid w:val="00462E94"/>
    <w:rsid w:val="00463304"/>
    <w:rsid w:val="00465875"/>
    <w:rsid w:val="00480490"/>
    <w:rsid w:val="004A14FD"/>
    <w:rsid w:val="004A7607"/>
    <w:rsid w:val="004B149A"/>
    <w:rsid w:val="004C3046"/>
    <w:rsid w:val="004C3AE9"/>
    <w:rsid w:val="004C6121"/>
    <w:rsid w:val="004F4727"/>
    <w:rsid w:val="005233C4"/>
    <w:rsid w:val="00527A95"/>
    <w:rsid w:val="00533118"/>
    <w:rsid w:val="0057189F"/>
    <w:rsid w:val="00573A7D"/>
    <w:rsid w:val="0057478A"/>
    <w:rsid w:val="00575FFA"/>
    <w:rsid w:val="00583ACD"/>
    <w:rsid w:val="00590407"/>
    <w:rsid w:val="00594346"/>
    <w:rsid w:val="005A0AEB"/>
    <w:rsid w:val="005B345D"/>
    <w:rsid w:val="005C27BE"/>
    <w:rsid w:val="005C2C84"/>
    <w:rsid w:val="005D2FE3"/>
    <w:rsid w:val="005D5383"/>
    <w:rsid w:val="005E6F1F"/>
    <w:rsid w:val="00612A3B"/>
    <w:rsid w:val="00617046"/>
    <w:rsid w:val="00617C64"/>
    <w:rsid w:val="00621566"/>
    <w:rsid w:val="00624630"/>
    <w:rsid w:val="00636417"/>
    <w:rsid w:val="00652498"/>
    <w:rsid w:val="00652F30"/>
    <w:rsid w:val="0066570D"/>
    <w:rsid w:val="00667D5A"/>
    <w:rsid w:val="00667E65"/>
    <w:rsid w:val="00675B91"/>
    <w:rsid w:val="0068530D"/>
    <w:rsid w:val="00687D11"/>
    <w:rsid w:val="00690293"/>
    <w:rsid w:val="0069694A"/>
    <w:rsid w:val="006A0B24"/>
    <w:rsid w:val="006A26CC"/>
    <w:rsid w:val="006B28D9"/>
    <w:rsid w:val="006C2104"/>
    <w:rsid w:val="006E3DC2"/>
    <w:rsid w:val="006E7BF6"/>
    <w:rsid w:val="006F4D92"/>
    <w:rsid w:val="006F5CAB"/>
    <w:rsid w:val="0070069E"/>
    <w:rsid w:val="00702081"/>
    <w:rsid w:val="00716DD8"/>
    <w:rsid w:val="00724AD1"/>
    <w:rsid w:val="00725E20"/>
    <w:rsid w:val="00727ACB"/>
    <w:rsid w:val="0073632B"/>
    <w:rsid w:val="00743118"/>
    <w:rsid w:val="00755ABF"/>
    <w:rsid w:val="0075696B"/>
    <w:rsid w:val="00756FA6"/>
    <w:rsid w:val="007610C8"/>
    <w:rsid w:val="00762992"/>
    <w:rsid w:val="00763D1B"/>
    <w:rsid w:val="00766A92"/>
    <w:rsid w:val="00777765"/>
    <w:rsid w:val="00781319"/>
    <w:rsid w:val="007852E7"/>
    <w:rsid w:val="00787B9D"/>
    <w:rsid w:val="00793406"/>
    <w:rsid w:val="00794352"/>
    <w:rsid w:val="00796102"/>
    <w:rsid w:val="007A7986"/>
    <w:rsid w:val="007C277C"/>
    <w:rsid w:val="007D18B6"/>
    <w:rsid w:val="007D4197"/>
    <w:rsid w:val="007D5BEA"/>
    <w:rsid w:val="007D6BAE"/>
    <w:rsid w:val="007E7F8E"/>
    <w:rsid w:val="008042C6"/>
    <w:rsid w:val="008204EE"/>
    <w:rsid w:val="00820B7B"/>
    <w:rsid w:val="008239E4"/>
    <w:rsid w:val="0083649E"/>
    <w:rsid w:val="00840CA5"/>
    <w:rsid w:val="00845AEA"/>
    <w:rsid w:val="00852484"/>
    <w:rsid w:val="00853A60"/>
    <w:rsid w:val="00854124"/>
    <w:rsid w:val="00855AF8"/>
    <w:rsid w:val="00861673"/>
    <w:rsid w:val="00866D6B"/>
    <w:rsid w:val="0088182E"/>
    <w:rsid w:val="00884C41"/>
    <w:rsid w:val="00884C95"/>
    <w:rsid w:val="0089519C"/>
    <w:rsid w:val="008A0011"/>
    <w:rsid w:val="008A0D16"/>
    <w:rsid w:val="008A28AF"/>
    <w:rsid w:val="008B0122"/>
    <w:rsid w:val="008B06EF"/>
    <w:rsid w:val="008B1D98"/>
    <w:rsid w:val="008C0D81"/>
    <w:rsid w:val="008D1624"/>
    <w:rsid w:val="008D7F1A"/>
    <w:rsid w:val="008E007A"/>
    <w:rsid w:val="008F22D6"/>
    <w:rsid w:val="008F3E10"/>
    <w:rsid w:val="0090025D"/>
    <w:rsid w:val="00900DCB"/>
    <w:rsid w:val="00911F89"/>
    <w:rsid w:val="00915794"/>
    <w:rsid w:val="00915981"/>
    <w:rsid w:val="009162C5"/>
    <w:rsid w:val="0092764B"/>
    <w:rsid w:val="00932AE8"/>
    <w:rsid w:val="0093334A"/>
    <w:rsid w:val="00941D45"/>
    <w:rsid w:val="009443D5"/>
    <w:rsid w:val="0095361C"/>
    <w:rsid w:val="00953BD6"/>
    <w:rsid w:val="00955FBF"/>
    <w:rsid w:val="00956126"/>
    <w:rsid w:val="009760C7"/>
    <w:rsid w:val="00976CDA"/>
    <w:rsid w:val="00982DAE"/>
    <w:rsid w:val="009932FE"/>
    <w:rsid w:val="0099588E"/>
    <w:rsid w:val="009A3F16"/>
    <w:rsid w:val="009A4CF3"/>
    <w:rsid w:val="009F179C"/>
    <w:rsid w:val="009F5F93"/>
    <w:rsid w:val="00A000CC"/>
    <w:rsid w:val="00A030C8"/>
    <w:rsid w:val="00A0367F"/>
    <w:rsid w:val="00A22CEB"/>
    <w:rsid w:val="00A27E9C"/>
    <w:rsid w:val="00A55F9A"/>
    <w:rsid w:val="00A652A2"/>
    <w:rsid w:val="00A66D56"/>
    <w:rsid w:val="00A81565"/>
    <w:rsid w:val="00A856D3"/>
    <w:rsid w:val="00A960E7"/>
    <w:rsid w:val="00AA0B44"/>
    <w:rsid w:val="00AA1CBA"/>
    <w:rsid w:val="00AA5DDD"/>
    <w:rsid w:val="00AA69E9"/>
    <w:rsid w:val="00AA7FA5"/>
    <w:rsid w:val="00AB0539"/>
    <w:rsid w:val="00AB416E"/>
    <w:rsid w:val="00AC6E29"/>
    <w:rsid w:val="00AD6D83"/>
    <w:rsid w:val="00AF6D9B"/>
    <w:rsid w:val="00B020C3"/>
    <w:rsid w:val="00B15372"/>
    <w:rsid w:val="00B16FC5"/>
    <w:rsid w:val="00B27B62"/>
    <w:rsid w:val="00B31A41"/>
    <w:rsid w:val="00B56D3C"/>
    <w:rsid w:val="00B61579"/>
    <w:rsid w:val="00B63340"/>
    <w:rsid w:val="00BA3858"/>
    <w:rsid w:val="00BA5BDC"/>
    <w:rsid w:val="00BA7AA1"/>
    <w:rsid w:val="00BB0732"/>
    <w:rsid w:val="00BC47F4"/>
    <w:rsid w:val="00BC65AF"/>
    <w:rsid w:val="00BC7E01"/>
    <w:rsid w:val="00BC7F26"/>
    <w:rsid w:val="00BD3B9D"/>
    <w:rsid w:val="00BD4000"/>
    <w:rsid w:val="00BE039C"/>
    <w:rsid w:val="00BE76C8"/>
    <w:rsid w:val="00BF2C59"/>
    <w:rsid w:val="00BF3753"/>
    <w:rsid w:val="00BF3D79"/>
    <w:rsid w:val="00BF4C64"/>
    <w:rsid w:val="00BF74E5"/>
    <w:rsid w:val="00C027F9"/>
    <w:rsid w:val="00C05232"/>
    <w:rsid w:val="00C11DF9"/>
    <w:rsid w:val="00C15F79"/>
    <w:rsid w:val="00C2021F"/>
    <w:rsid w:val="00C22122"/>
    <w:rsid w:val="00C3163B"/>
    <w:rsid w:val="00C4716C"/>
    <w:rsid w:val="00C50933"/>
    <w:rsid w:val="00C61E9A"/>
    <w:rsid w:val="00C6763B"/>
    <w:rsid w:val="00C70CE2"/>
    <w:rsid w:val="00C724E7"/>
    <w:rsid w:val="00C73813"/>
    <w:rsid w:val="00C753CF"/>
    <w:rsid w:val="00C81E5F"/>
    <w:rsid w:val="00C9198E"/>
    <w:rsid w:val="00C97D48"/>
    <w:rsid w:val="00CA3B54"/>
    <w:rsid w:val="00CA4F8C"/>
    <w:rsid w:val="00CB6FCE"/>
    <w:rsid w:val="00D01689"/>
    <w:rsid w:val="00D02F07"/>
    <w:rsid w:val="00D15945"/>
    <w:rsid w:val="00D5014F"/>
    <w:rsid w:val="00D516F7"/>
    <w:rsid w:val="00D56328"/>
    <w:rsid w:val="00D56711"/>
    <w:rsid w:val="00D56FDB"/>
    <w:rsid w:val="00D6178B"/>
    <w:rsid w:val="00D70297"/>
    <w:rsid w:val="00D80026"/>
    <w:rsid w:val="00D83F52"/>
    <w:rsid w:val="00D85D0A"/>
    <w:rsid w:val="00DA1528"/>
    <w:rsid w:val="00DA30AD"/>
    <w:rsid w:val="00DB4496"/>
    <w:rsid w:val="00DC0E2F"/>
    <w:rsid w:val="00DC5F1D"/>
    <w:rsid w:val="00DD4B74"/>
    <w:rsid w:val="00DD5222"/>
    <w:rsid w:val="00DE038E"/>
    <w:rsid w:val="00DE16B0"/>
    <w:rsid w:val="00DE486F"/>
    <w:rsid w:val="00DE7CEE"/>
    <w:rsid w:val="00DF0216"/>
    <w:rsid w:val="00DF373D"/>
    <w:rsid w:val="00E06A54"/>
    <w:rsid w:val="00E15F33"/>
    <w:rsid w:val="00E237E0"/>
    <w:rsid w:val="00E2523A"/>
    <w:rsid w:val="00E323C7"/>
    <w:rsid w:val="00E33766"/>
    <w:rsid w:val="00E4234E"/>
    <w:rsid w:val="00E56C96"/>
    <w:rsid w:val="00E65B7C"/>
    <w:rsid w:val="00E7337C"/>
    <w:rsid w:val="00E80A5F"/>
    <w:rsid w:val="00E80D16"/>
    <w:rsid w:val="00E85F4A"/>
    <w:rsid w:val="00E91593"/>
    <w:rsid w:val="00E9381D"/>
    <w:rsid w:val="00E939E1"/>
    <w:rsid w:val="00EB5C0A"/>
    <w:rsid w:val="00EC57D1"/>
    <w:rsid w:val="00ED2368"/>
    <w:rsid w:val="00EF01E1"/>
    <w:rsid w:val="00EF0BAF"/>
    <w:rsid w:val="00EF3883"/>
    <w:rsid w:val="00F00CCA"/>
    <w:rsid w:val="00F05B98"/>
    <w:rsid w:val="00F10EF2"/>
    <w:rsid w:val="00F170F9"/>
    <w:rsid w:val="00F357D7"/>
    <w:rsid w:val="00F665E2"/>
    <w:rsid w:val="00F71950"/>
    <w:rsid w:val="00F723DC"/>
    <w:rsid w:val="00F819DE"/>
    <w:rsid w:val="00F83A23"/>
    <w:rsid w:val="00F85627"/>
    <w:rsid w:val="00F8609F"/>
    <w:rsid w:val="00FA05F8"/>
    <w:rsid w:val="00FA2EF9"/>
    <w:rsid w:val="00FA357A"/>
    <w:rsid w:val="00FB00CC"/>
    <w:rsid w:val="00FB2F2D"/>
    <w:rsid w:val="00FB5FE6"/>
    <w:rsid w:val="00FB7FD5"/>
    <w:rsid w:val="00FC13C5"/>
    <w:rsid w:val="00FC47D2"/>
    <w:rsid w:val="00FC561A"/>
    <w:rsid w:val="00FC5E7E"/>
    <w:rsid w:val="00FD6734"/>
    <w:rsid w:val="00FE4563"/>
    <w:rsid w:val="00FE6B47"/>
    <w:rsid w:val="00FF4CC0"/>
    <w:rsid w:val="00FF626D"/>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56D3C"/>
    <w:rPr>
      <w:color w:val="0000FF" w:themeColor="hyperlink"/>
      <w:u w:val="single"/>
    </w:rPr>
  </w:style>
  <w:style w:type="paragraph" w:styleId="ListParagraph">
    <w:name w:val="List Paragraph"/>
    <w:aliases w:val="Body of text"/>
    <w:basedOn w:val="Normal"/>
    <w:link w:val="ListParagraphChar"/>
    <w:uiPriority w:val="34"/>
    <w:qFormat/>
    <w:rsid w:val="00325E21"/>
    <w:pPr>
      <w:ind w:left="720"/>
      <w:contextualSpacing/>
    </w:pPr>
  </w:style>
  <w:style w:type="paragraph" w:styleId="Header">
    <w:name w:val="header"/>
    <w:basedOn w:val="Normal"/>
    <w:link w:val="HeaderChar"/>
    <w:uiPriority w:val="99"/>
    <w:unhideWhenUsed/>
    <w:rsid w:val="00B1537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5372"/>
  </w:style>
  <w:style w:type="paragraph" w:styleId="Footer">
    <w:name w:val="footer"/>
    <w:basedOn w:val="Normal"/>
    <w:link w:val="FooterChar"/>
    <w:uiPriority w:val="99"/>
    <w:unhideWhenUsed/>
    <w:rsid w:val="00B153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5372"/>
  </w:style>
  <w:style w:type="paragraph" w:styleId="FootnoteText">
    <w:name w:val="footnote text"/>
    <w:aliases w:val="Char Char, Char,Char"/>
    <w:basedOn w:val="Normal"/>
    <w:link w:val="FootnoteTextChar"/>
    <w:unhideWhenUsed/>
    <w:rsid w:val="00861673"/>
    <w:pPr>
      <w:spacing w:after="0" w:line="240" w:lineRule="auto"/>
    </w:pPr>
    <w:rPr>
      <w:sz w:val="20"/>
      <w:szCs w:val="20"/>
    </w:rPr>
  </w:style>
  <w:style w:type="character" w:customStyle="1" w:styleId="FootnoteTextChar">
    <w:name w:val="Footnote Text Char"/>
    <w:aliases w:val="Char Char Char, Char Char,Char Char1"/>
    <w:basedOn w:val="DefaultParagraphFont"/>
    <w:link w:val="FootnoteText"/>
    <w:rsid w:val="00861673"/>
    <w:rPr>
      <w:sz w:val="20"/>
      <w:szCs w:val="20"/>
    </w:rPr>
  </w:style>
  <w:style w:type="character" w:styleId="FootnoteReference">
    <w:name w:val="footnote reference"/>
    <w:basedOn w:val="DefaultParagraphFont"/>
    <w:unhideWhenUsed/>
    <w:rsid w:val="00861673"/>
    <w:rPr>
      <w:vertAlign w:val="superscript"/>
    </w:rPr>
  </w:style>
  <w:style w:type="paragraph" w:customStyle="1" w:styleId="Default">
    <w:name w:val="Default"/>
    <w:rsid w:val="00480490"/>
    <w:pPr>
      <w:autoSpaceDE w:val="0"/>
      <w:autoSpaceDN w:val="0"/>
      <w:adjustRightInd w:val="0"/>
      <w:spacing w:after="0" w:line="240" w:lineRule="auto"/>
    </w:pPr>
    <w:rPr>
      <w:rFonts w:ascii="Cambria" w:hAnsi="Cambria" w:cs="Cambria"/>
      <w:color w:val="000000"/>
      <w:sz w:val="24"/>
      <w:szCs w:val="24"/>
    </w:rPr>
  </w:style>
  <w:style w:type="paragraph" w:styleId="HTMLPreformatted">
    <w:name w:val="HTML Preformatted"/>
    <w:basedOn w:val="Normal"/>
    <w:link w:val="HTMLPreformattedChar"/>
    <w:uiPriority w:val="99"/>
    <w:semiHidden/>
    <w:unhideWhenUsed/>
    <w:rsid w:val="00DE7C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d-ID"/>
    </w:rPr>
  </w:style>
  <w:style w:type="character" w:customStyle="1" w:styleId="HTMLPreformattedChar">
    <w:name w:val="HTML Preformatted Char"/>
    <w:basedOn w:val="DefaultParagraphFont"/>
    <w:link w:val="HTMLPreformatted"/>
    <w:uiPriority w:val="99"/>
    <w:semiHidden/>
    <w:rsid w:val="00DE7CEE"/>
    <w:rPr>
      <w:rFonts w:ascii="Courier New" w:eastAsia="Times New Roman" w:hAnsi="Courier New" w:cs="Courier New"/>
      <w:sz w:val="20"/>
      <w:szCs w:val="20"/>
      <w:lang w:eastAsia="id-ID"/>
    </w:rPr>
  </w:style>
  <w:style w:type="character" w:customStyle="1" w:styleId="y2iqfc">
    <w:name w:val="y2iqfc"/>
    <w:basedOn w:val="DefaultParagraphFont"/>
    <w:rsid w:val="00DE7CEE"/>
  </w:style>
  <w:style w:type="character" w:styleId="EndnoteReference">
    <w:name w:val="endnote reference"/>
    <w:basedOn w:val="DefaultParagraphFont"/>
    <w:uiPriority w:val="99"/>
    <w:semiHidden/>
    <w:unhideWhenUsed/>
    <w:rsid w:val="00215485"/>
    <w:rPr>
      <w:vertAlign w:val="superscript"/>
    </w:rPr>
  </w:style>
  <w:style w:type="paragraph" w:styleId="Bibliography">
    <w:name w:val="Bibliography"/>
    <w:basedOn w:val="Normal"/>
    <w:next w:val="Normal"/>
    <w:uiPriority w:val="37"/>
    <w:semiHidden/>
    <w:unhideWhenUsed/>
    <w:rsid w:val="00AB0539"/>
  </w:style>
  <w:style w:type="character" w:styleId="CommentReference">
    <w:name w:val="annotation reference"/>
    <w:basedOn w:val="DefaultParagraphFont"/>
    <w:uiPriority w:val="99"/>
    <w:semiHidden/>
    <w:unhideWhenUsed/>
    <w:rsid w:val="00AA0B44"/>
    <w:rPr>
      <w:sz w:val="16"/>
      <w:szCs w:val="16"/>
    </w:rPr>
  </w:style>
  <w:style w:type="paragraph" w:styleId="CommentText">
    <w:name w:val="annotation text"/>
    <w:basedOn w:val="Normal"/>
    <w:link w:val="CommentTextChar"/>
    <w:uiPriority w:val="99"/>
    <w:semiHidden/>
    <w:unhideWhenUsed/>
    <w:rsid w:val="00AA0B44"/>
    <w:pPr>
      <w:spacing w:line="240" w:lineRule="auto"/>
    </w:pPr>
    <w:rPr>
      <w:sz w:val="20"/>
      <w:szCs w:val="20"/>
    </w:rPr>
  </w:style>
  <w:style w:type="character" w:customStyle="1" w:styleId="CommentTextChar">
    <w:name w:val="Comment Text Char"/>
    <w:basedOn w:val="DefaultParagraphFont"/>
    <w:link w:val="CommentText"/>
    <w:uiPriority w:val="99"/>
    <w:semiHidden/>
    <w:rsid w:val="00AA0B44"/>
    <w:rPr>
      <w:sz w:val="20"/>
      <w:szCs w:val="20"/>
    </w:rPr>
  </w:style>
  <w:style w:type="paragraph" w:styleId="CommentSubject">
    <w:name w:val="annotation subject"/>
    <w:basedOn w:val="CommentText"/>
    <w:next w:val="CommentText"/>
    <w:link w:val="CommentSubjectChar"/>
    <w:uiPriority w:val="99"/>
    <w:semiHidden/>
    <w:unhideWhenUsed/>
    <w:rsid w:val="00AA0B44"/>
    <w:rPr>
      <w:b/>
      <w:bCs/>
    </w:rPr>
  </w:style>
  <w:style w:type="character" w:customStyle="1" w:styleId="CommentSubjectChar">
    <w:name w:val="Comment Subject Char"/>
    <w:basedOn w:val="CommentTextChar"/>
    <w:link w:val="CommentSubject"/>
    <w:uiPriority w:val="99"/>
    <w:semiHidden/>
    <w:rsid w:val="00AA0B44"/>
    <w:rPr>
      <w:b/>
      <w:bCs/>
      <w:sz w:val="20"/>
      <w:szCs w:val="20"/>
    </w:rPr>
  </w:style>
  <w:style w:type="paragraph" w:styleId="BalloonText">
    <w:name w:val="Balloon Text"/>
    <w:basedOn w:val="Normal"/>
    <w:link w:val="BalloonTextChar"/>
    <w:uiPriority w:val="99"/>
    <w:semiHidden/>
    <w:unhideWhenUsed/>
    <w:rsid w:val="00AA0B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0B44"/>
    <w:rPr>
      <w:rFonts w:ascii="Tahoma" w:hAnsi="Tahoma" w:cs="Tahoma"/>
      <w:sz w:val="16"/>
      <w:szCs w:val="16"/>
    </w:rPr>
  </w:style>
  <w:style w:type="paragraph" w:styleId="NormalWeb">
    <w:name w:val="Normal (Web)"/>
    <w:basedOn w:val="Normal"/>
    <w:uiPriority w:val="99"/>
    <w:semiHidden/>
    <w:unhideWhenUsed/>
    <w:rsid w:val="0090025D"/>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styleId="Strong">
    <w:name w:val="Strong"/>
    <w:basedOn w:val="DefaultParagraphFont"/>
    <w:uiPriority w:val="22"/>
    <w:qFormat/>
    <w:rsid w:val="0090025D"/>
    <w:rPr>
      <w:b/>
      <w:bCs/>
    </w:rPr>
  </w:style>
  <w:style w:type="character" w:styleId="Emphasis">
    <w:name w:val="Emphasis"/>
    <w:basedOn w:val="DefaultParagraphFont"/>
    <w:uiPriority w:val="20"/>
    <w:qFormat/>
    <w:rsid w:val="0090025D"/>
    <w:rPr>
      <w:i/>
      <w:iCs/>
    </w:rPr>
  </w:style>
  <w:style w:type="character" w:customStyle="1" w:styleId="ListParagraphChar">
    <w:name w:val="List Paragraph Char"/>
    <w:aliases w:val="Body of text Char"/>
    <w:link w:val="ListParagraph"/>
    <w:uiPriority w:val="34"/>
    <w:locked/>
    <w:rsid w:val="00C027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56D3C"/>
    <w:rPr>
      <w:color w:val="0000FF" w:themeColor="hyperlink"/>
      <w:u w:val="single"/>
    </w:rPr>
  </w:style>
  <w:style w:type="paragraph" w:styleId="ListParagraph">
    <w:name w:val="List Paragraph"/>
    <w:aliases w:val="Body of text"/>
    <w:basedOn w:val="Normal"/>
    <w:link w:val="ListParagraphChar"/>
    <w:uiPriority w:val="34"/>
    <w:qFormat/>
    <w:rsid w:val="00325E21"/>
    <w:pPr>
      <w:ind w:left="720"/>
      <w:contextualSpacing/>
    </w:pPr>
  </w:style>
  <w:style w:type="paragraph" w:styleId="Header">
    <w:name w:val="header"/>
    <w:basedOn w:val="Normal"/>
    <w:link w:val="HeaderChar"/>
    <w:uiPriority w:val="99"/>
    <w:unhideWhenUsed/>
    <w:rsid w:val="00B1537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5372"/>
  </w:style>
  <w:style w:type="paragraph" w:styleId="Footer">
    <w:name w:val="footer"/>
    <w:basedOn w:val="Normal"/>
    <w:link w:val="FooterChar"/>
    <w:uiPriority w:val="99"/>
    <w:unhideWhenUsed/>
    <w:rsid w:val="00B153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5372"/>
  </w:style>
  <w:style w:type="paragraph" w:styleId="FootnoteText">
    <w:name w:val="footnote text"/>
    <w:aliases w:val="Char Char, Char,Char"/>
    <w:basedOn w:val="Normal"/>
    <w:link w:val="FootnoteTextChar"/>
    <w:unhideWhenUsed/>
    <w:rsid w:val="00861673"/>
    <w:pPr>
      <w:spacing w:after="0" w:line="240" w:lineRule="auto"/>
    </w:pPr>
    <w:rPr>
      <w:sz w:val="20"/>
      <w:szCs w:val="20"/>
    </w:rPr>
  </w:style>
  <w:style w:type="character" w:customStyle="1" w:styleId="FootnoteTextChar">
    <w:name w:val="Footnote Text Char"/>
    <w:aliases w:val="Char Char Char, Char Char,Char Char1"/>
    <w:basedOn w:val="DefaultParagraphFont"/>
    <w:link w:val="FootnoteText"/>
    <w:rsid w:val="00861673"/>
    <w:rPr>
      <w:sz w:val="20"/>
      <w:szCs w:val="20"/>
    </w:rPr>
  </w:style>
  <w:style w:type="character" w:styleId="FootnoteReference">
    <w:name w:val="footnote reference"/>
    <w:basedOn w:val="DefaultParagraphFont"/>
    <w:unhideWhenUsed/>
    <w:rsid w:val="00861673"/>
    <w:rPr>
      <w:vertAlign w:val="superscript"/>
    </w:rPr>
  </w:style>
  <w:style w:type="paragraph" w:customStyle="1" w:styleId="Default">
    <w:name w:val="Default"/>
    <w:rsid w:val="00480490"/>
    <w:pPr>
      <w:autoSpaceDE w:val="0"/>
      <w:autoSpaceDN w:val="0"/>
      <w:adjustRightInd w:val="0"/>
      <w:spacing w:after="0" w:line="240" w:lineRule="auto"/>
    </w:pPr>
    <w:rPr>
      <w:rFonts w:ascii="Cambria" w:hAnsi="Cambria" w:cs="Cambria"/>
      <w:color w:val="000000"/>
      <w:sz w:val="24"/>
      <w:szCs w:val="24"/>
    </w:rPr>
  </w:style>
  <w:style w:type="paragraph" w:styleId="HTMLPreformatted">
    <w:name w:val="HTML Preformatted"/>
    <w:basedOn w:val="Normal"/>
    <w:link w:val="HTMLPreformattedChar"/>
    <w:uiPriority w:val="99"/>
    <w:semiHidden/>
    <w:unhideWhenUsed/>
    <w:rsid w:val="00DE7C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d-ID"/>
    </w:rPr>
  </w:style>
  <w:style w:type="character" w:customStyle="1" w:styleId="HTMLPreformattedChar">
    <w:name w:val="HTML Preformatted Char"/>
    <w:basedOn w:val="DefaultParagraphFont"/>
    <w:link w:val="HTMLPreformatted"/>
    <w:uiPriority w:val="99"/>
    <w:semiHidden/>
    <w:rsid w:val="00DE7CEE"/>
    <w:rPr>
      <w:rFonts w:ascii="Courier New" w:eastAsia="Times New Roman" w:hAnsi="Courier New" w:cs="Courier New"/>
      <w:sz w:val="20"/>
      <w:szCs w:val="20"/>
      <w:lang w:eastAsia="id-ID"/>
    </w:rPr>
  </w:style>
  <w:style w:type="character" w:customStyle="1" w:styleId="y2iqfc">
    <w:name w:val="y2iqfc"/>
    <w:basedOn w:val="DefaultParagraphFont"/>
    <w:rsid w:val="00DE7CEE"/>
  </w:style>
  <w:style w:type="character" w:styleId="EndnoteReference">
    <w:name w:val="endnote reference"/>
    <w:basedOn w:val="DefaultParagraphFont"/>
    <w:uiPriority w:val="99"/>
    <w:semiHidden/>
    <w:unhideWhenUsed/>
    <w:rsid w:val="00215485"/>
    <w:rPr>
      <w:vertAlign w:val="superscript"/>
    </w:rPr>
  </w:style>
  <w:style w:type="paragraph" w:styleId="Bibliography">
    <w:name w:val="Bibliography"/>
    <w:basedOn w:val="Normal"/>
    <w:next w:val="Normal"/>
    <w:uiPriority w:val="37"/>
    <w:semiHidden/>
    <w:unhideWhenUsed/>
    <w:rsid w:val="00AB0539"/>
  </w:style>
  <w:style w:type="character" w:styleId="CommentReference">
    <w:name w:val="annotation reference"/>
    <w:basedOn w:val="DefaultParagraphFont"/>
    <w:uiPriority w:val="99"/>
    <w:semiHidden/>
    <w:unhideWhenUsed/>
    <w:rsid w:val="00AA0B44"/>
    <w:rPr>
      <w:sz w:val="16"/>
      <w:szCs w:val="16"/>
    </w:rPr>
  </w:style>
  <w:style w:type="paragraph" w:styleId="CommentText">
    <w:name w:val="annotation text"/>
    <w:basedOn w:val="Normal"/>
    <w:link w:val="CommentTextChar"/>
    <w:uiPriority w:val="99"/>
    <w:semiHidden/>
    <w:unhideWhenUsed/>
    <w:rsid w:val="00AA0B44"/>
    <w:pPr>
      <w:spacing w:line="240" w:lineRule="auto"/>
    </w:pPr>
    <w:rPr>
      <w:sz w:val="20"/>
      <w:szCs w:val="20"/>
    </w:rPr>
  </w:style>
  <w:style w:type="character" w:customStyle="1" w:styleId="CommentTextChar">
    <w:name w:val="Comment Text Char"/>
    <w:basedOn w:val="DefaultParagraphFont"/>
    <w:link w:val="CommentText"/>
    <w:uiPriority w:val="99"/>
    <w:semiHidden/>
    <w:rsid w:val="00AA0B44"/>
    <w:rPr>
      <w:sz w:val="20"/>
      <w:szCs w:val="20"/>
    </w:rPr>
  </w:style>
  <w:style w:type="paragraph" w:styleId="CommentSubject">
    <w:name w:val="annotation subject"/>
    <w:basedOn w:val="CommentText"/>
    <w:next w:val="CommentText"/>
    <w:link w:val="CommentSubjectChar"/>
    <w:uiPriority w:val="99"/>
    <w:semiHidden/>
    <w:unhideWhenUsed/>
    <w:rsid w:val="00AA0B44"/>
    <w:rPr>
      <w:b/>
      <w:bCs/>
    </w:rPr>
  </w:style>
  <w:style w:type="character" w:customStyle="1" w:styleId="CommentSubjectChar">
    <w:name w:val="Comment Subject Char"/>
    <w:basedOn w:val="CommentTextChar"/>
    <w:link w:val="CommentSubject"/>
    <w:uiPriority w:val="99"/>
    <w:semiHidden/>
    <w:rsid w:val="00AA0B44"/>
    <w:rPr>
      <w:b/>
      <w:bCs/>
      <w:sz w:val="20"/>
      <w:szCs w:val="20"/>
    </w:rPr>
  </w:style>
  <w:style w:type="paragraph" w:styleId="BalloonText">
    <w:name w:val="Balloon Text"/>
    <w:basedOn w:val="Normal"/>
    <w:link w:val="BalloonTextChar"/>
    <w:uiPriority w:val="99"/>
    <w:semiHidden/>
    <w:unhideWhenUsed/>
    <w:rsid w:val="00AA0B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0B44"/>
    <w:rPr>
      <w:rFonts w:ascii="Tahoma" w:hAnsi="Tahoma" w:cs="Tahoma"/>
      <w:sz w:val="16"/>
      <w:szCs w:val="16"/>
    </w:rPr>
  </w:style>
  <w:style w:type="paragraph" w:styleId="NormalWeb">
    <w:name w:val="Normal (Web)"/>
    <w:basedOn w:val="Normal"/>
    <w:uiPriority w:val="99"/>
    <w:semiHidden/>
    <w:unhideWhenUsed/>
    <w:rsid w:val="0090025D"/>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styleId="Strong">
    <w:name w:val="Strong"/>
    <w:basedOn w:val="DefaultParagraphFont"/>
    <w:uiPriority w:val="22"/>
    <w:qFormat/>
    <w:rsid w:val="0090025D"/>
    <w:rPr>
      <w:b/>
      <w:bCs/>
    </w:rPr>
  </w:style>
  <w:style w:type="character" w:styleId="Emphasis">
    <w:name w:val="Emphasis"/>
    <w:basedOn w:val="DefaultParagraphFont"/>
    <w:uiPriority w:val="20"/>
    <w:qFormat/>
    <w:rsid w:val="0090025D"/>
    <w:rPr>
      <w:i/>
      <w:iCs/>
    </w:rPr>
  </w:style>
  <w:style w:type="character" w:customStyle="1" w:styleId="ListParagraphChar">
    <w:name w:val="List Paragraph Char"/>
    <w:aliases w:val="Body of text Char"/>
    <w:link w:val="ListParagraph"/>
    <w:uiPriority w:val="34"/>
    <w:locked/>
    <w:rsid w:val="00C027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5701765">
      <w:bodyDiv w:val="1"/>
      <w:marLeft w:val="0"/>
      <w:marRight w:val="0"/>
      <w:marTop w:val="0"/>
      <w:marBottom w:val="0"/>
      <w:divBdr>
        <w:top w:val="none" w:sz="0" w:space="0" w:color="auto"/>
        <w:left w:val="none" w:sz="0" w:space="0" w:color="auto"/>
        <w:bottom w:val="none" w:sz="0" w:space="0" w:color="auto"/>
        <w:right w:val="none" w:sz="0" w:space="0" w:color="auto"/>
      </w:divBdr>
    </w:div>
    <w:div w:id="773790852">
      <w:bodyDiv w:val="1"/>
      <w:marLeft w:val="0"/>
      <w:marRight w:val="0"/>
      <w:marTop w:val="0"/>
      <w:marBottom w:val="0"/>
      <w:divBdr>
        <w:top w:val="none" w:sz="0" w:space="0" w:color="auto"/>
        <w:left w:val="none" w:sz="0" w:space="0" w:color="auto"/>
        <w:bottom w:val="none" w:sz="0" w:space="0" w:color="auto"/>
        <w:right w:val="none" w:sz="0" w:space="0" w:color="auto"/>
      </w:divBdr>
    </w:div>
    <w:div w:id="858540991">
      <w:bodyDiv w:val="1"/>
      <w:marLeft w:val="0"/>
      <w:marRight w:val="0"/>
      <w:marTop w:val="0"/>
      <w:marBottom w:val="0"/>
      <w:divBdr>
        <w:top w:val="none" w:sz="0" w:space="0" w:color="auto"/>
        <w:left w:val="none" w:sz="0" w:space="0" w:color="auto"/>
        <w:bottom w:val="none" w:sz="0" w:space="0" w:color="auto"/>
        <w:right w:val="none" w:sz="0" w:space="0" w:color="auto"/>
      </w:divBdr>
      <w:divsChild>
        <w:div w:id="1519347431">
          <w:marLeft w:val="547"/>
          <w:marRight w:val="0"/>
          <w:marTop w:val="48"/>
          <w:marBottom w:val="0"/>
          <w:divBdr>
            <w:top w:val="none" w:sz="0" w:space="0" w:color="auto"/>
            <w:left w:val="none" w:sz="0" w:space="0" w:color="auto"/>
            <w:bottom w:val="none" w:sz="0" w:space="0" w:color="auto"/>
            <w:right w:val="none" w:sz="0" w:space="0" w:color="auto"/>
          </w:divBdr>
        </w:div>
        <w:div w:id="73671756">
          <w:marLeft w:val="547"/>
          <w:marRight w:val="0"/>
          <w:marTop w:val="48"/>
          <w:marBottom w:val="0"/>
          <w:divBdr>
            <w:top w:val="none" w:sz="0" w:space="0" w:color="auto"/>
            <w:left w:val="none" w:sz="0" w:space="0" w:color="auto"/>
            <w:bottom w:val="none" w:sz="0" w:space="0" w:color="auto"/>
            <w:right w:val="none" w:sz="0" w:space="0" w:color="auto"/>
          </w:divBdr>
        </w:div>
        <w:div w:id="514147886">
          <w:marLeft w:val="1267"/>
          <w:marRight w:val="0"/>
          <w:marTop w:val="48"/>
          <w:marBottom w:val="0"/>
          <w:divBdr>
            <w:top w:val="none" w:sz="0" w:space="0" w:color="auto"/>
            <w:left w:val="none" w:sz="0" w:space="0" w:color="auto"/>
            <w:bottom w:val="none" w:sz="0" w:space="0" w:color="auto"/>
            <w:right w:val="none" w:sz="0" w:space="0" w:color="auto"/>
          </w:divBdr>
        </w:div>
        <w:div w:id="1273629872">
          <w:marLeft w:val="1267"/>
          <w:marRight w:val="0"/>
          <w:marTop w:val="48"/>
          <w:marBottom w:val="0"/>
          <w:divBdr>
            <w:top w:val="none" w:sz="0" w:space="0" w:color="auto"/>
            <w:left w:val="none" w:sz="0" w:space="0" w:color="auto"/>
            <w:bottom w:val="none" w:sz="0" w:space="0" w:color="auto"/>
            <w:right w:val="none" w:sz="0" w:space="0" w:color="auto"/>
          </w:divBdr>
        </w:div>
        <w:div w:id="161360661">
          <w:marLeft w:val="1267"/>
          <w:marRight w:val="0"/>
          <w:marTop w:val="48"/>
          <w:marBottom w:val="0"/>
          <w:divBdr>
            <w:top w:val="none" w:sz="0" w:space="0" w:color="auto"/>
            <w:left w:val="none" w:sz="0" w:space="0" w:color="auto"/>
            <w:bottom w:val="none" w:sz="0" w:space="0" w:color="auto"/>
            <w:right w:val="none" w:sz="0" w:space="0" w:color="auto"/>
          </w:divBdr>
        </w:div>
        <w:div w:id="477570592">
          <w:marLeft w:val="547"/>
          <w:marRight w:val="0"/>
          <w:marTop w:val="48"/>
          <w:marBottom w:val="0"/>
          <w:divBdr>
            <w:top w:val="none" w:sz="0" w:space="0" w:color="auto"/>
            <w:left w:val="none" w:sz="0" w:space="0" w:color="auto"/>
            <w:bottom w:val="none" w:sz="0" w:space="0" w:color="auto"/>
            <w:right w:val="none" w:sz="0" w:space="0" w:color="auto"/>
          </w:divBdr>
        </w:div>
        <w:div w:id="1212613884">
          <w:marLeft w:val="547"/>
          <w:marRight w:val="0"/>
          <w:marTop w:val="48"/>
          <w:marBottom w:val="0"/>
          <w:divBdr>
            <w:top w:val="none" w:sz="0" w:space="0" w:color="auto"/>
            <w:left w:val="none" w:sz="0" w:space="0" w:color="auto"/>
            <w:bottom w:val="none" w:sz="0" w:space="0" w:color="auto"/>
            <w:right w:val="none" w:sz="0" w:space="0" w:color="auto"/>
          </w:divBdr>
        </w:div>
      </w:divsChild>
    </w:div>
    <w:div w:id="1109812101">
      <w:bodyDiv w:val="1"/>
      <w:marLeft w:val="0"/>
      <w:marRight w:val="0"/>
      <w:marTop w:val="0"/>
      <w:marBottom w:val="0"/>
      <w:divBdr>
        <w:top w:val="none" w:sz="0" w:space="0" w:color="auto"/>
        <w:left w:val="none" w:sz="0" w:space="0" w:color="auto"/>
        <w:bottom w:val="none" w:sz="0" w:space="0" w:color="auto"/>
        <w:right w:val="none" w:sz="0" w:space="0" w:color="auto"/>
      </w:divBdr>
    </w:div>
    <w:div w:id="1149132390">
      <w:bodyDiv w:val="1"/>
      <w:marLeft w:val="0"/>
      <w:marRight w:val="0"/>
      <w:marTop w:val="0"/>
      <w:marBottom w:val="0"/>
      <w:divBdr>
        <w:top w:val="none" w:sz="0" w:space="0" w:color="auto"/>
        <w:left w:val="none" w:sz="0" w:space="0" w:color="auto"/>
        <w:bottom w:val="none" w:sz="0" w:space="0" w:color="auto"/>
        <w:right w:val="none" w:sz="0" w:space="0" w:color="auto"/>
      </w:divBdr>
    </w:div>
    <w:div w:id="1319922088">
      <w:bodyDiv w:val="1"/>
      <w:marLeft w:val="0"/>
      <w:marRight w:val="0"/>
      <w:marTop w:val="0"/>
      <w:marBottom w:val="0"/>
      <w:divBdr>
        <w:top w:val="none" w:sz="0" w:space="0" w:color="auto"/>
        <w:left w:val="none" w:sz="0" w:space="0" w:color="auto"/>
        <w:bottom w:val="none" w:sz="0" w:space="0" w:color="auto"/>
        <w:right w:val="none" w:sz="0" w:space="0" w:color="auto"/>
      </w:divBdr>
      <w:divsChild>
        <w:div w:id="559250615">
          <w:marLeft w:val="446"/>
          <w:marRight w:val="0"/>
          <w:marTop w:val="0"/>
          <w:marBottom w:val="0"/>
          <w:divBdr>
            <w:top w:val="none" w:sz="0" w:space="0" w:color="auto"/>
            <w:left w:val="none" w:sz="0" w:space="0" w:color="auto"/>
            <w:bottom w:val="none" w:sz="0" w:space="0" w:color="auto"/>
            <w:right w:val="none" w:sz="0" w:space="0" w:color="auto"/>
          </w:divBdr>
        </w:div>
        <w:div w:id="1714959085">
          <w:marLeft w:val="446"/>
          <w:marRight w:val="0"/>
          <w:marTop w:val="0"/>
          <w:marBottom w:val="0"/>
          <w:divBdr>
            <w:top w:val="none" w:sz="0" w:space="0" w:color="auto"/>
            <w:left w:val="none" w:sz="0" w:space="0" w:color="auto"/>
            <w:bottom w:val="none" w:sz="0" w:space="0" w:color="auto"/>
            <w:right w:val="none" w:sz="0" w:space="0" w:color="auto"/>
          </w:divBdr>
        </w:div>
        <w:div w:id="1771775303">
          <w:marLeft w:val="446"/>
          <w:marRight w:val="0"/>
          <w:marTop w:val="0"/>
          <w:marBottom w:val="0"/>
          <w:divBdr>
            <w:top w:val="none" w:sz="0" w:space="0" w:color="auto"/>
            <w:left w:val="none" w:sz="0" w:space="0" w:color="auto"/>
            <w:bottom w:val="none" w:sz="0" w:space="0" w:color="auto"/>
            <w:right w:val="none" w:sz="0" w:space="0" w:color="auto"/>
          </w:divBdr>
        </w:div>
        <w:div w:id="1438869873">
          <w:marLeft w:val="720"/>
          <w:marRight w:val="0"/>
          <w:marTop w:val="0"/>
          <w:marBottom w:val="0"/>
          <w:divBdr>
            <w:top w:val="none" w:sz="0" w:space="0" w:color="auto"/>
            <w:left w:val="none" w:sz="0" w:space="0" w:color="auto"/>
            <w:bottom w:val="none" w:sz="0" w:space="0" w:color="auto"/>
            <w:right w:val="none" w:sz="0" w:space="0" w:color="auto"/>
          </w:divBdr>
        </w:div>
        <w:div w:id="1375077331">
          <w:marLeft w:val="446"/>
          <w:marRight w:val="0"/>
          <w:marTop w:val="0"/>
          <w:marBottom w:val="0"/>
          <w:divBdr>
            <w:top w:val="none" w:sz="0" w:space="0" w:color="auto"/>
            <w:left w:val="none" w:sz="0" w:space="0" w:color="auto"/>
            <w:bottom w:val="none" w:sz="0" w:space="0" w:color="auto"/>
            <w:right w:val="none" w:sz="0" w:space="0" w:color="auto"/>
          </w:divBdr>
        </w:div>
      </w:divsChild>
    </w:div>
    <w:div w:id="1575092909">
      <w:bodyDiv w:val="1"/>
      <w:marLeft w:val="0"/>
      <w:marRight w:val="0"/>
      <w:marTop w:val="0"/>
      <w:marBottom w:val="0"/>
      <w:divBdr>
        <w:top w:val="none" w:sz="0" w:space="0" w:color="auto"/>
        <w:left w:val="none" w:sz="0" w:space="0" w:color="auto"/>
        <w:bottom w:val="none" w:sz="0" w:space="0" w:color="auto"/>
        <w:right w:val="none" w:sz="0" w:space="0" w:color="auto"/>
      </w:divBdr>
    </w:div>
    <w:div w:id="1775905287">
      <w:bodyDiv w:val="1"/>
      <w:marLeft w:val="0"/>
      <w:marRight w:val="0"/>
      <w:marTop w:val="0"/>
      <w:marBottom w:val="0"/>
      <w:divBdr>
        <w:top w:val="none" w:sz="0" w:space="0" w:color="auto"/>
        <w:left w:val="none" w:sz="0" w:space="0" w:color="auto"/>
        <w:bottom w:val="none" w:sz="0" w:space="0" w:color="auto"/>
        <w:right w:val="none" w:sz="0" w:space="0" w:color="auto"/>
      </w:divBdr>
    </w:div>
    <w:div w:id="195142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elfirdausy@syariah.uin-malang.ac.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A0261AE-94BC-44A5-9176-53C0C26C2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7355</Words>
  <Characters>41930</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BISMILLAH NAWAITU</dc:creator>
  <cp:lastModifiedBy>Microsoft</cp:lastModifiedBy>
  <cp:revision>3</cp:revision>
  <cp:lastPrinted>2021-09-02T17:53:00Z</cp:lastPrinted>
  <dcterms:created xsi:type="dcterms:W3CDTF">2022-01-26T01:13:00Z</dcterms:created>
  <dcterms:modified xsi:type="dcterms:W3CDTF">2022-01-26T01:17:00Z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id="nPhtOtZs"/&gt;&lt;style id="http://www.zotero.org/styles/chicago-fullnote-bibliography" locale="en-US" hasBibliography="1" bibliographyStyleHasBeenSet="1"/&gt;&lt;prefs&gt;&lt;pref name="fieldType" value="Field"</vt:lpwstr>
  </property>
  <property fmtid="{D5CDD505-2E9C-101B-9397-08002B2CF9AE}" pid="3" name="ZOTERO_PREF_2">
    <vt:lpwstr>/&gt;&lt;pref name="noteType" value="1"/&gt;&lt;/prefs&gt;&lt;/data&gt;</vt:lpwstr>
  </property>
</Properties>
</file>