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5BBE00" w14:textId="77777777" w:rsidR="0009204F" w:rsidRPr="0009204F" w:rsidRDefault="00467DAA" w:rsidP="0009204F">
      <w:pPr>
        <w:jc w:val="center"/>
        <w:rPr>
          <w:rFonts w:ascii="Calibri Light" w:hAnsi="Calibri Light" w:cs="Calibri Light"/>
          <w:b/>
          <w:bCs/>
          <w:sz w:val="28"/>
          <w:szCs w:val="28"/>
        </w:rPr>
      </w:pPr>
      <w:r w:rsidRPr="00467DAA">
        <w:rPr>
          <w:rFonts w:ascii="Calibri Light" w:hAnsi="Calibri Light" w:cs="Calibri Light"/>
          <w:b/>
          <w:bCs/>
          <w:sz w:val="28"/>
          <w:szCs w:val="28"/>
        </w:rPr>
        <w:t>PRISMA-Based Study on Integrating Islamic Principles into Contemporary Legal Systems: A Comparative Analysis of Qur'anic Human Rights Law in Egypt and Indonesia</w:t>
      </w:r>
    </w:p>
    <w:p w14:paraId="7C94B234" w14:textId="77777777" w:rsidR="0009204F" w:rsidRPr="0009204F" w:rsidRDefault="0009204F" w:rsidP="0009204F">
      <w:pPr>
        <w:rPr>
          <w:rFonts w:ascii="Calibri Light" w:hAnsi="Calibri Light" w:cs="Calibri Light"/>
          <w:b/>
          <w:bCs/>
          <w:sz w:val="28"/>
          <w:szCs w:val="28"/>
        </w:rPr>
      </w:pPr>
    </w:p>
    <w:p w14:paraId="6F857B89" w14:textId="77777777" w:rsidR="00DE1E48" w:rsidRPr="00122F5F" w:rsidRDefault="00DE1E48" w:rsidP="001D7DEE">
      <w:pPr>
        <w:jc w:val="center"/>
        <w:rPr>
          <w:rFonts w:ascii="Calibri Light" w:hAnsi="Calibri Light" w:cs="Calibri Light"/>
          <w:sz w:val="24"/>
          <w:szCs w:val="24"/>
        </w:rPr>
      </w:pPr>
    </w:p>
    <w:p w14:paraId="6EE12057"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4DA2A742"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73F78057"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790382FC" w14:textId="77777777" w:rsidR="00863A78" w:rsidRPr="00863A78" w:rsidRDefault="00863A78" w:rsidP="00863A78">
      <w:pPr>
        <w:ind w:right="737"/>
        <w:rPr>
          <w:rFonts w:ascii="Calibri Light" w:hAnsi="Calibri Light" w:cs="Calibri Light"/>
          <w:b/>
          <w:bCs/>
        </w:rPr>
      </w:pPr>
    </w:p>
    <w:p w14:paraId="16C507A4" w14:textId="77777777" w:rsidR="00863A78" w:rsidRPr="00863A78" w:rsidRDefault="00E170AD"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740C9C03" wp14:editId="22CA2391">
            <wp:extent cx="259080" cy="259080"/>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1FC2EF6E"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51940808" w14:textId="77777777" w:rsidTr="00540F02">
        <w:tc>
          <w:tcPr>
            <w:tcW w:w="9004" w:type="dxa"/>
            <w:tcBorders>
              <w:left w:val="nil"/>
              <w:right w:val="nil"/>
            </w:tcBorders>
          </w:tcPr>
          <w:p w14:paraId="14680211" w14:textId="77777777" w:rsidR="00863A78" w:rsidRPr="00540F02" w:rsidRDefault="00863A78" w:rsidP="00540F02">
            <w:pPr>
              <w:ind w:right="2"/>
              <w:jc w:val="both"/>
              <w:rPr>
                <w:rFonts w:ascii="Calibri Light" w:hAnsi="Calibri Light" w:cs="Calibri Light"/>
                <w:sz w:val="12"/>
                <w:szCs w:val="12"/>
              </w:rPr>
            </w:pPr>
          </w:p>
          <w:p w14:paraId="7523F501"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14:paraId="7F7B155B" w14:textId="77777777" w:rsidR="00863A78" w:rsidRPr="00540F02" w:rsidRDefault="00863A78" w:rsidP="00540F02">
            <w:pPr>
              <w:ind w:right="2"/>
              <w:jc w:val="both"/>
              <w:rPr>
                <w:rFonts w:ascii="Calibri Light" w:hAnsi="Calibri Light" w:cs="Calibri Light"/>
                <w:color w:val="0462C1"/>
                <w:u w:val="single" w:color="0462C1"/>
              </w:rPr>
            </w:pPr>
          </w:p>
          <w:p w14:paraId="2FEF36C6"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0715275E" w14:textId="77777777" w:rsidR="00863A78" w:rsidRPr="00540F02" w:rsidRDefault="00863A78" w:rsidP="00540F02">
            <w:pPr>
              <w:ind w:right="2"/>
              <w:jc w:val="both"/>
              <w:rPr>
                <w:rFonts w:ascii="Calibri Light" w:hAnsi="Calibri Light" w:cs="Calibri Light"/>
                <w:b/>
                <w:bCs/>
                <w:sz w:val="12"/>
                <w:szCs w:val="12"/>
              </w:rPr>
            </w:pPr>
          </w:p>
        </w:tc>
      </w:tr>
    </w:tbl>
    <w:p w14:paraId="3704EE4D" w14:textId="77777777" w:rsidR="00863A78" w:rsidRDefault="00863A78" w:rsidP="00863A78">
      <w:pPr>
        <w:ind w:right="737"/>
        <w:rPr>
          <w:rFonts w:ascii="Calibri Light" w:hAnsi="Calibri Light" w:cs="Calibri Light"/>
          <w:b/>
          <w:bCs/>
          <w:sz w:val="24"/>
          <w:szCs w:val="24"/>
        </w:rPr>
      </w:pPr>
    </w:p>
    <w:p w14:paraId="5336E02E" w14:textId="77777777" w:rsidR="00A762F0" w:rsidRDefault="00A27B34" w:rsidP="00540F02">
      <w:pPr>
        <w:ind w:right="-1"/>
        <w:jc w:val="both"/>
        <w:rPr>
          <w:rFonts w:ascii="Calibri Light" w:hAnsi="Calibri Light" w:cs="Calibri Light"/>
          <w:sz w:val="24"/>
          <w:szCs w:val="24"/>
          <w:rtl/>
        </w:rPr>
      </w:pPr>
      <w:commentRangeStart w:id="0"/>
      <w:r w:rsidRPr="00122F5F">
        <w:rPr>
          <w:rFonts w:ascii="Calibri Light" w:hAnsi="Calibri Light" w:cs="Calibri Light"/>
          <w:b/>
          <w:bCs/>
          <w:sz w:val="24"/>
          <w:szCs w:val="24"/>
        </w:rPr>
        <w:t>ABSTRACT</w:t>
      </w:r>
      <w:commentRangeEnd w:id="0"/>
      <w:r w:rsidR="001E440D">
        <w:rPr>
          <w:rStyle w:val="CommentReference"/>
        </w:rPr>
        <w:commentReference w:id="0"/>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p>
    <w:p w14:paraId="7B43273D" w14:textId="77777777" w:rsidR="00A762F0" w:rsidRDefault="00A762F0" w:rsidP="00A762F0">
      <w:pPr>
        <w:ind w:right="-1"/>
        <w:jc w:val="both"/>
        <w:rPr>
          <w:rFonts w:ascii="Calibri Light" w:hAnsi="Calibri Light" w:cs="Calibri Light"/>
          <w:i/>
          <w:iCs/>
          <w:noProof/>
          <w:color w:val="000000"/>
          <w:sz w:val="24"/>
          <w:szCs w:val="24"/>
          <w:rtl/>
          <w:lang w:val="en-GB"/>
        </w:rPr>
      </w:pPr>
      <w:r w:rsidRPr="00A762F0">
        <w:rPr>
          <w:rFonts w:ascii="Calibri Light" w:hAnsi="Calibri Light" w:cs="Calibri Light"/>
          <w:i/>
          <w:iCs/>
          <w:noProof/>
          <w:color w:val="000000"/>
          <w:sz w:val="24"/>
          <w:szCs w:val="24"/>
          <w:lang w:val="en-GB"/>
        </w:rPr>
        <w:t xml:space="preserve">This study examines the comparative application of human rights law derived from the Qur'an in Egypt and Indonesia, focusing on integrating Islamic principles into modern legal frameworks. It provides a background on the historical and cultural contexts of both countries, highlighting their shared reliance on Islamic teachings alongside secular legal systems. The research addresses how each nation interprets and applies Qur'anic principles to contemporary human rights challenges, identifying the key issue of balancing universal human rights standards with the specificities of Islamic jurisprudence, which often leads to differences in application. Employing the PRISMA framework (Preferred Reporting Items for Systematic Reviews and Meta-Analyses), </w:t>
      </w:r>
      <w:commentRangeStart w:id="1"/>
      <w:r w:rsidRPr="00A762F0">
        <w:rPr>
          <w:rFonts w:ascii="Calibri Light" w:hAnsi="Calibri Light" w:cs="Calibri Light"/>
          <w:i/>
          <w:iCs/>
          <w:noProof/>
          <w:color w:val="000000"/>
          <w:sz w:val="24"/>
          <w:szCs w:val="24"/>
          <w:lang w:val="en-GB"/>
        </w:rPr>
        <w:t>the study ensures a systematic and rigorous review of legal texts, academic literature, and case studies to identify key themes and patterns</w:t>
      </w:r>
      <w:commentRangeEnd w:id="1"/>
      <w:r w:rsidR="00A628C4">
        <w:rPr>
          <w:rStyle w:val="CommentReference"/>
        </w:rPr>
        <w:commentReference w:id="1"/>
      </w:r>
      <w:r w:rsidRPr="00A762F0">
        <w:rPr>
          <w:rFonts w:ascii="Calibri Light" w:hAnsi="Calibri Light" w:cs="Calibri Light"/>
          <w:i/>
          <w:iCs/>
          <w:noProof/>
          <w:color w:val="000000"/>
          <w:sz w:val="24"/>
          <w:szCs w:val="24"/>
          <w:lang w:val="en-GB"/>
        </w:rPr>
        <w:t xml:space="preserve">. The findings reveal that while both countries uphold Qur'anic values in protecting fundamental rights, their </w:t>
      </w:r>
      <w:commentRangeStart w:id="2"/>
      <w:r w:rsidRPr="00A762F0">
        <w:rPr>
          <w:rFonts w:ascii="Calibri Light" w:hAnsi="Calibri Light" w:cs="Calibri Light"/>
          <w:i/>
          <w:iCs/>
          <w:noProof/>
          <w:color w:val="000000"/>
          <w:sz w:val="24"/>
          <w:szCs w:val="24"/>
          <w:lang w:val="en-GB"/>
        </w:rPr>
        <w:t>approaches differ due to cultural, political, and historical influences</w:t>
      </w:r>
      <w:commentRangeEnd w:id="2"/>
      <w:r w:rsidR="002E6AB8">
        <w:rPr>
          <w:rStyle w:val="CommentReference"/>
        </w:rPr>
        <w:commentReference w:id="2"/>
      </w:r>
      <w:r w:rsidRPr="00A762F0">
        <w:rPr>
          <w:rFonts w:ascii="Calibri Light" w:hAnsi="Calibri Light" w:cs="Calibri Light"/>
          <w:i/>
          <w:iCs/>
          <w:noProof/>
          <w:color w:val="000000"/>
          <w:sz w:val="24"/>
          <w:szCs w:val="24"/>
          <w:lang w:val="en-GB"/>
        </w:rPr>
        <w:t xml:space="preserve">. By demonstrating the utility of the PRISMA framework in producing reliable results, the research contributes to understanding the dynamic relationship between religion and law and offers insights into harmonizing Islamic principles with global human rights frameworks. </w:t>
      </w:r>
    </w:p>
    <w:p w14:paraId="5A4549E4" w14:textId="77777777" w:rsidR="009A1E24" w:rsidRPr="00A762F0" w:rsidRDefault="009A1E24" w:rsidP="00A762F0">
      <w:pPr>
        <w:ind w:right="-1"/>
        <w:jc w:val="both"/>
        <w:rPr>
          <w:rFonts w:ascii="Calibri Light" w:hAnsi="Calibri Light" w:cs="Calibri Light"/>
          <w:i/>
          <w:iCs/>
          <w:noProof/>
          <w:color w:val="000000"/>
          <w:sz w:val="24"/>
          <w:szCs w:val="24"/>
          <w:rtl/>
        </w:rPr>
      </w:pPr>
      <w:r>
        <w:rPr>
          <w:rFonts w:ascii="Calibri Light" w:hAnsi="Calibri Light" w:cs="Calibri Light"/>
          <w:i/>
          <w:iCs/>
          <w:noProof/>
          <w:color w:val="000000"/>
          <w:sz w:val="24"/>
          <w:szCs w:val="24"/>
          <w:rtl/>
          <w:lang w:val="en-GB"/>
        </w:rPr>
        <w:t xml:space="preserve">  </w:t>
      </w:r>
    </w:p>
    <w:p w14:paraId="2F309E0D" w14:textId="77777777" w:rsidR="00A762F0" w:rsidRPr="00A762F0" w:rsidRDefault="003E7145" w:rsidP="00A762F0">
      <w:pPr>
        <w:ind w:right="-1"/>
        <w:jc w:val="both"/>
        <w:rPr>
          <w:rFonts w:ascii="Calibri Light" w:hAnsi="Calibri Light" w:cs="Calibri Light"/>
          <w:noProof/>
          <w:color w:val="000000"/>
          <w:sz w:val="24"/>
          <w:szCs w:val="24"/>
          <w:lang w:val="en-GB"/>
        </w:rPr>
      </w:pPr>
      <w:r w:rsidRPr="003E7145">
        <w:rPr>
          <w:rFonts w:ascii="Calibri Light" w:hAnsi="Calibri Light" w:cs="Calibri Light"/>
          <w:noProof/>
          <w:color w:val="000000"/>
          <w:sz w:val="24"/>
          <w:szCs w:val="24"/>
          <w:lang w:val="en-GB"/>
        </w:rPr>
        <w:t xml:space="preserve">Studi ini mengkaji penerapan hukum hak asasi manusia yang bersumber dari Al-Qur'an di Mesir dan Indonesia, dengan fokus pada integrasi prinsip-prinsip Islam ke dalam kerangka hukum modern. Penelitian ini memberikan latar belakang tentang konteks sejarah dan budaya kedua negara, yang menyoroti ketergantungan bersama mereka pada ajaran Islam di samping sistem hukum sekuler. Penelitian ini membahas bagaimana masing-masing negara menafsirkan dan menerapkan prinsip-prinsip Al-Qur'an terhadap tantangan hak asasi manusia kontemporer, dengan mengidentifikasi isu utama berupa keseimbangan antara standar hak asasi manusia universal dan kekhususan yurisprudensi Islam, yang sering kali menghasilkan perbedaan dalam penerapannya. Dengan menggunakan kerangka kerja PRISMA (Preferred Reporting Items for Systematic Reviews and Meta-Analyses), studi ini memastikan tinjauan yang sistematis dan </w:t>
      </w:r>
      <w:r w:rsidRPr="003E7145">
        <w:rPr>
          <w:rFonts w:ascii="Calibri Light" w:hAnsi="Calibri Light" w:cs="Calibri Light"/>
          <w:noProof/>
          <w:color w:val="000000"/>
          <w:sz w:val="24"/>
          <w:szCs w:val="24"/>
          <w:lang w:val="en-GB"/>
        </w:rPr>
        <w:lastRenderedPageBreak/>
        <w:t>ketat terhadap teks hukum, literatur akademik, dan studi kasus untuk mengidentifikasi tema dan pola utama. Temuan menunjukkan bahwa meskipun kedua negara menegakkan nilai-nilai Al-Qur'an dalam melindungi hak-hak dasar, pendekatan mereka berbeda karena pengaruh budaya, politik, dan sejarah. Dengan menunjukkan kegunaan kerangka kerja PRISMA dalam menghasilkan hasil yang andal, penelitian ini berkontribusi pada pemahaman hubungan dinamis antara agama dan hukum serta menawarkan wawasan tentang upaya harmonisasi prinsip-prinsip Islam dengan kerangka hak asasi manusia global.</w:t>
      </w:r>
    </w:p>
    <w:p w14:paraId="772C139D" w14:textId="77777777" w:rsidR="00486707" w:rsidRPr="00122F5F" w:rsidRDefault="00486707" w:rsidP="003E7145">
      <w:pPr>
        <w:ind w:right="737"/>
        <w:jc w:val="both"/>
        <w:rPr>
          <w:rFonts w:ascii="Calibri Light" w:hAnsi="Calibri Light" w:cs="Calibri Light"/>
          <w:i/>
          <w:iCs/>
          <w:sz w:val="24"/>
          <w:szCs w:val="24"/>
          <w:lang w:val="id-ID"/>
        </w:rPr>
      </w:pPr>
    </w:p>
    <w:p w14:paraId="70F96565" w14:textId="77777777"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003E7145">
        <w:rPr>
          <w:rFonts w:ascii="Calibri Light" w:hAnsi="Calibri Light" w:cs="Calibri Light"/>
          <w:sz w:val="24"/>
          <w:szCs w:val="24"/>
          <w:rtl/>
        </w:rPr>
        <w:t xml:space="preserve"> </w:t>
      </w:r>
      <w:r w:rsidR="003E7145" w:rsidRPr="003E7145">
        <w:rPr>
          <w:rStyle w:val="shorttext"/>
          <w:rFonts w:ascii="Calibri Light" w:hAnsi="Calibri Light" w:cs="Calibri Light"/>
          <w:i/>
          <w:iCs/>
          <w:sz w:val="24"/>
          <w:szCs w:val="24"/>
          <w:lang w:val="en"/>
        </w:rPr>
        <w:t>Human Rights Law, Islamic Jurisprudence, Legal Systems, PRISMA Framework, Islamic Principles.</w:t>
      </w:r>
    </w:p>
    <w:p w14:paraId="2AB3BB2B" w14:textId="77777777" w:rsidR="00F1027C" w:rsidRPr="00122F5F" w:rsidRDefault="00F1027C" w:rsidP="00F1027C">
      <w:pPr>
        <w:jc w:val="center"/>
        <w:rPr>
          <w:rFonts w:ascii="Calibri Light" w:hAnsi="Calibri Light" w:cs="Calibri Light"/>
          <w:i/>
          <w:iCs/>
          <w:lang w:val="id-ID"/>
        </w:rPr>
      </w:pPr>
    </w:p>
    <w:p w14:paraId="4C20349E" w14:textId="77777777" w:rsidR="00F1027C" w:rsidRPr="00122F5F" w:rsidRDefault="00F1027C" w:rsidP="0095288D">
      <w:pPr>
        <w:rPr>
          <w:rFonts w:ascii="Calibri Light" w:hAnsi="Calibri Light" w:cs="Calibri Light"/>
          <w:b/>
          <w:bCs/>
          <w:sz w:val="24"/>
          <w:szCs w:val="24"/>
          <w:lang w:val="id-ID"/>
        </w:rPr>
      </w:pPr>
    </w:p>
    <w:p w14:paraId="0A8F5CA1" w14:textId="77777777" w:rsidR="0095288D" w:rsidRPr="00637098" w:rsidRDefault="008C45DE" w:rsidP="00540F02">
      <w:pPr>
        <w:numPr>
          <w:ilvl w:val="0"/>
          <w:numId w:val="15"/>
        </w:numPr>
        <w:spacing w:before="120" w:after="120"/>
        <w:ind w:left="426" w:hanging="284"/>
        <w:rPr>
          <w:rFonts w:ascii="Calibri Light" w:hAnsi="Calibri Light" w:cs="Calibri Light"/>
          <w:b/>
          <w:bCs/>
          <w:sz w:val="24"/>
          <w:szCs w:val="24"/>
          <w:lang w:val="id-ID"/>
        </w:rPr>
      </w:pPr>
      <w:commentRangeStart w:id="3"/>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commentRangeEnd w:id="3"/>
      <w:r w:rsidR="00C52693">
        <w:rPr>
          <w:rStyle w:val="CommentReference"/>
        </w:rPr>
        <w:commentReference w:id="3"/>
      </w:r>
    </w:p>
    <w:p w14:paraId="38E14E0D" w14:textId="77777777" w:rsidR="00637098" w:rsidRPr="00637098" w:rsidRDefault="00637098" w:rsidP="005A5D6C">
      <w:pPr>
        <w:spacing w:before="120" w:after="120"/>
        <w:ind w:left="426"/>
        <w:jc w:val="both"/>
        <w:rPr>
          <w:rFonts w:ascii="Calibri Light" w:hAnsi="Calibri Light" w:cs="Calibri Light"/>
          <w:sz w:val="24"/>
          <w:szCs w:val="24"/>
          <w:lang w:val="id-ID"/>
        </w:rPr>
      </w:pPr>
      <w:r w:rsidRPr="00637098">
        <w:rPr>
          <w:rFonts w:ascii="Calibri Light" w:hAnsi="Calibri Light" w:cs="Calibri Light"/>
          <w:sz w:val="24"/>
          <w:szCs w:val="24"/>
          <w:lang w:val="id-ID"/>
        </w:rPr>
        <w:t>Human</w:t>
      </w:r>
      <w:r w:rsidR="005A5D6C">
        <w:rPr>
          <w:rFonts w:ascii="Calibri Light" w:hAnsi="Calibri Light" w:cs="Calibri Light"/>
          <w:sz w:val="24"/>
          <w:szCs w:val="24"/>
          <w:rtl/>
          <w:lang w:val="id-ID"/>
        </w:rPr>
        <w:t xml:space="preserve"> </w:t>
      </w:r>
      <w:r w:rsidRPr="00637098">
        <w:rPr>
          <w:rFonts w:ascii="Calibri Light" w:hAnsi="Calibri Light" w:cs="Calibri Light"/>
          <w:sz w:val="24"/>
          <w:szCs w:val="24"/>
          <w:lang w:val="id-ID"/>
        </w:rPr>
        <w:t>rights have become a cornerstone of contemporary global discourse, shaping      international law and influencing political, social, and legal frameworks across various        societies.  The recognition of human rights is particularly significant in Muslim-majority countries, where Islamic teachings, derived from the Qur'an and the Hadiths (sayings and actions of the Prophet Muhammad, PBUH), offer a foundational basis for understanding  human dignity, justice, and equality</w:t>
      </w:r>
      <w:r w:rsidR="00BB08FA">
        <w:rPr>
          <w:rFonts w:ascii="Calibri Light" w:hAnsi="Calibri Light" w:cs="Calibri Light"/>
          <w:sz w:val="24"/>
          <w:szCs w:val="24"/>
          <w:lang w:val="id-ID"/>
        </w:rPr>
        <w:t xml:space="preserve"> </w:t>
      </w:r>
      <w:r w:rsidR="00A526EF">
        <w:rPr>
          <w:rFonts w:ascii="Calibri Light" w:hAnsi="Calibri Light" w:cs="Calibri Light"/>
          <w:sz w:val="24"/>
          <w:szCs w:val="24"/>
          <w:lang w:val="id-ID"/>
        </w:rPr>
        <w:fldChar w:fldCharType="begin" w:fldLock="1"/>
      </w:r>
      <w:r w:rsidR="00A526EF">
        <w:rPr>
          <w:rFonts w:ascii="Calibri Light" w:hAnsi="Calibri Light" w:cs="Calibri Light"/>
          <w:sz w:val="24"/>
          <w:szCs w:val="24"/>
          <w:lang w:val="id-ID"/>
        </w:rPr>
        <w:instrText>ADDIN CSL_CITATION {"citationItems":[{"id":"ITEM-1","itemData":{"DOI":"10.2478/jazcas-2023-0010","ISSN":"00215597 (ISSN)","abstract":"This article explores the difference between equality and the absence of discrimination within the area of language use. It draws on examples of social practices of linguistic inequality in Slovakia, and analyses how these are regulated by Slovak law, international law and laws of countries of best practices. The article argues that these examples represent three different models of linguistic equality: formal equality, equality of opportunities and substantive linguistic equality. It will analyse how these approaches empower or disadvantage speakers of minority languages, and what normative guide they provide for linguistic equality.  © 2022 János Fiala-Butora, published by Sciendo.","author":[{"dropping-particle":"","family":"Fiala-Butora","given":"J","non-dropping-particle":"","parse-names":false,"suffix":""}],"container-title":"Jazykovedny Casopis","id":"ITEM-1","issue":"3","issued":{"date-parts":[["2022"]]},"language":"English","page":"285-302","publisher":"Sciendo","publisher-place":"Legal Studies Institute, Centre for Social Sciences, Budapest, Hungary","title":"Linguistic Discrimination as a Social, Legal and Human Rights Phenomenon","type":"article-journal","volume":"73"},"uris":["http://www.mendeley.com/documents/?uuid=4575b951-6a0c-4826-8a80-13d7faff9a2e"]}],"mendeley":{"formattedCitation":"(Fiala-Butora 2022)","plainTextFormattedCitation":"(Fiala-Butora 2022)","previouslyFormattedCitation":"(Fiala-Butora 2022)"},"properties":{"noteIndex":0},"schema":"https://github.com/citation-style-language/schema/raw/master/csl-citation.json"}</w:instrText>
      </w:r>
      <w:r w:rsidR="00A526EF">
        <w:rPr>
          <w:rFonts w:ascii="Calibri Light" w:hAnsi="Calibri Light" w:cs="Calibri Light"/>
          <w:sz w:val="24"/>
          <w:szCs w:val="24"/>
          <w:lang w:val="id-ID"/>
        </w:rPr>
        <w:fldChar w:fldCharType="separate"/>
      </w:r>
      <w:r w:rsidR="00BB08FA" w:rsidRPr="00BB08FA">
        <w:rPr>
          <w:rFonts w:ascii="Calibri Light" w:hAnsi="Calibri Light" w:cs="Calibri Light"/>
          <w:noProof/>
          <w:sz w:val="24"/>
          <w:szCs w:val="24"/>
          <w:lang w:val="id-ID"/>
        </w:rPr>
        <w:t>(Fiala-Butora 2022)</w:t>
      </w:r>
      <w:r w:rsidR="00A526EF">
        <w:rPr>
          <w:rFonts w:ascii="Calibri Light" w:hAnsi="Calibri Light" w:cs="Calibri Light"/>
          <w:sz w:val="24"/>
          <w:szCs w:val="24"/>
          <w:lang w:val="id-ID"/>
        </w:rPr>
        <w:fldChar w:fldCharType="end"/>
      </w:r>
      <w:r w:rsidRPr="00637098">
        <w:rPr>
          <w:rFonts w:ascii="Calibri Light" w:hAnsi="Calibri Light" w:cs="Calibri Light"/>
          <w:sz w:val="24"/>
          <w:szCs w:val="24"/>
          <w:lang w:val="id-ID"/>
        </w:rPr>
        <w:t>.</w:t>
      </w:r>
    </w:p>
    <w:p w14:paraId="367C2017" w14:textId="77777777" w:rsidR="0021416E" w:rsidRPr="0021416E" w:rsidRDefault="0021416E" w:rsidP="0021416E">
      <w:pPr>
        <w:spacing w:before="120" w:after="120"/>
        <w:ind w:left="426"/>
        <w:jc w:val="both"/>
        <w:rPr>
          <w:rFonts w:ascii="Calibri Light" w:hAnsi="Calibri Light" w:cs="Calibri Light"/>
          <w:sz w:val="24"/>
          <w:szCs w:val="24"/>
        </w:rPr>
      </w:pPr>
      <w:r w:rsidRPr="0021416E">
        <w:rPr>
          <w:rFonts w:ascii="Calibri Light" w:hAnsi="Calibri Light" w:cs="Calibri Light"/>
          <w:sz w:val="24"/>
          <w:szCs w:val="24"/>
        </w:rPr>
        <w:t>However, the challenge lies in reconciling these religious principles with modern human rights frameworks that are often shaped by secular, international norms.  This study addresses the critical question of how Islamic principles, particularly those derived from the Qur'an, are applied within the human rights legal systems of Egypt and Indonesia, two countries that, despite their shared reliance on Islamic teachings, have different historical, cultural, and political contexts in implementing these principles</w:t>
      </w:r>
      <w:r w:rsidR="00A526EF">
        <w:rPr>
          <w:rFonts w:ascii="Calibri Light" w:hAnsi="Calibri Light" w:cs="Calibri Light"/>
          <w:sz w:val="24"/>
          <w:szCs w:val="24"/>
        </w:rPr>
        <w:fldChar w:fldCharType="begin" w:fldLock="1"/>
      </w:r>
      <w:r w:rsidR="00A526EF">
        <w:rPr>
          <w:rFonts w:ascii="Calibri Light" w:hAnsi="Calibri Light" w:cs="Calibri Light"/>
          <w:sz w:val="24"/>
          <w:szCs w:val="24"/>
        </w:rPr>
        <w:instrText>ADDIN CSL_CITATION {"citationItems":[{"id":"ITEM-1","itemData":{"DOI":"10.22219/ljih.v32i2.35088","ISSN":"2549-4600","abstract":"Scholarly interest in the study of social justice and human rights in Quranic contexts has increased in light of global conversations about ethical governance, equality, and justice. To fully comprehend how Islamic texts contribute to current human rights discourses, this study aims to present a bibliometric analysis of key trends, authors, and themes in the literature surrounding these problems. Using R/R-Studio, Vosviewer, Microsoft Excel, and a Boolean search on Scopus, data from 2019 to 2024 is analysed to identify important trends, authors, affiliations, and thematic developments within these interconnected disciplines. The results show a wide range of research interests and substantial publication activity with noteworthy contributions from different nations and institutions. Network visualisations highlight the transdisciplinary nature of the discourse by illuminating the relationships and co-occurrences of important terms. This study offers important insights into the development of scholarly research on these important subjects, laying the groundwork for further research and educating practitioners and politicians on the relationship between social justice, legal doctrine, and religious texts.","author":[{"dropping-particle":"","family":"A.N.","given":"Andri Nirwana","non-dropping-particle":"","parse-names":false,"suffix":""},{"dropping-particle":"","family":"Mahmudulhassan","given":"Mahmudulhassan","non-dropping-particle":"","parse-names":false,"suffix":""},{"dropping-particle":"","family":"Marshal","given":"Fahmi Dolles","non-dropping-particle":"","parse-names":false,"suffix":""},{"dropping-particle":"","family":"Muthoifin","given":"Muthoifin","non-dropping-particle":"","parse-names":false,"suffix":""},{"dropping-particle":"","family":"Fadli","given":"Nazar","non-dropping-particle":"","parse-names":false,"suffix":""}],"container-title":"Legality : Jurnal Ilmiah Hukum","id":"ITEM-1","issue":"2","issued":{"date-parts":[["2024","9","24"]]},"page":"453-471","title":"Human rights and social justice in Quranic contexts: a global trend","type":"article-journal","volume":"32"},"uris":["http://www.mendeley.com/documents/?uuid=73a2195b-f915-40aa-85d2-075ab97c8632"]}],"mendeley":{"formattedCitation":"(A.N. et al. 2024)","plainTextFormattedCitation":"(A.N. et al. 2024)","previouslyFormattedCitation":"(A.N. et al. 2024)"},"properties":{"noteIndex":0},"schema":"https://github.com/citation-style-language/schema/raw/master/csl-citation.json"}</w:instrText>
      </w:r>
      <w:r w:rsidR="00A526EF">
        <w:rPr>
          <w:rFonts w:ascii="Calibri Light" w:hAnsi="Calibri Light" w:cs="Calibri Light"/>
          <w:sz w:val="24"/>
          <w:szCs w:val="24"/>
        </w:rPr>
        <w:fldChar w:fldCharType="separate"/>
      </w:r>
      <w:r w:rsidR="00A526EF" w:rsidRPr="00A526EF">
        <w:rPr>
          <w:rFonts w:ascii="Calibri Light" w:hAnsi="Calibri Light" w:cs="Calibri Light"/>
          <w:noProof/>
          <w:sz w:val="24"/>
          <w:szCs w:val="24"/>
        </w:rPr>
        <w:t>(A.N. et al. 2024)</w:t>
      </w:r>
      <w:r w:rsidR="00A526EF">
        <w:rPr>
          <w:rFonts w:ascii="Calibri Light" w:hAnsi="Calibri Light" w:cs="Calibri Light"/>
          <w:sz w:val="24"/>
          <w:szCs w:val="24"/>
        </w:rPr>
        <w:fldChar w:fldCharType="end"/>
      </w:r>
      <w:r w:rsidRPr="0021416E">
        <w:rPr>
          <w:rFonts w:ascii="Calibri Light" w:hAnsi="Calibri Light" w:cs="Calibri Light"/>
          <w:sz w:val="24"/>
          <w:szCs w:val="24"/>
        </w:rPr>
        <w:t>.  By analyzing how these two nations interpret and apply Qur'anic principles and Hadiths to contemporary human rights issues, the research will provide a nuanced understanding of the interplay between religion and law in the field of human rights</w:t>
      </w:r>
      <w:r w:rsidR="00BB08FA">
        <w:rPr>
          <w:rFonts w:ascii="Calibri Light" w:hAnsi="Calibri Light" w:cs="Calibri Light"/>
          <w:sz w:val="24"/>
          <w:szCs w:val="24"/>
        </w:rPr>
        <w:t xml:space="preserve"> </w:t>
      </w:r>
      <w:r w:rsidR="00A526EF">
        <w:rPr>
          <w:rFonts w:ascii="Calibri Light" w:hAnsi="Calibri Light" w:cs="Calibri Light"/>
          <w:sz w:val="24"/>
          <w:szCs w:val="24"/>
        </w:rPr>
        <w:fldChar w:fldCharType="begin" w:fldLock="1"/>
      </w:r>
      <w:r w:rsidR="00A526EF">
        <w:rPr>
          <w:rFonts w:ascii="Calibri Light" w:hAnsi="Calibri Light" w:cs="Calibri Light"/>
          <w:sz w:val="24"/>
          <w:szCs w:val="24"/>
        </w:rPr>
        <w:instrText>ADDIN CSL_CITATION {"citationItems":[{"id":"ITEM-1","itemData":{"DOI":"10.1093/jhuman/huae008","ISSN":"17579619 (ISSN)","abstract":"The UN undertakes numerous human rights activities. Various UN entities have been established solely to promote and protect human rights, such as the Human Rights Council and the human rights treaty bodies. Others, such as the Security Council, have mandates intrinsically connected to human rights. Furthermore, a variety of UN specialized agencies, programmes and funds work in areas associated with human rights. However, the work these entities undertake lacks coordination. In his 2020 Call to Action, UN Secretary-General António Guterres spoke of the need to enhance ‘synergies between human rights and all pillars of the work of the United Nations’ and encouraged the use of the Universal Periodic Review (UPR) process as a way of doing so. Furthermore, one of the ‘principles’ of UPR is that it should ‘complement and not duplicate other human rights mechanisms’. There has been little exploration of the extent to which UPR does, in fact, complement the UN’s other work in human rights. This article seeks to fill that gap. Drawing on data from the first three cycles of UPR, it demonstrates the extent to which states have complemented UN efforts to protect and promote human rights in UPR recommendations. Building on these empirical observations, it explores how UPR recommendations could be used to further coordinate and reinforce the UN’s human rights work by avoiding generic references to the UN, expanding their focus beyond the ‘core’ UN human rights bodies to engage with the work of all UN entities, and encouraging engagement with all aspects of a particular entity’s mandate. © The Author(s) 2024.","author":[{"dropping-particle":"","family":"Shah","given":"S","non-dropping-particle":"","parse-names":false,"suffix":""},{"dropping-particle":"","family":"Sivakumaran","given":"S","non-dropping-particle":"","parse-names":false,"suffix":""}],"container-title":"Journal of Human Rights Practice","id":"ITEM-1","issue":"3","issued":{"date-parts":[["2024"]]},"language":"English","page":"794-818","publisher":"Oxford University Press","publisher-place":"University of Nottingham, Nottingham, United Kingdom","title":"Complementing UN Human Rights Efforts Through Universal Periodic Review","type":"article-journal","volume":"16"},"uris":["http://www.mendeley.com/documents/?uuid=815f227b-5801-4223-973f-d05eb587759e"]}],"mendeley":{"formattedCitation":"(Shah and Sivakumaran 2024)","plainTextFormattedCitation":"(Shah and Sivakumaran 2024)","previouslyFormattedCitation":"(Shah and Sivakumaran 2024)"},"properties":{"noteIndex":0},"schema":"https://github.com/citation-style-language/schema/raw/master/csl-citation.json"}</w:instrText>
      </w:r>
      <w:r w:rsidR="00A526EF">
        <w:rPr>
          <w:rFonts w:ascii="Calibri Light" w:hAnsi="Calibri Light" w:cs="Calibri Light"/>
          <w:sz w:val="24"/>
          <w:szCs w:val="24"/>
        </w:rPr>
        <w:fldChar w:fldCharType="separate"/>
      </w:r>
      <w:r w:rsidR="00AA4FC8" w:rsidRPr="00AA4FC8">
        <w:rPr>
          <w:rFonts w:ascii="Calibri Light" w:hAnsi="Calibri Light" w:cs="Calibri Light"/>
          <w:noProof/>
          <w:sz w:val="24"/>
          <w:szCs w:val="24"/>
        </w:rPr>
        <w:t>(Shah and Sivakumaran 2024)</w:t>
      </w:r>
      <w:r w:rsidR="00A526EF">
        <w:rPr>
          <w:rFonts w:ascii="Calibri Light" w:hAnsi="Calibri Light" w:cs="Calibri Light"/>
          <w:sz w:val="24"/>
          <w:szCs w:val="24"/>
        </w:rPr>
        <w:fldChar w:fldCharType="end"/>
      </w:r>
      <w:r w:rsidRPr="0021416E">
        <w:rPr>
          <w:rFonts w:ascii="Calibri Light" w:hAnsi="Calibri Light" w:cs="Calibri Light"/>
          <w:sz w:val="24"/>
          <w:szCs w:val="24"/>
        </w:rPr>
        <w:t xml:space="preserve">. </w:t>
      </w:r>
    </w:p>
    <w:p w14:paraId="52E7E440" w14:textId="77777777" w:rsidR="00A526EF" w:rsidRDefault="0021416E" w:rsidP="00A526EF">
      <w:pPr>
        <w:spacing w:before="120" w:after="120"/>
        <w:ind w:left="426"/>
        <w:jc w:val="both"/>
        <w:rPr>
          <w:rFonts w:ascii="Calibri Light" w:hAnsi="Calibri Light" w:cs="Calibri Light"/>
          <w:sz w:val="24"/>
          <w:szCs w:val="24"/>
        </w:rPr>
      </w:pPr>
      <w:r w:rsidRPr="0021416E">
        <w:rPr>
          <w:rFonts w:ascii="Calibri Light" w:hAnsi="Calibri Light" w:cs="Calibri Light"/>
          <w:sz w:val="24"/>
          <w:szCs w:val="24"/>
        </w:rPr>
        <w:t>The significance of this research is multifaceted. First, it sheds light on how Islamic jurisprudence, rooted in the Qur'an and the teachings of the Prophet Muhammad, has influenced the human rights discourse in two distinct legal systems: Egypt, with its long history of Islamic scholarship and a complex political landscape, and Indonesia, the world’s largest Muslim-majority country, which is recognized for its pluralistic approach to governance</w:t>
      </w:r>
      <w:r w:rsidR="00A526EF">
        <w:rPr>
          <w:rFonts w:ascii="Calibri Light" w:hAnsi="Calibri Light" w:cs="Calibri Light"/>
          <w:sz w:val="24"/>
          <w:szCs w:val="24"/>
        </w:rPr>
        <w:fldChar w:fldCharType="begin" w:fldLock="1"/>
      </w:r>
      <w:r w:rsidR="00A526EF">
        <w:rPr>
          <w:rFonts w:ascii="Calibri Light" w:hAnsi="Calibri Light" w:cs="Calibri Light"/>
          <w:sz w:val="24"/>
          <w:szCs w:val="24"/>
        </w:rPr>
        <w:instrText>ADDIN CSL_CITATION {"citationItems":[{"id":"ITEM-1","itemData":{"DOI":"10.31893/multirev.2024139","ISSN":"2595-3982","abstract":"The purpose of this study is to investigate and analyze how the development of the concept of Islamic education to build and improve the personality of school-age children in the 5.0 era. This research method uses a type of qualitative research with a type of literature research. Researchers examine the concept of Islamic Education for children and the study of era 5.0 perspectives of Islamic education from various literature. The results of the study found that every human being has a different personality from one another, these differences make humans unique creatures, and uniqueness is due to factors that affect their personality, including innate factors (inside), environmental factors (outside), and mental maturity factors. Islam views that everyone has mental and physical potential that can elevate his dignity as a leader on earth. Man has the potential of a soul consisting of heart, lust, reason and spirit. From here, parents become the main and first role in the family to develop, build, and increase good personal potential. The role of education as a medium for realizing a good personality so that children can be directed to become good and superior individuals.","author":[{"dropping-particle":"","family":"Anwar","given":"Sholihul","non-dropping-particle":"","parse-names":false,"suffix":""},{"dropping-particle":"","family":"Sukisno","given":"Sukisno","non-dropping-particle":"","parse-names":false,"suffix":""},{"dropping-particle":"","family":"Waston","given":"Waston","non-dropping-particle":"","parse-names":false,"suffix":""},{"dropping-particle":"","family":"Nirwana","given":"Andri","non-dropping-particle":"","parse-names":false,"suffix":""},{"dropping-particle":"","family":"Utami","given":"Yeri","non-dropping-particle":"","parse-names":false,"suffix":""},{"dropping-particle":"","family":"Reistanti","given":"Agustina Putri","non-dropping-particle":"","parse-names":false,"suffix":""},{"dropping-particle":"","family":"Nurhartanto","given":"Armin","non-dropping-particle":"","parse-names":false,"suffix":""},{"dropping-particle":"","family":"Muthoifin","given":"Muthoifin","non-dropping-particle":"","parse-names":false,"suffix":""}],"container-title":"Multidisciplinary Reviews","id":"ITEM-1","issue":"8","issued":{"date-parts":[["2024","5","6"]]},"page":"2024139","title":"Development of the concept of Islamic education to build and improve the personality of school-age children","type":"article-journal","volume":"7"},"uris":["http://www.mendeley.com/documents/?uuid=50f2a9ae-4c35-4a65-a449-5d03f1f51e6d"]}],"mendeley":{"formattedCitation":"(Anwar et al. 2024)","plainTextFormattedCitation":"(Anwar et al. 2024)","previouslyFormattedCitation":"(Anwar et al. 2024)"},"properties":{"noteIndex":0},"schema":"https://github.com/citation-style-language/schema/raw/master/csl-citation.json"}</w:instrText>
      </w:r>
      <w:r w:rsidR="00A526EF">
        <w:rPr>
          <w:rFonts w:ascii="Calibri Light" w:hAnsi="Calibri Light" w:cs="Calibri Light"/>
          <w:sz w:val="24"/>
          <w:szCs w:val="24"/>
        </w:rPr>
        <w:fldChar w:fldCharType="separate"/>
      </w:r>
      <w:r w:rsidR="00A526EF" w:rsidRPr="00A526EF">
        <w:rPr>
          <w:rFonts w:ascii="Calibri Light" w:hAnsi="Calibri Light" w:cs="Calibri Light"/>
          <w:noProof/>
          <w:sz w:val="24"/>
          <w:szCs w:val="24"/>
        </w:rPr>
        <w:t>(Anwar et al. 2024)</w:t>
      </w:r>
      <w:r w:rsidR="00A526EF">
        <w:rPr>
          <w:rFonts w:ascii="Calibri Light" w:hAnsi="Calibri Light" w:cs="Calibri Light"/>
          <w:sz w:val="24"/>
          <w:szCs w:val="24"/>
        </w:rPr>
        <w:fldChar w:fldCharType="end"/>
      </w:r>
      <w:r w:rsidRPr="0021416E">
        <w:rPr>
          <w:rFonts w:ascii="Calibri Light" w:hAnsi="Calibri Light" w:cs="Calibri Light"/>
          <w:sz w:val="24"/>
          <w:szCs w:val="24"/>
        </w:rPr>
        <w:t>.  While both nations adhere to Islamic teachings, they approach the integration of these principles into their legal systems in ways that reflect their respective cultural, political, and historical circumstances</w:t>
      </w:r>
      <w:r w:rsidR="00A526EF">
        <w:rPr>
          <w:rFonts w:ascii="Calibri Light" w:hAnsi="Calibri Light" w:cs="Calibri Light"/>
          <w:sz w:val="24"/>
          <w:szCs w:val="24"/>
        </w:rPr>
        <w:fldChar w:fldCharType="begin" w:fldLock="1"/>
      </w:r>
      <w:r w:rsidR="00A526EF">
        <w:rPr>
          <w:rFonts w:ascii="Calibri Light" w:hAnsi="Calibri Light" w:cs="Calibri Light"/>
          <w:sz w:val="24"/>
          <w:szCs w:val="24"/>
        </w:rPr>
        <w:instrText>ADDIN CSL_CITATION {"citationItems":[{"id":"ITEM-1","itemData":{"DOI":"10.47172/2965-730X.SDGsReview.v4.n00.pe01688","ISSN":"2965-730X","abstract":"Objective: The ancient Arab economy developed in the second half of the first millennium BC. Its glory peaked in the first century until the early second century AD, with trade routes to North Arabia and Syria. Nabataean kingdom in North Arabia was established, with two major cities as trading centers: Petra, and Palmyra. using the sociological perspective of education and commercialization theory, the ancient Arab economy has a mode of merchant capitalism. Theoretical Framework: Ancient Arab trading capitalism revived in the pre-Islamic Arab period, from the end of the fourth century AD. Mecca became the center of international trade, side by side with Yathrib and Taif. Two types of markets were born, the inner market and the outer market. New institutions related to culture, politics, and economy were established, including the division of labor institutions and institutions that regulate traders' interaction from inside and outside Makkah. Method: This research uses an interpretative paradigm with a qualitative approach, case study type, and multicase design. Data were collected using observation, interviews, and documentation. Data validity using triangulation of sources, methods, and theories. Next, an interactive model analysis is carried out. The research object was carried out in the Yogyakarta and Surakarta regions of Indonesia. Results and Discussion: Merchant capitalism during the early Islamic era underwent characteristic changes, similar to social capitalism. Referred to as Religious Capitalism, because its inspiration comes from religious teachings. The state regulates the market: the prohibition of exaggerating the quality of goods, bidding new prices, intercepting goods before they reach the market, hoarding goods, and silent trading. State revenues have also increased, including spoils of war, income from the agricultural and industrial sectors, kharaj, endowments, 'ushr, jizya, redemption money, loans, alms, and gifts. The state is involved in public affairs, for example by establishing the Diwan. Research Implications: The reconstruction of Islamic civilization should follow the model of Religious Capitalism, which is one of the main legacies of the early Islamic period. Social capitalism is also gaining momentum. Apart from that, a development model with a mode of peaceful revolution is also proposed: dialogue and cooperation with the dominant civilization. The geopolitics of the world are also shifting. Originality/Value: Three tech…","author":[{"dropping-particle":"","family":"Suwarsono","given":"","non-dropping-particle":"","parse-names":false,"suffix":""},{"dropping-particle":"","family":"Setiadji","given":"Bambang","non-dropping-particle":"","parse-names":false,"suffix":""},{"dropping-particle":"","family":"Asy’arie","given":"Musa","non-dropping-particle":"","parse-names":false,"suffix":""},{"dropping-particle":"","family":"Waston","given":"","non-dropping-particle":"","parse-names":false,"suffix":""},{"dropping-particle":"","family":"Nirwana","given":"Andri","non-dropping-particle":"","parse-names":false,"suffix":""},{"dropping-particle":"","family":"Muthoifin","given":"","non-dropping-particle":"","parse-names":false,"suffix":""}],"container-title":"Journal of Lifestyle and SDGs Review","id":"ITEM-1","issued":{"date-parts":[["2024","7","29"]]},"page":"e01688","title":"The Future of the Civilization of the Ummah Is Reviewed from the Sociology of Education for the Sustainable Development Goals (SDG'S)","type":"article-journal","volume":"4"},"uris":["http://www.mendeley.com/documents/?uuid=97fe5462-8574-4b2a-9f04-43e944ca02c4"]}],"mendeley":{"formattedCitation":"(Suwarsono et al. 2024)","plainTextFormattedCitation":"(Suwarsono et al. 2024)","previouslyFormattedCitation":"(Suwarsono et al. 2024)"},"properties":{"noteIndex":0},"schema":"https://github.com/citation-style-language/schema/raw/master/csl-citation.json"}</w:instrText>
      </w:r>
      <w:r w:rsidR="00A526EF">
        <w:rPr>
          <w:rFonts w:ascii="Calibri Light" w:hAnsi="Calibri Light" w:cs="Calibri Light"/>
          <w:sz w:val="24"/>
          <w:szCs w:val="24"/>
        </w:rPr>
        <w:fldChar w:fldCharType="separate"/>
      </w:r>
      <w:r w:rsidR="00A526EF" w:rsidRPr="00A526EF">
        <w:rPr>
          <w:rFonts w:ascii="Calibri Light" w:hAnsi="Calibri Light" w:cs="Calibri Light"/>
          <w:noProof/>
          <w:sz w:val="24"/>
          <w:szCs w:val="24"/>
        </w:rPr>
        <w:t>(Suwarsono et al. 2024)</w:t>
      </w:r>
      <w:r w:rsidR="00A526EF">
        <w:rPr>
          <w:rFonts w:ascii="Calibri Light" w:hAnsi="Calibri Light" w:cs="Calibri Light"/>
          <w:sz w:val="24"/>
          <w:szCs w:val="24"/>
        </w:rPr>
        <w:fldChar w:fldCharType="end"/>
      </w:r>
      <w:r w:rsidRPr="0021416E">
        <w:rPr>
          <w:rFonts w:ascii="Calibri Light" w:hAnsi="Calibri Light" w:cs="Calibri Light"/>
          <w:sz w:val="24"/>
          <w:szCs w:val="24"/>
        </w:rPr>
        <w:t>. Egypt’s legal system blends Islamic law (</w:t>
      </w:r>
      <w:proofErr w:type="spellStart"/>
      <w:r w:rsidRPr="0021416E">
        <w:rPr>
          <w:rFonts w:ascii="Calibri Light" w:hAnsi="Calibri Light" w:cs="Calibri Light"/>
          <w:sz w:val="24"/>
          <w:szCs w:val="24"/>
        </w:rPr>
        <w:t>Shari'ah</w:t>
      </w:r>
      <w:proofErr w:type="spellEnd"/>
      <w:r w:rsidRPr="0021416E">
        <w:rPr>
          <w:rFonts w:ascii="Calibri Light" w:hAnsi="Calibri Light" w:cs="Calibri Light"/>
          <w:sz w:val="24"/>
          <w:szCs w:val="24"/>
        </w:rPr>
        <w:t>) with secular law, creating a unique and sometimes contentious relationship between religious values and human rights</w:t>
      </w:r>
      <w:r w:rsidR="00A526EF">
        <w:rPr>
          <w:rFonts w:ascii="Calibri Light" w:hAnsi="Calibri Light" w:cs="Calibri Light"/>
          <w:sz w:val="24"/>
          <w:szCs w:val="24"/>
        </w:rPr>
        <w:fldChar w:fldCharType="begin" w:fldLock="1"/>
      </w:r>
      <w:r w:rsidR="00A526EF">
        <w:rPr>
          <w:rFonts w:ascii="Calibri Light" w:hAnsi="Calibri Light" w:cs="Calibri Light"/>
          <w:sz w:val="24"/>
          <w:szCs w:val="24"/>
        </w:rPr>
        <w:instrText>ADDIN CSL_CITATION {"citationItems":[{"id":"ITEM-1","itemData":{"DOI":"10.22373/jiif.v23i2.17353","ISSN":"2407-7542","abstract":"Crime is becoming more widespread, with varied motives and often involving influential elites. The consequences of crimes committed by these elites are enormous, affecting not only themselves but also their families, institutions, and others. Therefore, addressing the increasing crime committed by influential elites requires efforts focused on prevention rather than just heavy punishment. One potential solution is through a religious approach, particularly by referencing the hadiths of Prophet Muhammad (SAW). Several hadiths teach the concept of Zuhd, which emphasizes avoiding excessive wealth accumulation and enjoying giving and sharing blessings with others. This article aims to present the Prophet’s teachings on leading a humble life and not excessively valuing wealth. The study employed qualitative research methods, including a literature review of relevant library sources. As a result, this article emphasizes that the Prophet taught that the orientation of human life should not solely focus on fulfilling worldly demands but also on having faith in the afterlife. Prophet Muhammad (SAW) exemplified Zuhd in his life, and his example needs to be emulated in the modern world today. Elite individuals who embody Zuhd will be more capable of restraining themselves from committing crimes while fulfilling their duties. This is because the attribute of Zuhd encourages everyone capable of committing a crime to refrain from doing so.","author":[{"dropping-particle":"","family":"Wahid","given":"Abd.","non-dropping-particle":"","parse-names":false,"suffix":""},{"dropping-particle":"","family":"Ibrahim","given":"Mazlan","non-dropping-particle":"","parse-names":false,"suffix":""},{"dropping-particle":"","family":"Shomad","given":"Bukhori Abdul","non-dropping-particle":"","parse-names":false,"suffix":""},{"dropping-particle":"","family":"Nirwana AN","given":"Andri","non-dropping-particle":"","parse-names":false,"suffix":""},{"dropping-particle":"","family":"Damanhuri","given":"Damanhuri","non-dropping-particle":"","parse-names":false,"suffix":""}],"container-title":"Jurnal Ilmiah Islam Futura","id":"ITEM-1","issue":"2","issued":{"date-parts":[["2023","8","4"]]},"page":"263","title":"UTILIZING ZUHD HADITHS FOR UPPER-CLASS CRIME PREVENTION","type":"article-journal","volume":"23"},"uris":["http://www.mendeley.com/documents/?uuid=b2e6b093-2bb0-4998-b007-3a89d6653b4c"]}],"mendeley":{"formattedCitation":"(Wahid et al. 2023)","plainTextFormattedCitation":"(Wahid et al. 2023)","previouslyFormattedCitation":"(Wahid et al. 2023)"},"properties":{"noteIndex":0},"schema":"https://github.com/citation-style-language/schema/raw/master/csl-citation.json"}</w:instrText>
      </w:r>
      <w:r w:rsidR="00A526EF">
        <w:rPr>
          <w:rFonts w:ascii="Calibri Light" w:hAnsi="Calibri Light" w:cs="Calibri Light"/>
          <w:sz w:val="24"/>
          <w:szCs w:val="24"/>
        </w:rPr>
        <w:fldChar w:fldCharType="separate"/>
      </w:r>
      <w:r w:rsidR="00A526EF" w:rsidRPr="00A526EF">
        <w:rPr>
          <w:rFonts w:ascii="Calibri Light" w:hAnsi="Calibri Light" w:cs="Calibri Light"/>
          <w:noProof/>
          <w:sz w:val="24"/>
          <w:szCs w:val="24"/>
        </w:rPr>
        <w:t>(Wahid et al. 2023)</w:t>
      </w:r>
      <w:r w:rsidR="00A526EF">
        <w:rPr>
          <w:rFonts w:ascii="Calibri Light" w:hAnsi="Calibri Light" w:cs="Calibri Light"/>
          <w:sz w:val="24"/>
          <w:szCs w:val="24"/>
        </w:rPr>
        <w:fldChar w:fldCharType="end"/>
      </w:r>
      <w:r w:rsidRPr="0021416E">
        <w:rPr>
          <w:rFonts w:ascii="Calibri Light" w:hAnsi="Calibri Light" w:cs="Calibri Light"/>
          <w:sz w:val="24"/>
          <w:szCs w:val="24"/>
        </w:rPr>
        <w:t>. Indonesia, on the other hand, strives to accommodate Islamic principles within a broader legal framework that respects religious and cultural diversity</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{"citationItems":[{"id":"ITEM-1","itemData":{"DOI":"10.24857/rgsa.v18n6-012","ISSN":"1981-982X","abstract":"Objective: This study aims to question the diction of the Ministry of Religious Affairs' translation of the Quran in maintaining tolerance between religious communities in Indonesia Method: This study uses content analysis methods and descriptive qualitative approaches to solve these problems. The content analysis approach was used to analyze the diction in the translation of the Quran published by the Ministry of Religious Affairs and evaluate how much the diction could manifest tolerance between religious communities. The descriptive qualitative approach was used to collect data from diverse sources and analyze data related to the diction of the Ministry of Religious Affairs translation Result: The results of this study show that the translation carried out by the Indonesian Ministry of Religion team contained the concept of wasatiyyah. This can be seen from the selection of translation diction used not using complex Language or tolerance, and there is an explanation of the secondary meaning of the verse marked with footnotes or parentheses Conclusion: the translation of the Ministry of Religion also accommodates the differences of opinion of scholars in it, inserting different opinions into the explanation marked by footnotes so that readers can know more clearly the differences of opinion of the scholars","author":[{"dropping-particle":"","family":"Nirwana","given":"Andri","non-dropping-particle":"","parse-names":false,"suffix":""},{"dropping-particle":"","family":"Suri","given":"Sufian","non-dropping-particle":"","parse-names":false,"suffix":""},{"dropping-particle":"","family":"Junaedi","given":"Didi","non-dropping-particle":"","parse-names":false,"suffix":""},{"dropping-particle":"","family":"Sayed Akhyar","given":"","non-dropping-particle":"","parse-names":false,"suffix":""},{"dropping-particle":"","family":"Ismail","given":"Faisal Husen","non-dropping-particle":"","parse-names":false,"suffix":""},{"dropping-particle":"","family":"Fansuri","given":"Fuad","non-dropping-particle":"","parse-names":false,"suffix":""},{"dropping-particle":"","family":"Sahimi","given":"Mohd Shafiq","non-dropping-particle":"bin","parse-names":false,"suffix":""},{"dropping-particle":"","family":"Husain","given":"Muhammad Zakir","non-dropping-particle":"Bin","parse-names":false,"suffix":""},{"dropping-particle":"","family":"Amri","given":"Muhammad","non-dropping-particle":"","parse-names":false,"suffix":""},{"dropping-particle":"","family":"Arfan","given":"Fahmi","non-dropping-particle":"","parse-names":false,"suffix":""},{"dropping-particle":"","family":"Hidayat","given":"Syamsul","non-dropping-particle":"","parse-names":false,"suffix":""},{"dropping-particle":"","family":"Nur Hidayat","given":"Wahidin","non-dropping-particle":"","parse-names":false,"suffix":""}],"container-title":"Revista de Gestão Social e Ambiental","id":"ITEM-1","issue":"6","issued":{"date-parts":[["2024","3","26"]]},"page":"e05717","title":"Exploration of Wasatiyah Diction to Realize Sustainable Tolerance Between Religious Communities: A Study of the Translation of the Quran of the Ministry of Religious Affairs of the Republic of Indonesia","type":"article-journal","volume":"18"},"uris":["http://www.mendeley.com/documents/?uuid=2bf4ce7b-e5c7-419f-953b-34f1286bcbf6"]}],"mendeley":{"formattedCitation":"(Nirwana, Suri, et al. 2024)","plainTextFormattedCitation":"(Nirwana, Suri, et al. 2024)","previouslyFormattedCitation":"(Nirwana, Suri, et al. 2024)"},"properties":{"noteIndex":0},"schema":"https://github.com/citation-style-language/schema/raw/master/csl-citation.json"}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(Nirwana, Suri, et al. 2024)</w:t>
      </w:r>
      <w:r w:rsidR="00FB4ACA">
        <w:rPr>
          <w:rFonts w:ascii="Calibri Light" w:hAnsi="Calibri Light" w:cs="Calibri Light"/>
          <w:sz w:val="24"/>
          <w:szCs w:val="24"/>
        </w:rPr>
        <w:fldChar w:fldCharType="end"/>
      </w:r>
      <w:r w:rsidRPr="0021416E">
        <w:rPr>
          <w:rFonts w:ascii="Calibri Light" w:hAnsi="Calibri Light" w:cs="Calibri Light"/>
          <w:sz w:val="24"/>
          <w:szCs w:val="24"/>
        </w:rPr>
        <w:t xml:space="preserve">.  The research question posed by this study, therefore, is not only relevant to scholars of Islamic law and human rights but also to policymakers and legal practitioners </w:t>
      </w:r>
      <w:r w:rsidRPr="0021416E">
        <w:rPr>
          <w:rFonts w:ascii="Calibri Light" w:hAnsi="Calibri Light" w:cs="Calibri Light"/>
          <w:sz w:val="24"/>
          <w:szCs w:val="24"/>
        </w:rPr>
        <w:lastRenderedPageBreak/>
        <w:t>who seek to understand the dynamics of law in Muslim-majority countries</w:t>
      </w:r>
      <w:r w:rsidR="00AA4FC8">
        <w:rPr>
          <w:rFonts w:ascii="Calibri Light" w:hAnsi="Calibri Light" w:cs="Calibri Light"/>
          <w:sz w:val="24"/>
          <w:szCs w:val="24"/>
        </w:rPr>
        <w:t xml:space="preserve"> </w:t>
      </w:r>
      <w:r w:rsidR="00A526EF">
        <w:rPr>
          <w:rFonts w:ascii="Calibri Light" w:hAnsi="Calibri Light" w:cs="Calibri Light"/>
          <w:sz w:val="24"/>
          <w:szCs w:val="24"/>
        </w:rPr>
        <w:fldChar w:fldCharType="begin" w:fldLock="1"/>
      </w:r>
      <w:r w:rsidR="00A526EF">
        <w:rPr>
          <w:rFonts w:ascii="Calibri Light" w:hAnsi="Calibri Light" w:cs="Calibri Light"/>
          <w:sz w:val="24"/>
          <w:szCs w:val="24"/>
        </w:rPr>
        <w:instrText>ADDIN CSL_CITATION {"citationItems":[{"id":"ITEM-1","itemData":{"DOI":"10.1111/jola.12415","ISSN":"10551360 (ISSN)","abstract":"This article analyzes institutions as sites for political and social change by looking beyond regimentation and fixedness as the central discursive features of institutionalization. Drawing on research at the European Court of Human Rights—one of the world's most extensive human rights courts—I analyze how human rights actors redeploy normative institutional logics through creative approaches to institutional categories. I argue that lawyers and advocates working within the Court and Convention system naturalize and fix boundaries of law and politics and use that distinction to activate an excess of potential meanings and intertextual connections in legal judgments. This involves using institutional affordances to keep cases open and structure collaborative waiting. These strategies allow people to mutually inhabit open-ended relationships to texts in intentional ways. In so doing, lawyers and activists defer resolving legal judgments—until new coalitions take political power, there are generational shifts in attitudes or shifts in geopolitical power arrangements that render state actors subject to diplomatic pressure. Analyzing how people improvise, learn, and teach others to manage institutional channels and excess opens up the black box of institutionality as a site for social transformation. © 2024 American Anthropological Association.","author":[{"dropping-particle":"","family":"Greenberg","given":"J R","non-dropping-particle":"","parse-names":false,"suffix":""}],"container-title":"Journal of Linguistic Anthropology","id":"ITEM-1","issue":"1","issued":{"date-parts":[["2024"]]},"language":"English","page":"45-65","publisher":"John Wiley and Sons Inc","publisher-place":"University of Illinois at Urbana–Champaign, Urbana, IL, United States","title":"Justice suspended: Rethinking institutions, regimentation, and channels from a human rights law perspective","type":"article-journal","volume":"34"},"uris":["http://www.mendeley.com/documents/?uuid=b61dcee6-2dce-4145-9e80-1dfd2428814d"]},{"id":"ITEM-2","itemData":{"DOI":"10.4103/psychiatry.IndianJPsychiatry_35_19","ISSN":"0019-5545","author":[{"dropping-particle":"","family":"Marthoenis","given":"Marthoenis","non-dropping-particle":"","parse-names":false,"suffix":""},{"dropping-particle":"","family":"Nirwana","given":"Andri","non-dropping-particle":"","parse-names":false,"suffix":""},{"dropping-particle":"","family":"Fathiariani","given":"Liza","non-dropping-particle":"","parse-names":false,"suffix":""}],"container-title":"Indian Journal of Psychiatry","id":"ITEM-2","issue":"5","issued":{"date-parts":[["2019"]]},"page":"526","title":"Prevalence and determinants of posttraumatic stress in adolescents following an earthquake","type":"article-journal","volume":"61"},"uris":["http://www.mendeley.com/documents/?uuid=66586beb-4521-47e0-be69-77e6929e2c34"]},{"id":"ITEM-3","itemData":{"DOI":"10.24857/rgsa.v18n6-089","ISSN":"1981-982X","abstract":"Purpose: This study aimed to explore whether religiosity was associated with reduced violence in a representative sample of the population of the Solo community in Indonesia. Methods: This cross-sectional observational study was conducted through face-to-face interviews between 2020 and 2024, involving 100 people aged 25 years and older. The survey included indicators of religiosity (religiosity and importance of religion), violence (involvement in fights, domestic violence, and police detention), depression, social support, and alcohol dependence. We use logistic regression models and mediation analysis. In the analysis of the total sample, after adjustment, religious attitudes were negatively associated with reduced involvement in fights and fewer police arrests, whereas the importance of religion was only associated with fewer fights. Results and Conclusion: These findings suggest that Solo's religiosity appears to be an important factor associated with low levels of violence in this nationally representative survey, and alcohol dependence appears to mediate this relationship. These findings should be examined by the Minister of Religion, Education, and Health. Research implications: This research implies that the concept of religiosity can be used as a measure to minimize violence in Solo and Indonesia. Originality/value: The originality of the research lies in the function of religiosity to minimize violence that this study conducted in a Solo society.","author":[{"dropping-particle":"","family":"Waston","given":"","non-dropping-particle":"","parse-names":false,"suffix":""},{"dropping-particle":"","family":"Muthoifin","given":"","non-dropping-particle":"","parse-names":false,"suffix":""},{"dropping-particle":"","family":"Amini","given":"Soleh","non-dropping-particle":"","parse-names":false,"suffix":""},{"dropping-particle":"","family":"Ismail","given":"Roni","non-dropping-particle":"","parse-names":false,"suffix":""},{"dropping-particle":"","family":"Aryani","given":"Sekar Ayu","non-dropping-particle":"","parse-names":false,"suffix":""},{"dropping-particle":"","family":"Nirwana","given":"Andri","non-dropping-particle":"","parse-names":false,"suffix":""}],"container-title":"Revista de Gestão Social e Ambiental","id":"ITEM-3","issue":"6","issued":{"date-parts":[["2024","4","3"]]},"page":"e05426","title":"Religiosity to Minimize Violence: A Study of Solo Indonesian Society","type":"article-journal","volume":"18"},"uris":["http://www.mendeley.com/documents/?uuid=095b8ea2-490d-4aee-9b4b-cdece4d4e41b"]}],"mendeley":{"formattedCitation":"(Greenberg 2024; Marthoenis, Nirwana, and Fathiariani 2019; Waston, Muthoifin, et al. 2024)","plainTextFormattedCitation":"(Greenberg 2024; Marthoenis, Nirwana, and Fathiariani 2019; Waston, Muthoifin, et al. 2024)","previouslyFormattedCitation":"(Greenberg 2024; Marthoenis, Nirwana, and Fathiariani 2019; Waston, Muthoifin, et al. 2024)"},"properties":{"noteIndex":0},"schema":"https://github.com/citation-style-language/schema/raw/master/csl-citation.json"}</w:instrText>
      </w:r>
      <w:r w:rsidR="00A526EF">
        <w:rPr>
          <w:rFonts w:ascii="Calibri Light" w:hAnsi="Calibri Light" w:cs="Calibri Light"/>
          <w:sz w:val="24"/>
          <w:szCs w:val="24"/>
        </w:rPr>
        <w:fldChar w:fldCharType="separate"/>
      </w:r>
      <w:r w:rsidR="00A526EF" w:rsidRPr="00A526EF">
        <w:rPr>
          <w:rFonts w:ascii="Calibri Light" w:hAnsi="Calibri Light" w:cs="Calibri Light"/>
          <w:noProof/>
          <w:sz w:val="24"/>
          <w:szCs w:val="24"/>
        </w:rPr>
        <w:t>(Greenberg 2024; Marthoenis, Nirwana, and Fathiariani 2019; Waston, Muthoifin, et al. 2024)</w:t>
      </w:r>
      <w:r w:rsidR="00A526EF">
        <w:rPr>
          <w:rFonts w:ascii="Calibri Light" w:hAnsi="Calibri Light" w:cs="Calibri Light"/>
          <w:sz w:val="24"/>
          <w:szCs w:val="24"/>
        </w:rPr>
        <w:fldChar w:fldCharType="end"/>
      </w:r>
      <w:r w:rsidR="00A526EF">
        <w:rPr>
          <w:rFonts w:ascii="Calibri Light" w:hAnsi="Calibri Light" w:cs="Calibri Light"/>
          <w:sz w:val="24"/>
          <w:szCs w:val="24"/>
        </w:rPr>
        <w:t>.</w:t>
      </w:r>
    </w:p>
    <w:p w14:paraId="252C598C" w14:textId="77777777" w:rsidR="00A526EF" w:rsidRDefault="0021416E" w:rsidP="00A526EF">
      <w:pPr>
        <w:spacing w:before="120" w:after="120"/>
        <w:ind w:left="426"/>
        <w:jc w:val="both"/>
        <w:rPr>
          <w:rFonts w:ascii="Calibri Light" w:hAnsi="Calibri Light" w:cs="Calibri Light"/>
          <w:sz w:val="24"/>
          <w:szCs w:val="24"/>
        </w:rPr>
      </w:pPr>
      <w:r w:rsidRPr="0021416E">
        <w:rPr>
          <w:rFonts w:ascii="Calibri Light" w:hAnsi="Calibri Light" w:cs="Calibri Light"/>
          <w:sz w:val="24"/>
          <w:szCs w:val="24"/>
        </w:rPr>
        <w:t>The application of human rights principles based on the Qur'an in Egypt and Indonesia presents a complex landscape, where religious teachings are interpreted in the context of modern legal norms. The Qur'an itself provides numerous verses that advocate for justice, equality, and the dignity of all human beings, but the interpretation and application of these verses in the contemporary legal system often raise significant questions</w:t>
      </w:r>
      <w:r w:rsidR="00A526EF">
        <w:rPr>
          <w:rFonts w:ascii="Calibri Light" w:hAnsi="Calibri Light" w:cs="Calibri Light"/>
          <w:sz w:val="24"/>
          <w:szCs w:val="24"/>
        </w:rPr>
        <w:fldChar w:fldCharType="begin" w:fldLock="1"/>
      </w:r>
      <w:r w:rsidR="00A526EF">
        <w:rPr>
          <w:rFonts w:ascii="Calibri Light" w:hAnsi="Calibri Light" w:cs="Calibri Light"/>
          <w:sz w:val="24"/>
          <w:szCs w:val="24"/>
        </w:rPr>
        <w:instrText>ADDIN CSL_CITATION {"citationItems":[{"id":"ITEM-1","itemData":{"DOI":"10.24857/rgsa.v18n2-075","ISSN":"1981-982X","abstract":"Purpose: This study aims to explain the relationship between Islamophobia and the issue of Communism in Indonesia today. Methods: This research is a type of Data collecting was carried out on the mass media and social media and a literature review to discover this; then, the analysis was carried out using a philosophical approach. Results and Conclusion: This study found that the government policies that were seen opposing Islamism aspirations were considered a form of Islamophobia. The tendency of Islamophobia is resulted from the government and the winning party's closeness to China, especially the Chinese Communist Party, which results in the chaos of the law and efforts to reduce the ideology of the Pancasila (Five Principles). This condition presents a classic contestation between Islamism and Communism in the socio-political realm of contemporary Indonesia. In the contestation, Islamophobia continued in the form of negative imagery of Islam, Arabic, and Islamic politics. The response of Islamic groups to this condition is the strengthening of Islamism under the pretext of defending the state ideology. Research implications: The Development of Islamophobia: This research can provide insight into how Islamophobia develops and is maintained in the Indonesian context, which can provide a better understanding of its root causes and potential consequences in society. Impact on Interreligious and Interthought Relations: The implications of this research may go beyond political issues and touch aspects of interreligious and interthought relations in Indonesia. This can strengthen or weaken social relations between different groups. Public Policy: This study can provide a basis for the development of better public policy in addressing issues related to Islamophobia and society's understanding of communism. Policies created based on this research can be aimed at promoting tolerance and social justice. Further Research: This research may spark interest in further research on the same or related topics. Follow-up studies could dig deeper into the specific aspects revealed in this research or broaden the scope to understand a broader phenomenon. Global Influence: The implications of this research are not only limited to Indonesia, but can also provide valuable insight into how the phenomenon of Islamophobia and the stigma against communism is developing at the global level. This can help in understanding the impact of globalization and interconnectivity in spr…","author":[{"dropping-particle":"","family":"Waston","given":"","non-dropping-particle":"","parse-names":false,"suffix":""},{"dropping-particle":"","family":"Wiranto","given":"Erham Budi","non-dropping-particle":"","parse-names":false,"suffix":""},{"dropping-particle":"","family":"Ali","given":"Mudzakir","non-dropping-particle":"","parse-names":false,"suffix":""},{"dropping-particle":"","family":"Achmad","given":"Noor","non-dropping-particle":"","parse-names":false,"suffix":""},{"dropping-particle":"","family":"Ramdhani","given":"Deddy","non-dropping-particle":"","parse-names":false,"suffix":""},{"dropping-particle":"","family":"Muthoifin","given":"","non-dropping-particle":"","parse-names":false,"suffix":""},{"dropping-particle":"","family":"AN","given":"Andri Nirwana","non-dropping-particle":"","parse-names":false,"suffix":""}],"container-title":"Revista de Gestão Social e Ambiental","id":"ITEM-1","issue":"2","issued":{"date-parts":[["2024","2","27"]]},"page":"e04875","title":"Islamophobia and Communism: Perpetual Prejudice in Contemporary Indonesia","type":"article-journal","volume":"18"},"uris":["http://www.mendeley.com/documents/?uuid=aabcfe19-c662-43a3-bdaa-59a76772f863"]}],"mendeley":{"formattedCitation":"(Waston, Wiranto, et al. 2024)","plainTextFormattedCitation":"(Waston, Wiranto, et al. 2024)","previouslyFormattedCitation":"(Waston, Wiranto, et al. 2024)"},"properties":{"noteIndex":0},"schema":"https://github.com/citation-style-language/schema/raw/master/csl-citation.json"}</w:instrText>
      </w:r>
      <w:r w:rsidR="00A526EF">
        <w:rPr>
          <w:rFonts w:ascii="Calibri Light" w:hAnsi="Calibri Light" w:cs="Calibri Light"/>
          <w:sz w:val="24"/>
          <w:szCs w:val="24"/>
        </w:rPr>
        <w:fldChar w:fldCharType="separate"/>
      </w:r>
      <w:r w:rsidR="00A526EF" w:rsidRPr="00A526EF">
        <w:rPr>
          <w:rFonts w:ascii="Calibri Light" w:hAnsi="Calibri Light" w:cs="Calibri Light"/>
          <w:noProof/>
          <w:sz w:val="24"/>
          <w:szCs w:val="24"/>
        </w:rPr>
        <w:t>(Waston, Wiranto, et al. 2024)</w:t>
      </w:r>
      <w:r w:rsidR="00A526EF">
        <w:rPr>
          <w:rFonts w:ascii="Calibri Light" w:hAnsi="Calibri Light" w:cs="Calibri Light"/>
          <w:sz w:val="24"/>
          <w:szCs w:val="24"/>
        </w:rPr>
        <w:fldChar w:fldCharType="end"/>
      </w:r>
      <w:r w:rsidRPr="0021416E">
        <w:rPr>
          <w:rFonts w:ascii="Calibri Light" w:hAnsi="Calibri Light" w:cs="Calibri Light"/>
          <w:sz w:val="24"/>
          <w:szCs w:val="24"/>
        </w:rPr>
        <w:t>. For instance, Surah Al-Isra (17:70) states, “And We have certainly honored the children of Adam,” affirming the inherent dignity of all humans. This verse serves as a cornerstone in Islamic thought, indicating that every individual is created with inherent respect and dignity. The Qur'an further outlines the rights of individuals, including the right to be treated justly and to have their basic needs met. In Surah Al-Baqarah (2:177), Allah emphasizes the importance of justice, stating, “It is not righteousness that you turn your faces towards the East or the West, but righteousness is in one who believes in Allah, the Last Day, the Angels, the Book, and the Prophets; and gives his wealth, despite his love for it, to relatives, orphans, the needy, the traveler, those who ask [for help], and for freeing slaves.” This verse underlines not only the importance of justice but also the obligation of individuals and communities to ensure the welfare of the most vulnerable in society</w:t>
      </w:r>
      <w:r w:rsidR="00AA4FC8">
        <w:rPr>
          <w:rFonts w:ascii="Calibri Light" w:hAnsi="Calibri Light" w:cs="Calibri Light"/>
          <w:sz w:val="24"/>
          <w:szCs w:val="24"/>
        </w:rPr>
        <w:t xml:space="preserve"> </w:t>
      </w:r>
      <w:r w:rsidR="00A526EF">
        <w:rPr>
          <w:rFonts w:ascii="Calibri Light" w:hAnsi="Calibri Light" w:cs="Calibri Light"/>
          <w:sz w:val="24"/>
          <w:szCs w:val="24"/>
        </w:rPr>
        <w:fldChar w:fldCharType="begin" w:fldLock="1"/>
      </w:r>
      <w:r w:rsidR="00A526EF">
        <w:rPr>
          <w:rFonts w:ascii="Calibri Light" w:hAnsi="Calibri Light" w:cs="Calibri Light"/>
          <w:sz w:val="24"/>
          <w:szCs w:val="24"/>
        </w:rPr>
        <w:instrText>ADDIN CSL_CITATION {"citationItems":[{"id":"ITEM-1","itemData":{"DOI":"10.1017/S2045381722000168","ISSN":"20453817 (ISSN)","abstract":"'Practical' approaches to human rights hold that analysis of legal human rights must attend to the practice(s) of international human rights law and that the nature and justification of international human rights is best determined by attending to their role(s) in international human rights law's system of normative practices, not analogous moral rights outside it. These core tenets plausibly explain the apparent normativity of international human rights law despite controversies about the status of many 'rights' in the 'International Bill of Rights'. Yet plausible practical approaches require clear and compelling accounts of which practices qualify as human rights practices. Most existing accounts view 'responses' to claims made in the name of the international legal community as key to the identification of human rights. Activities by domestic governments and non-governmental actors qualify as relevant practices. While understandable, these 'responsive' accounts of practice create more problems than they solve. This work accordingly promotes a largely unexplored account on which 'human rights practices' are strictly defined by international legal doctrine. This 'doctrinal' account of practice is most likely to maintain practical approaches to human rights' potential benefits without generating an unduly expansive rights register or adopting strong theoretical commitments about the nature of law. © The Author(s), 2022. Published by Cambridge University Press.","author":[{"dropping-particle":"","family":"Silva","given":"M","non-dropping-particle":"Da","parse-names":false,"suffix":""}],"container-title":"Global Constitutionalism","id":"ITEM-1","issue":"1","issued":{"date-parts":[["2023"]]},"language":"English","page":"106-132","publisher":"Cambridge University Press","publisher-place":"School of Law, University of Southampton, Southampton, United Kingdom","title":"Legal doctrine as human rights 'practice'","type":"article-journal","volume":"12"},"uris":["http://www.mendeley.com/documents/?uuid=884741a9-98db-4ce0-a56c-33519d0e9e12"]},{"id":"ITEM-2","itemData":{"DOI":"10.31893/multirev.2024163","ISSN":"2595-3982","abstract":"In the contemporary digital era, children are increasingly influenced by a plethora of digital elements, such as social media platforms, which often lead to the erosion of their time, character, and innovative capacities. This study delves into the intricate dynamics of Islamic parenting within the digital landscape, shedding light on the inherent challenges it presents and advocating for the application of Islamic educational principles as a robust solution framework. Employing qualitative methodologies, the research meticulously examines the hurdles faced by parents in navigating the complexities of modern-day parenting. By aligning with Islamic educational values, the study delineates effective strategies for parents to surmount these challenges, thereby fostering a nurturing environment conducive to the holistic development of children. Through comprehensive analysis and empirical insights, this study contributes to a deeper understanding of the interplay between contemporary parenting dilemmas and the timeless wisdom encapsulated in Islamic educational principles, offering practical pathways for parents to navigate the digital age with resilience and purpose.","author":[{"dropping-particle":"","family":"Sukisno","given":"","non-dropping-particle":"","parse-names":false,"suffix":""},{"dropping-particle":"","family":"Waston","given":"","non-dropping-particle":"","parse-names":false,"suffix":""},{"dropping-particle":"","family":"Nirwana","given":"Andri","non-dropping-particle":"","parse-names":false,"suffix":""},{"dropping-particle":"","family":"Mahmudulhassan","given":"","non-dropping-particle":"","parse-names":false,"suffix":""},{"dropping-particle":"","family":"Muthoifin","given":"Muthoifin","non-dropping-particle":"","parse-names":false,"suffix":""}],"container-title":"Multidisciplinary Reviews","id":"ITEM-2","issue":"8","issued":{"date-parts":[["2024","4","30"]]},"page":"2024163","title":"Parenting problems in the digital age and their solution development in the frame of value education","type":"article-journal","volume":"7"},"uris":["http://www.mendeley.com/documents/?uuid=50abcc59-e60b-4d45-b4f2-bf88efd4815c"]},{"id":"ITEM-3","itemData":{"DOI":"10.31893/multirev.2024137","ISSN":"2595-3982","abstract":"This study investigates the necessity of creating an ethical curriculum based on Islamic ideas in Bangladesh’s educational system. Bangladesh proffers a distinctive backdrop for incorporating Islamic principles into its educational framework as a nation with a varied cultural and religious background. Qualitative methodologies were used to analyze this investigation. It covered a difference of research papers, books, and articles to inspect the social, cultural, and educational elements of implementing a curriculum, primarily contributing to the discussion of ethical education in Islamic culture. This study investigates the challenges and opportunities this effort gives, emphasizing the importance of inclusivity, cultural sensitivity, and a balanced approach to education. The study showed that teaching of ethical education in schools is not having a satisfactory effect on the students and this is because the curriculum of the book on ethical education is concise. The analysis of the impact of Islamic education on ethical education is compressed.","author":[{"dropping-particle":"","family":"Mahmudulhassan","given":"","non-dropping-particle":"","parse-names":false,"suffix":""},{"dropping-particle":"","family":"Waston","given":"Waston","non-dropping-particle":"","parse-names":false,"suffix":""},{"dropping-particle":"","family":"Nirwana","given":"Andri","non-dropping-particle":"","parse-names":false,"suffix":""},{"dropping-particle":"","family":"Amini","given":"Soleh","non-dropping-particle":"","parse-names":false,"suffix":""},{"dropping-particle":"","family":"Sholeh","given":"Muhammad Muhtar Arifin","non-dropping-particle":"","parse-names":false,"suffix":""},{"dropping-particle":"","family":"Muthoifin","given":"Muthoifin","non-dropping-particle":"","parse-names":false,"suffix":""}],"container-title":"Multidisciplinary Reviews","id":"ITEM-3","issue":"8","issued":{"date-parts":[["2024","5","6"]]},"page":"2024137","title":"A moral-based curriculum to improve civilization and human resource development in Bangladesh","type":"article-journal","volume":"7"},"uris":["http://www.mendeley.com/documents/?uuid=cf7e0e5b-a374-411e-8072-01156e929e59"]}],"mendeley":{"formattedCitation":"(Mahmudulhassan et al. 2024; Da Silva 2023; Sukisno et al. 2024)","plainTextFormattedCitation":"(Mahmudulhassan et al. 2024; Da Silva 2023; Sukisno et al. 2024)","previouslyFormattedCitation":"(Mahmudulhassan et al. 2024; Da Silva 2023; Sukisno et al. 2024)"},"properties":{"noteIndex":0},"schema":"https://github.com/citation-style-language/schema/raw/master/csl-citation.json"}</w:instrText>
      </w:r>
      <w:r w:rsidR="00A526EF">
        <w:rPr>
          <w:rFonts w:ascii="Calibri Light" w:hAnsi="Calibri Light" w:cs="Calibri Light"/>
          <w:sz w:val="24"/>
          <w:szCs w:val="24"/>
        </w:rPr>
        <w:fldChar w:fldCharType="separate"/>
      </w:r>
      <w:r w:rsidR="00A526EF" w:rsidRPr="00A526EF">
        <w:rPr>
          <w:rFonts w:ascii="Calibri Light" w:hAnsi="Calibri Light" w:cs="Calibri Light"/>
          <w:noProof/>
          <w:sz w:val="24"/>
          <w:szCs w:val="24"/>
        </w:rPr>
        <w:t>(Mahmudulhassan et al. 2024; Da Silva 2023; Sukisno et al. 2024)</w:t>
      </w:r>
      <w:r w:rsidR="00A526EF">
        <w:rPr>
          <w:rFonts w:ascii="Calibri Light" w:hAnsi="Calibri Light" w:cs="Calibri Light"/>
          <w:sz w:val="24"/>
          <w:szCs w:val="24"/>
        </w:rPr>
        <w:fldChar w:fldCharType="end"/>
      </w:r>
    </w:p>
    <w:p w14:paraId="317411B9" w14:textId="77777777" w:rsidR="0021416E" w:rsidRPr="0021416E" w:rsidRDefault="0021416E" w:rsidP="00A526EF">
      <w:pPr>
        <w:spacing w:before="120" w:after="120"/>
        <w:ind w:left="426"/>
        <w:jc w:val="both"/>
        <w:rPr>
          <w:rFonts w:ascii="Calibri Light" w:hAnsi="Calibri Light" w:cs="Calibri Light"/>
          <w:sz w:val="24"/>
          <w:szCs w:val="24"/>
        </w:rPr>
      </w:pPr>
      <w:r w:rsidRPr="0021416E">
        <w:rPr>
          <w:rFonts w:ascii="Calibri Light" w:hAnsi="Calibri Light" w:cs="Calibri Light"/>
          <w:sz w:val="24"/>
          <w:szCs w:val="24"/>
        </w:rPr>
        <w:t>Alongside the Qur'an, the Hadiths of the Prophet Muhammad (PBUH) further emphasize the dignity and equality of human beings. The Prophet's teachings on justice and equality are numerous, and one of the most powerful Hadiths in relation to human rights is found in Sahih Muslim, where the Prophet Muhammad (PBUH) said, “All of you are equal; no one is superior to another except by piety and good deeds.” This Hadith reinforces the Islamic view that all human beings, regardless of their race, wealth, or status, are entitled to the same basic rights and respect</w:t>
      </w:r>
      <w:r w:rsidR="00A526EF">
        <w:rPr>
          <w:rFonts w:ascii="Calibri Light" w:hAnsi="Calibri Light" w:cs="Calibri Light"/>
          <w:sz w:val="24"/>
          <w:szCs w:val="24"/>
        </w:rPr>
        <w:fldChar w:fldCharType="begin" w:fldLock="1"/>
      </w:r>
      <w:r w:rsidR="00A526EF">
        <w:rPr>
          <w:rFonts w:ascii="Calibri Light" w:hAnsi="Calibri Light" w:cs="Calibri Light"/>
          <w:sz w:val="24"/>
          <w:szCs w:val="24"/>
        </w:rPr>
        <w:instrText>ADDIN CSL_CITATION {"citationItems":[{"id":"ITEM-1","itemData":{"DOI":"10.24090/mnh.v16i1.6382","ISSN":"2579-4167","abstract":"Gojek is one of the largest electronic application companies that provides transportation and delivery services and has many driver-partners. In 2020, the number of business partners will reach two million partners. The research focuses on social conflicts, bad consumer attitudes, and punishments accompanied by dropping out of work against them. This study aims to analyze the guarantee of the protection of the rights of Gojek Indonesia's partners in the review of the Manpower Act No. 13 of 2003 and in terms of maqashid . This is a descriptive analysis research with content analysis method through the theory of the Manpower Act and sharia maqashid, then analysis through scientific data sourced from valid scientific books and journals. The findings of this study are in the form of an agreement between the driver-partners and the Gojek company, including a partnership agreement, there is not a work agreement. On this matter, the Manpower Law No. 13 of 2003 cannot be applied to driver-partners, therefore they are not entitled to claim the rights of the protection guarantees contained in the agreement. in the Manpower Act. As for Gojek's company policy, according to Ibn Ashur's maqashid sharia analysis, some disagree with the maqshad of freedom, the principle of equality and not by maqshad, eliminating every agreement that contains elements of slavery. In terms of the rights of the driver partners, it is by the maqshad of the maslahah principle and the fulfillment of rights to the experts, and the maqshad of providing work support facilities, as well as the maqshad of hastening the provision of wages. And in terms of partner facility services, everything is in line with the maqashid sharia principle.","author":[{"dropping-particle":"","family":"Yahya","given":"Abdullah Muhammad","non-dropping-particle":"","parse-names":false,"suffix":""},{"dropping-particle":"","family":"Hasan","given":"Moh Abdul Kholiq","non-dropping-particle":"","parse-names":false,"suffix":""},{"dropping-particle":"","family":"AN","given":"Andri Nirwana","non-dropping-particle":"","parse-names":false,"suffix":""}],"container-title":"Al-Manahij: Jurnal Kajian Hukum Islam","id":"ITEM-1","issue":"1","issued":{"date-parts":[["2022","5","30"]]},"page":"115-132","title":"Rights Protection Guarantee for the Partners of Indonesian Gojek Company according to Labour Laws no 13 of 2033 and Maqasid","type":"article-journal","volume":"16"},"uris":["http://www.mendeley.com/documents/?uuid=32940fdf-27e8-4ca5-aebe-5df268304264"]}],"mendeley":{"formattedCitation":"(Yahya, Hasan, and AN 2022)","plainTextFormattedCitation":"(Yahya, Hasan, and AN 2022)","previouslyFormattedCitation":"(Yahya, Hasan, and AN 2022)"},"properties":{"noteIndex":0},"schema":"https://github.com/citation-style-language/schema/raw/master/csl-citation.json"}</w:instrText>
      </w:r>
      <w:r w:rsidR="00A526EF">
        <w:rPr>
          <w:rFonts w:ascii="Calibri Light" w:hAnsi="Calibri Light" w:cs="Calibri Light"/>
          <w:sz w:val="24"/>
          <w:szCs w:val="24"/>
        </w:rPr>
        <w:fldChar w:fldCharType="separate"/>
      </w:r>
      <w:r w:rsidR="00A526EF" w:rsidRPr="00A526EF">
        <w:rPr>
          <w:rFonts w:ascii="Calibri Light" w:hAnsi="Calibri Light" w:cs="Calibri Light"/>
          <w:noProof/>
          <w:sz w:val="24"/>
          <w:szCs w:val="24"/>
        </w:rPr>
        <w:t>(Yahya, Hasan, and AN 2022)</w:t>
      </w:r>
      <w:r w:rsidR="00A526EF">
        <w:rPr>
          <w:rFonts w:ascii="Calibri Light" w:hAnsi="Calibri Light" w:cs="Calibri Light"/>
          <w:sz w:val="24"/>
          <w:szCs w:val="24"/>
        </w:rPr>
        <w:fldChar w:fldCharType="end"/>
      </w:r>
      <w:r w:rsidRPr="0021416E">
        <w:rPr>
          <w:rFonts w:ascii="Calibri Light" w:hAnsi="Calibri Light" w:cs="Calibri Light"/>
          <w:sz w:val="24"/>
          <w:szCs w:val="24"/>
        </w:rPr>
        <w:t>. Furthermore, the Prophet’s final sermon, delivered during the Hajj pilgrimage, is a powerful reminder of the universality of human rights. He declared, “All mankind is from Adam and Eve. No Arab has superiority over a non-Arab, and no non-Arab has superiority over an Arab; a white has no superiority over a black, nor does a black have any superiority over a white; none have superiority over another except by piety and good action.” These teachings emphasize the idea that human rights, as understood in Islam, transcend ethnic, racial, and social boundaries and are grounded in the principles of justice and equality</w:t>
      </w:r>
      <w:r w:rsidR="00AA4FC8">
        <w:rPr>
          <w:rFonts w:ascii="Calibri Light" w:hAnsi="Calibri Light" w:cs="Calibri Light"/>
          <w:sz w:val="24"/>
          <w:szCs w:val="24"/>
        </w:rPr>
        <w:t xml:space="preserve"> </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{"citationItems":[{"id":"ITEM-1","itemData":{"DOI":"10.1080/15570274.2022.2111810","ISSN":"15570274 (ISSN)","abstract":"There are strong geographic patterns in how people view religion, national identity, minorities, and key social issues across different regions. These patterns also exhibit themselves in the ways that freedom of religion or belief (FoRB) and gender equality are viewed. This article focuses on gender equality in Central Asia and Russia and analyzes the international human rights treaty monitoring cycles within the United Nations. It also reflects on selected cases in the treaty committees. This article combines legal, human rights perspectives with current social research to identify deficiencies in states’ fulfillment of their positive duties under international law to address the intersections between gender-based discrimination and religion. It employs the concept of intersectional discrimination to analyze these connections. The connection between FoRB and gender equality from the perspective of intersectional discrimination has not been sufficiently researched in relation to Central Asia and Russia. The treaty monitoring documents are a good starting point for this research and give a comprehensive picture of existing legal issues and underlying social problems. © 2022 Institute for Global Engagement.","author":[{"dropping-particle":"","family":"Kiviorg","given":"M","non-dropping-particle":"","parse-names":false,"suffix":""}],"container-title":"Review of Faith and International Affairs","id":"ITEM-1","issue":"3","issued":{"date-parts":[["2022"]]},"language":"English","page":"47-62","publisher":"Routledge","title":"International Obligations and Internal Tensions: Individual Religious Autonomy and Gender Equality in Russia and Central Asia","type":"article-journal","volume":"20"},"uris":["http://www.mendeley.com/documents/?uuid=0d589f1e-d329-4033-881f-86dd8256784a","http://www.mendeley.com/documents/?uuid=72493946-443b-45ca-8eaa-a56cc2001f26"]},{"id":"ITEM-2","itemData":{"DOI":"10.31893/multirev.2024124","ISSN":"25953982","abstract":"The purpose of this study is to chart the evolution and direction of leadership research in Islam in papers indexed in the Scopus database. This study use bibliometric analysis tools to investigate all articles on Leadership in Islam indexed in the Scopus database between 1987 and 2023. The collected data was analysed with Microsoft Excel and R/R-Studio. VOSviewer was used to conduct a visual study of the occurrence of keywords and document citations at the same time. The author discovered 330 papers that fit the function, subject, and criteria that were specified. The data revealed a 7.38% yearly growth rate. This study solely includes meta data from Scopus-indexed publications. This study did not take other national and international data borders into account. This study provides a quick summary of the literature available to Islamic Studies academics, as well as recommendations for further research.","author":[{"dropping-particle":"","family":"Andri Nirwana","given":"A. N.","non-dropping-particle":"","parse-names":false,"suffix":""},{"dropping-particle":"","family":"Affani","given":"Sulkhan Fajar","non-dropping-particle":"","parse-names":false,"suffix":""},{"dropping-particle":"","family":"Junaedi","given":"Didi","non-dropping-particle":"","parse-names":false,"suffix":""},{"dropping-particle":"","family":"Akhyar","given":"Sayed","non-dropping-particle":"","parse-names":false,"suffix":""},{"dropping-particle":"","family":"Suri","given":"Sufian","non-dropping-particle":"","parse-names":false,"suffix":""},{"dropping-particle":"","family":"Nurrohim","given":"Ahmad","non-dropping-particle":"","parse-names":false,"suffix":""},{"dropping-particle":"","family":"Dahliana","given":"Yeti","non-dropping-particle":"","parse-names":false,"suffix":""},{"dropping-particle":"","family":"Azizah","given":"Alfiyatul","non-dropping-particle":"","parse-names":false,"suffix":""}],"container-title":"Multidisciplinary Reviews","id":"ITEM-2","issue":"6","issued":{"date-parts":[["2024"]]},"title":"A historical review on mapping the evolution and direction of leadership in Islam: Challenges and development opportunities","type":"article-journal","volume":"7"},"uris":["http://www.mendeley.com/documents/?uuid=7f28ee82-5818-422f-9f08-f79038d1610b"]},{"id":"ITEM-3","itemData":{"DOI":"10.23917/profetika.v23i1.16798","ISSN":"2541-4534","abstract":"Poverty is still a serious problem for Muslims. The distribution of zakat on target should be used to solve economic problems, especially poverty. Zakat besides being distributed consumptively can be done in a productive way. Productive Zakat can be used for economic empowerment which is useful for alleviating poverty. This writing aims to examine the thoughts of Islamic leaders who have thoughts about productive zakat which is useful for economic empowerment including Yusuf Qardhawi and Sahal Mahfudh. This research is a library research using a qualitative approach. This study chooses data sources related to the research topic based on the thoughts of Yusuf Qardhawi and Sahal Mahfudh by comparing backgrounds, main ideas, implementers, targets, standard limits, and steps for economic empowerment. The results of this study found that firstly, Yusuf Qardhawi had an idea including dividing economic problems into five categories and developing issues related to zakat management, making a person, society and government as executors of economic empowerment, distributing zakat for mustahiq zakat and the poor, and steps economic empowerment is done by conveying theories to reach the minimum and maximum limits of meeting the needs of the community. Secondly, Sahal Mahfudh has ideas including economic problems and improving zakat management, making a person, community, and government as executors of economic empowerment, zakat distributed to the poor, and empowerment steps carried out with concrete actions and have succeeded in setting minimum and maximum limits of fulfilling needs Public. Third, the similarities and differences in the thoughts of Yusuf Qardhawi and Sahal Mahfudh in economic empowerment through productive zakat. The similarities and differences of thought between the two are in the background, main ideas, implementers, targets, standard boundaries, and steps in economic empowerment.Kemiskinan masih menjadi permasalahan yang serius bagi umat Islam. Pendistribusian zakat yang tepat sasaran seharusnya dapat digunakan untuk memecahkan masalah ekonomi terutama kemiskinan. Zakat selain didistribusikan secara konsumtif dapat dilakukan dengan cara produktif. Zakat produktif dapat digunakan untuk pemberdayaan ekonomi yang berguna untuk mengentaskan kemiskinan. Penulisan ini bertujuan untuk mengkaji pemikiran tokoh Islam yang memiliki pemikiran tentang zakat produktif yang berguna untuk pemberdayaan ekonomi diantaranya adalah Yusuf Qardhawi dan Sahal Mahfu…","author":[{"dropping-particle":"","family":"Yayuli","given":"Yayuli","non-dropping-particle":"","parse-names":false,"suffix":""},{"dropping-particle":"","family":"Athief","given":"Fauzul Hanif Noor","non-dropping-particle":"","parse-names":false,"suffix":""},{"dropping-particle":"","family":"Utari","given":"Dewi Nur","non-dropping-particle":"","parse-names":false,"suffix":""}],"container-title":"Profetika: Jurnal Studi Islam","id":"ITEM-3","issue":"1","issued":{"date-parts":[["2021","12","21"]]},"page":"98-113","title":"STUDI KOMPARATIF PEMIKIRAN YUSUF QARDHAWI DAN SAHAL MAHFUDH TENTANG ZAKAT PRODUKTIF SEBAGAI SARANA PEMBERDAYAAN EKONOMI","type":"article-journal","volume":"23"},"uris":["http://www.mendeley.com/documents/?uuid=df33f627-29b3-4039-9087-191abb13eae7"]},{"id":"ITEM-4","itemData":{"DOI":"10.23917/mier.v1i2.3427","ISSN":"3025-8839","abstract":"This research is qualitative research that aims to develop an Islamic quality-of-life model for Islamic multicultural education. Research is conducted by referring to various sources of writing (literary research), and then formulating with deductive and inductive reasoning (thinking). The four criteria for a successful life (luck, win), namely faith, good deeds, correctness, and patience. These four criteria constitute a unified whole, and should not be broken down or reduced. The word 'sholih' means 'whole' (not broken apart) or 'complete', which is also usually translated as 'good'. Goodness due to wholeness and completeness. Wholeness and completeness in the concept of \"Amal Sholih\" include amal imaniah (faithful action), amal ilmiah (scientific action), amal karimah (noble action), amal rahmah (beloved action), amal barakah (better action), amal salamah (safe action), and amal kamilah (complete action). Faithful action is the action that must be based on faith, namely the six pillars of faith. Scientific action is an action that contains knowledge. Amal karimah is human deeds that show good deeds. Beloved action is the action that reflects rahmah (compassion, love), which arises from a clean conscience. Better action is a human action that provides benefits and added value (added goodness) to others and oneself. Safe action is the act of human beings who are safe and save themselves and others in this world and the hereafter. Complete action is the human action that fulfills 100% of the target.","author":[{"dropping-particle":"","family":"Muhtar Arifin Sholeh","given":"Muhammad","non-dropping-particle":"","parse-names":false,"suffix":""},{"dropping-particle":"","family":"Waston","given":"","non-dropping-particle":"","parse-names":false,"suffix":""},{"dropping-particle":"","family":"Nirwana AN","given":"Andri","non-dropping-particle":"","parse-names":false,"suffix":""},{"dropping-particle":"","family":"Hidayat","given":"Syamsul","non-dropping-particle":"","parse-names":false,"suffix":""}],"container-title":"Multicultural Islamic Education Review","id":"ITEM-4","issue":"2","issued":{"date-parts":[["2023","12","8"]]},"page":"180-195","title":"Good Character, Good Deeds and Good Speech for Developing Multicultural Islamic Education: An Islamic Concept","type":"article-journal","volume":"1"},"uris":["http://www.mendeley.com/documents/?uuid=524fb5d2-8e47-49f9-adc6-aceec8fc7672"]}],"mendeley":{"formattedCitation":"(Andri Nirwana et al. 2024; Kiviorg 2022; Muhtar Arifin Sholeh et al. 2023; Yayuli, Athief, and Utari 2021)","manualFormatting":"(Andri Nirwana et al. 2024; Kiviorg 2022; Muhtar Arifin Sholeh et al. 2023; Yayuli 2021)","plainTextFormattedCitation":"(Andri Nirwana et al. 2024; Kiviorg 2022; Muhtar Arifin Sholeh et al. 2023; Yayuli, Athief, and Utari 2021)","previouslyFormattedCitation":"(Andri Nirwana et al. 2024; Kiviorg 2022; Muhtar Arifin Sholeh et al. 2023; Yayuli, Athief, and Utari 2021)"},"properties":{"noteIndex":0},"schema":"https://github.com/citation-style-language/schema/raw/master/csl-citation.json"}</w:instrText>
      </w:r>
      <w:r w:rsidR="00FB4ACA">
        <w:rPr>
          <w:rFonts w:ascii="Calibri Light" w:hAnsi="Calibri Light" w:cs="Calibri Light"/>
          <w:sz w:val="24"/>
          <w:szCs w:val="24"/>
        </w:rPr>
        <w:fldChar w:fldCharType="separate"/>
      </w:r>
      <w:r w:rsidR="00A526EF" w:rsidRPr="00A526EF">
        <w:rPr>
          <w:rFonts w:ascii="Calibri Light" w:hAnsi="Calibri Light" w:cs="Calibri Light"/>
          <w:noProof/>
          <w:sz w:val="24"/>
          <w:szCs w:val="24"/>
        </w:rPr>
        <w:t>(Andri Nirwana et al. 2024; Kiviorg 2022; Muhtar Arifin Sholeh et al. 2023; Yayuli 2021)</w:t>
      </w:r>
      <w:r w:rsidR="00FB4ACA">
        <w:rPr>
          <w:rFonts w:ascii="Calibri Light" w:hAnsi="Calibri Light" w:cs="Calibri Light"/>
          <w:sz w:val="24"/>
          <w:szCs w:val="24"/>
        </w:rPr>
        <w:fldChar w:fldCharType="end"/>
      </w:r>
      <w:r w:rsidRPr="0021416E">
        <w:rPr>
          <w:rFonts w:ascii="Calibri Light" w:hAnsi="Calibri Light" w:cs="Calibri Light"/>
          <w:sz w:val="24"/>
          <w:szCs w:val="24"/>
        </w:rPr>
        <w:t xml:space="preserve">. </w:t>
      </w:r>
    </w:p>
    <w:p w14:paraId="4CD8B315" w14:textId="77777777" w:rsidR="0021416E" w:rsidRPr="0021416E" w:rsidRDefault="0021416E" w:rsidP="0021416E">
      <w:pPr>
        <w:spacing w:before="120" w:after="120"/>
        <w:ind w:left="426"/>
        <w:jc w:val="both"/>
        <w:rPr>
          <w:rFonts w:ascii="Calibri Light" w:hAnsi="Calibri Light" w:cs="Calibri Light"/>
          <w:sz w:val="24"/>
          <w:szCs w:val="24"/>
        </w:rPr>
      </w:pPr>
      <w:r w:rsidRPr="0021416E">
        <w:rPr>
          <w:rFonts w:ascii="Calibri Light" w:hAnsi="Calibri Light" w:cs="Calibri Light"/>
          <w:sz w:val="24"/>
          <w:szCs w:val="24"/>
        </w:rPr>
        <w:t>Despite the clarity of these Qur'anic verses and Hadiths, the practical application of these principles within Islamic-majority countries has sparked significant debate. In Egypt, for instance, the integration of Islamic principles with the modern human rights framework is often fraught with tensions</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{"citationItems":[{"id":"ITEM-1","itemData":{"DOI":"10.23917/qist.v3i3.5737","ISSN":"2828-2779","abstract":"In the last few decades, interpretation with a contextual approach has begun to occupy a central position in the paradigm of interpreting the Qur'an. This is because the classical method of interpreting the Qur'an which is static and more textual is considered no longer compatible in responding to the reality of the era which is developing very complexly. This paper utilizes the library research method to examine the epistemological reasoning of contextual interpretation. The results of this study found that contextual interpretation is a form of approach in interpreting the Qur'an which starts from the argument that every text has a context that binds the meaning behind it. Thus, the meaning of a text of revelation (God's message) will only be found if an interpreter has a deep understanding of its context, then translated and elaborated based on the reality faced. In a different expression, contextual interpretation cannot be separated from the understanding of three horizons, namely between text, context, and contextualization.","author":[{"dropping-particle":"","family":"Kerwanto","given":"K","non-dropping-particle":"","parse-names":false,"suffix":""},{"dropping-particle":"Al","family":"Hasani","given":"Muhammad Aulal Fikri","non-dropping-particle":"","parse-names":false,"suffix":""},{"dropping-particle":"","family":"Hamdani","given":"Muhammad Miftah","non-dropping-particle":"","parse-names":false,"suffix":""}],"container-title":"QiST: Journal of Quran and Tafseer Studies","id":"ITEM-1","issue":"3","issued":{"date-parts":[["2024","10","18"]]},"page":"451-470","title":"Contextual Interpretation (Study of Epistemology, History, Variety of Books and Examples of Interpretation)","type":"article-journal","volume":"3"},"uris":["http://www.mendeley.com/documents/?uuid=c880a6d7-ed4b-437c-a11b-f5dec9f86ce5"]}],"mendeley":{"formattedCitation":"(Kerwanto, Hasani, and Hamdani 2024)","manualFormatting":"(Kerwanto 2024)","plainTextFormattedCitation":"(Kerwanto, Hasani, and Hamdani 2024)","previouslyFormattedCitation":"(Kerwanto, Hasani, and Hamdani 2024)"},"properties":{"noteIndex":0},"schema":"https://github.com/citation-style-language/schema/raw/master/csl-citation.json"}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(Kerwanto 2024)</w:t>
      </w:r>
      <w:r w:rsidR="00FB4ACA">
        <w:rPr>
          <w:rFonts w:ascii="Calibri Light" w:hAnsi="Calibri Light" w:cs="Calibri Light"/>
          <w:sz w:val="24"/>
          <w:szCs w:val="24"/>
        </w:rPr>
        <w:fldChar w:fldCharType="end"/>
      </w:r>
      <w:r w:rsidRPr="0021416E">
        <w:rPr>
          <w:rFonts w:ascii="Calibri Light" w:hAnsi="Calibri Light" w:cs="Calibri Light"/>
          <w:sz w:val="24"/>
          <w:szCs w:val="24"/>
        </w:rPr>
        <w:t xml:space="preserve">. Egypt's legal system, which combines </w:t>
      </w:r>
      <w:proofErr w:type="spellStart"/>
      <w:r w:rsidRPr="0021416E">
        <w:rPr>
          <w:rFonts w:ascii="Calibri Light" w:hAnsi="Calibri Light" w:cs="Calibri Light"/>
          <w:sz w:val="24"/>
          <w:szCs w:val="24"/>
        </w:rPr>
        <w:t>Shari'ah</w:t>
      </w:r>
      <w:proofErr w:type="spellEnd"/>
      <w:r w:rsidRPr="0021416E">
        <w:rPr>
          <w:rFonts w:ascii="Calibri Light" w:hAnsi="Calibri Light" w:cs="Calibri Light"/>
          <w:sz w:val="24"/>
          <w:szCs w:val="24"/>
        </w:rPr>
        <w:t xml:space="preserve"> with secular law, creates a dynamic where Islamic principles, such as those advocating for justice and equality, sometimes conflict with the country’s political realities and international human rights obligations</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{"citationItems":[{"id":"ITEM-1","itemData":{"DOI":"10.23917/laj.v8i1.1693","ISSN":"2549-8282","abstract":"Penelitian ini bertujuan untuk mengkaji kebijakan Perum Perhutani KPH Saradan dalam mengadopsi kebijakan Pengelolaan Hutan Bersama Masyarakat (PHBM) sebagai kebijakan kehutanan dengan pendekatan baru, yaitu meningkatkan kesejahteraan masyarakat yang tinggal di sekitar hutan dan sekaligus melestarikan hutan. Penelitian ini merupakan penelitian non-doktrinal dengan pendekatan kualitatif, yaitu sesuatu dilihat dari sudut pandang orang yang diteliti (informan). Lokasi penelitian berada di wilayah kerja Perum Perhutani KPH Saradan. Jenis data dalam penelitian ini terdiri dari data primer dan data sekunder. Data primer diperoleh dari wawancara dengan responden yang diambil dengan metode purposive sampling dan dianalisis dengan analisis kualitatif. Berdasarkan hasil penelitian dan diskusi, dapat disimpulkan bahwa kebijakan PHBM memiliki tujuh tujuan, yaitu: perencanaan dan pelaksanaan kegiatan yang lebih fleksibel, peningkatan tanggung jawab Perum Perhutani (KPH Saradan) terhadap keberlanjutan fungsi dan manfaat hutan, peningkatan peran dan akses masyarakat desa hutan (MDH) dan pemangku kepentingan pengelolaan SDH, penyesuaian PHBM dengan pembangunan daerah, peningkatan sinergi dengan Pemerintah, peningkatan usaha produktif sehingga masyarakat mandiri dan mendukung peningkatan Indeks Pembangunan Manusia (IPM). Implementasi kebijakan PHBM dalam konsepnya adalah pengelolaan hutan bersama masyarakat, yaitu prinsip kerjasama, pengelolaan bersama, dan tanggung jawab bersama. Kebijakan dengan pendekatan kesejahteraan ini juga mengambil jalur kesediaan untuk berbagi hasil hutan kayu dan non-kayu dengan masyarakat Desa Hutan (MDH) yang sebelumnya telah dilakukan dan memiliki konsep pertanian di area hutan sehingga hutan dapat dimanfaatkan untuk kesejahteraan tanpa menyebabkan kerusakan hutan. Kata Kunci: Kehutanan, Kebijakan, Saradan, Kesejahteraan This study aims to examine the policies of Perum Perhutani KPH Saradan adopting the Community Forest Management (PHBM) policy as a forestry policy with a new approach, namely increasing the welfare of the people living around the forest and preserving forests on the other hand. This research is a non-doctrinal research with a qualitative approach, that is, something is seen from the point of view of the person being studied (informant). The research location is in the working area of Perum Perhutani KPH Saradan. The type of data in this study consists of primary data and secondary data. Primary data obtained from interviews…","author":[{"dropping-particle":"","family":"Budiono","given":"Arief","non-dropping-particle":"","parse-names":false,"suffix":""},{"dropping-particle":"","family":"M Junaidi","given":"","non-dropping-particle":"","parse-names":false,"suffix":""},{"dropping-particle":"","family":"Rizka","given":"Rizka","non-dropping-particle":"","parse-names":false,"suffix":""},{"dropping-particle":"","family":"Jan Alizea Sybelle","given":"","non-dropping-particle":"","parse-names":false,"suffix":""},{"dropping-particle":"","family":"Samudera","given":"Kiki","non-dropping-particle":"","parse-names":false,"suffix":""},{"dropping-particle":"","family":"Ichsan","given":"Iqbal Muhammad","non-dropping-particle":"","parse-names":false,"suffix":""}],"container-title":"Law and Justice","id":"ITEM-1","issue":"1","issued":{"date-parts":[["2023","12","19"]]},"page":"95-110","title":"Legal Policies on Welfare Approaches in Forest Management in Indonesia: : Policy Study at Perum Perhutani KPH Saradan","type":"article-journal","volume":"8"},"uris":["http://www.mendeley.com/documents/?uuid=476f9239-f763-46f5-a8f5-9d82d816efde"]}],"mendeley":{"formattedCitation":"(Budiono et al. 2023)","plainTextFormattedCitation":"(Budiono et al. 2023)","previouslyFormattedCitation":"(Budiono et al. 2023)"},"properties":{"noteIndex":0},"schema":"https://github.com/citation-style-language/schema/raw/master/csl-citation.json"}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(Budiono et al. 2023)</w:t>
      </w:r>
      <w:r w:rsidR="00FB4ACA">
        <w:rPr>
          <w:rFonts w:ascii="Calibri Light" w:hAnsi="Calibri Light" w:cs="Calibri Light"/>
          <w:sz w:val="24"/>
          <w:szCs w:val="24"/>
        </w:rPr>
        <w:fldChar w:fldCharType="end"/>
      </w:r>
      <w:r w:rsidRPr="0021416E">
        <w:rPr>
          <w:rFonts w:ascii="Calibri Light" w:hAnsi="Calibri Light" w:cs="Calibri Light"/>
          <w:sz w:val="24"/>
          <w:szCs w:val="24"/>
        </w:rPr>
        <w:t>. While Egypt's constitution acknowledges the importance of Islamic law and human dignity, issues such as gender equality, freedom of expression, and minority rights have raised concerns regarding the extent to which the legal system fully reflects Qur'anic values in practice</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{"citationItems":[{"id":"ITEM-1","itemData":{"DOI":"10.23917/suhuf.v36i2.4764","ISSN":"2527-2934","abstract":"Ali Hasjmy is a writer, cleric, and key figure in advancing education in Aceh. His educational philosophy covers the purpose of education, distinctions between teaching and education, critique of secularism, and the importance of religious instruction. This research, based on a literature review, shows that for Hasjmy, education nurtures faith, knowledge, and virtuous deeds, aiming to produce people devoted to God, knowledgeable, morally upright, and ready to defend the oppressed. Religious education, he argued, is vital, not just for knowledge, but for practical application in daily life. Hasjmy opposed educational secularism, insisting that education should strengthen faith while equipping students with practical skills for societal development, particularly in agriculture, industry, and mining. His ideas remain relevant, symbolized by the decree No. 90 of 1960, which established September 2 as Aceh's Education Day. He envisioned Aceh as a hub of Islamic knowledge and culture and spearheaded the Darussalam Educational Concept to improve education. His efforts laid the foundation for the continued growth of education in Aceh, creating a well-integrated system where the younger generation could advance, benefiting from the groundwork laid by previous generations.","author":[{"dropping-particle":"","family":"Arfan","given":"Fahmi","non-dropping-particle":"","parse-names":false,"suffix":""},{"dropping-particle":"","family":"Nirwana","given":"Andri","non-dropping-particle":"","parse-names":false,"suffix":""},{"dropping-particle":"","family":"Fuadi","given":"Muhammad","non-dropping-particle":"","parse-names":false,"suffix":""},{"dropping-particle":"","family":"Fadli","given":"Nazar","non-dropping-particle":"","parse-names":false,"suffix":""},{"dropping-particle":"","family":"Ana","given":"Ayu Sahfitri","non-dropping-particle":"","parse-names":false,"suffix":""}],"container-title":"Suhuf","id":"ITEM-1","issue":"2","issued":{"date-parts":[["2024","11","19"]]},"title":"Contribution of Ali Hasjmy's Legacy of Thought to Aceh Islamic Education","type":"article-journal","volume":"36"},"uris":["http://www.mendeley.com/documents/?uuid=3bf394f4-756e-41e7-9e88-b87bc18f4f18"]}],"mendeley":{"formattedCitation":"(Arfan et al. 2024)","plainTextFormattedCitation":"(Arfan et al. 2024)","previouslyFormattedCitation":"(Arfan et al. 2024)"},"properties":{"noteIndex":0},"schema":"https://github.com/citation-style-language/schema/raw/master/csl-citation.json"}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(Arfan et al. 2024)</w:t>
      </w:r>
      <w:r w:rsidR="00FB4ACA">
        <w:rPr>
          <w:rFonts w:ascii="Calibri Light" w:hAnsi="Calibri Light" w:cs="Calibri Light"/>
          <w:sz w:val="24"/>
          <w:szCs w:val="24"/>
        </w:rPr>
        <w:fldChar w:fldCharType="end"/>
      </w:r>
      <w:r w:rsidRPr="0021416E">
        <w:rPr>
          <w:rFonts w:ascii="Calibri Light" w:hAnsi="Calibri Light" w:cs="Calibri Light"/>
          <w:sz w:val="24"/>
          <w:szCs w:val="24"/>
        </w:rPr>
        <w:t xml:space="preserve">. </w:t>
      </w:r>
      <w:r w:rsidRPr="0021416E">
        <w:rPr>
          <w:rFonts w:ascii="Calibri Light" w:hAnsi="Calibri Light" w:cs="Calibri Light"/>
          <w:sz w:val="24"/>
          <w:szCs w:val="24"/>
        </w:rPr>
        <w:lastRenderedPageBreak/>
        <w:t>The interpretation and application of these principles vary, influenced by political and judicial factors that often challenge the ideal of harmonizing Islamic law with international human rights standards</w:t>
      </w:r>
      <w:r w:rsidR="00AA4FC8">
        <w:rPr>
          <w:rFonts w:ascii="Calibri Light" w:hAnsi="Calibri Light" w:cs="Calibri Light"/>
          <w:sz w:val="24"/>
          <w:szCs w:val="24"/>
        </w:rPr>
        <w:t xml:space="preserve"> </w:t>
      </w:r>
      <w:r w:rsidR="00A526EF">
        <w:rPr>
          <w:rFonts w:ascii="Calibri Light" w:hAnsi="Calibri Light" w:cs="Calibri Light"/>
          <w:sz w:val="24"/>
          <w:szCs w:val="24"/>
        </w:rPr>
        <w:fldChar w:fldCharType="begin" w:fldLock="1"/>
      </w:r>
      <w:r w:rsidR="00A526EF">
        <w:rPr>
          <w:rFonts w:ascii="Calibri Light" w:hAnsi="Calibri Light" w:cs="Calibri Light"/>
          <w:sz w:val="24"/>
          <w:szCs w:val="24"/>
        </w:rPr>
        <w:instrText>ADDIN CSL_CITATION {"citationItems":[{"id":"ITEM-1","itemData":{"DOI":"10.21580/ahkam.2024.34.1.20624","ISSN":"08544603 (ISSN)","abstract":"The rights of women and children after divorce are often neglected. The article examines the reality of children's and women's rights in Pekalongan City, Central Java, Indonesia, focusing on the causes of non-fulfillment and the legal consequences. Data from 10 court decisions from the Pekalongan City Religious Court revealed a gap between post-court decision reality and the fulfillment of these rights. The research found that the non-fulfillment of children's and women's rights after divorce in Pekalongan is due to a lack of public knowledge about post-divorce execution procedures and related rights. The difficulty of spouses in ensuring the fulfillment of these rights is also reflected in the lack of application of Islamic legal knowledge on the obligation to provide maintenance by husbands. The legal consequences are devastating, emphasizing the need for improvements in the legal system, increased public knowledge, and the application of Islamic legal principles. © 2024 al-Ahkam.","author":[{"dropping-particle":"","family":"Syukrawati","given":"S","non-dropping-particle":"","parse-names":false,"suffix":""},{"dropping-particle":"","family":"Sidqi","given":"I","non-dropping-particle":"","parse-names":false,"suffix":""},{"dropping-particle":"","family":"Nisa","given":"S M","non-dropping-particle":"","parse-names":false,"suffix":""},{"dropping-particle":"","family":"Zufriani","given":"Z","non-dropping-particle":"","parse-names":false,"suffix":""},{"dropping-particle":"","family":"Witro","given":"D","non-dropping-particle":"","parse-names":false,"suffix":""}],"container-title":"Al-Ahkam","id":"ITEM-1","issue":"1","issued":{"date-parts":[["2024"]]},"language":"English","page":"121-146","publisher":"State Islamic University Walisongo Semarang","publisher-place":"Institut Agama Islam Negeri Kerinci, Kerinci, Indonesia","title":"Post-Divorce Rights of Women and Children in Pekalongan City, Central Java: Challenges in Islamic Law Analysis","type":"article-journal","volume":"34"},"uris":["http://www.mendeley.com/documents/?uuid=819e3b58-dd7b-44e6-b922-7dbb5f19e2de","http://www.mendeley.com/documents/?uuid=dc4847e3-9519-4ce0-acff-fdabc5598f4a"]}],"mendeley":{"formattedCitation":"(Syukrawati et al. 2024)","plainTextFormattedCitation":"(Syukrawati et al. 2024)","previouslyFormattedCitation":"(Syukrawati et al. 2024)"},"properties":{"noteIndex":0},"schema":"https://github.com/citation-style-language/schema/raw/master/csl-citation.json"}</w:instrText>
      </w:r>
      <w:r w:rsidR="00A526EF">
        <w:rPr>
          <w:rFonts w:ascii="Calibri Light" w:hAnsi="Calibri Light" w:cs="Calibri Light"/>
          <w:sz w:val="24"/>
          <w:szCs w:val="24"/>
        </w:rPr>
        <w:fldChar w:fldCharType="separate"/>
      </w:r>
      <w:r w:rsidR="00AA4FC8" w:rsidRPr="00AA4FC8">
        <w:rPr>
          <w:rFonts w:ascii="Calibri Light" w:hAnsi="Calibri Light" w:cs="Calibri Light"/>
          <w:noProof/>
          <w:sz w:val="24"/>
          <w:szCs w:val="24"/>
        </w:rPr>
        <w:t>(Syukrawati et al. 2024)</w:t>
      </w:r>
      <w:r w:rsidR="00A526EF">
        <w:rPr>
          <w:rFonts w:ascii="Calibri Light" w:hAnsi="Calibri Light" w:cs="Calibri Light"/>
          <w:sz w:val="24"/>
          <w:szCs w:val="24"/>
        </w:rPr>
        <w:fldChar w:fldCharType="end"/>
      </w:r>
      <w:r w:rsidRPr="0021416E">
        <w:rPr>
          <w:rFonts w:ascii="Calibri Light" w:hAnsi="Calibri Light" w:cs="Calibri Light"/>
          <w:sz w:val="24"/>
          <w:szCs w:val="24"/>
        </w:rPr>
        <w:t xml:space="preserve">. </w:t>
      </w:r>
    </w:p>
    <w:p w14:paraId="305B1468" w14:textId="77777777" w:rsidR="0021416E" w:rsidRPr="0021416E" w:rsidRDefault="0021416E" w:rsidP="0021416E">
      <w:pPr>
        <w:spacing w:before="120" w:after="120"/>
        <w:ind w:left="426"/>
        <w:jc w:val="both"/>
        <w:rPr>
          <w:rFonts w:ascii="Calibri Light" w:hAnsi="Calibri Light" w:cs="Calibri Light"/>
          <w:sz w:val="24"/>
          <w:szCs w:val="24"/>
        </w:rPr>
      </w:pPr>
      <w:r w:rsidRPr="0021416E">
        <w:rPr>
          <w:rFonts w:ascii="Calibri Light" w:hAnsi="Calibri Light" w:cs="Calibri Light"/>
          <w:sz w:val="24"/>
          <w:szCs w:val="24"/>
        </w:rPr>
        <w:t>In contrast, Indonesia offers a different approach to integrating Islamic principles within its legal framework. As the world’s largest Muslim-majority country, Indonesia has a legal system that incorporates both Islamic principles and international human rights norms, but with a stronger focus on pluralism and democratic values</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{"citationItems":[{"id":"ITEM-1","itemData":{"DOI":"10.23917/sosial.v3i1.623","ISSN":"2830-1501","abstract":"Penelitian ini untuk mendeskripsikan bagaimana etika komunikasi siswa dengan siswa, siswa dengan guru, upaya guru memperbaiki etika komunikasi siswa dan hambatan apa yang dialami oleh guru dalam upaya memperbaiki etika komunikasi siswa. Penelitian ini menggunakan pendekatan kualitatif dengan beragam teknik pengumpulan data, meliputi wawancara, observasi dan dokumentasi. Indikator dalam penelitian ini terbagi atas 2 yaitu etika komunikasi bahasa tulis dan lisan masing-masing indikator memiliki sub-indikator, yaitu bahasa, ketepatan waktu, kerapian pakaian, dan respek terhadap percakapan dengan guru melalui platform video meeting online. Hasil penelitian menunjukkan bahwa para siswa lebih banyak memilih bahasa non formal karena adanya kesetaraan usia sehingga tidak ada tuntutan menggunakan bahasa baku. Berbeda dengan komunikasi dengan guru, siswa menggunakan bahasa Indonesia yang baku dan bahasa Jawa kromo. Siswa memiliki kemampuan untuk menyampaikan pertanyaan dengan jelas ketika berkomunikasi dengan guru dan juga sesama rekan sekelas. Siswa ketika menyampaikan pesan kepada rekan tidak terlalu memperhatikan waktu penyampaian. Berbeda ketika dengan guru siswa masih memperhitungkan waktu yang tepat jika berkomunikasi dengan guru kecuali keadaan mendesak. Tidak ada upaya dan hambatan yang dialami oleh guru ketika berupaya memperbaiki etika komunikasi siswa. Guru beranggapan bahwa etika komunikasi siswa sudah baik dan tidak melanggar kaidah etika dan kebahasaan. Etika komunikasi bahasa lisan siswa dianggap sudah cukup baik hanya perlu upaya lebih ketat untuk mendisiplinkan agar siswa mau mengaktifkan kamera (on camera).","author":[{"dropping-particle":"","family":"Undari","given":"Rizki","non-dropping-particle":"","parse-names":false,"suffix":""},{"dropping-particle":"","family":"Muthali'in","given":"Achmad","non-dropping-particle":"","parse-names":false,"suffix":""},{"dropping-particle":"","family":"Prasetiyo","given":"Wibowo Heru","non-dropping-particle":"","parse-names":false,"suffix":""}],"container-title":"Jurnal Penelitian Ilmu-Ilmu Sosial","id":"ITEM-1","issue":"1","issued":{"date-parts":[["2022","6","8"]]},"page":"74-89","title":"Etika komunikasi siswa dalam pembelajaran daring: Studi kualitatif pada pembelajaran PPKn","type":"article-journal","volume":"3"},"uris":["http://www.mendeley.com/documents/?uuid=bc94529a-fa40-4df4-80c9-4174134402b8"]}],"mendeley":{"formattedCitation":"(Undari, Muthali’in, and Prasetiyo 2022)","manualFormatting":"(Undari 2022)","plainTextFormattedCitation":"(Undari, Muthali’in, and Prasetiyo 2022)","previouslyFormattedCitation":"(Undari, Muthali’in, and Prasetiyo 2022)"},"properties":{"noteIndex":0},"schema":"https://github.com/citation-style-language/schema/raw/master/csl-citation.json"}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(Undari 2022)</w:t>
      </w:r>
      <w:r w:rsidR="00FB4ACA">
        <w:rPr>
          <w:rFonts w:ascii="Calibri Light" w:hAnsi="Calibri Light" w:cs="Calibri Light"/>
          <w:sz w:val="24"/>
          <w:szCs w:val="24"/>
        </w:rPr>
        <w:fldChar w:fldCharType="end"/>
      </w:r>
      <w:r w:rsidRPr="0021416E">
        <w:rPr>
          <w:rFonts w:ascii="Calibri Light" w:hAnsi="Calibri Light" w:cs="Calibri Light"/>
          <w:sz w:val="24"/>
          <w:szCs w:val="24"/>
        </w:rPr>
        <w:t xml:space="preserve">. While the Indonesian Constitution guarantees religious freedom, the implementation of </w:t>
      </w:r>
      <w:proofErr w:type="spellStart"/>
      <w:r w:rsidRPr="0021416E">
        <w:rPr>
          <w:rFonts w:ascii="Calibri Light" w:hAnsi="Calibri Light" w:cs="Calibri Light"/>
          <w:sz w:val="24"/>
          <w:szCs w:val="24"/>
        </w:rPr>
        <w:t>Shari'ah</w:t>
      </w:r>
      <w:proofErr w:type="spellEnd"/>
      <w:r w:rsidRPr="0021416E">
        <w:rPr>
          <w:rFonts w:ascii="Calibri Light" w:hAnsi="Calibri Light" w:cs="Calibri Light"/>
          <w:sz w:val="24"/>
          <w:szCs w:val="24"/>
        </w:rPr>
        <w:t xml:space="preserve"> law in certain regions, such as Aceh, has raised questions about how Islamic principles can coexist with the rights of non-Muslims and other minority groups</w:t>
      </w:r>
      <w:r w:rsidR="00232863">
        <w:rPr>
          <w:rFonts w:ascii="Calibri Light" w:hAnsi="Calibri Light" w:cs="Calibri Light"/>
          <w:sz w:val="24"/>
          <w:szCs w:val="24"/>
        </w:rPr>
        <w:fldChar w:fldCharType="begin" w:fldLock="1"/>
      </w:r>
      <w:r w:rsidR="00232863">
        <w:rPr>
          <w:rFonts w:ascii="Calibri Light" w:hAnsi="Calibri Light" w:cs="Calibri Light"/>
          <w:sz w:val="24"/>
          <w:szCs w:val="24"/>
        </w:rPr>
        <w:instrText>ADDIN CSL_CITATION {"citationItems":[{"id":"ITEM-1","itemData":{"DOI":"10.23917/jep.v24i2.22488","ISSN":"2460-9331","abstract":"The over-exploitation of natural resources to increase economic growth causes environmental degradation, and climate change has been a serious research issue. Gross Domestic Green Product (green GDP) is a proxy of Green economic growth. It is an indicator of sustainable economic development that considers aspects of environmental degradation. This study aims to determine the effect of carbon dioxide emissions, foreign direct investment, current account balance, and population on green GDP in five ASEAN countries: Indonesia, Malaysia, Thailand, the Philippines, and Myanmar. This study utilized panel data, a combination between time series and cross-section data. The panel data was examined by using the eViews 11 application. The selected model was the Fixed Effect Model (FEM). This study found that two independent variables: carbon dioxide emissions and the population had a significant positive effect on green GDP. Meanwhile, Foreign Direct Investment and current accounts do not significantly affect green GDP. Thus, the government as a regulator has a role in managing policies related to carbon emissions and population in supporting green economic growth.","author":[{"dropping-particle":"","family":"Hidayah","given":"Nur","non-dropping-particle":"","parse-names":false,"suffix":""},{"dropping-particle":"","family":"Wahyuningrum","given":"Dinar","non-dropping-particle":"","parse-names":false,"suffix":""},{"dropping-particle":"","family":"Kamara","given":"Ibrahim Sorie","non-dropping-particle":"","parse-names":false,"suffix":""},{"dropping-particle":"","family":"Rahmah","given":"Jihan Lutfiyah","non-dropping-particle":"","parse-names":false,"suffix":""}],"container-title":"Jurnal Ekonomi Pembangunan: Kajian Masalah Ekonomi dan Pembangunan","id":"ITEM-1","issue":"2","issued":{"date-parts":[["2023","12","29"]]},"page":"256-264","title":"Determinants of Green GDP in ASEAN-5 Countries","type":"article-journal","volume":"24"},"uris":["http://www.mendeley.com/documents/?uuid=9ced4139-50fd-42bf-8fd1-04086443d940"]}],"mendeley":{"formattedCitation":"(Nur Hidayah et al. 2023)","plainTextFormattedCitation":"(Nur Hidayah et al. 2023)","previouslyFormattedCitation":"(Hidayah et al. 2023)"},"properties":{"noteIndex":0},"schema":"https://github.com/citation-style-language/schema/raw/master/csl-citation.json"}</w:instrText>
      </w:r>
      <w:r w:rsidR="00232863">
        <w:rPr>
          <w:rFonts w:ascii="Calibri Light" w:hAnsi="Calibri Light" w:cs="Calibri Light"/>
          <w:sz w:val="24"/>
          <w:szCs w:val="24"/>
        </w:rPr>
        <w:fldChar w:fldCharType="separate"/>
      </w:r>
      <w:r w:rsidR="00232863" w:rsidRPr="00232863">
        <w:rPr>
          <w:rFonts w:ascii="Calibri Light" w:hAnsi="Calibri Light" w:cs="Calibri Light"/>
          <w:noProof/>
          <w:sz w:val="24"/>
          <w:szCs w:val="24"/>
        </w:rPr>
        <w:t>(Nur Hidayah et al. 2023)</w:t>
      </w:r>
      <w:r w:rsidR="00232863">
        <w:rPr>
          <w:rFonts w:ascii="Calibri Light" w:hAnsi="Calibri Light" w:cs="Calibri Light"/>
          <w:sz w:val="24"/>
          <w:szCs w:val="24"/>
        </w:rPr>
        <w:fldChar w:fldCharType="end"/>
      </w:r>
      <w:r w:rsidRPr="0021416E">
        <w:rPr>
          <w:rFonts w:ascii="Calibri Light" w:hAnsi="Calibri Light" w:cs="Calibri Light"/>
          <w:sz w:val="24"/>
          <w:szCs w:val="24"/>
        </w:rPr>
        <w:t>. Despite these challenges, Indonesia’s legal framework has provided a more flexible and inclusive approach to human rights, one that seeks to respect the diversity of religious and cultural identities within the country while also incorporating Islamic teachings</w:t>
      </w:r>
      <w:r w:rsidR="00AA4FC8">
        <w:rPr>
          <w:rFonts w:ascii="Calibri Light" w:hAnsi="Calibri Light" w:cs="Calibri Light"/>
          <w:sz w:val="24"/>
          <w:szCs w:val="24"/>
        </w:rPr>
        <w:t xml:space="preserve"> </w:t>
      </w:r>
      <w:r w:rsidR="00A526EF">
        <w:rPr>
          <w:rFonts w:ascii="Calibri Light" w:hAnsi="Calibri Light" w:cs="Calibri Light"/>
          <w:sz w:val="24"/>
          <w:szCs w:val="24"/>
        </w:rPr>
        <w:fldChar w:fldCharType="begin" w:fldLock="1"/>
      </w:r>
      <w:r w:rsidR="00A526EF">
        <w:rPr>
          <w:rFonts w:ascii="Calibri Light" w:hAnsi="Calibri Light" w:cs="Calibri Light"/>
          <w:sz w:val="24"/>
          <w:szCs w:val="24"/>
        </w:rPr>
        <w:instrText>ADDIN CSL_CITATION {"citationItems":[{"id":"ITEM-1","itemData":{"DOI":"10.1017/S135232522400003X","ISSN":"13523252 (ISSN)","abstract":"It has long been said that legislation ought to be knowable: accessible, comprehensible, and so forth. This is often described as an essential element of the rule of law. But in many legal systems, legislation has become so voluminous and complex that few people know its content. Rather than admit that the rule of law has been compromised, some scholars take legislative complexity as a provocation to rethink what the rule of law requires - and conclude that, for various reasons, the rule of law can prevail even if legislation is not reasonably knowable to the people. This article responds to this line of scholarship and defends the orthodox position that the public ought to be able to understand legislation, or at least reasonably so. That is necessary to enable people to plan their lives in a way that properly reflects the role of legislation in contemporary administrative states.  Copyright © The Author(s), 2024. Published by Cambridge University Press.","author":[{"dropping-particle":"","family":"Crawford","given":"L B","non-dropping-particle":"","parse-names":false,"suffix":""}],"container-title":"Legal Theory","id":"ITEM-1","issue":"1","issued":{"date-parts":[["2024"]]},"language":"English","page":"1-21","publisher":"Cambridge University Press","publisher-place":"University of Sydney Law School, Camperdown, 2050, NSW, Australia","title":"The problem of complex legislation","type":"article-journal","volume":"30"},"uris":["http://www.mendeley.com/documents/?uuid=f0f89a2c-7758-44a8-aaea-e1f6df301a34","http://www.mendeley.com/documents/?uuid=b7c1787a-c549-4ad8-b897-83cbeb029da2"]}],"mendeley":{"formattedCitation":"(Crawford 2024)","plainTextFormattedCitation":"(Crawford 2024)","previouslyFormattedCitation":"(Crawford 2024)"},"properties":{"noteIndex":0},"schema":"https://github.com/citation-style-language/schema/raw/master/csl-citation.json"}</w:instrText>
      </w:r>
      <w:r w:rsidR="00A526EF">
        <w:rPr>
          <w:rFonts w:ascii="Calibri Light" w:hAnsi="Calibri Light" w:cs="Calibri Light"/>
          <w:sz w:val="24"/>
          <w:szCs w:val="24"/>
        </w:rPr>
        <w:fldChar w:fldCharType="separate"/>
      </w:r>
      <w:r w:rsidR="00AA4FC8" w:rsidRPr="00AA4FC8">
        <w:rPr>
          <w:rFonts w:ascii="Calibri Light" w:hAnsi="Calibri Light" w:cs="Calibri Light"/>
          <w:noProof/>
          <w:sz w:val="24"/>
          <w:szCs w:val="24"/>
        </w:rPr>
        <w:t>(Crawford 2024)</w:t>
      </w:r>
      <w:r w:rsidR="00A526EF">
        <w:rPr>
          <w:rFonts w:ascii="Calibri Light" w:hAnsi="Calibri Light" w:cs="Calibri Light"/>
          <w:sz w:val="24"/>
          <w:szCs w:val="24"/>
        </w:rPr>
        <w:fldChar w:fldCharType="end"/>
      </w:r>
      <w:r w:rsidRPr="0021416E">
        <w:rPr>
          <w:rFonts w:ascii="Calibri Light" w:hAnsi="Calibri Light" w:cs="Calibri Light"/>
          <w:sz w:val="24"/>
          <w:szCs w:val="24"/>
        </w:rPr>
        <w:t xml:space="preserve">. </w:t>
      </w:r>
    </w:p>
    <w:p w14:paraId="312AA336" w14:textId="77777777" w:rsidR="0021416E" w:rsidRPr="0021416E" w:rsidRDefault="0021416E" w:rsidP="0021416E">
      <w:pPr>
        <w:spacing w:before="120" w:after="120"/>
        <w:ind w:left="426"/>
        <w:jc w:val="both"/>
        <w:rPr>
          <w:rFonts w:ascii="Calibri Light" w:hAnsi="Calibri Light" w:cs="Calibri Light"/>
          <w:sz w:val="24"/>
          <w:szCs w:val="24"/>
        </w:rPr>
      </w:pPr>
      <w:r w:rsidRPr="0021416E">
        <w:rPr>
          <w:rFonts w:ascii="Calibri Light" w:hAnsi="Calibri Light" w:cs="Calibri Light"/>
          <w:sz w:val="24"/>
          <w:szCs w:val="24"/>
        </w:rPr>
        <w:t>The tension between universal human rights norms and Islamic jurisprudence is one of the most significant challenges faced by both Egypt and Indonesia in the application of Qur'anic principles</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{"citationItems":[{"id":"ITEM-1","itemData":{"DOI":"10.23917/reaksi.v8i3.3133","ISSN":"2541-6111","abstract":"The main issues of this research are the determinants and impact of the government capital funding on mixed-use bus station. These issues raise research objectives about the definition of mixed-use bus station, the determinants of government capital funding on bus station, and its impact to bus station production. To achieve the objectives, two methods are employed. The first is the description method that applies Cartesian Diagram to define mixed-use bus station. The second is the association methods that applies the government capital funding determinants and impact econometric models. The variables for the first method are passengers and buses arrived at and departed from monitored bus station during 2023 Eid Al-Fitr holidays, while the variables for the second method are government capital funding on bus station, bus station production, bus station usage partnership, type of bus station, and local economy. The results show that twenty-four bus stations are mixed-use bus station, the determinants of government capital funding are mixed-use type and bus station usage partnership, and the impact of government capital funding is bus station production that is suffered by local economy.","author":[{"dropping-particle":"","family":"Achyani","given":"Fatchan","non-dropping-particle":"","parse-names":false,"suffix":""},{"dropping-particle":"","family":"Riyardi","given":"Agung","non-dropping-particle":"","parse-names":false,"suffix":""}],"container-title":"Riset Akuntansi dan Keuangan Indonesia","id":"ITEM-1","issue":"3","issued":{"date-parts":[["2024","1","15"]]},"page":"301-308","title":"Indonesian Bus Stations: Mixed-Use, Government Capital Funding, and Its Determinants and Impact","type":"article-journal","volume":"8"},"uris":["http://www.mendeley.com/documents/?uuid=e2d02b1b-1e4c-40c2-b081-05faefe03637"]}],"mendeley":{"formattedCitation":"(Achyani and Riyardi 2024)","plainTextFormattedCitation":"(Achyani and Riyardi 2024)","previouslyFormattedCitation":"(Achyani and Riyardi 2024)"},"properties":{"noteIndex":0},"schema":"https://github.com/citation-style-language/schema/raw/master/csl-citation.json"}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(Achyani and Riyardi 2024)</w:t>
      </w:r>
      <w:r w:rsidR="00FB4ACA">
        <w:rPr>
          <w:rFonts w:ascii="Calibri Light" w:hAnsi="Calibri Light" w:cs="Calibri Light"/>
          <w:sz w:val="24"/>
          <w:szCs w:val="24"/>
        </w:rPr>
        <w:fldChar w:fldCharType="end"/>
      </w:r>
      <w:r w:rsidRPr="0021416E">
        <w:rPr>
          <w:rFonts w:ascii="Calibri Light" w:hAnsi="Calibri Light" w:cs="Calibri Light"/>
          <w:sz w:val="24"/>
          <w:szCs w:val="24"/>
        </w:rPr>
        <w:t>. The Qur'an provides a clear foundation for the protection of human dignity and justice, but its interpretation often varies depending on the cultural, political, and historical context in which it is applied</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{"citationItems":[{"id":"ITEM-1","itemData":{"DOI":"10.23917/humaniora.v24i1.18683","ISSN":"2541-4496","abstract":"This study aims to investigate the indicators of hedonism and the most dominant hedonistic orientation reflected on celebrities' accounts. This study uses the accounts of four well-known Indonesian celebrities as research samples. The results of this study were analyzed using the semiotic theory of Roland Barthes. The results showed that there were eleven hedonism indicators reflected by celebrities on their Instagram accounts, namely self-expression, hobby, addictive substance, physical beauty, fashionable appearance, education, achievement, work, social activity, relationship, comedy and religiosity. From these indicators, it is known that universal hedonism and egoistic hedonism are the most dominant hedonistic orientations on celebrities' accounts.","author":[{"dropping-particle":"","family":"Pasha","given":"Nariza Ayu","non-dropping-particle":"","parse-names":false,"suffix":""},{"dropping-particle":"","family":"Gumay","given":"Khalifah Fathonia","non-dropping-particle":"","parse-names":false,"suffix":""}],"container-title":"Jurnal Penelitian Humaniora","id":"ITEM-1","issue":"1","issued":{"date-parts":[["2023","3","30"]]},"page":"49-59","title":"HEDONISM REFLECTED ON CELEBRITIES INSTAGRAM (CELEBGRAM) ACCOUNT","type":"article-journal","volume":"24"},"uris":["http://www.mendeley.com/documents/?uuid=476c9dca-8b58-4710-b9c2-6cd850ffcd46"]}],"mendeley":{"formattedCitation":"(Pasha and Gumay 2023)","plainTextFormattedCitation":"(Pasha and Gumay 2023)","previouslyFormattedCitation":"(Pasha and Gumay 2023)"},"properties":{"noteIndex":0},"schema":"https://github.com/citation-style-language/schema/raw/master/csl-citation.json"}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(Pasha and Gumay 2023)</w:t>
      </w:r>
      <w:r w:rsidR="00FB4ACA">
        <w:rPr>
          <w:rFonts w:ascii="Calibri Light" w:hAnsi="Calibri Light" w:cs="Calibri Light"/>
          <w:sz w:val="24"/>
          <w:szCs w:val="24"/>
        </w:rPr>
        <w:fldChar w:fldCharType="end"/>
      </w:r>
      <w:r w:rsidRPr="0021416E">
        <w:rPr>
          <w:rFonts w:ascii="Calibri Light" w:hAnsi="Calibri Light" w:cs="Calibri Light"/>
          <w:sz w:val="24"/>
          <w:szCs w:val="24"/>
        </w:rPr>
        <w:t>. Issues such as freedom of speech, the rights of women, and the treatment of religious minorities are areas where Islamic interpretations may diverge from global human rights frameworks</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{"citationItems":[{"id":"ITEM-1","itemData":{"DOI":"10.23917/forgeo.v29i2.1482","ISSN":"2460-3945","abstract":"This research aims to develop and evaluate a geospatial application for groundwater resource management at Karanganyar Regency. The system development methodology from Whitten and Bentley (2007) was used in this research. To initiate the project, we discussed with the stakeholders from Karanganyar Regency which came from various related agencies followed by a focus group discussion (FGD) to analyse the system. Computational design and experiment were conducted to design the system prototype. Finally, we implement the system in the Regency. The result shows that the system is complex not only due to the managerial procedures but also the number of involved users (stakeholder) in the system. To address the emerged requirements from the FGD, we propose and develop a web-based GIS application with current open source technology and Google Map API which can be used for collaboration among stakeholders as well as for supporting the decision support purpose in the groundwater management. Currently, Air-tanah, the prototype of the application is available at http://geografi.ums.ac.id/air-tanah/. Both quantitative and qualitative evaluation of the system resulted good responses from the users.","author":[{"dropping-particle":"","family":"Jumadi","given":"Jumadi","non-dropping-particle":"","parse-names":false,"suffix":""},{"dropping-particle":"","family":"Priyana","given":"Yuli","non-dropping-particle":"","parse-names":false,"suffix":""}],"container-title":"Forum Geografi","id":"ITEM-1","issue":"2","issued":{"date-parts":[["2016","2","10"]]},"page":"165","title":"Development and Evaluation of Web GIS Application for Groundwater Management of Karanganyar Regency","type":"article-journal","volume":"29"},"uris":["http://www.mendeley.com/documents/?uuid=838cd9e5-9d0b-45b5-8878-132ed6a9ae9c"]}],"mendeley":{"formattedCitation":"(Jumadi and Priyana 2016)","manualFormatting":"(Jumadi 2016)","plainTextFormattedCitation":"(Jumadi and Priyana 2016)","previouslyFormattedCitation":"(Jumadi and Priyana 2016)"},"properties":{"noteIndex":0},"schema":"https://github.com/citation-style-language/schema/raw/master/csl-citation.json"}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(Jumadi 2016)</w:t>
      </w:r>
      <w:r w:rsidR="00FB4ACA">
        <w:rPr>
          <w:rFonts w:ascii="Calibri Light" w:hAnsi="Calibri Light" w:cs="Calibri Light"/>
          <w:sz w:val="24"/>
          <w:szCs w:val="24"/>
        </w:rPr>
        <w:fldChar w:fldCharType="end"/>
      </w:r>
      <w:r w:rsidRPr="0021416E">
        <w:rPr>
          <w:rFonts w:ascii="Calibri Light" w:hAnsi="Calibri Light" w:cs="Calibri Light"/>
          <w:sz w:val="24"/>
          <w:szCs w:val="24"/>
        </w:rPr>
        <w:t>. In Egypt, for instance, while the Qur'an promotes justice and equality, societal norms and political influences may limit the extent to which these rights are fully realized in practice</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{"citationItems":[{"id":"ITEM-1","itemData":{"DOI":"10.23917/ijolae.v5i2.22005","ISSN":"2656-2804","abstract":"For local content is required in the Indonesian curriculum, the current study aims at determining local values derived from women struggling in floating markets of South Kalimantan, Indonesia. Five distinctive values were revealed using direct observation and Delphi Techniques: a high tolerance for ambiguity, sustainable innovation, independence, high risk-taking propensity, and external locus of control. Since teachers consist-ently claim that materials centred on events on the island of Java (Java-based approach) dominate social studies instruction, the finding of this study can be used as a model for developing supplementary materi-al based on the real example of locality uniqueness.","author":[{"dropping-particle":"","family":"Rajiani","given":"Ismi","non-dropping-particle":"","parse-names":false,"suffix":""},{"dropping-particle":"","family":"Prayitno","given":"Harun Joko","non-dropping-particle":"","parse-names":false,"suffix":""},{"dropping-particle":"","family":"Kot","given":"Sebastian","non-dropping-particle":"","parse-names":false,"suffix":""},{"dropping-particle":"","family":"Ismail","given":"Norain","non-dropping-particle":"","parse-names":false,"suffix":""},{"dropping-particle":"","family":"Iswarani","given":"Widya Prihesti","non-dropping-particle":"","parse-names":false,"suffix":""}],"container-title":"Indonesian Journal on Learning and Advanced Education (IJOLAE)","id":"ITEM-1","issue":"2","issued":{"date-parts":[["2023","5","30"]]},"page":"136-150","title":"Developing Local Education Content Supplementary Textbook Innovation by Referencing to Women in Floating Market","type":"article-journal","volume":"5"},"uris":["http://www.mendeley.com/documents/?uuid=dc7ed530-eb2d-4660-883c-80730c044194"]}],"mendeley":{"formattedCitation":"(Rajiani et al. 2023)","plainTextFormattedCitation":"(Rajiani et al. 2023)","previouslyFormattedCitation":"(Rajiani et al. 2023)"},"properties":{"noteIndex":0},"schema":"https://github.com/citation-style-language/schema/raw/master/csl-citation.json"}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(Rajiani et al. 2023)</w:t>
      </w:r>
      <w:r w:rsidR="00FB4ACA">
        <w:rPr>
          <w:rFonts w:ascii="Calibri Light" w:hAnsi="Calibri Light" w:cs="Calibri Light"/>
          <w:sz w:val="24"/>
          <w:szCs w:val="24"/>
        </w:rPr>
        <w:fldChar w:fldCharType="end"/>
      </w:r>
      <w:r w:rsidRPr="0021416E">
        <w:rPr>
          <w:rFonts w:ascii="Calibri Light" w:hAnsi="Calibri Light" w:cs="Calibri Light"/>
          <w:sz w:val="24"/>
          <w:szCs w:val="24"/>
        </w:rPr>
        <w:t>. Similarly, in Indonesia, while the Qur'an’s teachings on justice and equality are widely respected, the pluralistic nature of the society means that human rights issues are often addressed with a degree of flexibility that may not always align with international human rights conventions</w:t>
      </w:r>
      <w:r w:rsidR="001602A0">
        <w:rPr>
          <w:rFonts w:ascii="Calibri Light" w:hAnsi="Calibri Light" w:cs="Calibri Light"/>
          <w:sz w:val="24"/>
          <w:szCs w:val="24"/>
        </w:rPr>
        <w:t xml:space="preserve"> </w:t>
      </w:r>
      <w:r w:rsidR="00A526EF">
        <w:rPr>
          <w:rFonts w:ascii="Calibri Light" w:hAnsi="Calibri Light" w:cs="Calibri Light"/>
          <w:sz w:val="24"/>
          <w:szCs w:val="24"/>
        </w:rPr>
        <w:fldChar w:fldCharType="begin" w:fldLock="1"/>
      </w:r>
      <w:r w:rsidR="00A526EF">
        <w:rPr>
          <w:rFonts w:ascii="Calibri Light" w:hAnsi="Calibri Light" w:cs="Calibri Light"/>
          <w:sz w:val="24"/>
          <w:szCs w:val="24"/>
        </w:rPr>
        <w:instrText>ADDIN CSL_CITATION {"citationItems":[{"id":"ITEM-1","itemData":{"DOI":"https://doi.org/10.61455/sicopus.v3i01.221","ISSN":"2988-3512","abstract":"Objective: This research explores the existence of career women in Egypt from social, cultural, and economic perspectives. The study aims to understand the challenges and opportunities faced by women in the workforce, highlighting factors influencing their career progression. Theoretical framework: The theoretical framework is grounded in gender equality concepts, social role theory, and the influence of patriarchal culture on women's workforce participation. Literature Review: The literature review encompasses previous studies on gender discrimination, work-family dynamics, and inclusive policies supporting career women, particularly in Middle Eastern countries. Methods: A mixed-methods approach was employed, combining quantitative surveys with qualitative interviews. The survey involved 300 women, while in-depth interviews were conducted with 30 participants selected based on their diverse employment sectors and social backgrounds. This approach provided a comprehensive understanding of the challenges faced and opportunities available to career women in Egypt. Results: The results revealed that supportive workplace environments and family backing significantly enhance women's career advancement. Additionally, most participants emphasized the need for improved policies promoting gender equality in the workplace, including flexible work arrangements and access to professional training programs. Despite progress in women's participation across various sectors, barriers such as societal expectations, gender-based discrimination, and work-life balance challenges persist. Implications: The implications of this research underscore the importance of adopting gender-equality policies, cultural reforms, and empowering women through education and workforce training. This study provides a significant contribution to understanding the complexities surrounding women in Egypt’s workforce. Novelty: The novelty of this research lies in its integrated analysis of social, cultural, and economic factors, offering a holistic perspective on the experiences of career women in the country. It also highlights the need for a synergy between policy reforms and cultural shifts to create more inclusive work environments. In conclusion, while there has been progress in recognizing and supporting career women in Egypt, ongoing efforts are necessary to address existing gaps. These efforts should include progressive policies and cultural paradigm shifts to sustainably empower women a…","author":[{"dropping-particle":"","family":"Elbanna","given":"Mariam","non-dropping-particle":"","parse-names":false,"suffix":""}],"container-title":"Solo International Collaboration and Publication of Social Sciences and Humanities","id":"ITEM-1","issue":"01","issued":{"date-parts":[["2025"]]},"page":"13-26","title":"The Existence of Career Women in Egypt from a Social Cultural and Economic Perspective","type":"article-journal","volume":"3"},"uris":["http://www.mendeley.com/documents/?uuid=f1ee6cb8-8702-4594-8a5f-60dc4557dc5a"]}],"mendeley":{"formattedCitation":"(Elbanna 2025b)","plainTextFormattedCitation":"(Elbanna 2025b)","previouslyFormattedCitation":"(Elbanna 2025b)"},"properties":{"noteIndex":0},"schema":"https://github.com/citation-style-language/schema/raw/master/csl-citation.json"}</w:instrText>
      </w:r>
      <w:r w:rsidR="00A526EF">
        <w:rPr>
          <w:rFonts w:ascii="Calibri Light" w:hAnsi="Calibri Light" w:cs="Calibri Light"/>
          <w:sz w:val="24"/>
          <w:szCs w:val="24"/>
        </w:rPr>
        <w:fldChar w:fldCharType="separate"/>
      </w:r>
      <w:r w:rsidR="001602A0" w:rsidRPr="001602A0">
        <w:rPr>
          <w:rFonts w:ascii="Calibri Light" w:hAnsi="Calibri Light" w:cs="Calibri Light"/>
          <w:noProof/>
          <w:sz w:val="24"/>
          <w:szCs w:val="24"/>
        </w:rPr>
        <w:t>(Elbanna 2025b)</w:t>
      </w:r>
      <w:r w:rsidR="00A526EF">
        <w:rPr>
          <w:rFonts w:ascii="Calibri Light" w:hAnsi="Calibri Light" w:cs="Calibri Light"/>
          <w:sz w:val="24"/>
          <w:szCs w:val="24"/>
        </w:rPr>
        <w:fldChar w:fldCharType="end"/>
      </w:r>
      <w:r w:rsidRPr="0021416E">
        <w:rPr>
          <w:rFonts w:ascii="Calibri Light" w:hAnsi="Calibri Light" w:cs="Calibri Light"/>
          <w:sz w:val="24"/>
          <w:szCs w:val="24"/>
        </w:rPr>
        <w:t xml:space="preserve">. </w:t>
      </w:r>
      <w:r w:rsidR="008C3C9B">
        <w:rPr>
          <w:rFonts w:ascii="Calibri Light" w:hAnsi="Calibri Light" w:cs="Calibri Light"/>
          <w:sz w:val="24"/>
          <w:szCs w:val="24"/>
          <w:rtl/>
        </w:rPr>
        <w:t xml:space="preserve"> </w:t>
      </w:r>
    </w:p>
    <w:p w14:paraId="4BC428C1" w14:textId="77777777" w:rsidR="0021416E" w:rsidRPr="0021416E" w:rsidRDefault="0021416E" w:rsidP="0021416E">
      <w:pPr>
        <w:spacing w:before="120" w:after="120"/>
        <w:ind w:left="426"/>
        <w:jc w:val="both"/>
        <w:rPr>
          <w:rFonts w:ascii="Calibri Light" w:hAnsi="Calibri Light" w:cs="Calibri Light"/>
          <w:sz w:val="24"/>
          <w:szCs w:val="24"/>
        </w:rPr>
      </w:pPr>
      <w:commentRangeStart w:id="4"/>
      <w:r w:rsidRPr="0021416E">
        <w:rPr>
          <w:rFonts w:ascii="Calibri Light" w:hAnsi="Calibri Light" w:cs="Calibri Light"/>
          <w:sz w:val="24"/>
          <w:szCs w:val="24"/>
        </w:rPr>
        <w:t xml:space="preserve">The primary aim of </w:t>
      </w:r>
      <w:commentRangeEnd w:id="4"/>
      <w:r w:rsidR="00C52693">
        <w:rPr>
          <w:rStyle w:val="CommentReference"/>
        </w:rPr>
        <w:commentReference w:id="4"/>
      </w:r>
      <w:r w:rsidRPr="0021416E">
        <w:rPr>
          <w:rFonts w:ascii="Calibri Light" w:hAnsi="Calibri Light" w:cs="Calibri Light"/>
          <w:sz w:val="24"/>
          <w:szCs w:val="24"/>
        </w:rPr>
        <w:t>this study is to explore how Egypt and Indonesia reconcile the teachings of the Qur'an with international human rights frameworks, using a qualitative research approach</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{"citationItems":[{"id":"ITEM-1","itemData":{"DOI":"10.23917/jramathedu.v8i3.4742","ISSN":"2541-2590","abstract":"Many studies showed that teachers' knowledge of instructional strategies is related to another component of pedagogical content knowledge. However, studies on teachers' reasons for choosing their instructional strategies still need to be reported. Three mathematics teachers were investigated using a case study research design. The data were gathered through two semi-structured interviews, pre- and post-observation, as well as observations. Pre-observation interviews explored teacher's knowledge of instructional strategies (KIS) based on their experiences or knowledge. Meanwhile, the post-interview investigated teachers' reasons for choosing instructional strategies based on the observations. Five to ten lesson hours were allocated to observe the teachers' activities in learning on the topic of linear equations and inequalities of one variable. A cross-case analysis was performed to compare the teachers' KIS and their reasons for choosing instructional strategies in teaching practice. The findings showed that lecturing, questioning, and solving problems are the most dominant strategies used by teachers. Only one teacher used group discussion in her teaching activities. The finding also indicates that the knowledge of the student's understanding, curriculum, beliefs, and teaching context are factors that influence teachers in choosing instructional strategies. In addition, the reasons for choosing those strategies are varied.","author":[{"dropping-particle":"","family":"Masduki","given":"Masduki","non-dropping-particle":"","parse-names":false,"suffix":""},{"dropping-particle":"","family":"Suwarsono","given":"Suwarsono","non-dropping-particle":"","parse-names":false,"suffix":""},{"dropping-particle":"","family":"Teguh Budiarto","given":"Mega","non-dropping-particle":"","parse-names":false,"suffix":""}],"container-title":"JRAMathEdu (Journal of Research and Advances in Mathematics Education)","id":"ITEM-1","issued":{"date-parts":[["2024","7","18"]]},"title":"Relationships between teacher’s instructional strategies and their knowledge: A study of seventh-grade mathematics teachers","type":"article-journal"},"uris":["http://www.mendeley.com/documents/?uuid=51a3ccb9-e354-40b7-971b-6f83f63d9a5b"]}],"mendeley":{"formattedCitation":"(Masduki, Suwarsono, and Teguh Budiarto 2024)","plainTextFormattedCitation":"(Masduki, Suwarsono, and Teguh Budiarto 2024)","previouslyFormattedCitation":"(Masduki, Suwarsono, and Teguh Budiarto 2024)"},"properties":{"noteIndex":0},"schema":"https://github.com/citation-style-language/schema/raw/master/csl-citation.json"}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(Masduki, Suwarsono, and Teguh Budiarto 2024)</w:t>
      </w:r>
      <w:r w:rsidR="00FB4ACA">
        <w:rPr>
          <w:rFonts w:ascii="Calibri Light" w:hAnsi="Calibri Light" w:cs="Calibri Light"/>
          <w:sz w:val="24"/>
          <w:szCs w:val="24"/>
        </w:rPr>
        <w:fldChar w:fldCharType="end"/>
      </w:r>
      <w:r w:rsidRPr="0021416E">
        <w:rPr>
          <w:rFonts w:ascii="Calibri Light" w:hAnsi="Calibri Light" w:cs="Calibri Light"/>
          <w:sz w:val="24"/>
          <w:szCs w:val="24"/>
        </w:rPr>
        <w:t>. By focusing on the Qur'an and Hadiths, the study will examine how Islamic principles are interpreted in the legal systems of both countries</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{"citationItems":[{"id":"ITEM-1","itemData":{"DOI":"10.23917/ajip.v1i1.3707","ISSN":"3031-755X","abstract":"The present study aimed to investigate the quality of life of elderly Qur'an memorizers. Nine elderly Muslims who live in several regions in Java Island, Indonesia, were involved as informants. The informant was recruited by purposive sampling. The data collection method used a semi-structured interview technique. Data analysis used phenomenological techniques to uncover research objectives. The result showed that: In general, the memorizing Qur'an has an important influence on the elderly's quality of life. Specifically, the quality of life of the elderly can be seen in the improvement of several areas such as patience, self-concept, self-esteem, ability to remember, and self-confidence. In addition, the elderly felt that their role was more accepted by the community, one of whom was trusted to teach the Qur'an in the mosque.","author":[{"dropping-particle":"","family":"Taufik","given":"Taufik","non-dropping-particle":"","parse-names":false,"suffix":""},{"dropping-particle":"","family":"Lestari","given":"Rini","non-dropping-particle":"","parse-names":false,"suffix":""},{"dropping-particle":"","family":"Ashfi Raihana","given":"Permata","non-dropping-particle":"","parse-names":false,"suffix":""}],"container-title":"Asian Journal of Islamic Psychology","id":"ITEM-1","issued":{"date-parts":[["2023","12","29"]]},"page":"15-20","title":"Quality of Life in the Elderly Qur'an Memorizers","type":"article-journal"},"uris":["http://www.mendeley.com/documents/?uuid=03b37a00-5c50-4fa8-8416-e69b3e3ee3f6"]}],"mendeley":{"formattedCitation":"(Taufik, Lestari, and Ashfi Raihana 2023)","manualFormatting":"(Taufik 2023)","plainTextFormattedCitation":"(Taufik, Lestari, and Ashfi Raihana 2023)","previouslyFormattedCitation":"(Taufik, Lestari, and Ashfi Raihana 2023)"},"properties":{"noteIndex":0},"schema":"https://github.com/citation-style-language/schema/raw/master/csl-citation.json"}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(Taufik 2023)</w:t>
      </w:r>
      <w:r w:rsidR="00FB4ACA">
        <w:rPr>
          <w:rFonts w:ascii="Calibri Light" w:hAnsi="Calibri Light" w:cs="Calibri Light"/>
          <w:sz w:val="24"/>
          <w:szCs w:val="24"/>
        </w:rPr>
        <w:fldChar w:fldCharType="end"/>
      </w:r>
      <w:r w:rsidRPr="0021416E">
        <w:rPr>
          <w:rFonts w:ascii="Calibri Light" w:hAnsi="Calibri Light" w:cs="Calibri Light"/>
          <w:sz w:val="24"/>
          <w:szCs w:val="24"/>
        </w:rPr>
        <w:t>. The research will involve a systematic review of legal texts, case studies, and scholarly interpretations, utilizing the PRISMA framework (Preferred Reporting Items for Systematic Reviews and Meta-Analyses)</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{"citationItems":[{"id":"ITEM-1","itemData":{"DOI":"10.23917/jtl.v5i1.1922","ISSN":"2714-965X","abstract":"The dynamics of the presidential term in Indonesia have lasted since the Old Order, New Order, to the Reform Era. The regulations regarding the term of service of the head of state in this country have been changed several times and often invite pros and cons, as if they are never satisfied with being used as a topic of discussion about politics and power. The constitution that regulates this issue has even been amended. The idea of amending regulations related to limiting the presidential term of office has re-emerged at any time, especially in the midst of the heated political situation ahead of the general election. To examine the presidential term, a broader perspective is needed. The transcendental paradigm regarding restrictions on the head of state in Indonesia can not only be seen from a legal perspective, but also through ethical, moral and religious values. As a country with a majority Muslim population, the position of president can be reviewed under Islamic law. Maslahah Mursalah as a method of ijtihad can be used as a tool to analyze whether restrictions on presidential office are in line with the principles of benefit and preventing harm. This research uses the library research method, by analyzing positive legal regulations, Islamic law, as well as scientific literature related to this issue. The conclusion obtained from the writing is that limiting the presidential term of office is necessary and fulfills the requirements of the maslahah mursalah. This is because limiting the term of office of the head of state is a new problem that is not explained qathi in the two main sources of Islamic law, the Qur'an and the hadith, is enforced on the basis of values of the public interest, not individuals or groups, and contains the values of benefit and prevent harm.","author":[{"dropping-particle":"","family":"Hanifah Kusumastuti","given":"","non-dropping-particle":"","parse-names":false,"suffix":""},{"dropping-particle":"","family":"Imron Rosyadi","given":"","non-dropping-particle":"","parse-names":false,"suffix":""},{"dropping-particle":"","family":"Rizka","given":"","non-dropping-particle":"","parse-names":false,"suffix":""}],"container-title":"Journal of Transcendental Law","id":"ITEM-1","issue":"1","issued":{"date-parts":[["2023","12","8"]]},"page":"16-27","title":"Limitations on the President’s Term of Office from Maslahah Mursalah’s Perspective (Ijtihad as Determination of Islamic Law)","type":"article-journal","volume":"5"},"uris":["http://www.mendeley.com/documents/?uuid=84a74e46-189f-4712-9b6c-3858be3cbebe"]}],"mendeley":{"formattedCitation":"(Hanifah Kusumastuti, Imron Rosyadi, and Rizka 2023)","manualFormatting":"(Hanifah Kusumastuti 2023)","plainTextFormattedCitation":"(Hanifah Kusumastuti, Imron Rosyadi, and Rizka 2023)","previouslyFormattedCitation":"(Hanifah Kusumastuti, Imron Rosyadi, and Rizka 2023)"},"properties":{"noteIndex":0},"schema":"https://github.com/citation-style-language/schema/raw/master/csl-citation.json"}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(Hanifah Kusumastuti</w:t>
      </w:r>
      <w:r w:rsidR="00FB4ACA">
        <w:rPr>
          <w:rFonts w:ascii="Calibri Light" w:hAnsi="Calibri Light" w:cs="Calibri Light"/>
          <w:noProof/>
          <w:sz w:val="24"/>
          <w:szCs w:val="24"/>
        </w:rPr>
        <w:t xml:space="preserve"> </w:t>
      </w:r>
      <w:r w:rsidR="00FB4ACA" w:rsidRPr="00FB4ACA">
        <w:rPr>
          <w:rFonts w:ascii="Calibri Light" w:hAnsi="Calibri Light" w:cs="Calibri Light"/>
          <w:noProof/>
          <w:sz w:val="24"/>
          <w:szCs w:val="24"/>
        </w:rPr>
        <w:t>2023)</w:t>
      </w:r>
      <w:r w:rsidR="00FB4ACA">
        <w:rPr>
          <w:rFonts w:ascii="Calibri Light" w:hAnsi="Calibri Light" w:cs="Calibri Light"/>
          <w:sz w:val="24"/>
          <w:szCs w:val="24"/>
        </w:rPr>
        <w:fldChar w:fldCharType="end"/>
      </w:r>
      <w:r w:rsidRPr="0021416E">
        <w:rPr>
          <w:rFonts w:ascii="Calibri Light" w:hAnsi="Calibri Light" w:cs="Calibri Light"/>
          <w:sz w:val="24"/>
          <w:szCs w:val="24"/>
        </w:rPr>
        <w:t>. The PRISMA framework ensures that the research is conducted in a rigorous and structured manner, enabling a comprehensive analysis of the existing literature on human rights in the context of Islamic law</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{"citationItems":[{"id":"ITEM-1","itemData":{"DOI":"10.23917/iseedu.v7i2.24201","author":[{"dropping-particle":"","family":"Thoyib","given":"Fachri Muhammad","non-dropping-particle":"","parse-names":false,"suffix":""},{"dropping-particle":"","family":"Jinan","given":"Mutohharun","non-dropping-particle":"","parse-names":false,"suffix":""},{"dropping-particle":"","family":"Hidayat","given":"Syamsul","non-dropping-particle":"","parse-names":false,"suffix":""}],"container-title":"Iseedu: Journal of Islamic Educational Thoughts and Practices","id":"ITEM-1","issue":"2","issued":{"date-parts":[["2023"]]},"page":"213-222","title":"Penggunaan Teknologi Multimedia dalam Mendukung Pembelajaran Bahasa Arab dengan Buku Al-‘Arabiyyah Bayna Yadayk","type":"article-journal","volume":"7"},"uris":["http://www.mendeley.com/documents/?uuid=51b26c92-3a7c-4dc7-a914-13d76060a0d5"]}],"mendeley":{"formattedCitation":"(Thoyib, Jinan, and Hidayat 2023)","plainTextFormattedCitation":"(Thoyib, Jinan, and Hidayat 2023)","previouslyFormattedCitation":"(Thoyib, Jinan, and Hidayat 2023)"},"properties":{"noteIndex":0},"schema":"https://github.com/citation-style-language/schema/raw/master/csl-citation.json"}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(Thoyib, Jinan, and Hidayat 2023)</w:t>
      </w:r>
      <w:r w:rsidR="00FB4ACA">
        <w:rPr>
          <w:rFonts w:ascii="Calibri Light" w:hAnsi="Calibri Light" w:cs="Calibri Light"/>
          <w:sz w:val="24"/>
          <w:szCs w:val="24"/>
        </w:rPr>
        <w:fldChar w:fldCharType="end"/>
      </w:r>
      <w:r w:rsidRPr="0021416E">
        <w:rPr>
          <w:rFonts w:ascii="Calibri Light" w:hAnsi="Calibri Light" w:cs="Calibri Light"/>
          <w:sz w:val="24"/>
          <w:szCs w:val="24"/>
        </w:rPr>
        <w:t>. By employing this methodology, the study aims to identify key themes and patterns in the application of Islamic principles to human rights in Egypt and Indonesia, highlighting both similarities and differences between the two countries</w:t>
      </w:r>
      <w:r w:rsidR="001602A0">
        <w:rPr>
          <w:rFonts w:ascii="Calibri Light" w:hAnsi="Calibri Light" w:cs="Calibri Light"/>
          <w:sz w:val="24"/>
          <w:szCs w:val="24"/>
        </w:rPr>
        <w:t xml:space="preserve"> </w:t>
      </w:r>
      <w:r w:rsidR="00A526EF">
        <w:rPr>
          <w:rFonts w:ascii="Calibri Light" w:hAnsi="Calibri Light" w:cs="Calibri Light"/>
          <w:sz w:val="24"/>
          <w:szCs w:val="24"/>
        </w:rPr>
        <w:fldChar w:fldCharType="begin" w:fldLock="1"/>
      </w:r>
      <w:r w:rsidR="00A526EF">
        <w:rPr>
          <w:rFonts w:ascii="Calibri Light" w:hAnsi="Calibri Light" w:cs="Calibri Light"/>
          <w:sz w:val="24"/>
          <w:szCs w:val="24"/>
        </w:rPr>
        <w:instrText>ADDIN CSL_CITATION {"citationItems":[{"id":"ITEM-1","itemData":{"DOI":"https://doi.org/10.61455/sujiem.v3i01.231","ISSN":"2988-3520","abstract":"Objective: This research aims to explore the dynamics of Islamic education through a bibliometric analysis, focusing on its challenges and prospects in the modern context. The study utilizes the VOSviewer software to systematically analyze 1,377 publications on Islamic education from 2015 to 2024, retrieved from the Scopus database. Theoretical framework: The theoretical framework is grounded in the interplay between traditional Islamic principles and modern educational paradigms, emphasizing the need for a balanced approach to preserving Islamic traditions while adapting to contemporary demands. Literature Review: The literature review identifies key themes in Islamic education research, such as traditional teaching methods, curriculum development, and the integration of technology. Additionally, emerging topics like inclusive education, the use of digital tools, and sustainability are highlighted as critical areas of focus for future development. Methods: The research employs a bibliometric analysis method, mapping co-authorship, co-citation, and keyword networks to identify dominant research trends, influential authors, and geographical patterns in the field. This approach enables a comprehensive understanding of the research landscape and its evolution over time. Results: The findings reveal that Islamic education faces a dual challenge: maintaining its spiritual and cultural essence while embracing innovation and globalization. Key insights include the increasing importance of digital tools in enhancing access and inclusivity, the need for curriculum reforms that incorporate skill-based learning, and the growing attention to sustainability in Islamic education. Despite progress, significant gaps remain in teacher training, policy implementation, and resource allocation, which require immediate attention. Implications: The implications of this study are multifaceted. For researchers, it offers a roadmap for addressing underexplored areas, such as the intersection of Islamic education and sustainable development. For practitioners, it provides actionable insights into improving educational practices and policies. Policymakers can leverage the findings to design initiatives that align Islamic education with the demands of the modern world while preserving its foundational values. Novelty: The novelty of this research lies in its comprehensive bibliometric approach, which systematically identifies gaps and opportunities in Islamic education, offering a…","author":[{"dropping-particle":"","family":"Elbanna","given":"Mariam","non-dropping-particle":"","parse-names":false,"suffix":""}],"container-title":"Solo Universal Journal of Islamic Education and Multiculturalism","id":"ITEM-1","issue":"01","issued":{"date-parts":[["2025"]]},"page":"11-26","title":"Islamic Education Models: A Bibliometric Analysis of Challenges and Prospects","type":"article-journal","volume":"3"},"uris":["http://www.mendeley.com/documents/?uuid=bdd398d0-353d-407f-a24c-aa2b1943f218"]}],"mendeley":{"formattedCitation":"(Elbanna 2025a)","plainTextFormattedCitation":"(Elbanna 2025a)","previouslyFormattedCitation":"(Elbanna 2025a)"},"properties":{"noteIndex":0},"schema":"https://github.com/citation-style-language/schema/raw/master/csl-citation.json"}</w:instrText>
      </w:r>
      <w:r w:rsidR="00A526EF">
        <w:rPr>
          <w:rFonts w:ascii="Calibri Light" w:hAnsi="Calibri Light" w:cs="Calibri Light"/>
          <w:sz w:val="24"/>
          <w:szCs w:val="24"/>
        </w:rPr>
        <w:fldChar w:fldCharType="separate"/>
      </w:r>
      <w:r w:rsidR="001602A0" w:rsidRPr="001602A0">
        <w:rPr>
          <w:rFonts w:ascii="Calibri Light" w:hAnsi="Calibri Light" w:cs="Calibri Light"/>
          <w:noProof/>
          <w:sz w:val="24"/>
          <w:szCs w:val="24"/>
        </w:rPr>
        <w:t>(Elbanna 2025a)</w:t>
      </w:r>
      <w:r w:rsidR="00A526EF">
        <w:rPr>
          <w:rFonts w:ascii="Calibri Light" w:hAnsi="Calibri Light" w:cs="Calibri Light"/>
          <w:sz w:val="24"/>
          <w:szCs w:val="24"/>
        </w:rPr>
        <w:fldChar w:fldCharType="end"/>
      </w:r>
      <w:r w:rsidRPr="0021416E">
        <w:rPr>
          <w:rFonts w:ascii="Calibri Light" w:hAnsi="Calibri Light" w:cs="Calibri Light"/>
          <w:sz w:val="24"/>
          <w:szCs w:val="24"/>
        </w:rPr>
        <w:t>.</w:t>
      </w:r>
    </w:p>
    <w:p w14:paraId="3F5C61A9" w14:textId="77777777" w:rsidR="0021416E" w:rsidRPr="0021416E" w:rsidRDefault="0021416E" w:rsidP="00BB08FA">
      <w:pPr>
        <w:spacing w:before="120" w:after="120"/>
        <w:ind w:left="426"/>
        <w:jc w:val="both"/>
        <w:rPr>
          <w:rFonts w:ascii="Calibri Light" w:hAnsi="Calibri Light" w:cs="Calibri Light"/>
          <w:sz w:val="24"/>
          <w:szCs w:val="24"/>
        </w:rPr>
      </w:pPr>
      <w:r w:rsidRPr="0021416E">
        <w:rPr>
          <w:rFonts w:ascii="Calibri Light" w:hAnsi="Calibri Light" w:cs="Calibri Light"/>
          <w:sz w:val="24"/>
          <w:szCs w:val="24"/>
        </w:rPr>
        <w:t xml:space="preserve">In reviewing the literature, this study will contribute to the ongoing discourse on the compatibility of Islamic principles with global human rights standards. Scholars have long debated the tension between traditional interpretations of </w:t>
      </w:r>
      <w:proofErr w:type="spellStart"/>
      <w:r w:rsidRPr="0021416E">
        <w:rPr>
          <w:rFonts w:ascii="Calibri Light" w:hAnsi="Calibri Light" w:cs="Calibri Light"/>
          <w:sz w:val="24"/>
          <w:szCs w:val="24"/>
        </w:rPr>
        <w:t>Shari'ah</w:t>
      </w:r>
      <w:proofErr w:type="spellEnd"/>
      <w:r w:rsidRPr="0021416E">
        <w:rPr>
          <w:rFonts w:ascii="Calibri Light" w:hAnsi="Calibri Light" w:cs="Calibri Light"/>
          <w:sz w:val="24"/>
          <w:szCs w:val="24"/>
        </w:rPr>
        <w:t xml:space="preserve"> and the more liberal </w:t>
      </w:r>
      <w:r w:rsidRPr="0021416E">
        <w:rPr>
          <w:rFonts w:ascii="Calibri Light" w:hAnsi="Calibri Light" w:cs="Calibri Light"/>
          <w:sz w:val="24"/>
          <w:szCs w:val="24"/>
        </w:rPr>
        <w:lastRenderedPageBreak/>
        <w:t>readings of Islamic law that attempt to reconcile Islamic values with international human rights frameworks</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{"citationItems":[{"id":"ITEM-1","itemData":{"DOI":"10.69526/bir.v2i4.158","ISSN":"3031-4526","author":[{"dropping-particle":"","family":"Adanu","given":"Khadijatu","non-dropping-particle":"","parse-names":false,"suffix":""}],"container-title":"Bulletin of Islamic Research","id":"ITEM-1","issue":"4","issued":{"date-parts":[["2024"]]},"page":"653-676","title":"Staff Development and Commitment in Nigerian Colleges of Education: A Pathway to Institutional Success","type":"article-journal","volume":"2"},"uris":["http://www.mendeley.com/documents/?uuid=d64f5cd5-bc65-484e-8339-f3f9449bf7f9"]}],"mendeley":{"formattedCitation":"(Adanu 2024)","plainTextFormattedCitation":"(Adanu 2024)","previouslyFormattedCitation":"(Adanu 2024)"},"properties":{"noteIndex":0},"schema":"https://github.com/citation-style-language/schema/raw/master/csl-citation.json"}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(Adanu 2024)</w:t>
      </w:r>
      <w:r w:rsidR="00FB4ACA">
        <w:rPr>
          <w:rFonts w:ascii="Calibri Light" w:hAnsi="Calibri Light" w:cs="Calibri Light"/>
          <w:sz w:val="24"/>
          <w:szCs w:val="24"/>
        </w:rPr>
        <w:fldChar w:fldCharType="end"/>
      </w:r>
      <w:r w:rsidRPr="0021416E">
        <w:rPr>
          <w:rFonts w:ascii="Calibri Light" w:hAnsi="Calibri Light" w:cs="Calibri Light"/>
          <w:sz w:val="24"/>
          <w:szCs w:val="24"/>
        </w:rPr>
        <w:t>. Some argue that modern reinterpretations of Islamic law, particularly through the process of ijtihad (independent legal reasoning), can play a crucial role in adapting Islamic principles to contemporary human rights challenges</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{"citationItems":[{"id":"ITEM-1","itemData":{"DOI":"10.69526/bir.v2i4.156","ISSN":"3031-4526","author":[{"dropping-particle":"","family":"Abubakar","given":"Ahmad","non-dropping-particle":"","parse-names":false,"suffix":""}],"container-title":"Bulletin of Islamic Research","id":"ITEM-1","issue":"4","issued":{"date-parts":[["2024"]]},"page":"629-652","title":"Assessment of The Application of Social Media Among Muslims in Tertiary Institutions and Its Implications on Their Lives in Kaduna State, Nigeria","type":"article-journal","volume":"2"},"uris":["http://www.mendeley.com/documents/?uuid=0960ed7d-8103-4a08-a2a8-9c1058e1ebd4"]}],"mendeley":{"formattedCitation":"(Abubakar 2024)","plainTextFormattedCitation":"(Abubakar 2024)","previouslyFormattedCitation":"(Abubakar 2024)"},"properties":{"noteIndex":0},"schema":"https://github.com/citation-style-language/schema/raw/master/csl-citation.json"}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(Abubakar 2024)</w:t>
      </w:r>
      <w:r w:rsidR="00FB4ACA">
        <w:rPr>
          <w:rFonts w:ascii="Calibri Light" w:hAnsi="Calibri Light" w:cs="Calibri Light"/>
          <w:sz w:val="24"/>
          <w:szCs w:val="24"/>
        </w:rPr>
        <w:fldChar w:fldCharType="end"/>
      </w:r>
      <w:r w:rsidRPr="0021416E">
        <w:rPr>
          <w:rFonts w:ascii="Calibri Light" w:hAnsi="Calibri Light" w:cs="Calibri Light"/>
          <w:sz w:val="24"/>
          <w:szCs w:val="24"/>
        </w:rPr>
        <w:t>. Others, however, caution that the rigid application of traditional interpretations can lead to human rights violations, particularly in areas such as gender equality and freedom of expression</w:t>
      </w:r>
      <w:r w:rsidR="001602A0">
        <w:rPr>
          <w:rFonts w:ascii="Calibri Light" w:hAnsi="Calibri Light" w:cs="Calibri Light"/>
          <w:sz w:val="24"/>
          <w:szCs w:val="24"/>
        </w:rPr>
        <w:t xml:space="preserve"> </w:t>
      </w:r>
      <w:r w:rsidR="00A526EF">
        <w:rPr>
          <w:rFonts w:ascii="Calibri Light" w:hAnsi="Calibri Light" w:cs="Calibri Light"/>
          <w:sz w:val="24"/>
          <w:szCs w:val="24"/>
        </w:rPr>
        <w:fldChar w:fldCharType="begin" w:fldLock="1"/>
      </w:r>
      <w:r w:rsidR="00A526EF">
        <w:rPr>
          <w:rFonts w:ascii="Calibri Light" w:hAnsi="Calibri Light" w:cs="Calibri Light"/>
          <w:sz w:val="24"/>
          <w:szCs w:val="24"/>
        </w:rPr>
        <w:instrText>ADDIN CSL_CITATION {"citationItems":[{"id":"ITEM-1","itemData":{"DOI":"https://doi.org/10.61455/deujis.v2i03.218","ISSN":"2988-3539","abstract":"Objective: This study examines the development of Zakat, Infaq, and Sadaqah (ZIS) systems in Egypt through a comprehensive literature review, focusing on historical, legal, and social perspectives. The research aims to explore the evolution of these Islamic financial tools, which have long served as mechanisms for wealth redistribution and social welfare within the Islamic economy. In the face of rising poverty, unemployment, and other socioeconomic challenges in modern Egypt, this study investigates how traditional ZIS practices can be adapted to contemporary needs. Theoretical framework: The theoretical framework is based on the principles of Islamic economics, particularly those addressing wealth redistribution, social justice, and poverty alleviation. Literature Review: The literature review draws on previous studies and reports to analyze changes in ZIS implementation, considering evolving legal frameworks, shifting social expectations, and dynamic economic conditions. By bridging the gap between historical practices and modern demands, the study highlights the critical role of ZIS in addressing poverty and inequality in Egypt. Methods: This qualitative research employs a systematic review method, synthesizing data from academic publications, government reports, and non-governmental studies to identify trends, challenges, and opportunities in the ZIS systems. Results: The findings reveal that while progress has been made in the institutionalization and modernization of ZIS in Egypt, significant challenges remain. Key issues include inefficiencies in collection and distribution mechanisms, lack of public trust, and insufficient legal and regulatory frameworks. These factors limit the effectiveness of ZIS in reaching vulnerable populations and maximizing their potential impact. The study concludes that further reforms are essential to enhance the role of ZIS in Egypt's socioeconomic development. Specifically, improvements in transparency, accountability, and integration with modern financial systems are necessary to align ZIS practices with contemporary realities. Implications: The findings have implications for policymakers, Islamic scholars, and financial institutions, emphasizing the need to create a sustainable and equitable framework for ZIS that addresses pressing issues such as poverty and inequality. Novelty: This research offers a novel contribution by integrating historical, legal, and social perspectives into the analysis of ZIS systems in…","author":[{"dropping-particle":"","family":"Elbanna","given":"Mariam","non-dropping-particle":"","parse-names":false,"suffix":""}],"container-title":"Demak Universal Journal of Islam and Sharia","id":"ITEM-1","issue":"03","issued":{"date-parts":[["2024"]]},"page":"375-388","title":"The Development of Zakat, Infaq, Sadaqah in Egypt: A Literature Review Approach","type":"article-journal","volume":"2"},"uris":["http://www.mendeley.com/documents/?uuid=412fb062-e0eb-43a4-a9d8-4042a3c1c6e0"]}],"mendeley":{"formattedCitation":"(Elbanna 2024)","plainTextFormattedCitation":"(Elbanna 2024)","previouslyFormattedCitation":"(Elbanna 2024)"},"properties":{"noteIndex":0},"schema":"https://github.com/citation-style-language/schema/raw/master/csl-citation.json"}</w:instrText>
      </w:r>
      <w:r w:rsidR="00A526EF">
        <w:rPr>
          <w:rFonts w:ascii="Calibri Light" w:hAnsi="Calibri Light" w:cs="Calibri Light"/>
          <w:sz w:val="24"/>
          <w:szCs w:val="24"/>
        </w:rPr>
        <w:fldChar w:fldCharType="separate"/>
      </w:r>
      <w:r w:rsidR="001602A0" w:rsidRPr="001602A0">
        <w:rPr>
          <w:rFonts w:ascii="Calibri Light" w:hAnsi="Calibri Light" w:cs="Calibri Light"/>
          <w:noProof/>
          <w:sz w:val="24"/>
          <w:szCs w:val="24"/>
        </w:rPr>
        <w:t>(Elbanna 2024)</w:t>
      </w:r>
      <w:r w:rsidR="00A526EF">
        <w:rPr>
          <w:rFonts w:ascii="Calibri Light" w:hAnsi="Calibri Light" w:cs="Calibri Light"/>
          <w:sz w:val="24"/>
          <w:szCs w:val="24"/>
        </w:rPr>
        <w:fldChar w:fldCharType="end"/>
      </w:r>
      <w:r w:rsidRPr="0021416E">
        <w:rPr>
          <w:rFonts w:ascii="Calibri Light" w:hAnsi="Calibri Light" w:cs="Calibri Light"/>
          <w:sz w:val="24"/>
          <w:szCs w:val="24"/>
        </w:rPr>
        <w:t>.</w:t>
      </w:r>
    </w:p>
    <w:p w14:paraId="561B594C" w14:textId="77777777" w:rsidR="0021416E" w:rsidRPr="0021416E" w:rsidRDefault="0021416E" w:rsidP="00BB08FA">
      <w:pPr>
        <w:spacing w:before="120" w:after="120"/>
        <w:ind w:left="426"/>
        <w:jc w:val="both"/>
        <w:rPr>
          <w:rFonts w:ascii="Calibri Light" w:hAnsi="Calibri Light" w:cs="Calibri Light"/>
          <w:sz w:val="24"/>
          <w:szCs w:val="24"/>
        </w:rPr>
      </w:pPr>
      <w:r w:rsidRPr="0021416E">
        <w:rPr>
          <w:rFonts w:ascii="Calibri Light" w:hAnsi="Calibri Light" w:cs="Calibri Light"/>
          <w:sz w:val="24"/>
          <w:szCs w:val="24"/>
        </w:rPr>
        <w:t>The literature on human rights law based on the Qur'an provides a diverse range of perspectives on the role of Islamic principles in the modern legal system. While there is a strong foundation in Islamic texts advocating for justice, dignity, and equality, the application of these principles varies widely across different contexts</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{"citationItems":[{"id":"ITEM-1","itemData":{"DOI":"10.47172/2965-730X.SDGsReview.v5.n01.pe01686","ISSN":"2965-730X","abstract":"Purpose: The objectives of this study are to: 1). Identify the types of principal leadership applied in high schools, 2). The application of creative leadership of school principals in modern Islamic boarding schools in empowering teacher performance in schools, 3). Fostering the creative leadership of school principals in modern Islamic boarding schools. Theoretical Framework: This study will explore how high school leaders in Muhammadiyah apply creative and transformative leadership principles to face contemporary challenges in education, such as adapting to new technologies, improving the quality of teaching, and promoting sustainable development values among students and staff. Methods: This research uses an interpretative paradigm with a qualitative approach, case study type, and multicase design. Data were collected using observation, interviews, and documentation. Data validity using triangulation of sources, methods, and theories. Next, an interactive model analysis is carried out. Obyek penelitian dilakukan di SMAM SBM Piyungan Yogyakarta dan SMAM Pondok Pesantren Modern Imam Cabang Syuhodo Muhammadiyah Blimbing, Sukoharjo, Jawa Tengah. Results and Conclusion: The results of this study show (1) Types of creative leadership in these two schools include being innovative, engaging in the community, providing opportunities for students to develop, and focusing on social and humanitarian contributions. (2) The application of principals' creative leadership in empowering teacher performance in schools is carried out by encouraging innovation in learning, providing support and training, recognizing and rewarding superior performance, developing joint learning plans, providing emotional support, facilitating teacher collaboration, implementing an equitable evaluation system, and integrating educational technology. Research implications: The implications of creative values applied in cottages, especially in terms of raising cottages, are proactive, advanced, inclusive, do not impose and do not prohibit, and even provide education to the community so that according to the direction of Islamic boarding schools that uphold Islamic teachings, can be implemented and applied. Originality/value: the originality of this research lies in pesantren which includes Islamic educational institutions with creative leadership that is not stagnant, and always runs and develops dynamically.","author":[{"dropping-particle":"","family":"Muthoifin","given":"","non-dropping-particle":"","parse-names":false,"suffix":""},{"dropping-particle":"","family":"Hamid","given":"Noor","non-dropping-particle":"","parse-names":false,"suffix":""},{"dropping-particle":"","family":"Sutama","given":"","non-dropping-particle":"","parse-names":false,"suffix":""},{"dropping-particle":"","family":"Hidayat","given":"Syamsul","non-dropping-particle":"","parse-names":false,"suffix":""},{"dropping-particle":"","family":"Waston","given":"","non-dropping-particle":"","parse-names":false,"suffix":""},{"dropping-particle":"","family":"Nirwana","given":"Andri","non-dropping-particle":"","parse-names":false,"suffix":""},{"dropping-particle":"","family":"Muthoifin","given":"","non-dropping-particle":"","parse-names":false,"suffix":""}],"container-title":"Journal of Lifestyle and SDGs Review","id":"ITEM-1","issue":"1","issued":{"date-parts":[["2024","10","23"]]},"page":"e01686","title":"Creative Leadership: An Implementing Study of Transformative Leadership Models in High School for Sustainable Development Goals","type":"article-journal","volume":"5"},"uris":["http://www.mendeley.com/documents/?uuid=918f8437-d960-4c09-b96c-daa0ba74566b"]}],"mendeley":{"formattedCitation":"(Muthoifin, Hamid, et al. 2024)","plainTextFormattedCitation":"(Muthoifin, Hamid, et al. 2024)","previouslyFormattedCitation":"(Muthoifin, Hamid, et al. 2024)"},"properties":{"noteIndex":0},"schema":"https://github.com/citation-style-language/schema/raw/master/csl-citation.json"}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(Muthoifin, Hamid, et al. 2024)</w:t>
      </w:r>
      <w:r w:rsidR="00FB4ACA">
        <w:rPr>
          <w:rFonts w:ascii="Calibri Light" w:hAnsi="Calibri Light" w:cs="Calibri Light"/>
          <w:sz w:val="24"/>
          <w:szCs w:val="24"/>
        </w:rPr>
        <w:fldChar w:fldCharType="end"/>
      </w:r>
      <w:r w:rsidRPr="0021416E">
        <w:rPr>
          <w:rFonts w:ascii="Calibri Light" w:hAnsi="Calibri Light" w:cs="Calibri Light"/>
          <w:sz w:val="24"/>
          <w:szCs w:val="24"/>
        </w:rPr>
        <w:t xml:space="preserve">. In countries like Egypt and Indonesia, the interpretation of </w:t>
      </w:r>
      <w:proofErr w:type="spellStart"/>
      <w:r w:rsidRPr="0021416E">
        <w:rPr>
          <w:rFonts w:ascii="Calibri Light" w:hAnsi="Calibri Light" w:cs="Calibri Light"/>
          <w:sz w:val="24"/>
          <w:szCs w:val="24"/>
        </w:rPr>
        <w:t>Shari'ah</w:t>
      </w:r>
      <w:proofErr w:type="spellEnd"/>
      <w:r w:rsidRPr="0021416E">
        <w:rPr>
          <w:rFonts w:ascii="Calibri Light" w:hAnsi="Calibri Light" w:cs="Calibri Light"/>
          <w:sz w:val="24"/>
          <w:szCs w:val="24"/>
        </w:rPr>
        <w:t xml:space="preserve"> law in relation to human rights remains a dynamic and ongoing issue</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{"citationItems":[{"id":"ITEM-1","itemData":{"DOI":"10.47172/2965-730X.SDGsReview.v5.n01.pe01687","ISSN":"2965-730X","abstract":"Purpose: This service aims to foster harmony in a multicultural community in the city of Solo as a concrete step to increase peace and support the achievement of the Sustainable Development Goals (SDGs). Theoretical Framework: This study uses a cultural integration thinking framework and a participatory approach to building social harmony. The focus is on developing an understanding and appreciation of cultural diversity, as well as increasing positive interactions between ethnicities and religions to create an inclusive environment. Methods: This service uses a participatory approach involving a variety of local stakeholders, including ethnic and religious communities, local governments, and community institutions. Activities include organizing intercultural dialogue workshops, cultural diversity training, and public campaigns to promote tolerance and peace. Results and Conclusion: The results of this service show an increased awareness of cultural diversity and appreciation for differences among the people of Solo. Inter-ethnic and religious interactions are increasing, creating a stronger foundation for social harmony. In conclusion, participatory and integrative approaches are effective in building harmony in multicultural societies to support peace and sustainable development. Implications: This service has a positive impact by increasing tolerance, reducing social conflicts, and strengthening social cohesion in the city of Solo. The impact is also seen in increasing community participation in local development activities and achieving related SDGs targets. Originality/value: Its uniqueness lies in its participatory approach that actively involves all relevant parties, as well as focusing on cultural integration as the main foundation for the development of sustainable social harmony in a multicultural environment such as the city of Solo.","author":[{"dropping-particle":"","family":"Muthoifin","given":"","non-dropping-particle":"","parse-names":false,"suffix":""},{"dropping-particle":"","family":"Abuzar","given":"Muhammad","non-dropping-particle":"","parse-names":false,"suffix":""},{"dropping-particle":"","family":"Mahmudulhassan","given":"","non-dropping-particle":"","parse-names":false,"suffix":""},{"dropping-particle":"","family":"Afiyah","given":"Ishmah","non-dropping-particle":"","parse-names":false,"suffix":""},{"dropping-particle":"","family":"Nirwana","given":"Andri","non-dropping-particle":"","parse-names":false,"suffix":""},{"dropping-particle":"","family":"Nuha","given":"","non-dropping-particle":"","parse-names":false,"suffix":""},{"dropping-particle":"","family":"Setianto","given":"Gigih","non-dropping-particle":"","parse-names":false,"suffix":""},{"dropping-particle":"","family":"Waston","given":"","non-dropping-particle":"","parse-names":false,"suffix":""}],"container-title":"Journal of Lifestyle and SDGs Review","id":"ITEM-1","issue":"1","issued":{"date-parts":[["2024","10","25"]]},"page":"e01687","title":"Fostering Multicultural Community Harmony to Enhance Peace and Sustainable Development Goals (SDG’s)","type":"article-journal","volume":"5"},"uris":["http://www.mendeley.com/documents/?uuid=80e8de5f-f450-4106-875a-2661c90c147d"]}],"mendeley":{"formattedCitation":"(Muthoifin, Abuzar, et al. 2024)","plainTextFormattedCitation":"(Muthoifin, Abuzar, et al. 2024)","previouslyFormattedCitation":"(Muthoifin, Abuzar, et al. 2024)"},"properties":{"noteIndex":0},"schema":"https://github.com/citation-style-language/schema/raw/master/csl-citation.json"}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(Muthoifin, Abuzar, et al. 2024)</w:t>
      </w:r>
      <w:r w:rsidR="00FB4ACA">
        <w:rPr>
          <w:rFonts w:ascii="Calibri Light" w:hAnsi="Calibri Light" w:cs="Calibri Light"/>
          <w:sz w:val="24"/>
          <w:szCs w:val="24"/>
        </w:rPr>
        <w:fldChar w:fldCharType="end"/>
      </w:r>
      <w:r w:rsidRPr="0021416E">
        <w:rPr>
          <w:rFonts w:ascii="Calibri Light" w:hAnsi="Calibri Light" w:cs="Calibri Light"/>
          <w:sz w:val="24"/>
          <w:szCs w:val="24"/>
        </w:rPr>
        <w:t>. The challenge, then, is to find an interpretation of Islamic law that respects both the essential values of Islam and the broader framework of universal human rights</w:t>
      </w:r>
      <w:r w:rsidR="001602A0">
        <w:rPr>
          <w:rFonts w:ascii="Calibri Light" w:hAnsi="Calibri Light" w:cs="Calibri Light"/>
          <w:sz w:val="24"/>
          <w:szCs w:val="24"/>
        </w:rPr>
        <w:t xml:space="preserve"> </w:t>
      </w:r>
      <w:r w:rsidR="00A526EF">
        <w:rPr>
          <w:rFonts w:ascii="Calibri Light" w:hAnsi="Calibri Light" w:cs="Calibri Light"/>
          <w:sz w:val="24"/>
          <w:szCs w:val="24"/>
        </w:rPr>
        <w:fldChar w:fldCharType="begin" w:fldLock="1"/>
      </w:r>
      <w:r w:rsidR="00A526EF">
        <w:rPr>
          <w:rFonts w:ascii="Calibri Light" w:hAnsi="Calibri Light" w:cs="Calibri Light"/>
          <w:sz w:val="24"/>
          <w:szCs w:val="24"/>
        </w:rPr>
        <w:instrText>ADDIN CSL_CITATION {"citationItems":[{"id":"ITEM-1","itemData":{"DOI":"https://doi.org/10.61455/deujis.v3i01.215","ISSN":"2988-3539","abstract":"Objective: This study aims to analyze the role of Conti Entertain, a digital entertainment platform, as a gateway to gambling behavior among adolescents, focusing on the challenges and potential solutions. With the rapid growth of digital technology, platforms like Conti Entertain, which integrate gaming and entertainment with monetary incentives, have increasingly attracted young audiences. Theoretical framework: Theoretical underpinnings of this research draw from theories of adolescent cognitive development, social influence, and digital consumer protection. Literature Review: A literature review highlights that digital gambling, particularly through mechanisms like loot boxes and random rewards, has become a growing concern within the digital entertainment ecosystem. Methods: This research adopts a qualitative methodology using a case study approach. Data collection methods include in-depth interviews with adolescents, parents, and experts in digital media, psychology, and law, along with content analysis of features within Conti Entertain that promote gambling tendencies. Results: The findings reveal that Conti Entertain significantly influences gambling-like behaviors through mechanisms such as loot boxes, random rewards, and monetization features that blur the line between gaming and gambling. Adolescents are particularly susceptible to these tactics due to their developing cognitive control and peer influence. The study identifies inadequate regulations and lack of parental supervision as major challenges aggravating the issue. Implications: The implications of this study underscore the necessity for stricter regulations on digital entertainment platforms to protect young users from exploitative monetization schemes. Parental awareness and active engagement in monitoring online activities are equally critical. Novelty: The novelty of this research lies in its focus on Conti Entertain as a specific case study within the broader digital gambling landscape. These findings contribute significantly to understanding the link between digital entertainment and gambling behavior among adolescents, offering practical solutions to address this pressing issue.","author":[{"dropping-particle":"","family":"Elbanna","given":"Mariam","non-dropping-particle":"","parse-names":false,"suffix":""},{"dropping-particle":"","family":"Nirwana","given":"Andri","non-dropping-particle":"","parse-names":false,"suffix":""}],"container-title":"Demak Universal Journal of Islam and Sharia","id":"ITEM-1","issue":"01","issued":{"date-parts":[["2025"]]},"page":"1-12","title":"Analysing the Role of Conti Entertain as a Gateway to Digital Gambling Among Teenagers Sharia Perspective: Challenges and Solutions","type":"article-journal","volume":"3"},"uris":["http://www.mendeley.com/documents/?uuid=3eea4f0c-c9b0-4862-917d-19f9a8f32854"]}],"mendeley":{"formattedCitation":"(Elbanna and Nirwana 2025)","plainTextFormattedCitation":"(Elbanna and Nirwana 2025)","previouslyFormattedCitation":"(Elbanna and Nirwana 2025)"},"properties":{"noteIndex":0},"schema":"https://github.com/citation-style-language/schema/raw/master/csl-citation.json"}</w:instrText>
      </w:r>
      <w:r w:rsidR="00A526EF">
        <w:rPr>
          <w:rFonts w:ascii="Calibri Light" w:hAnsi="Calibri Light" w:cs="Calibri Light"/>
          <w:sz w:val="24"/>
          <w:szCs w:val="24"/>
        </w:rPr>
        <w:fldChar w:fldCharType="separate"/>
      </w:r>
      <w:r w:rsidR="001602A0" w:rsidRPr="001602A0">
        <w:rPr>
          <w:rFonts w:ascii="Calibri Light" w:hAnsi="Calibri Light" w:cs="Calibri Light"/>
          <w:noProof/>
          <w:sz w:val="24"/>
          <w:szCs w:val="24"/>
        </w:rPr>
        <w:t>(Elbanna and Nirwana 2025)</w:t>
      </w:r>
      <w:r w:rsidR="00A526EF">
        <w:rPr>
          <w:rFonts w:ascii="Calibri Light" w:hAnsi="Calibri Light" w:cs="Calibri Light"/>
          <w:sz w:val="24"/>
          <w:szCs w:val="24"/>
        </w:rPr>
        <w:fldChar w:fldCharType="end"/>
      </w:r>
      <w:r w:rsidRPr="0021416E">
        <w:rPr>
          <w:rFonts w:ascii="Calibri Light" w:hAnsi="Calibri Light" w:cs="Calibri Light"/>
          <w:sz w:val="24"/>
          <w:szCs w:val="24"/>
        </w:rPr>
        <w:t xml:space="preserve">. </w:t>
      </w:r>
    </w:p>
    <w:p w14:paraId="723DAEB2" w14:textId="77777777" w:rsidR="0021416E" w:rsidRDefault="0021416E" w:rsidP="0021416E">
      <w:pPr>
        <w:spacing w:before="120" w:after="120"/>
        <w:ind w:left="426"/>
        <w:jc w:val="both"/>
        <w:rPr>
          <w:rFonts w:ascii="Calibri Light" w:hAnsi="Calibri Light" w:cs="Calibri Light"/>
          <w:sz w:val="24"/>
          <w:szCs w:val="24"/>
          <w:rtl/>
        </w:rPr>
      </w:pPr>
      <w:r w:rsidRPr="0021416E">
        <w:rPr>
          <w:rFonts w:ascii="Calibri Light" w:hAnsi="Calibri Light" w:cs="Calibri Light"/>
          <w:sz w:val="24"/>
          <w:szCs w:val="24"/>
        </w:rPr>
        <w:t>This study aims to fill this gap in the literature by providing a comparative analysis of Egypt and Indonesia, focusing on the ways in which these countries integrate Islamic principles into their human rights frameworks</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{"citationItems":[{"id":"ITEM-1","itemData":{"DOI":"10.47172/2965-730X.SDGsReview.v4.n02.pe01914","ISSN":"2965-730X","abstract":"Objective: The Qur'an came with the concept of moderation in the form of deliberation. The concept of moderation needs to be taught because today's society quickly blames, degrades, acts harshly, and even kills different groups. The purpose of this study is to build religious moderation among Muslims. Method: The research used to parse the problem is library research, focusing on verse 159 of Surat Ali Imran as the construction of the concept of deliberation. Results: This letter carries the message of religious moderation among Muslims with gentle teachings, open-minded, not degrading groups, madhab, or other Islamic organizations. (Faddun). It is not easy to solidify, (gholid al-qolbi), respecting the opinions of others (Fa'fu anhum), Deliberation to create moderation, and Accepting Dissent wisely (al-azmu). Contribution: Deliberation must be formed into concepts and formulations to build moderation among Muslims. Researc's contribution is to build a more open mindset of Muslims, respect differences of opinion, not easily blame and anarchists different groups.","author":[{"dropping-particle":"","family":"Rhain","given":"Ainur","non-dropping-particle":"","parse-names":false,"suffix":""},{"dropping-particle":"","family":"Rizqi","given":"Anggi Maulana","non-dropping-particle":"","parse-names":false,"suffix":""},{"dropping-particle":"","family":"Naufal","given":"Aulia","non-dropping-particle":"","parse-names":false,"suffix":""},{"dropping-particle":"","family":"Kurniawan","given":"Muhammad Irfanudin","non-dropping-particle":"","parse-names":false,"suffix":""},{"dropping-particle":"","family":"Azizah","given":"Alfiyatul","non-dropping-particle":"","parse-names":false,"suffix":""},{"dropping-particle":"","family":"Nugroho","given":"Kharis","non-dropping-particle":"","parse-names":false,"suffix":""},{"dropping-particle":"","family":"AN","given":"Andri Nirwana","non-dropping-particle":"","parse-names":false,"suffix":""}],"container-title":"Journal of Lifestyle and SDGs Review","id":"ITEM-1","issue":"2","issued":{"date-parts":[["2024","8","28"]]},"page":"e01914","title":"Reconstructing Deliberative Practices for Building Religious Character: A Quranic Study of Ali Imran: 159 in Alignment with the United Nations' Sustainable Development Goals","type":"article-journal","volume":"4"},"uris":["http://www.mendeley.com/documents/?uuid=b215198b-10a6-413d-8baf-b2b198234ec3"]}],"mendeley":{"formattedCitation":"(Rhain et al. 2024)","plainTextFormattedCitation":"(Rhain et al. 2024)","previouslyFormattedCitation":"(Rhain et al. 2024)"},"properties":{"noteIndex":0},"schema":"https://github.com/citation-style-language/schema/raw/master/csl-citation.json"}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(Rhain et al. 2024)</w:t>
      </w:r>
      <w:r w:rsidR="00FB4ACA">
        <w:rPr>
          <w:rFonts w:ascii="Calibri Light" w:hAnsi="Calibri Light" w:cs="Calibri Light"/>
          <w:sz w:val="24"/>
          <w:szCs w:val="24"/>
        </w:rPr>
        <w:fldChar w:fldCharType="end"/>
      </w:r>
      <w:r w:rsidRPr="0021416E">
        <w:rPr>
          <w:rFonts w:ascii="Calibri Light" w:hAnsi="Calibri Light" w:cs="Calibri Light"/>
          <w:sz w:val="24"/>
          <w:szCs w:val="24"/>
        </w:rPr>
        <w:t>. The research will explore how the Qur'anic principles of justice, equality, and dignity are applied in practice and will offer insights into the challenges and opportunities that arise from the intersection of Islamic law and international human rights standards</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ISSN":"2595-3982","author":[{"dropping-particle":"","family":"Ardiansyah","given":"","non-dropping-particle":"","parse-names":false,"suffix":""},{"dropping-particle":"","family":"Mahmudulhassan","given":"","non-dropping-particle":"","parse-names":false,"suffix":""},{"dropping-particle":"","family":"Daud","given":"Zainora","non-dropping-particle":"","parse-names":false,"suffix":""},{"dropping-particle":"","family":"Salleh","given":"Norsaleha Mohd","non-dropping-particle":"","parse-names":false,"suffix":""},{"dropping-particle":"","family":"AN","given":"Andri Nirwana","non-dropping-particle":"","parse-names":false,"suffix":""},{"dropping-particle":"","family":"Waston","given":"","non-dropping-particle":"","parse-names":false,"suffix":""},{"dropping-particle":"","family":"Muthoifin","given":"","non-dropping-particle":"","parse-names":false,"suffix":""}],"container-title":"Multidisciplinary Reviews","id":"ITEM-1","issue":"Accepted Articles","issued":{"date-parts":[["2024"]]},"title":"Mapping the Evolution and Trends in Quran Memorization, Cognitive Learning, and Educational Research: A Comprehensive Bibliometric Analysis Utilizing the Scopus Database","type":"article-journal"},"uris":["http://www.mendeley.com/documents/?uuid=86ab0aca-9bb4-44cd-b36b-cad961bad3f8"]}],"mendeley":{"formattedCitation":"(Ardiansyah, Mahmudulhassan, et al. 2024)","plainTextFormattedCitation":"(Ardiansyah, Mahmudulhassan, et al. 2024)","previouslyFormattedCitation":"(Ardiansyah, Mahmudulhassan, et al. 2024)"},"properties":{"noteIndex":0},"schema":"https://github.com/citation-style-language/schema/raw/master/csl-citation.json"}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(Ardiansyah, Mahmudulhassan, et al. 2024)</w:t>
      </w:r>
      <w:r w:rsidR="00FB4ACA">
        <w:rPr>
          <w:rFonts w:ascii="Calibri Light" w:hAnsi="Calibri Light" w:cs="Calibri Light"/>
          <w:sz w:val="24"/>
          <w:szCs w:val="24"/>
        </w:rPr>
        <w:fldChar w:fldCharType="end"/>
      </w:r>
      <w:r w:rsidRPr="0021416E">
        <w:rPr>
          <w:rFonts w:ascii="Calibri Light" w:hAnsi="Calibri Light" w:cs="Calibri Light"/>
          <w:sz w:val="24"/>
          <w:szCs w:val="24"/>
        </w:rPr>
        <w:t>. Ultimately, this study seeks to contribute to a better understanding of the dynamic relationship between religion and law in the field of human rights, offering valuable insights for scholars, policymakers, and practitioners in the area of human rights law.</w:t>
      </w:r>
    </w:p>
    <w:p w14:paraId="4363C6B2"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65CA6105"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p>
    <w:p w14:paraId="1FF8EC2A" w14:textId="77777777" w:rsidR="00672ECC" w:rsidRPr="00672ECC" w:rsidRDefault="00672ECC" w:rsidP="00615265">
      <w:pPr>
        <w:pStyle w:val="NormalWeb"/>
        <w:ind w:left="426"/>
        <w:jc w:val="both"/>
        <w:rPr>
          <w:rFonts w:ascii="Calibri Light" w:hAnsi="Calibri Light" w:cs="Calibri Light"/>
          <w:lang w:val="en-ID" w:eastAsia="en-ID"/>
        </w:rPr>
      </w:pPr>
      <w:r w:rsidRPr="00672ECC">
        <w:rPr>
          <w:rFonts w:ascii="Calibri Light" w:hAnsi="Calibri Light" w:cs="Calibri Light"/>
          <w:lang w:val="en-ID" w:eastAsia="en-ID"/>
        </w:rPr>
        <w:t xml:space="preserve">The methodology for this study is designed to provide a comprehensive and structured approach to </w:t>
      </w:r>
      <w:proofErr w:type="spellStart"/>
      <w:r w:rsidRPr="00672ECC">
        <w:rPr>
          <w:rFonts w:ascii="Calibri Light" w:hAnsi="Calibri Light" w:cs="Calibri Light"/>
          <w:lang w:val="en-ID" w:eastAsia="en-ID"/>
        </w:rPr>
        <w:t>analyzing</w:t>
      </w:r>
      <w:proofErr w:type="spellEnd"/>
      <w:r w:rsidRPr="00672ECC">
        <w:rPr>
          <w:rFonts w:ascii="Calibri Light" w:hAnsi="Calibri Light" w:cs="Calibri Light"/>
          <w:lang w:val="en-ID" w:eastAsia="en-ID"/>
        </w:rPr>
        <w:t xml:space="preserve"> the integration of Qur'anic principles with human rights law in Egypt and Indonesia. To ensure rigor and transparency, the study uses the PRISMA (Preferred Reporting Items for Systematic Reviews and Meta-Analyses) framework. The PRISMA framework, originally developed for systematic reviews and meta-analyses, is particularly useful in organizing the research process by providing a step-by-step guide to identify, screen, and select relevant sources. In the context of this study, PRISMA allows for a systematic examination of legal texts, academic articles, case studies, and other pertinent sources, ensuring that the analysis remains objective, comprehensive, and well-documented </w:t>
      </w:r>
      <w:r w:rsidR="00A526EF">
        <w:rPr>
          <w:rFonts w:ascii="Calibri Light" w:hAnsi="Calibri Light" w:cs="Calibri Light"/>
          <w:lang w:val="en-ID" w:eastAsia="en-ID"/>
        </w:rPr>
        <w:fldChar w:fldCharType="begin" w:fldLock="1"/>
      </w:r>
      <w:r w:rsidR="00A526EF">
        <w:rPr>
          <w:rFonts w:ascii="Calibri Light" w:hAnsi="Calibri Light" w:cs="Calibri Light"/>
          <w:lang w:val="en-ID" w:eastAsia="en-ID"/>
        </w:rPr>
        <w:instrText>ADDIN CSL_CITATION {"citationItems":[{"id":"ITEM-1","itemData":{"DOI":"10.1111/jola.12415","ISSN":"10551360 (ISSN)","abstract":"This article analyzes institutions as sites for political and social change by looking beyond regimentation and fixedness as the central discursive features of institutionalization. Drawing on research at the European Court of Human Rights—one of the world's most extensive human rights courts—I analyze how human rights actors redeploy normative institutional logics through creative approaches to institutional categories. I argue that lawyers and advocates working within the Court and Convention system naturalize and fix boundaries of law and politics and use that distinction to activate an excess of potential meanings and intertextual connections in legal judgments. This involves using institutional affordances to keep cases open and structure collaborative waiting. These strategies allow people to mutually inhabit open-ended relationships to texts in intentional ways. In so doing, lawyers and activists defer resolving legal judgments—until new coalitions take political power, there are generational shifts in attitudes or shifts in geopolitical power arrangements that render state actors subject to diplomatic pressure. Analyzing how people improvise, learn, and teach others to manage institutional channels and excess opens up the black box of institutionality as a site for social transformation. © 2024 American Anthropological Association.","author":[{"dropping-particle":"","family":"Greenberg","given":"J R","non-dropping-particle":"","parse-names":false,"suffix":""}],"container-title":"Journal of Linguistic Anthropology","id":"ITEM-1","issue":"1","issued":{"date-parts":[["2024"]]},"language":"English","page":"45-65","publisher":"John Wiley and Sons Inc","publisher-place":"University of Illinois at Urbana–Champaign, Urbana, IL, United States","title":"Justice suspended: Rethinking institutions, regimentation, and channels from a human rights law perspective","type":"article-journal","volume":"34"},"uris":["http://www.mendeley.com/documents/?uuid=b61dcee6-2dce-4145-9e80-1dfd2428814d"]}],"mendeley":{"formattedCitation":"(Greenberg 2024)","plainTextFormattedCitation":"(Greenberg 2024)","previouslyFormattedCitation":"(Greenberg 2024)"},"properties":{"noteIndex":0},"schema":"https://github.com/citation-style-language/schema/raw/master/csl-citation.json"}</w:instrText>
      </w:r>
      <w:r w:rsidR="00A526EF">
        <w:rPr>
          <w:rFonts w:ascii="Calibri Light" w:hAnsi="Calibri Light" w:cs="Calibri Light"/>
          <w:lang w:val="en-ID" w:eastAsia="en-ID"/>
        </w:rPr>
        <w:fldChar w:fldCharType="separate"/>
      </w:r>
      <w:r w:rsidR="00E810D4" w:rsidRPr="00E810D4">
        <w:rPr>
          <w:rFonts w:ascii="Calibri Light" w:hAnsi="Calibri Light" w:cs="Calibri Light"/>
          <w:noProof/>
          <w:lang w:val="en-ID" w:eastAsia="en-ID"/>
        </w:rPr>
        <w:t>(Greenberg 2024)</w:t>
      </w:r>
      <w:r w:rsidR="00A526EF">
        <w:rPr>
          <w:rFonts w:ascii="Calibri Light" w:hAnsi="Calibri Light" w:cs="Calibri Light"/>
          <w:lang w:val="en-ID" w:eastAsia="en-ID"/>
        </w:rPr>
        <w:fldChar w:fldCharType="end"/>
      </w:r>
      <w:r w:rsidRPr="00672ECC">
        <w:rPr>
          <w:rFonts w:ascii="Calibri Light" w:hAnsi="Calibri Light" w:cs="Calibri Light"/>
          <w:lang w:val="en-ID" w:eastAsia="en-ID"/>
        </w:rPr>
        <w:t>.</w:t>
      </w:r>
    </w:p>
    <w:p w14:paraId="2B88B797" w14:textId="77777777" w:rsidR="00672ECC" w:rsidRPr="00672ECC" w:rsidRDefault="00672ECC" w:rsidP="00615265">
      <w:pPr>
        <w:autoSpaceDE/>
        <w:autoSpaceDN/>
        <w:spacing w:before="100" w:beforeAutospacing="1" w:after="100" w:afterAutospacing="1"/>
        <w:ind w:left="426"/>
        <w:jc w:val="both"/>
        <w:rPr>
          <w:rFonts w:ascii="Calibri Light" w:hAnsi="Calibri Light" w:cs="Calibri Light"/>
          <w:sz w:val="24"/>
          <w:szCs w:val="24"/>
          <w:lang w:val="en-ID" w:eastAsia="en-ID"/>
        </w:rPr>
      </w:pPr>
      <w:r w:rsidRPr="00672ECC">
        <w:rPr>
          <w:rFonts w:ascii="Calibri Light" w:hAnsi="Calibri Light" w:cs="Calibri Light"/>
          <w:sz w:val="24"/>
          <w:szCs w:val="24"/>
          <w:lang w:val="en-ID" w:eastAsia="en-ID"/>
        </w:rPr>
        <w:t xml:space="preserve">The first step in this methodology was the identification of sources related to the application of human rights law in Egypt and Indonesia, specifically in the context of Islamic teachings. This involved a search of academic </w:t>
      </w:r>
      <w:proofErr w:type="gramStart"/>
      <w:r w:rsidRPr="00672ECC">
        <w:rPr>
          <w:rFonts w:ascii="Calibri Light" w:hAnsi="Calibri Light" w:cs="Calibri Light"/>
          <w:sz w:val="24"/>
          <w:szCs w:val="24"/>
          <w:lang w:val="en-ID" w:eastAsia="en-ID"/>
        </w:rPr>
        <w:t>databases(</w:t>
      </w:r>
      <w:proofErr w:type="gramEnd"/>
      <w:r w:rsidRPr="00672ECC">
        <w:rPr>
          <w:rFonts w:ascii="Calibri Light" w:hAnsi="Calibri Light" w:cs="Calibri Light"/>
          <w:sz w:val="24"/>
          <w:szCs w:val="24"/>
          <w:lang w:val="en-ID" w:eastAsia="en-ID"/>
        </w:rPr>
        <w:t xml:space="preserve">Google Scholar and Scopus), legal journals, and relevant books, focusing on sources that address the Qur'an’s teachings on human rights, the role of </w:t>
      </w:r>
      <w:proofErr w:type="spellStart"/>
      <w:r w:rsidRPr="00672ECC">
        <w:rPr>
          <w:rFonts w:ascii="Calibri Light" w:hAnsi="Calibri Light" w:cs="Calibri Light"/>
          <w:sz w:val="24"/>
          <w:szCs w:val="24"/>
          <w:lang w:val="en-ID" w:eastAsia="en-ID"/>
        </w:rPr>
        <w:t>Shari'ah</w:t>
      </w:r>
      <w:proofErr w:type="spellEnd"/>
      <w:r w:rsidRPr="00672ECC">
        <w:rPr>
          <w:rFonts w:ascii="Calibri Light" w:hAnsi="Calibri Light" w:cs="Calibri Light"/>
          <w:sz w:val="24"/>
          <w:szCs w:val="24"/>
          <w:lang w:val="en-ID" w:eastAsia="en-ID"/>
        </w:rPr>
        <w:t xml:space="preserve"> in contemporary legal systems, and the intersection of </w:t>
      </w:r>
      <w:r w:rsidRPr="00672ECC">
        <w:rPr>
          <w:rFonts w:ascii="Calibri Light" w:hAnsi="Calibri Light" w:cs="Calibri Light"/>
          <w:sz w:val="24"/>
          <w:szCs w:val="24"/>
          <w:lang w:val="en-ID" w:eastAsia="en-ID"/>
        </w:rPr>
        <w:lastRenderedPageBreak/>
        <w:t>Islamic law with international human rights standards. Key terms used in this search included "Qur'an and human rights," "</w:t>
      </w:r>
      <w:proofErr w:type="spellStart"/>
      <w:r w:rsidRPr="00672ECC">
        <w:rPr>
          <w:rFonts w:ascii="Calibri Light" w:hAnsi="Calibri Light" w:cs="Calibri Light"/>
          <w:sz w:val="24"/>
          <w:szCs w:val="24"/>
          <w:lang w:val="en-ID" w:eastAsia="en-ID"/>
        </w:rPr>
        <w:t>Shari'ah</w:t>
      </w:r>
      <w:proofErr w:type="spellEnd"/>
      <w:r w:rsidRPr="00672ECC">
        <w:rPr>
          <w:rFonts w:ascii="Calibri Light" w:hAnsi="Calibri Light" w:cs="Calibri Light"/>
          <w:sz w:val="24"/>
          <w:szCs w:val="24"/>
          <w:lang w:val="en-ID" w:eastAsia="en-ID"/>
        </w:rPr>
        <w:t xml:space="preserve"> law in Egypt," "Islamic law and human rights in Indonesia," and "Islamic jurisprudence."</w:t>
      </w:r>
    </w:p>
    <w:p w14:paraId="36F7D567" w14:textId="77777777" w:rsidR="00672ECC" w:rsidRPr="00672ECC" w:rsidRDefault="00672ECC" w:rsidP="00615265">
      <w:pPr>
        <w:autoSpaceDE/>
        <w:autoSpaceDN/>
        <w:spacing w:before="100" w:beforeAutospacing="1" w:after="100" w:afterAutospacing="1"/>
        <w:ind w:left="426"/>
        <w:jc w:val="both"/>
        <w:rPr>
          <w:rFonts w:ascii="Calibri Light" w:hAnsi="Calibri Light" w:cs="Calibri Light"/>
          <w:sz w:val="24"/>
          <w:szCs w:val="24"/>
          <w:lang w:val="en-ID" w:eastAsia="en-ID"/>
        </w:rPr>
      </w:pPr>
      <w:r w:rsidRPr="00672ECC">
        <w:rPr>
          <w:rFonts w:ascii="Calibri Light" w:hAnsi="Calibri Light" w:cs="Calibri Light"/>
          <w:sz w:val="24"/>
          <w:szCs w:val="24"/>
          <w:lang w:val="en-ID" w:eastAsia="en-ID"/>
        </w:rPr>
        <w:t xml:space="preserve">After identifying a broad range of potential sources, the study utilized the PRISMA framework's inclusion and exclusion criteria to filter the materials. The inclusion criteria ensured that only those sources directly related to the intersection of Islamic teachings and human rights law in the context of Egypt and Indonesia were considered. The exclusion criteria removed sources that were either too general or not directly relevant to the research question. This step is crucial to narrowing down the focus and ensuring that the study draws from sources that are both specific and reliable </w:t>
      </w:r>
      <w:r w:rsidR="00A526EF">
        <w:rPr>
          <w:rFonts w:ascii="Calibri Light" w:hAnsi="Calibri Light" w:cs="Calibri Light"/>
          <w:sz w:val="24"/>
          <w:szCs w:val="24"/>
          <w:lang w:val="en-ID" w:eastAsia="en-ID"/>
        </w:rPr>
        <w:fldChar w:fldCharType="begin" w:fldLock="1"/>
      </w:r>
      <w:r w:rsidR="00A526EF">
        <w:rPr>
          <w:rFonts w:ascii="Calibri Light" w:hAnsi="Calibri Light" w:cs="Calibri Light"/>
          <w:sz w:val="24"/>
          <w:szCs w:val="24"/>
          <w:lang w:val="en-ID" w:eastAsia="en-ID"/>
        </w:rPr>
        <w:instrText>ADDIN CSL_CITATION {"citationItems":[{"id":"ITEM-1","itemData":{"DOI":"10.1080/15570274.2022.2111804","ISSN":"15570274 (ISSN)","abstract":"Despite the normative integration between freedom of religion or belief (FoRB) and women’s rights, the misperception that women’s rights and FoRB are clashing rights persists. This is compounded by the extensive religiously phrased reservations by States upon ratification of international treaties that amplify this misperception that FoRB serves to restrict women’s rights. The correctives to these misperceptions lie in reflecting upon the universality, indivisibility, interdependence and interrelatedness of all human rights norms (see the 1993 Vienna Declaration and Program of Action, article 1.5). They also lie in the realization that FoRB is a right like any other. FoRB is neither a right of “religion” as such nor an instrument for support of religiously phrased reservations and limitations on women’s rights. © 2022 The Author(s). Published by Informa UK Limited, trading as Taylor &amp; Francis Group.","author":[{"dropping-particle":"","family":"Ghanea","given":"N","non-dropping-particle":"","parse-names":false,"suffix":""}],"container-title":"Review of Faith and International Affairs","id":"ITEM-1","issue":"3","issued":{"date-parts":[["2022"]]},"language":"English","page":"4-18","publisher":"Routledge","title":"Piecing the Puzzle—Women and Freedom of Religion or Belief","type":"article-journal","volume":"20"},"uris":["http://www.mendeley.com/documents/?uuid=c0fd8439-ab17-4fa6-a7a4-d537328068eb"]}],"mendeley":{"formattedCitation":"(Ghanea 2022)","plainTextFormattedCitation":"(Ghanea 2022)","previouslyFormattedCitation":"(Ghanea 2022)"},"properties":{"noteIndex":0},"schema":"https://github.com/citation-style-language/schema/raw/master/csl-citation.json"}</w:instrText>
      </w:r>
      <w:r w:rsidR="00A526EF">
        <w:rPr>
          <w:rFonts w:ascii="Calibri Light" w:hAnsi="Calibri Light" w:cs="Calibri Light"/>
          <w:sz w:val="24"/>
          <w:szCs w:val="24"/>
          <w:lang w:val="en-ID" w:eastAsia="en-ID"/>
        </w:rPr>
        <w:fldChar w:fldCharType="separate"/>
      </w:r>
      <w:r w:rsidR="00E810D4" w:rsidRPr="00E810D4">
        <w:rPr>
          <w:rFonts w:ascii="Calibri Light" w:hAnsi="Calibri Light" w:cs="Calibri Light"/>
          <w:noProof/>
          <w:sz w:val="24"/>
          <w:szCs w:val="24"/>
          <w:lang w:val="en-ID" w:eastAsia="en-ID"/>
        </w:rPr>
        <w:t>(Ghanea 2022)</w:t>
      </w:r>
      <w:r w:rsidR="00A526EF">
        <w:rPr>
          <w:rFonts w:ascii="Calibri Light" w:hAnsi="Calibri Light" w:cs="Calibri Light"/>
          <w:sz w:val="24"/>
          <w:szCs w:val="24"/>
          <w:lang w:val="en-ID" w:eastAsia="en-ID"/>
        </w:rPr>
        <w:fldChar w:fldCharType="end"/>
      </w:r>
      <w:r w:rsidRPr="00672ECC">
        <w:rPr>
          <w:rFonts w:ascii="Calibri Light" w:hAnsi="Calibri Light" w:cs="Calibri Light"/>
          <w:sz w:val="24"/>
          <w:szCs w:val="24"/>
          <w:lang w:val="en-ID" w:eastAsia="en-ID"/>
        </w:rPr>
        <w:t>.</w:t>
      </w:r>
    </w:p>
    <w:p w14:paraId="5CC29713" w14:textId="77777777" w:rsidR="00672ECC" w:rsidRPr="00672ECC" w:rsidRDefault="00672ECC" w:rsidP="00615265">
      <w:pPr>
        <w:autoSpaceDE/>
        <w:autoSpaceDN/>
        <w:spacing w:before="100" w:beforeAutospacing="1" w:after="100" w:afterAutospacing="1"/>
        <w:ind w:left="426"/>
        <w:jc w:val="both"/>
        <w:rPr>
          <w:rFonts w:ascii="Calibri Light" w:hAnsi="Calibri Light" w:cs="Calibri Light"/>
          <w:sz w:val="24"/>
          <w:szCs w:val="24"/>
          <w:lang w:val="en-ID" w:eastAsia="en-ID"/>
        </w:rPr>
      </w:pPr>
      <w:r w:rsidRPr="00672ECC">
        <w:rPr>
          <w:rFonts w:ascii="Calibri Light" w:hAnsi="Calibri Light" w:cs="Calibri Light"/>
          <w:sz w:val="24"/>
          <w:szCs w:val="24"/>
          <w:lang w:val="en-ID" w:eastAsia="en-ID"/>
        </w:rPr>
        <w:t xml:space="preserve">Following the identification and selection of relevant literature, the study then conducted a detailed analysis of the chosen materials. This analysis involved reviewing legal texts, case law, academic articles, and scholarly interpretations to understand how each country interprets and applies Qur'anic principles related to human rights. Special attention was given to the ways in which these interpretations reflect the balance between traditional Islamic jurisprudence and modern human rights standards </w:t>
      </w:r>
      <w:r w:rsidR="00A526EF">
        <w:rPr>
          <w:rFonts w:ascii="Calibri Light" w:hAnsi="Calibri Light" w:cs="Calibri Light"/>
          <w:sz w:val="24"/>
          <w:szCs w:val="24"/>
          <w:lang w:val="en-ID" w:eastAsia="en-ID"/>
        </w:rPr>
        <w:fldChar w:fldCharType="begin" w:fldLock="1"/>
      </w:r>
      <w:r w:rsidR="00A526EF">
        <w:rPr>
          <w:rFonts w:ascii="Calibri Light" w:hAnsi="Calibri Light" w:cs="Calibri Light"/>
          <w:sz w:val="24"/>
          <w:szCs w:val="24"/>
          <w:lang w:val="en-ID" w:eastAsia="en-ID"/>
        </w:rPr>
        <w:instrText>ADDIN CSL_CITATION {"citationItems":[{"id":"ITEM-1","itemData":{"DOI":"10.1080/15570274.2022.2111810","ISSN":"15570274 (ISSN)","abstract":"There are strong geographic patterns in how people view religion, national identity, minorities, and key social issues across different regions. These patterns also exhibit themselves in the ways that freedom of religion or belief (FoRB) and gender equality are viewed. This article focuses on gender equality in Central Asia and Russia and analyzes the international human rights treaty monitoring cycles within the United Nations. It also reflects on selected cases in the treaty committees. This article combines legal, human rights perspectives with current social research to identify deficiencies in states’ fulfillment of their positive duties under international law to address the intersections between gender-based discrimination and religion. It employs the concept of intersectional discrimination to analyze these connections. The connection between FoRB and gender equality from the perspective of intersectional discrimination has not been sufficiently researched in relation to Central Asia and Russia. The treaty monitoring documents are a good starting point for this research and give a comprehensive picture of existing legal issues and underlying social problems. © 2022 Institute for Global Engagement.","author":[{"dropping-particle":"","family":"Kiviorg","given":"M","non-dropping-particle":"","parse-names":false,"suffix":""}],"container-title":"Review of Faith and International Affairs","id":"ITEM-1","issue":"3","issued":{"date-parts":[["2022"]]},"language":"English","page":"47-62","publisher":"Routledge","title":"International Obligations and Internal Tensions: Individual Religious Autonomy and Gender Equality in Russia and Central Asia","type":"article-journal","volume":"20"},"uris":["http://www.mendeley.com/documents/?uuid=72493946-443b-45ca-8eaa-a56cc2001f26","http://www.mendeley.com/documents/?uuid=0d589f1e-d329-4033-881f-86dd8256784a"]}],"mendeley":{"formattedCitation":"(Kiviorg 2022)","plainTextFormattedCitation":"(Kiviorg 2022)","previouslyFormattedCitation":"(Kiviorg 2022)"},"properties":{"noteIndex":0},"schema":"https://github.com/citation-style-language/schema/raw/master/csl-citation.json"}</w:instrText>
      </w:r>
      <w:r w:rsidR="00A526EF">
        <w:rPr>
          <w:rFonts w:ascii="Calibri Light" w:hAnsi="Calibri Light" w:cs="Calibri Light"/>
          <w:sz w:val="24"/>
          <w:szCs w:val="24"/>
          <w:lang w:val="en-ID" w:eastAsia="en-ID"/>
        </w:rPr>
        <w:fldChar w:fldCharType="separate"/>
      </w:r>
      <w:r w:rsidR="00E810D4" w:rsidRPr="00E810D4">
        <w:rPr>
          <w:rFonts w:ascii="Calibri Light" w:hAnsi="Calibri Light" w:cs="Calibri Light"/>
          <w:noProof/>
          <w:sz w:val="24"/>
          <w:szCs w:val="24"/>
          <w:lang w:val="en-ID" w:eastAsia="en-ID"/>
        </w:rPr>
        <w:t>(Kiviorg 2022)</w:t>
      </w:r>
      <w:r w:rsidR="00A526EF">
        <w:rPr>
          <w:rFonts w:ascii="Calibri Light" w:hAnsi="Calibri Light" w:cs="Calibri Light"/>
          <w:sz w:val="24"/>
          <w:szCs w:val="24"/>
          <w:lang w:val="en-ID" w:eastAsia="en-ID"/>
        </w:rPr>
        <w:fldChar w:fldCharType="end"/>
      </w:r>
      <w:r w:rsidRPr="00672ECC">
        <w:rPr>
          <w:rFonts w:ascii="Calibri Light" w:hAnsi="Calibri Light" w:cs="Calibri Light"/>
          <w:sz w:val="24"/>
          <w:szCs w:val="24"/>
          <w:lang w:val="en-ID" w:eastAsia="en-ID"/>
        </w:rPr>
        <w:t>.</w:t>
      </w:r>
    </w:p>
    <w:p w14:paraId="302A98C2" w14:textId="77777777" w:rsidR="00672ECC" w:rsidRPr="00672ECC" w:rsidRDefault="00672ECC" w:rsidP="00615265">
      <w:pPr>
        <w:autoSpaceDE/>
        <w:autoSpaceDN/>
        <w:spacing w:before="100" w:beforeAutospacing="1" w:after="100" w:afterAutospacing="1"/>
        <w:ind w:left="426"/>
        <w:jc w:val="both"/>
        <w:rPr>
          <w:rFonts w:ascii="Calibri Light" w:hAnsi="Calibri Light" w:cs="Calibri Light"/>
          <w:sz w:val="24"/>
          <w:szCs w:val="24"/>
          <w:lang w:val="en-ID" w:eastAsia="en-ID"/>
        </w:rPr>
      </w:pPr>
      <w:r w:rsidRPr="00672ECC">
        <w:rPr>
          <w:rFonts w:ascii="Calibri Light" w:hAnsi="Calibri Light" w:cs="Calibri Light"/>
          <w:sz w:val="24"/>
          <w:szCs w:val="24"/>
          <w:lang w:val="en-ID" w:eastAsia="en-ID"/>
        </w:rPr>
        <w:t xml:space="preserve">A key part of the analysis was examining the practical application of these principles within each country's legal system. For Egypt, this involved </w:t>
      </w:r>
      <w:proofErr w:type="spellStart"/>
      <w:r w:rsidRPr="00672ECC">
        <w:rPr>
          <w:rFonts w:ascii="Calibri Light" w:hAnsi="Calibri Light" w:cs="Calibri Light"/>
          <w:sz w:val="24"/>
          <w:szCs w:val="24"/>
          <w:lang w:val="en-ID" w:eastAsia="en-ID"/>
        </w:rPr>
        <w:t>analyzing</w:t>
      </w:r>
      <w:proofErr w:type="spellEnd"/>
      <w:r w:rsidRPr="00672ECC">
        <w:rPr>
          <w:rFonts w:ascii="Calibri Light" w:hAnsi="Calibri Light" w:cs="Calibri Light"/>
          <w:sz w:val="24"/>
          <w:szCs w:val="24"/>
          <w:lang w:val="en-ID" w:eastAsia="en-ID"/>
        </w:rPr>
        <w:t xml:space="preserve"> constitutional documents, legal codes, and case studies that reflect the country's approach to human rights within the framework of Islamic law. In Indonesia, the study focused on how Islamic principles are incorporated into the national legal system, especially in regions like Aceh where </w:t>
      </w:r>
      <w:proofErr w:type="spellStart"/>
      <w:r w:rsidRPr="00672ECC">
        <w:rPr>
          <w:rFonts w:ascii="Calibri Light" w:hAnsi="Calibri Light" w:cs="Calibri Light"/>
          <w:sz w:val="24"/>
          <w:szCs w:val="24"/>
          <w:lang w:val="en-ID" w:eastAsia="en-ID"/>
        </w:rPr>
        <w:t>Shari'ah</w:t>
      </w:r>
      <w:proofErr w:type="spellEnd"/>
      <w:r w:rsidRPr="00672ECC">
        <w:rPr>
          <w:rFonts w:ascii="Calibri Light" w:hAnsi="Calibri Light" w:cs="Calibri Light"/>
          <w:sz w:val="24"/>
          <w:szCs w:val="24"/>
          <w:lang w:val="en-ID" w:eastAsia="en-ID"/>
        </w:rPr>
        <w:t xml:space="preserve"> law is officially implemented. The analysis also considered the role of international human rights standards in shaping domestic legal reforms in both countries </w:t>
      </w:r>
      <w:r w:rsidR="00A526EF">
        <w:rPr>
          <w:rFonts w:ascii="Calibri Light" w:hAnsi="Calibri Light" w:cs="Calibri Light"/>
          <w:sz w:val="24"/>
          <w:szCs w:val="24"/>
          <w:lang w:val="en-ID" w:eastAsia="en-ID"/>
        </w:rPr>
        <w:fldChar w:fldCharType="begin" w:fldLock="1"/>
      </w:r>
      <w:r w:rsidR="00A526EF">
        <w:rPr>
          <w:rFonts w:ascii="Calibri Light" w:hAnsi="Calibri Light" w:cs="Calibri Light"/>
          <w:sz w:val="24"/>
          <w:szCs w:val="24"/>
          <w:lang w:val="en-ID" w:eastAsia="en-ID"/>
        </w:rPr>
        <w:instrText>ADDIN CSL_CITATION {"citationItems":[{"id":"ITEM-1","itemData":{"DOI":"10.1111/aman.13737","ISSN":"00027294 (ISSN)","abstract":"Hong Kong LGBT activists contend with an on-the-ground discourse of human rights that constrains their ability to use human rights law as they pursue legal gender recognition that allows trans people to legally change their gender. Mainstream Hongkongers lay claim to an “ordinary” identity in which human rights is central to being a Hongkonger. This use of human rights discourse is not based on human rights law but is used to define “ordinary Hongkongers” in opposition to mainland Chinese people. Thus, some LGBT activists employ humanizing interactions with trans people to reframe ordinariness to include trans Hongkongers, using human rights law only when it is demonstrative of expertise. Other LGBT activists continued use of human rights law in public fora contravenes hegemonic discourses of human rights, and these activists are interpolated as relying on foreign law to force social change in Hong Kong. © 2022 by the American Anthropological Association.","author":[{"dropping-particle":"","family":"Madson","given":"N H","non-dropping-particle":"","parse-names":false,"suffix":""}],"container-title":"American Anthropologist","id":"ITEM-1","issue":"3","issued":{"date-parts":[["2022"]]},"language":"English","page":"504-514","publisher":"John Wiley and Sons Inc","publisher-place":"Human Rights Center, University of Minnesota Law School, Minneapolis, MN, United States","title":"I am an ordinary citizen: Human rights discourse and the limits of human rights law","type":"article-journal","volume":"124"},"uris":["http://www.mendeley.com/documents/?uuid=f9e87010-82bd-498f-a3ea-90b639b6fcb5","http://www.mendeley.com/documents/?uuid=a5a690f8-1418-4f20-bafc-29b1b5454fb9"]}],"mendeley":{"formattedCitation":"(Madson 2022)","plainTextFormattedCitation":"(Madson 2022)","previouslyFormattedCitation":"(Madson 2022)"},"properties":{"noteIndex":0},"schema":"https://github.com/citation-style-language/schema/raw/master/csl-citation.json"}</w:instrText>
      </w:r>
      <w:r w:rsidR="00A526EF">
        <w:rPr>
          <w:rFonts w:ascii="Calibri Light" w:hAnsi="Calibri Light" w:cs="Calibri Light"/>
          <w:sz w:val="24"/>
          <w:szCs w:val="24"/>
          <w:lang w:val="en-ID" w:eastAsia="en-ID"/>
        </w:rPr>
        <w:fldChar w:fldCharType="separate"/>
      </w:r>
      <w:r w:rsidR="00E810D4" w:rsidRPr="00E810D4">
        <w:rPr>
          <w:rFonts w:ascii="Calibri Light" w:hAnsi="Calibri Light" w:cs="Calibri Light"/>
          <w:noProof/>
          <w:sz w:val="24"/>
          <w:szCs w:val="24"/>
          <w:lang w:val="en-ID" w:eastAsia="en-ID"/>
        </w:rPr>
        <w:t>(Madson 2022)</w:t>
      </w:r>
      <w:r w:rsidR="00A526EF">
        <w:rPr>
          <w:rFonts w:ascii="Calibri Light" w:hAnsi="Calibri Light" w:cs="Calibri Light"/>
          <w:sz w:val="24"/>
          <w:szCs w:val="24"/>
          <w:lang w:val="en-ID" w:eastAsia="en-ID"/>
        </w:rPr>
        <w:fldChar w:fldCharType="end"/>
      </w:r>
      <w:r w:rsidRPr="00672ECC">
        <w:rPr>
          <w:rFonts w:ascii="Calibri Light" w:hAnsi="Calibri Light" w:cs="Calibri Light"/>
          <w:sz w:val="24"/>
          <w:szCs w:val="24"/>
          <w:lang w:val="en-ID" w:eastAsia="en-ID"/>
        </w:rPr>
        <w:t>.</w:t>
      </w:r>
    </w:p>
    <w:p w14:paraId="6D3310AF" w14:textId="77777777" w:rsidR="00672ECC" w:rsidRPr="00672ECC" w:rsidRDefault="00672ECC" w:rsidP="00615265">
      <w:pPr>
        <w:autoSpaceDE/>
        <w:autoSpaceDN/>
        <w:spacing w:before="100" w:beforeAutospacing="1" w:after="100" w:afterAutospacing="1"/>
        <w:ind w:left="426"/>
        <w:jc w:val="both"/>
        <w:rPr>
          <w:rFonts w:ascii="Calibri Light" w:hAnsi="Calibri Light" w:cs="Calibri Light"/>
          <w:sz w:val="24"/>
          <w:szCs w:val="24"/>
          <w:lang w:val="en-ID" w:eastAsia="en-ID"/>
        </w:rPr>
      </w:pPr>
      <w:r w:rsidRPr="00672ECC">
        <w:rPr>
          <w:rFonts w:ascii="Calibri Light" w:hAnsi="Calibri Light" w:cs="Calibri Light"/>
          <w:sz w:val="24"/>
          <w:szCs w:val="24"/>
          <w:lang w:val="en-ID" w:eastAsia="en-ID"/>
        </w:rPr>
        <w:t>To enhance the robustness of the findings, the study utilized a comparative approach, drawing direct comparisons between Egypt and Indonesia based on the application of Qur'anic teachings in their respective legal systems. This comparative framework allowed the research to highlight both the similarities and differences in how these two countries approach human rights law within the context of Islam, offering valuable insights into the challenges and opportunities for reconciling Islamic principles with global human rights norms.</w:t>
      </w:r>
    </w:p>
    <w:p w14:paraId="5B13EAFB" w14:textId="77777777" w:rsidR="00672ECC" w:rsidRDefault="00672ECC" w:rsidP="00615265">
      <w:pPr>
        <w:autoSpaceDE/>
        <w:autoSpaceDN/>
        <w:spacing w:before="100" w:beforeAutospacing="1" w:after="100" w:afterAutospacing="1"/>
        <w:ind w:left="426"/>
        <w:jc w:val="both"/>
        <w:rPr>
          <w:rFonts w:ascii="Calibri Light" w:hAnsi="Calibri Light" w:cs="Calibri Light"/>
          <w:b/>
          <w:bCs/>
          <w:sz w:val="24"/>
          <w:szCs w:val="24"/>
          <w:rtl/>
          <w:lang w:val="en-ID" w:eastAsia="en-ID"/>
        </w:rPr>
      </w:pPr>
      <w:commentRangeStart w:id="5"/>
      <w:r w:rsidRPr="00672ECC">
        <w:rPr>
          <w:rFonts w:ascii="Calibri Light" w:hAnsi="Calibri Light" w:cs="Calibri Light"/>
          <w:b/>
          <w:bCs/>
          <w:i/>
          <w:iCs/>
          <w:sz w:val="24"/>
          <w:szCs w:val="24"/>
          <w:lang w:val="en-ID" w:eastAsia="en-ID"/>
        </w:rPr>
        <w:t>Fig. 1.</w:t>
      </w:r>
      <w:r w:rsidRPr="00672ECC">
        <w:rPr>
          <w:rFonts w:ascii="Calibri Light" w:hAnsi="Calibri Light" w:cs="Calibri Light"/>
          <w:b/>
          <w:bCs/>
          <w:sz w:val="24"/>
          <w:szCs w:val="24"/>
          <w:lang w:val="en-ID" w:eastAsia="en-ID"/>
        </w:rPr>
        <w:t xml:space="preserve"> </w:t>
      </w:r>
      <w:r w:rsidRPr="00672ECC">
        <w:rPr>
          <w:rFonts w:ascii="Calibri Light" w:hAnsi="Calibri Light" w:cs="Calibri Light"/>
          <w:sz w:val="24"/>
          <w:szCs w:val="24"/>
          <w:lang w:val="en-ID" w:eastAsia="en-ID"/>
        </w:rPr>
        <w:t xml:space="preserve">The systematic review process using the PRISMA statement template based </w:t>
      </w:r>
      <w:proofErr w:type="gramStart"/>
      <w:r w:rsidRPr="00672ECC">
        <w:rPr>
          <w:rFonts w:ascii="Calibri Light" w:hAnsi="Calibri Light" w:cs="Calibri Light"/>
          <w:sz w:val="24"/>
          <w:szCs w:val="24"/>
          <w:lang w:val="en-ID" w:eastAsia="en-ID"/>
        </w:rPr>
        <w:t>on  three</w:t>
      </w:r>
      <w:proofErr w:type="gramEnd"/>
      <w:r w:rsidRPr="00672ECC">
        <w:rPr>
          <w:rFonts w:ascii="Calibri Light" w:hAnsi="Calibri Light" w:cs="Calibri Light"/>
          <w:sz w:val="24"/>
          <w:szCs w:val="24"/>
          <w:lang w:val="en-ID" w:eastAsia="en-ID"/>
        </w:rPr>
        <w:t xml:space="preserve"> phases that are identification, screening and included.</w:t>
      </w:r>
    </w:p>
    <w:p w14:paraId="262A7E1F" w14:textId="77777777" w:rsidR="00672ECC" w:rsidRDefault="00672ECC" w:rsidP="00672ECC">
      <w:pPr>
        <w:autoSpaceDE/>
        <w:autoSpaceDN/>
        <w:spacing w:before="100" w:beforeAutospacing="1" w:after="100" w:afterAutospacing="1"/>
        <w:jc w:val="both"/>
        <w:rPr>
          <w:rFonts w:ascii="Calibri Light" w:hAnsi="Calibri Light" w:cs="Calibri Light"/>
          <w:b/>
          <w:bCs/>
          <w:sz w:val="24"/>
          <w:szCs w:val="24"/>
          <w:rtl/>
          <w:lang w:val="en-ID" w:eastAsia="en-ID"/>
        </w:rPr>
      </w:pPr>
    </w:p>
    <w:p w14:paraId="4735240F" w14:textId="77777777" w:rsidR="00672ECC" w:rsidRDefault="00672ECC" w:rsidP="00672ECC">
      <w:pPr>
        <w:autoSpaceDE/>
        <w:autoSpaceDN/>
        <w:spacing w:before="100" w:beforeAutospacing="1" w:after="100" w:afterAutospacing="1"/>
        <w:jc w:val="both"/>
        <w:rPr>
          <w:rFonts w:ascii="Calibri Light" w:hAnsi="Calibri Light" w:cs="Calibri Light"/>
          <w:b/>
          <w:bCs/>
          <w:sz w:val="24"/>
          <w:szCs w:val="24"/>
          <w:rtl/>
          <w:lang w:val="en-ID" w:eastAsia="en-ID"/>
        </w:rPr>
      </w:pPr>
    </w:p>
    <w:p w14:paraId="5CB52126" w14:textId="77777777" w:rsidR="00672ECC" w:rsidRDefault="00672ECC" w:rsidP="00672ECC">
      <w:pPr>
        <w:autoSpaceDE/>
        <w:autoSpaceDN/>
        <w:spacing w:before="100" w:beforeAutospacing="1" w:after="100" w:afterAutospacing="1"/>
        <w:jc w:val="both"/>
        <w:rPr>
          <w:rFonts w:ascii="Calibri Light" w:hAnsi="Calibri Light" w:cs="Calibri Light"/>
          <w:b/>
          <w:bCs/>
          <w:sz w:val="24"/>
          <w:szCs w:val="24"/>
          <w:rtl/>
          <w:lang w:val="en-ID" w:eastAsia="en-ID"/>
        </w:rPr>
      </w:pPr>
    </w:p>
    <w:p w14:paraId="2BC59682" w14:textId="77777777" w:rsidR="00672ECC" w:rsidRDefault="00672ECC" w:rsidP="00672ECC">
      <w:pPr>
        <w:autoSpaceDE/>
        <w:autoSpaceDN/>
        <w:spacing w:before="100" w:beforeAutospacing="1" w:after="100" w:afterAutospacing="1"/>
        <w:jc w:val="both"/>
        <w:rPr>
          <w:rFonts w:ascii="Calibri Light" w:hAnsi="Calibri Light" w:cs="Calibri Light"/>
          <w:b/>
          <w:bCs/>
          <w:sz w:val="24"/>
          <w:szCs w:val="24"/>
          <w:rtl/>
          <w:lang w:val="en-ID" w:eastAsia="en-ID"/>
        </w:rPr>
      </w:pPr>
    </w:p>
    <w:p w14:paraId="562BBBB0" w14:textId="77777777" w:rsidR="00672ECC" w:rsidRDefault="00672ECC" w:rsidP="00672ECC">
      <w:pPr>
        <w:autoSpaceDE/>
        <w:autoSpaceDN/>
        <w:spacing w:before="100" w:beforeAutospacing="1" w:after="100" w:afterAutospacing="1"/>
        <w:jc w:val="both"/>
        <w:rPr>
          <w:rFonts w:ascii="Calibri Light" w:hAnsi="Calibri Light" w:cs="Calibri Light"/>
          <w:b/>
          <w:bCs/>
          <w:sz w:val="24"/>
          <w:szCs w:val="24"/>
          <w:rtl/>
          <w:lang w:val="en-ID" w:eastAsia="en-ID"/>
        </w:rPr>
      </w:pPr>
    </w:p>
    <w:p w14:paraId="66CC2D32" w14:textId="77777777" w:rsidR="00672ECC" w:rsidRPr="00672ECC" w:rsidRDefault="00E170AD" w:rsidP="00672ECC">
      <w:pPr>
        <w:autoSpaceDE/>
        <w:autoSpaceDN/>
        <w:spacing w:before="100" w:beforeAutospacing="1" w:after="100" w:afterAutospacing="1"/>
        <w:jc w:val="both"/>
        <w:rPr>
          <w:rFonts w:ascii="Calibri Light" w:hAnsi="Calibri Light" w:cs="Calibri Light"/>
          <w:b/>
          <w:bCs/>
          <w:sz w:val="24"/>
          <w:szCs w:val="24"/>
          <w:lang w:val="en-ID" w:eastAsia="en-ID"/>
        </w:rPr>
      </w:pPr>
      <w:r>
        <w:rPr>
          <w:noProof/>
        </w:rPr>
        <mc:AlternateContent>
          <mc:Choice Requires="wps">
            <w:drawing>
              <wp:anchor distT="0" distB="0" distL="114300" distR="114300" simplePos="0" relativeHeight="251670528" behindDoc="0" locked="0" layoutInCell="1" allowOverlap="1" wp14:anchorId="3FC32A8C" wp14:editId="3D441187">
                <wp:simplePos x="0" y="0"/>
                <wp:positionH relativeFrom="column">
                  <wp:posOffset>548640</wp:posOffset>
                </wp:positionH>
                <wp:positionV relativeFrom="paragraph">
                  <wp:posOffset>149860</wp:posOffset>
                </wp:positionV>
                <wp:extent cx="4345305" cy="262890"/>
                <wp:effectExtent l="0" t="0" r="0" b="3810"/>
                <wp:wrapNone/>
                <wp:docPr id="2019519094" name="Flowchart: Alternate Process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45305" cy="262890"/>
                        </a:xfrm>
                        <a:prstGeom prst="flowChartAlternateProcess">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14:paraId="7F1BD155" w14:textId="77777777" w:rsidR="00672ECC" w:rsidRPr="00672ECC" w:rsidRDefault="00672ECC" w:rsidP="00672ECC">
                            <w:pPr>
                              <w:jc w:val="center"/>
                              <w:rPr>
                                <w:rFonts w:ascii="Arial" w:hAnsi="Arial" w:cs="Arial"/>
                                <w:b/>
                                <w:color w:val="000000"/>
                              </w:rPr>
                            </w:pPr>
                            <w:r w:rsidRPr="00672ECC">
                              <w:rPr>
                                <w:rFonts w:ascii="Arial" w:hAnsi="Arial" w:cs="Arial"/>
                                <w:b/>
                                <w:bCs/>
                                <w:color w:val="000000"/>
                              </w:rPr>
                              <w:t>Prisma framework</w:t>
                            </w:r>
                          </w:p>
                          <w:p w14:paraId="693AB4B8" w14:textId="77777777" w:rsidR="00672ECC" w:rsidRPr="00672ECC" w:rsidRDefault="00672ECC" w:rsidP="00672ECC">
                            <w:pPr>
                              <w:jc w:val="center"/>
                              <w:rPr>
                                <w:rFonts w:ascii="Arial" w:hAnsi="Arial" w:cs="Arial"/>
                                <w:b/>
                                <w:color w:val="000000"/>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C32A8C"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40" o:spid="_x0000_s1026" type="#_x0000_t176" style="position:absolute;left:0;text-align:left;margin-left:43.2pt;margin-top:11.8pt;width:342.15pt;height:20.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" fillcolor="#b1cbe9" strokecolor="#5b9bd5" strokeweight=".5pt">
                <v:fill color2="#92b9e4" rotate="t" colors="0 #b1cbe9;.5 #a3c1e5;1 #92b9e4" focus="100%" type="gradient">
                  <o:fill v:ext="view" type="gradientUnscaled"/>
                </v:fill>
                <v:path arrowok="t"/>
                <v:textbox>
                  <w:txbxContent>
                    <w:p w14:paraId="7F1BD155" w14:textId="77777777" w:rsidR="00672ECC" w:rsidRPr="00672ECC" w:rsidRDefault="00672ECC" w:rsidP="00672ECC">
                      <w:pPr>
                        <w:jc w:val="center"/>
                        <w:rPr>
                          <w:rFonts w:ascii="Arial" w:hAnsi="Arial" w:cs="Arial"/>
                          <w:b/>
                          <w:color w:val="000000"/>
                        </w:rPr>
                      </w:pPr>
                      <w:r w:rsidRPr="00672ECC">
                        <w:rPr>
                          <w:rFonts w:ascii="Arial" w:hAnsi="Arial" w:cs="Arial"/>
                          <w:b/>
                          <w:bCs/>
                          <w:color w:val="000000"/>
                        </w:rPr>
                        <w:t>Prisma framework</w:t>
                      </w:r>
                    </w:p>
                    <w:p w14:paraId="693AB4B8" w14:textId="77777777" w:rsidR="00672ECC" w:rsidRPr="00672ECC" w:rsidRDefault="00672ECC" w:rsidP="00672ECC">
                      <w:pPr>
                        <w:jc w:val="center"/>
                        <w:rPr>
                          <w:rFonts w:ascii="Arial" w:hAnsi="Arial" w:cs="Arial"/>
                          <w:b/>
                          <w:color w:val="000000"/>
                          <w:sz w:val="18"/>
                          <w:szCs w:val="18"/>
                        </w:rPr>
                      </w:pPr>
                    </w:p>
                  </w:txbxContent>
                </v:textbox>
              </v:shape>
            </w:pict>
          </mc:Fallback>
        </mc:AlternateContent>
      </w:r>
    </w:p>
    <w:p w14:paraId="41EEC456" w14:textId="77777777" w:rsidR="00672ECC" w:rsidRPr="00672ECC" w:rsidRDefault="00672ECC" w:rsidP="00672ECC">
      <w:pPr>
        <w:autoSpaceDE/>
        <w:autoSpaceDN/>
        <w:rPr>
          <w:rFonts w:ascii="Calibri Light" w:hAnsi="Calibri Light" w:cs="Calibri Light"/>
          <w:sz w:val="22"/>
          <w:szCs w:val="22"/>
          <w:lang w:val="en-AU" w:eastAsia="en-US"/>
        </w:rPr>
      </w:pPr>
      <w:bookmarkStart w:id="6" w:name="_Hlk183185577"/>
    </w:p>
    <w:p w14:paraId="7FEEE3AA" w14:textId="77777777" w:rsidR="00672ECC" w:rsidRPr="00672ECC" w:rsidRDefault="00672ECC" w:rsidP="00672ECC">
      <w:pPr>
        <w:autoSpaceDE/>
        <w:autoSpaceDN/>
        <w:rPr>
          <w:rFonts w:ascii="Calibri Light" w:hAnsi="Calibri Light" w:cs="Calibri Light"/>
          <w:sz w:val="22"/>
          <w:szCs w:val="22"/>
          <w:lang w:val="en-AU" w:eastAsia="en-US"/>
        </w:rPr>
      </w:pPr>
    </w:p>
    <w:p w14:paraId="0AA0FB74" w14:textId="77777777" w:rsidR="00672ECC" w:rsidRPr="00672ECC" w:rsidRDefault="00E170AD" w:rsidP="00672ECC">
      <w:pPr>
        <w:autoSpaceDE/>
        <w:autoSpaceDN/>
        <w:rPr>
          <w:rFonts w:ascii="Calibri Light" w:hAnsi="Calibri Light" w:cs="Calibri Light"/>
          <w:sz w:val="22"/>
          <w:szCs w:val="22"/>
          <w:lang w:val="en-AU" w:eastAsia="en-US"/>
        </w:rPr>
      </w:pPr>
      <w:r>
        <w:rPr>
          <w:noProof/>
        </w:rPr>
        <mc:AlternateContent>
          <mc:Choice Requires="wps">
            <w:drawing>
              <wp:anchor distT="0" distB="0" distL="114300" distR="114300" simplePos="0" relativeHeight="251659264" behindDoc="0" locked="0" layoutInCell="1" allowOverlap="1" wp14:anchorId="77614B9F" wp14:editId="6A9EFBF5">
                <wp:simplePos x="0" y="0"/>
                <wp:positionH relativeFrom="column">
                  <wp:posOffset>575945</wp:posOffset>
                </wp:positionH>
                <wp:positionV relativeFrom="paragraph">
                  <wp:posOffset>124460</wp:posOffset>
                </wp:positionV>
                <wp:extent cx="1878330" cy="1195070"/>
                <wp:effectExtent l="0" t="0" r="7620" b="5080"/>
                <wp:wrapNone/>
                <wp:docPr id="183547793"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8330" cy="1195070"/>
                        </a:xfrm>
                        <a:prstGeom prst="rect">
                          <a:avLst/>
                        </a:prstGeom>
                        <a:gradFill rotWithShape="1">
                          <a:gsLst>
                            <a:gs pos="0">
                              <a:srgbClr val="70AD47">
                                <a:lumMod val="110000"/>
                                <a:satMod val="105000"/>
                                <a:tint val="67000"/>
                              </a:srgbClr>
                            </a:gs>
                            <a:gs pos="50000">
                              <a:srgbClr val="70AD47">
                                <a:lumMod val="105000"/>
                                <a:satMod val="103000"/>
                                <a:tint val="73000"/>
                              </a:srgbClr>
                            </a:gs>
                            <a:gs pos="100000">
                              <a:srgbClr val="70AD47">
                                <a:lumMod val="105000"/>
                                <a:satMod val="109000"/>
                                <a:tint val="81000"/>
                              </a:srgbClr>
                            </a:gs>
                          </a:gsLst>
                          <a:lin ang="5400000" scaled="0"/>
                        </a:gradFill>
                        <a:ln w="6350" cap="flat" cmpd="sng" algn="ctr">
                          <a:solidFill>
                            <a:srgbClr val="70AD47"/>
                          </a:solidFill>
                          <a:prstDash val="solid"/>
                          <a:miter lim="800000"/>
                        </a:ln>
                        <a:effectLst/>
                      </wps:spPr>
                      <wps:txbx>
                        <w:txbxContent>
                          <w:p w14:paraId="3E3234B5" w14:textId="77777777" w:rsidR="00672ECC" w:rsidRPr="00672ECC" w:rsidRDefault="00672ECC" w:rsidP="00672ECC">
                            <w:pPr>
                              <w:rPr>
                                <w:color w:val="000000"/>
                              </w:rPr>
                            </w:pPr>
                            <w:r w:rsidRPr="00672ECC">
                              <w:rPr>
                                <w:color w:val="000000"/>
                              </w:rPr>
                              <w:t>Records identified from*:</w:t>
                            </w:r>
                          </w:p>
                          <w:p w14:paraId="271CDCB2" w14:textId="77777777" w:rsidR="00672ECC" w:rsidRPr="00672ECC" w:rsidRDefault="00672ECC" w:rsidP="00672ECC">
                            <w:pPr>
                              <w:ind w:left="284"/>
                              <w:rPr>
                                <w:color w:val="000000"/>
                                <w:rtl/>
                              </w:rPr>
                            </w:pPr>
                            <w:r w:rsidRPr="00C90327">
                              <w:t>Scopus</w:t>
                            </w:r>
                            <w:r w:rsidRPr="00672ECC">
                              <w:rPr>
                                <w:color w:val="000000"/>
                              </w:rPr>
                              <w:t xml:space="preserve"> Databases</w:t>
                            </w:r>
                            <w:r w:rsidRPr="00672ECC">
                              <w:rPr>
                                <w:color w:val="000000"/>
                                <w:rtl/>
                              </w:rPr>
                              <w:t xml:space="preserve"> </w:t>
                            </w:r>
                            <w:r w:rsidRPr="00672ECC">
                              <w:rPr>
                                <w:color w:val="000000"/>
                              </w:rPr>
                              <w:t>(n =</w:t>
                            </w:r>
                            <w:proofErr w:type="gramStart"/>
                            <w:r w:rsidRPr="00672ECC">
                              <w:rPr>
                                <w:color w:val="000000"/>
                                <w:rtl/>
                              </w:rPr>
                              <w:t>300</w:t>
                            </w:r>
                            <w:r w:rsidRPr="00672ECC">
                              <w:rPr>
                                <w:color w:val="000000"/>
                              </w:rPr>
                              <w:t xml:space="preserve"> )</w:t>
                            </w:r>
                            <w:proofErr w:type="gramEnd"/>
                            <w:r w:rsidRPr="00672ECC">
                              <w:rPr>
                                <w:color w:val="000000"/>
                              </w:rPr>
                              <w:t xml:space="preserve"> </w:t>
                            </w:r>
                          </w:p>
                          <w:p w14:paraId="194B6372" w14:textId="77777777" w:rsidR="00672ECC" w:rsidRPr="00672ECC" w:rsidRDefault="00672ECC" w:rsidP="00672ECC">
                            <w:pPr>
                              <w:ind w:left="284"/>
                              <w:rPr>
                                <w:color w:val="000000"/>
                              </w:rPr>
                            </w:pPr>
                            <w:r w:rsidRPr="00672ECC">
                              <w:rPr>
                                <w:color w:val="000000"/>
                              </w:rPr>
                              <w:t>Google Scholar (n =</w:t>
                            </w:r>
                            <w:proofErr w:type="gramStart"/>
                            <w:r w:rsidRPr="00672ECC">
                              <w:rPr>
                                <w:color w:val="000000"/>
                                <w:rtl/>
                              </w:rPr>
                              <w:t>200</w:t>
                            </w:r>
                            <w:r w:rsidRPr="00672ECC">
                              <w:rPr>
                                <w:color w:val="000000"/>
                              </w:rPr>
                              <w:t xml:space="preserve"> )</w:t>
                            </w:r>
                            <w:proofErr w:type="gramEnd"/>
                          </w:p>
                          <w:p w14:paraId="7C32CA87" w14:textId="77777777" w:rsidR="00672ECC" w:rsidRPr="00672ECC" w:rsidRDefault="00672ECC" w:rsidP="00672ECC">
                            <w:pPr>
                              <w:ind w:left="284"/>
                              <w:rPr>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614B9F" id="Rectangle 38" o:spid="_x0000_s1027" style="position:absolute;margin-left:45.35pt;margin-top:9.8pt;width:147.9pt;height:9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" fillcolor="#b5d5a7" strokecolor="#70ad47" strokeweight=".5pt">
                <v:fill color2="#9cca86" rotate="t" colors="0 #b5d5a7;.5 #aace99;1 #9cca86" focus="100%" type="gradient">
                  <o:fill v:ext="view" type="gradientUnscaled"/>
                </v:fill>
                <v:path arrowok="t"/>
                <v:textbox>
                  <w:txbxContent>
                    <w:p w14:paraId="3E3234B5" w14:textId="77777777" w:rsidR="00672ECC" w:rsidRPr="00672ECC" w:rsidRDefault="00672ECC" w:rsidP="00672ECC">
                      <w:pPr>
                        <w:rPr>
                          <w:color w:val="000000"/>
                        </w:rPr>
                      </w:pPr>
                      <w:r w:rsidRPr="00672ECC">
                        <w:rPr>
                          <w:color w:val="000000"/>
                        </w:rPr>
                        <w:t>Records identified from*:</w:t>
                      </w:r>
                    </w:p>
                    <w:p w14:paraId="271CDCB2" w14:textId="77777777" w:rsidR="00672ECC" w:rsidRPr="00672ECC" w:rsidRDefault="00672ECC" w:rsidP="00672ECC">
                      <w:pPr>
                        <w:ind w:left="284"/>
                        <w:rPr>
                          <w:color w:val="000000"/>
                          <w:rtl/>
                        </w:rPr>
                      </w:pPr>
                      <w:r w:rsidRPr="00C90327">
                        <w:t>Scopus</w:t>
                      </w:r>
                      <w:r w:rsidRPr="00672ECC">
                        <w:rPr>
                          <w:color w:val="000000"/>
                        </w:rPr>
                        <w:t xml:space="preserve"> Databases</w:t>
                      </w:r>
                      <w:r w:rsidRPr="00672ECC">
                        <w:rPr>
                          <w:color w:val="000000"/>
                          <w:rtl/>
                        </w:rPr>
                        <w:t xml:space="preserve"> </w:t>
                      </w:r>
                      <w:r w:rsidRPr="00672ECC">
                        <w:rPr>
                          <w:color w:val="000000"/>
                        </w:rPr>
                        <w:t>(n =</w:t>
                      </w:r>
                      <w:proofErr w:type="gramStart"/>
                      <w:r w:rsidRPr="00672ECC">
                        <w:rPr>
                          <w:color w:val="000000"/>
                          <w:rtl/>
                        </w:rPr>
                        <w:t>300</w:t>
                      </w:r>
                      <w:r w:rsidRPr="00672ECC">
                        <w:rPr>
                          <w:color w:val="000000"/>
                        </w:rPr>
                        <w:t xml:space="preserve"> )</w:t>
                      </w:r>
                      <w:proofErr w:type="gramEnd"/>
                      <w:r w:rsidRPr="00672ECC">
                        <w:rPr>
                          <w:color w:val="000000"/>
                        </w:rPr>
                        <w:t xml:space="preserve"> </w:t>
                      </w:r>
                    </w:p>
                    <w:p w14:paraId="194B6372" w14:textId="77777777" w:rsidR="00672ECC" w:rsidRPr="00672ECC" w:rsidRDefault="00672ECC" w:rsidP="00672ECC">
                      <w:pPr>
                        <w:ind w:left="284"/>
                        <w:rPr>
                          <w:color w:val="000000"/>
                        </w:rPr>
                      </w:pPr>
                      <w:r w:rsidRPr="00672ECC">
                        <w:rPr>
                          <w:color w:val="000000"/>
                        </w:rPr>
                        <w:t>Google Scholar (n =</w:t>
                      </w:r>
                      <w:proofErr w:type="gramStart"/>
                      <w:r w:rsidRPr="00672ECC">
                        <w:rPr>
                          <w:color w:val="000000"/>
                          <w:rtl/>
                        </w:rPr>
                        <w:t>200</w:t>
                      </w:r>
                      <w:r w:rsidRPr="00672ECC">
                        <w:rPr>
                          <w:color w:val="000000"/>
                        </w:rPr>
                        <w:t xml:space="preserve"> )</w:t>
                      </w:r>
                      <w:proofErr w:type="gramEnd"/>
                    </w:p>
                    <w:p w14:paraId="7C32CA87" w14:textId="77777777" w:rsidR="00672ECC" w:rsidRPr="00672ECC" w:rsidRDefault="00672ECC" w:rsidP="00672ECC">
                      <w:pPr>
                        <w:ind w:left="284"/>
                        <w:rPr>
                          <w:color w:val="000000"/>
                        </w:rPr>
                      </w:pPr>
                    </w:p>
                  </w:txbxContent>
                </v:textbox>
              </v:rect>
            </w:pict>
          </mc:Fallback>
        </mc:AlternateContent>
      </w:r>
      <w:r>
        <w:rPr>
          <w:noProof/>
        </w:rPr>
        <mc:AlternateContent>
          <mc:Choice Requires="wps">
            <w:drawing>
              <wp:anchor distT="0" distB="0" distL="114300" distR="114300" simplePos="0" relativeHeight="251671552" behindDoc="0" locked="0" layoutInCell="1" allowOverlap="1" wp14:anchorId="7034E71A" wp14:editId="3892CF60">
                <wp:simplePos x="0" y="0"/>
                <wp:positionH relativeFrom="column">
                  <wp:posOffset>-372745</wp:posOffset>
                </wp:positionH>
                <wp:positionV relativeFrom="paragraph">
                  <wp:posOffset>532130</wp:posOffset>
                </wp:positionV>
                <wp:extent cx="1276985" cy="325120"/>
                <wp:effectExtent l="0" t="317" r="0" b="0"/>
                <wp:wrapNone/>
                <wp:docPr id="321805697" name="Flowchart: Alternate Process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276985" cy="325120"/>
                        </a:xfrm>
                        <a:prstGeom prst="flowChartAlternateProcess">
                          <a:avLst/>
                        </a:prstGeom>
                        <a:solidFill>
                          <a:srgbClr val="5B9BD5">
                            <a:lumMod val="60000"/>
                            <a:lumOff val="40000"/>
                          </a:srgbClr>
                        </a:solidFill>
                        <a:ln w="12700" cap="flat" cmpd="sng" algn="ctr">
                          <a:solidFill>
                            <a:sysClr val="windowText" lastClr="000000"/>
                          </a:solidFill>
                          <a:prstDash val="solid"/>
                          <a:miter lim="800000"/>
                        </a:ln>
                        <a:effectLst/>
                      </wps:spPr>
                      <wps:txbx>
                        <w:txbxContent>
                          <w:p w14:paraId="1B83475E" w14:textId="77777777" w:rsidR="00672ECC" w:rsidRPr="00672ECC" w:rsidRDefault="00672ECC" w:rsidP="00672ECC">
                            <w:pPr>
                              <w:jc w:val="center"/>
                              <w:rPr>
                                <w:rFonts w:ascii="Arial" w:hAnsi="Arial" w:cs="Arial"/>
                                <w:b/>
                                <w:color w:val="000000"/>
                                <w:sz w:val="18"/>
                                <w:szCs w:val="18"/>
                              </w:rPr>
                            </w:pPr>
                            <w:r w:rsidRPr="00672ECC">
                              <w:rPr>
                                <w:rFonts w:ascii="Arial" w:hAnsi="Arial" w:cs="Arial"/>
                                <w:b/>
                                <w:color w:val="000000"/>
                                <w:sz w:val="18"/>
                                <w:szCs w:val="18"/>
                              </w:rPr>
                              <w:t>Identification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34E71A" id="Flowchart: Alternate Process 36" o:spid="_x0000_s1028" type="#_x0000_t176" style="position:absolute;margin-left:-29.35pt;margin-top:41.9pt;width:100.55pt;height:25.6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" fillcolor="#9dc3e6" strokecolor="windowText" strokeweight="1pt">
                <v:path arrowok="t"/>
                <v:textbox>
                  <w:txbxContent>
                    <w:p w14:paraId="1B83475E" w14:textId="77777777" w:rsidR="00672ECC" w:rsidRPr="00672ECC" w:rsidRDefault="00672ECC" w:rsidP="00672ECC">
                      <w:pPr>
                        <w:jc w:val="center"/>
                        <w:rPr>
                          <w:rFonts w:ascii="Arial" w:hAnsi="Arial" w:cs="Arial"/>
                          <w:b/>
                          <w:color w:val="000000"/>
                          <w:sz w:val="18"/>
                          <w:szCs w:val="18"/>
                        </w:rPr>
                      </w:pPr>
                      <w:r w:rsidRPr="00672ECC">
                        <w:rPr>
                          <w:rFonts w:ascii="Arial" w:hAnsi="Arial" w:cs="Arial"/>
                          <w:b/>
                          <w:color w:val="000000"/>
                          <w:sz w:val="18"/>
                          <w:szCs w:val="18"/>
                        </w:rPr>
                        <w:t>Identification</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732A6452" wp14:editId="3C57A4CF">
                <wp:simplePos x="0" y="0"/>
                <wp:positionH relativeFrom="column">
                  <wp:posOffset>3039745</wp:posOffset>
                </wp:positionH>
                <wp:positionV relativeFrom="paragraph">
                  <wp:posOffset>76835</wp:posOffset>
                </wp:positionV>
                <wp:extent cx="1887220" cy="1242695"/>
                <wp:effectExtent l="0" t="0" r="0" b="0"/>
                <wp:wrapNone/>
                <wp:docPr id="1968934208"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1242695"/>
                        </a:xfrm>
                        <a:prstGeom prst="rect">
                          <a:avLst/>
                        </a:prstGeom>
                        <a:gradFill rotWithShape="1">
                          <a:gsLst>
                            <a:gs pos="0">
                              <a:srgbClr val="FFC000">
                                <a:lumMod val="110000"/>
                                <a:satMod val="105000"/>
                                <a:tint val="67000"/>
                              </a:srgbClr>
                            </a:gs>
                            <a:gs pos="50000">
                              <a:srgbClr val="FFC000">
                                <a:lumMod val="105000"/>
                                <a:satMod val="103000"/>
                                <a:tint val="73000"/>
                              </a:srgbClr>
                            </a:gs>
                            <a:gs pos="100000">
                              <a:srgbClr val="FFC000">
                                <a:lumMod val="105000"/>
                                <a:satMod val="109000"/>
                                <a:tint val="81000"/>
                              </a:srgbClr>
                            </a:gs>
                          </a:gsLst>
                          <a:lin ang="5400000" scaled="0"/>
                        </a:gradFill>
                        <a:ln w="6350" cap="flat" cmpd="sng" algn="ctr">
                          <a:solidFill>
                            <a:srgbClr val="FFC000"/>
                          </a:solidFill>
                          <a:prstDash val="solid"/>
                          <a:miter lim="800000"/>
                        </a:ln>
                        <a:effectLst/>
                      </wps:spPr>
                      <wps:txbx>
                        <w:txbxContent>
                          <w:p w14:paraId="6CAF2A3C" w14:textId="77777777" w:rsidR="00672ECC" w:rsidRPr="00672ECC" w:rsidRDefault="00672ECC" w:rsidP="00672ECC">
                            <w:pPr>
                              <w:rPr>
                                <w:color w:val="000000"/>
                              </w:rPr>
                            </w:pPr>
                            <w:r w:rsidRPr="00672ECC">
                              <w:rPr>
                                <w:color w:val="000000"/>
                              </w:rPr>
                              <w:t xml:space="preserve">Records removed </w:t>
                            </w:r>
                            <w:r w:rsidRPr="00672ECC">
                              <w:rPr>
                                <w:i/>
                                <w:iCs/>
                                <w:color w:val="000000"/>
                              </w:rPr>
                              <w:t>before screening</w:t>
                            </w:r>
                            <w:r w:rsidRPr="00672ECC">
                              <w:rPr>
                                <w:color w:val="000000"/>
                              </w:rPr>
                              <w:t>:</w:t>
                            </w:r>
                          </w:p>
                          <w:p w14:paraId="16F427CD" w14:textId="77777777" w:rsidR="00672ECC" w:rsidRPr="00672ECC" w:rsidRDefault="00672ECC" w:rsidP="00672ECC">
                            <w:pPr>
                              <w:ind w:left="284"/>
                              <w:rPr>
                                <w:color w:val="000000"/>
                              </w:rPr>
                            </w:pPr>
                            <w:r w:rsidRPr="00672ECC">
                              <w:rPr>
                                <w:color w:val="000000"/>
                              </w:rPr>
                              <w:t xml:space="preserve">Duplicate records </w:t>
                            </w:r>
                            <w:proofErr w:type="gramStart"/>
                            <w:r w:rsidRPr="00672ECC">
                              <w:rPr>
                                <w:color w:val="000000"/>
                              </w:rPr>
                              <w:t>removed  (</w:t>
                            </w:r>
                            <w:proofErr w:type="gramEnd"/>
                            <w:r w:rsidRPr="00672ECC">
                              <w:rPr>
                                <w:color w:val="000000"/>
                              </w:rPr>
                              <w:t xml:space="preserve">n = </w:t>
                            </w:r>
                            <w:r w:rsidRPr="00672ECC">
                              <w:rPr>
                                <w:color w:val="000000"/>
                                <w:rtl/>
                              </w:rPr>
                              <w:t>0</w:t>
                            </w:r>
                            <w:r w:rsidRPr="00672ECC">
                              <w:rPr>
                                <w:color w:val="00000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2A6452" id="Rectangle 34" o:spid="_x0000_s1029" style="position:absolute;margin-left:239.35pt;margin-top:6.05pt;width:148.6pt;height:97.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" fillcolor="#ffdd9c" strokecolor="#ffc000" strokeweight=".5pt">
                <v:fill color2="#ffd479" rotate="t" colors="0 #ffdd9c;.5 #ffd78e;1 #ffd479" focus="100%" type="gradient">
                  <o:fill v:ext="view" type="gradientUnscaled"/>
                </v:fill>
                <v:path arrowok="t"/>
                <v:textbox>
                  <w:txbxContent>
                    <w:p w14:paraId="6CAF2A3C" w14:textId="77777777" w:rsidR="00672ECC" w:rsidRPr="00672ECC" w:rsidRDefault="00672ECC" w:rsidP="00672ECC">
                      <w:pPr>
                        <w:rPr>
                          <w:color w:val="000000"/>
                        </w:rPr>
                      </w:pPr>
                      <w:r w:rsidRPr="00672ECC">
                        <w:rPr>
                          <w:color w:val="000000"/>
                        </w:rPr>
                        <w:t xml:space="preserve">Records removed </w:t>
                      </w:r>
                      <w:r w:rsidRPr="00672ECC">
                        <w:rPr>
                          <w:i/>
                          <w:iCs/>
                          <w:color w:val="000000"/>
                        </w:rPr>
                        <w:t>before screening</w:t>
                      </w:r>
                      <w:r w:rsidRPr="00672ECC">
                        <w:rPr>
                          <w:color w:val="000000"/>
                        </w:rPr>
                        <w:t>:</w:t>
                      </w:r>
                    </w:p>
                    <w:p w14:paraId="16F427CD" w14:textId="77777777" w:rsidR="00672ECC" w:rsidRPr="00672ECC" w:rsidRDefault="00672ECC" w:rsidP="00672ECC">
                      <w:pPr>
                        <w:ind w:left="284"/>
                        <w:rPr>
                          <w:color w:val="000000"/>
                        </w:rPr>
                      </w:pPr>
                      <w:r w:rsidRPr="00672ECC">
                        <w:rPr>
                          <w:color w:val="000000"/>
                        </w:rPr>
                        <w:t xml:space="preserve">Duplicate records </w:t>
                      </w:r>
                      <w:proofErr w:type="gramStart"/>
                      <w:r w:rsidRPr="00672ECC">
                        <w:rPr>
                          <w:color w:val="000000"/>
                        </w:rPr>
                        <w:t>removed  (</w:t>
                      </w:r>
                      <w:proofErr w:type="gramEnd"/>
                      <w:r w:rsidRPr="00672ECC">
                        <w:rPr>
                          <w:color w:val="000000"/>
                        </w:rPr>
                        <w:t xml:space="preserve">n = </w:t>
                      </w:r>
                      <w:r w:rsidRPr="00672ECC">
                        <w:rPr>
                          <w:color w:val="000000"/>
                          <w:rtl/>
                        </w:rPr>
                        <w:t>0</w:t>
                      </w:r>
                      <w:r w:rsidRPr="00672ECC">
                        <w:rPr>
                          <w:color w:val="000000"/>
                        </w:rPr>
                        <w:t>)</w:t>
                      </w:r>
                    </w:p>
                  </w:txbxContent>
                </v:textbox>
              </v:rect>
            </w:pict>
          </mc:Fallback>
        </mc:AlternateContent>
      </w:r>
      <w:commentRangeEnd w:id="5"/>
      <w:r w:rsidR="00F70BA6">
        <w:rPr>
          <w:rStyle w:val="CommentReference"/>
        </w:rPr>
        <w:commentReference w:id="5"/>
      </w:r>
    </w:p>
    <w:p w14:paraId="5CDB4D02" w14:textId="77777777" w:rsidR="00672ECC" w:rsidRPr="00672ECC" w:rsidRDefault="00672ECC" w:rsidP="00672ECC">
      <w:pPr>
        <w:autoSpaceDE/>
        <w:autoSpaceDN/>
        <w:rPr>
          <w:rFonts w:ascii="Calibri Light" w:hAnsi="Calibri Light" w:cs="Calibri Light"/>
          <w:sz w:val="22"/>
          <w:szCs w:val="22"/>
          <w:lang w:val="en-AU" w:eastAsia="en-US"/>
        </w:rPr>
      </w:pPr>
    </w:p>
    <w:p w14:paraId="64262495" w14:textId="77777777" w:rsidR="00672ECC" w:rsidRPr="00672ECC" w:rsidRDefault="00672ECC" w:rsidP="00672ECC">
      <w:pPr>
        <w:autoSpaceDE/>
        <w:autoSpaceDN/>
        <w:rPr>
          <w:rFonts w:ascii="Calibri Light" w:hAnsi="Calibri Light" w:cs="Calibri Light"/>
          <w:sz w:val="22"/>
          <w:szCs w:val="22"/>
          <w:lang w:val="en-AU" w:eastAsia="en-US"/>
        </w:rPr>
      </w:pPr>
    </w:p>
    <w:p w14:paraId="265666AF" w14:textId="77777777" w:rsidR="00672ECC" w:rsidRPr="00672ECC" w:rsidRDefault="00672ECC" w:rsidP="00672ECC">
      <w:pPr>
        <w:autoSpaceDE/>
        <w:autoSpaceDN/>
        <w:rPr>
          <w:rFonts w:ascii="Calibri Light" w:hAnsi="Calibri Light" w:cs="Calibri Light"/>
          <w:sz w:val="22"/>
          <w:szCs w:val="22"/>
          <w:lang w:val="en-AU" w:eastAsia="en-US"/>
        </w:rPr>
      </w:pPr>
    </w:p>
    <w:p w14:paraId="5BAE1965" w14:textId="77777777" w:rsidR="00672ECC" w:rsidRPr="00672ECC" w:rsidRDefault="00E170AD" w:rsidP="00672ECC">
      <w:pPr>
        <w:autoSpaceDE/>
        <w:autoSpaceDN/>
        <w:rPr>
          <w:rFonts w:ascii="Calibri Light" w:hAnsi="Calibri Light" w:cs="Calibri Light"/>
          <w:sz w:val="22"/>
          <w:szCs w:val="22"/>
          <w:lang w:val="en-AU" w:eastAsia="en-US"/>
        </w:rPr>
      </w:pPr>
      <w:r>
        <w:rPr>
          <w:noProof/>
        </w:rPr>
        <mc:AlternateContent>
          <mc:Choice Requires="wps">
            <w:drawing>
              <wp:anchor distT="4294967295" distB="4294967295" distL="114300" distR="114300" simplePos="0" relativeHeight="251667456" behindDoc="0" locked="0" layoutInCell="1" allowOverlap="1" wp14:anchorId="095A7F55" wp14:editId="6FD38318">
                <wp:simplePos x="0" y="0"/>
                <wp:positionH relativeFrom="column">
                  <wp:posOffset>2454275</wp:posOffset>
                </wp:positionH>
                <wp:positionV relativeFrom="paragraph">
                  <wp:posOffset>9524</wp:posOffset>
                </wp:positionV>
                <wp:extent cx="563245" cy="0"/>
                <wp:effectExtent l="0" t="76200" r="8255" b="76200"/>
                <wp:wrapNone/>
                <wp:docPr id="1052178965" name="Straight Arrow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324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type w14:anchorId="36A23C32" id="_x0000_t32" coordsize="21600,21600" o:spt="32" o:oned="t" path="m,l21600,21600e" filled="f">
                <v:path arrowok="t" fillok="f" o:connecttype="none"/>
                <o:lock v:ext="edit" shapetype="t"/>
              </v:shapetype>
              <v:shape id="Straight Arrow Connector 32" o:spid="_x0000_s1026" type="#_x0000_t32" style="position:absolute;margin-left:193.25pt;margin-top:.75pt;width:44.3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" strokecolor="windowText" strokeweight=".5pt">
                <v:stroke endarrow="block" joinstyle="miter"/>
                <o:lock v:ext="edit" shapetype="f"/>
              </v:shape>
            </w:pict>
          </mc:Fallback>
        </mc:AlternateContent>
      </w:r>
    </w:p>
    <w:p w14:paraId="41111F05" w14:textId="77777777" w:rsidR="00672ECC" w:rsidRPr="00672ECC" w:rsidRDefault="00672ECC" w:rsidP="00672ECC">
      <w:pPr>
        <w:autoSpaceDE/>
        <w:autoSpaceDN/>
        <w:rPr>
          <w:rFonts w:ascii="Calibri Light" w:hAnsi="Calibri Light" w:cs="Calibri Light"/>
          <w:sz w:val="22"/>
          <w:szCs w:val="22"/>
          <w:lang w:val="en-AU" w:eastAsia="en-US"/>
        </w:rPr>
      </w:pPr>
    </w:p>
    <w:p w14:paraId="48DFC8CD" w14:textId="77777777" w:rsidR="00672ECC" w:rsidRPr="00672ECC" w:rsidRDefault="00672ECC" w:rsidP="00672ECC">
      <w:pPr>
        <w:autoSpaceDE/>
        <w:autoSpaceDN/>
        <w:rPr>
          <w:rFonts w:ascii="Calibri Light" w:hAnsi="Calibri Light" w:cs="Calibri Light"/>
          <w:sz w:val="22"/>
          <w:szCs w:val="22"/>
          <w:lang w:val="en-AU" w:eastAsia="en-US"/>
        </w:rPr>
      </w:pPr>
    </w:p>
    <w:p w14:paraId="4C272CF9" w14:textId="77777777" w:rsidR="00672ECC" w:rsidRPr="00672ECC" w:rsidRDefault="00E170AD" w:rsidP="00672ECC">
      <w:pPr>
        <w:autoSpaceDE/>
        <w:autoSpaceDN/>
        <w:rPr>
          <w:rFonts w:ascii="Calibri Light" w:hAnsi="Calibri Light" w:cs="Calibri Light"/>
          <w:sz w:val="22"/>
          <w:szCs w:val="22"/>
          <w:lang w:val="en-AU" w:eastAsia="en-US"/>
        </w:rPr>
      </w:pPr>
      <w:r>
        <w:rPr>
          <w:noProof/>
        </w:rPr>
        <mc:AlternateContent>
          <mc:Choice Requires="wps">
            <w:drawing>
              <wp:anchor distT="0" distB="0" distL="114299" distR="114299" simplePos="0" relativeHeight="251674624" behindDoc="0" locked="0" layoutInCell="1" allowOverlap="1" wp14:anchorId="205917CC" wp14:editId="14F2AC21">
                <wp:simplePos x="0" y="0"/>
                <wp:positionH relativeFrom="column">
                  <wp:posOffset>1400174</wp:posOffset>
                </wp:positionH>
                <wp:positionV relativeFrom="paragraph">
                  <wp:posOffset>128905</wp:posOffset>
                </wp:positionV>
                <wp:extent cx="0" cy="281305"/>
                <wp:effectExtent l="76200" t="0" r="38100" b="42545"/>
                <wp:wrapNone/>
                <wp:docPr id="1579222682" name="Straight Arrow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8130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5489FC43" id="Straight Arrow Connector 30" o:spid="_x0000_s1026" type="#_x0000_t32" style="position:absolute;margin-left:110.25pt;margin-top:10.15pt;width:0;height:22.15pt;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" strokecolor="windowText" strokeweight=".5pt">
                <v:stroke endarrow="block" joinstyle="miter"/>
                <o:lock v:ext="edit" shapetype="f"/>
              </v:shape>
            </w:pict>
          </mc:Fallback>
        </mc:AlternateContent>
      </w:r>
    </w:p>
    <w:p w14:paraId="15F537C2" w14:textId="77777777" w:rsidR="00672ECC" w:rsidRPr="00672ECC" w:rsidRDefault="00672ECC" w:rsidP="00672ECC">
      <w:pPr>
        <w:autoSpaceDE/>
        <w:autoSpaceDN/>
        <w:rPr>
          <w:rFonts w:ascii="Calibri Light" w:hAnsi="Calibri Light" w:cs="Calibri Light"/>
          <w:sz w:val="22"/>
          <w:szCs w:val="22"/>
          <w:lang w:val="en-AU" w:eastAsia="en-US"/>
        </w:rPr>
      </w:pPr>
    </w:p>
    <w:p w14:paraId="7B68C525" w14:textId="77777777" w:rsidR="00672ECC" w:rsidRPr="00672ECC" w:rsidRDefault="00E170AD" w:rsidP="00672ECC">
      <w:pPr>
        <w:autoSpaceDE/>
        <w:autoSpaceDN/>
        <w:rPr>
          <w:rFonts w:ascii="Calibri Light" w:hAnsi="Calibri Light" w:cs="Calibri Light"/>
          <w:sz w:val="22"/>
          <w:szCs w:val="22"/>
          <w:lang w:val="en-AU" w:eastAsia="en-US"/>
        </w:rPr>
      </w:pPr>
      <w:r>
        <w:rPr>
          <w:noProof/>
        </w:rPr>
        <mc:AlternateContent>
          <mc:Choice Requires="wps">
            <w:drawing>
              <wp:anchor distT="4294967295" distB="4294967295" distL="114300" distR="114300" simplePos="0" relativeHeight="251668480" behindDoc="0" locked="0" layoutInCell="1" allowOverlap="1" wp14:anchorId="3CC21840" wp14:editId="7D2913CE">
                <wp:simplePos x="0" y="0"/>
                <wp:positionH relativeFrom="column">
                  <wp:posOffset>2453640</wp:posOffset>
                </wp:positionH>
                <wp:positionV relativeFrom="paragraph">
                  <wp:posOffset>328294</wp:posOffset>
                </wp:positionV>
                <wp:extent cx="563245" cy="0"/>
                <wp:effectExtent l="0" t="76200" r="8255" b="76200"/>
                <wp:wrapNone/>
                <wp:docPr id="1173537851"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324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7111D1F" id="Straight Arrow Connector 28" o:spid="_x0000_s1026" type="#_x0000_t32" style="position:absolute;margin-left:193.2pt;margin-top:25.85pt;width:44.3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" strokecolor="windowText" strokeweight=".5pt">
                <v:stroke endarrow="block" joinstyle="miter"/>
                <o:lock v:ext="edit" shapetype="f"/>
              </v:shape>
            </w:pict>
          </mc:Fallback>
        </mc:AlternateContent>
      </w:r>
      <w:r>
        <w:rPr>
          <w:noProof/>
        </w:rPr>
        <mc:AlternateContent>
          <mc:Choice Requires="wps">
            <w:drawing>
              <wp:anchor distT="0" distB="0" distL="114300" distR="114300" simplePos="0" relativeHeight="251661312" behindDoc="0" locked="0" layoutInCell="1" allowOverlap="1" wp14:anchorId="2BE9CDC2" wp14:editId="43875222">
                <wp:simplePos x="0" y="0"/>
                <wp:positionH relativeFrom="column">
                  <wp:posOffset>559435</wp:posOffset>
                </wp:positionH>
                <wp:positionV relativeFrom="paragraph">
                  <wp:posOffset>74930</wp:posOffset>
                </wp:positionV>
                <wp:extent cx="1887220" cy="526415"/>
                <wp:effectExtent l="0" t="0" r="0" b="6985"/>
                <wp:wrapNone/>
                <wp:docPr id="49918808"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526415"/>
                        </a:xfrm>
                        <a:prstGeom prst="rect">
                          <a:avLst/>
                        </a:prstGeom>
                        <a:gradFill rotWithShape="1">
                          <a:gsLst>
                            <a:gs pos="0">
                              <a:srgbClr val="70AD47">
                                <a:lumMod val="110000"/>
                                <a:satMod val="105000"/>
                                <a:tint val="67000"/>
                              </a:srgbClr>
                            </a:gs>
                            <a:gs pos="50000">
                              <a:srgbClr val="70AD47">
                                <a:lumMod val="105000"/>
                                <a:satMod val="103000"/>
                                <a:tint val="73000"/>
                              </a:srgbClr>
                            </a:gs>
                            <a:gs pos="100000">
                              <a:srgbClr val="70AD47">
                                <a:lumMod val="105000"/>
                                <a:satMod val="109000"/>
                                <a:tint val="81000"/>
                              </a:srgbClr>
                            </a:gs>
                          </a:gsLst>
                          <a:lin ang="5400000" scaled="0"/>
                        </a:gradFill>
                        <a:ln w="6350" cap="flat" cmpd="sng" algn="ctr">
                          <a:solidFill>
                            <a:srgbClr val="70AD47"/>
                          </a:solidFill>
                          <a:prstDash val="solid"/>
                          <a:miter lim="800000"/>
                        </a:ln>
                        <a:effectLst/>
                      </wps:spPr>
                      <wps:txbx>
                        <w:txbxContent>
                          <w:p w14:paraId="4C033230" w14:textId="77777777" w:rsidR="00672ECC" w:rsidRPr="00672ECC" w:rsidRDefault="00672ECC" w:rsidP="00672ECC">
                            <w:pPr>
                              <w:rPr>
                                <w:color w:val="000000"/>
                                <w:szCs w:val="22"/>
                              </w:rPr>
                            </w:pPr>
                            <w:r w:rsidRPr="00672ECC">
                              <w:rPr>
                                <w:color w:val="000000"/>
                                <w:szCs w:val="22"/>
                              </w:rPr>
                              <w:t>Records screened</w:t>
                            </w:r>
                          </w:p>
                          <w:p w14:paraId="31A94A1C" w14:textId="77777777" w:rsidR="00672ECC" w:rsidRPr="00672ECC" w:rsidRDefault="00672ECC" w:rsidP="00672ECC">
                            <w:pPr>
                              <w:rPr>
                                <w:color w:val="000000"/>
                                <w:szCs w:val="22"/>
                              </w:rPr>
                            </w:pPr>
                            <w:r w:rsidRPr="00672ECC">
                              <w:rPr>
                                <w:color w:val="000000"/>
                                <w:szCs w:val="22"/>
                              </w:rPr>
                              <w:t>(n =</w:t>
                            </w:r>
                            <w:proofErr w:type="gramStart"/>
                            <w:r w:rsidRPr="00672ECC">
                              <w:rPr>
                                <w:color w:val="000000"/>
                                <w:szCs w:val="22"/>
                              </w:rPr>
                              <w:t>350 )</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E9CDC2" id="Rectangle 26" o:spid="_x0000_s1030" style="position:absolute;margin-left:44.05pt;margin-top:5.9pt;width:148.6pt;height:4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" fillcolor="#b5d5a7" strokecolor="#70ad47" strokeweight=".5pt">
                <v:fill color2="#9cca86" rotate="t" colors="0 #b5d5a7;.5 #aace99;1 #9cca86" focus="100%" type="gradient">
                  <o:fill v:ext="view" type="gradientUnscaled"/>
                </v:fill>
                <v:path arrowok="t"/>
                <v:textbox>
                  <w:txbxContent>
                    <w:p w14:paraId="4C033230" w14:textId="77777777" w:rsidR="00672ECC" w:rsidRPr="00672ECC" w:rsidRDefault="00672ECC" w:rsidP="00672ECC">
                      <w:pPr>
                        <w:rPr>
                          <w:color w:val="000000"/>
                          <w:szCs w:val="22"/>
                        </w:rPr>
                      </w:pPr>
                      <w:r w:rsidRPr="00672ECC">
                        <w:rPr>
                          <w:color w:val="000000"/>
                          <w:szCs w:val="22"/>
                        </w:rPr>
                        <w:t>Records screened</w:t>
                      </w:r>
                    </w:p>
                    <w:p w14:paraId="31A94A1C" w14:textId="77777777" w:rsidR="00672ECC" w:rsidRPr="00672ECC" w:rsidRDefault="00672ECC" w:rsidP="00672ECC">
                      <w:pPr>
                        <w:rPr>
                          <w:color w:val="000000"/>
                          <w:szCs w:val="22"/>
                        </w:rPr>
                      </w:pPr>
                      <w:r w:rsidRPr="00672ECC">
                        <w:rPr>
                          <w:color w:val="000000"/>
                          <w:szCs w:val="22"/>
                        </w:rPr>
                        <w:t>(n =</w:t>
                      </w:r>
                      <w:proofErr w:type="gramStart"/>
                      <w:r w:rsidRPr="00672ECC">
                        <w:rPr>
                          <w:color w:val="000000"/>
                          <w:szCs w:val="22"/>
                        </w:rPr>
                        <w:t>350 )</w:t>
                      </w:r>
                      <w:proofErr w:type="gramEnd"/>
                    </w:p>
                  </w:txbxContent>
                </v:textbox>
              </v:rect>
            </w:pict>
          </mc:Fallback>
        </mc:AlternateContent>
      </w:r>
      <w:r>
        <w:rPr>
          <w:noProof/>
        </w:rPr>
        <mc:AlternateContent>
          <mc:Choice Requires="wps">
            <w:drawing>
              <wp:anchor distT="0" distB="0" distL="114300" distR="114300" simplePos="0" relativeHeight="251662336" behindDoc="0" locked="0" layoutInCell="1" allowOverlap="1" wp14:anchorId="3966C735" wp14:editId="36F50276">
                <wp:simplePos x="0" y="0"/>
                <wp:positionH relativeFrom="column">
                  <wp:posOffset>3048000</wp:posOffset>
                </wp:positionH>
                <wp:positionV relativeFrom="paragraph">
                  <wp:posOffset>74930</wp:posOffset>
                </wp:positionV>
                <wp:extent cx="1887220" cy="526415"/>
                <wp:effectExtent l="0" t="0" r="0" b="6985"/>
                <wp:wrapNone/>
                <wp:docPr id="927864817"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526415"/>
                        </a:xfrm>
                        <a:prstGeom prst="rect">
                          <a:avLst/>
                        </a:prstGeom>
                        <a:gradFill rotWithShape="1">
                          <a:gsLst>
                            <a:gs pos="0">
                              <a:srgbClr val="FFC000">
                                <a:lumMod val="110000"/>
                                <a:satMod val="105000"/>
                                <a:tint val="67000"/>
                              </a:srgbClr>
                            </a:gs>
                            <a:gs pos="50000">
                              <a:srgbClr val="FFC000">
                                <a:lumMod val="105000"/>
                                <a:satMod val="103000"/>
                                <a:tint val="73000"/>
                              </a:srgbClr>
                            </a:gs>
                            <a:gs pos="100000">
                              <a:srgbClr val="FFC000">
                                <a:lumMod val="105000"/>
                                <a:satMod val="109000"/>
                                <a:tint val="81000"/>
                              </a:srgbClr>
                            </a:gs>
                          </a:gsLst>
                          <a:lin ang="5400000" scaled="0"/>
                        </a:gradFill>
                        <a:ln w="6350" cap="flat" cmpd="sng" algn="ctr">
                          <a:solidFill>
                            <a:srgbClr val="FFC000"/>
                          </a:solidFill>
                          <a:prstDash val="solid"/>
                          <a:miter lim="800000"/>
                        </a:ln>
                        <a:effectLst/>
                      </wps:spPr>
                      <wps:txbx>
                        <w:txbxContent>
                          <w:p w14:paraId="2374CA3A" w14:textId="77777777" w:rsidR="00672ECC" w:rsidRPr="00672ECC" w:rsidRDefault="00672ECC" w:rsidP="00672ECC">
                            <w:pPr>
                              <w:rPr>
                                <w:color w:val="000000"/>
                              </w:rPr>
                            </w:pPr>
                            <w:r w:rsidRPr="00672ECC">
                              <w:rPr>
                                <w:color w:val="000000"/>
                              </w:rPr>
                              <w:t>Records excluded</w:t>
                            </w:r>
                          </w:p>
                          <w:p w14:paraId="527ED65B" w14:textId="77777777" w:rsidR="00672ECC" w:rsidRPr="00672ECC" w:rsidRDefault="00672ECC" w:rsidP="00672ECC">
                            <w:pPr>
                              <w:rPr>
                                <w:color w:val="000000"/>
                              </w:rPr>
                            </w:pPr>
                            <w:r w:rsidRPr="00672ECC">
                              <w:rPr>
                                <w:color w:val="000000"/>
                              </w:rPr>
                              <w:t>(n =</w:t>
                            </w:r>
                            <w:proofErr w:type="gramStart"/>
                            <w:r w:rsidRPr="00672ECC">
                              <w:rPr>
                                <w:color w:val="000000"/>
                                <w:rtl/>
                              </w:rPr>
                              <w:t>150</w:t>
                            </w:r>
                            <w:r w:rsidRPr="00672ECC">
                              <w:rPr>
                                <w:color w:val="000000"/>
                              </w:rPr>
                              <w:t xml:space="preserve"> )</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66C735" id="Rectangle 24" o:spid="_x0000_s1031" style="position:absolute;margin-left:240pt;margin-top:5.9pt;width:148.6pt;height:41.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" fillcolor="#ffdd9c" strokecolor="#ffc000" strokeweight=".5pt">
                <v:fill color2="#ffd479" rotate="t" colors="0 #ffdd9c;.5 #ffd78e;1 #ffd479" focus="100%" type="gradient">
                  <o:fill v:ext="view" type="gradientUnscaled"/>
                </v:fill>
                <v:path arrowok="t"/>
                <v:textbox>
                  <w:txbxContent>
                    <w:p w14:paraId="2374CA3A" w14:textId="77777777" w:rsidR="00672ECC" w:rsidRPr="00672ECC" w:rsidRDefault="00672ECC" w:rsidP="00672ECC">
                      <w:pPr>
                        <w:rPr>
                          <w:color w:val="000000"/>
                        </w:rPr>
                      </w:pPr>
                      <w:r w:rsidRPr="00672ECC">
                        <w:rPr>
                          <w:color w:val="000000"/>
                        </w:rPr>
                        <w:t>Records excluded</w:t>
                      </w:r>
                    </w:p>
                    <w:p w14:paraId="527ED65B" w14:textId="77777777" w:rsidR="00672ECC" w:rsidRPr="00672ECC" w:rsidRDefault="00672ECC" w:rsidP="00672ECC">
                      <w:pPr>
                        <w:rPr>
                          <w:color w:val="000000"/>
                        </w:rPr>
                      </w:pPr>
                      <w:r w:rsidRPr="00672ECC">
                        <w:rPr>
                          <w:color w:val="000000"/>
                        </w:rPr>
                        <w:t>(n =</w:t>
                      </w:r>
                      <w:proofErr w:type="gramStart"/>
                      <w:r w:rsidRPr="00672ECC">
                        <w:rPr>
                          <w:color w:val="000000"/>
                          <w:rtl/>
                        </w:rPr>
                        <w:t>150</w:t>
                      </w:r>
                      <w:r w:rsidRPr="00672ECC">
                        <w:rPr>
                          <w:color w:val="000000"/>
                        </w:rPr>
                        <w:t xml:space="preserve"> )</w:t>
                      </w:r>
                      <w:proofErr w:type="gramEnd"/>
                    </w:p>
                  </w:txbxContent>
                </v:textbox>
              </v:rect>
            </w:pict>
          </mc:Fallback>
        </mc:AlternateContent>
      </w:r>
    </w:p>
    <w:p w14:paraId="7D601B11" w14:textId="77777777" w:rsidR="00672ECC" w:rsidRPr="00672ECC" w:rsidRDefault="00672ECC" w:rsidP="00672ECC">
      <w:pPr>
        <w:autoSpaceDE/>
        <w:autoSpaceDN/>
        <w:rPr>
          <w:rFonts w:ascii="Calibri Light" w:hAnsi="Calibri Light" w:cs="Calibri Light"/>
          <w:sz w:val="22"/>
          <w:szCs w:val="22"/>
          <w:lang w:val="en-AU" w:eastAsia="en-US"/>
        </w:rPr>
      </w:pPr>
    </w:p>
    <w:p w14:paraId="6AFB5A7A" w14:textId="77777777" w:rsidR="00672ECC" w:rsidRPr="00672ECC" w:rsidRDefault="00672ECC" w:rsidP="00672ECC">
      <w:pPr>
        <w:autoSpaceDE/>
        <w:autoSpaceDN/>
        <w:rPr>
          <w:rFonts w:ascii="Calibri Light" w:hAnsi="Calibri Light" w:cs="Calibri Light"/>
          <w:sz w:val="22"/>
          <w:szCs w:val="22"/>
          <w:lang w:val="en-AU" w:eastAsia="en-US"/>
        </w:rPr>
      </w:pPr>
    </w:p>
    <w:p w14:paraId="47CAEB89" w14:textId="77777777" w:rsidR="00672ECC" w:rsidRPr="00672ECC" w:rsidRDefault="00E170AD" w:rsidP="00672ECC">
      <w:pPr>
        <w:autoSpaceDE/>
        <w:autoSpaceDN/>
        <w:rPr>
          <w:rFonts w:ascii="Calibri Light" w:hAnsi="Calibri Light" w:cs="Calibri Light"/>
          <w:sz w:val="22"/>
          <w:szCs w:val="22"/>
          <w:lang w:val="en-AU" w:eastAsia="en-US"/>
        </w:rPr>
      </w:pPr>
      <w:r>
        <w:rPr>
          <w:noProof/>
        </w:rPr>
        <mc:AlternateContent>
          <mc:Choice Requires="wps">
            <w:drawing>
              <wp:anchor distT="0" distB="0" distL="114299" distR="114299" simplePos="0" relativeHeight="251675648" behindDoc="0" locked="0" layoutInCell="1" allowOverlap="1" wp14:anchorId="706C4A45" wp14:editId="056A3E5E">
                <wp:simplePos x="0" y="0"/>
                <wp:positionH relativeFrom="column">
                  <wp:posOffset>1400174</wp:posOffset>
                </wp:positionH>
                <wp:positionV relativeFrom="paragraph">
                  <wp:posOffset>99695</wp:posOffset>
                </wp:positionV>
                <wp:extent cx="0" cy="281305"/>
                <wp:effectExtent l="76200" t="0" r="38100" b="42545"/>
                <wp:wrapNone/>
                <wp:docPr id="191790344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8130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1A3F19B" id="Straight Arrow Connector 22" o:spid="_x0000_s1026" type="#_x0000_t32" style="position:absolute;margin-left:110.25pt;margin-top:7.85pt;width:0;height:22.15pt;z-index:2516756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" strokecolor="windowText" strokeweight=".5pt">
                <v:stroke endarrow="block" joinstyle="miter"/>
                <o:lock v:ext="edit" shapetype="f"/>
              </v:shape>
            </w:pict>
          </mc:Fallback>
        </mc:AlternateContent>
      </w:r>
    </w:p>
    <w:p w14:paraId="4EBAD24B" w14:textId="77777777" w:rsidR="00672ECC" w:rsidRPr="00672ECC" w:rsidRDefault="00E170AD" w:rsidP="00672ECC">
      <w:pPr>
        <w:autoSpaceDE/>
        <w:autoSpaceDN/>
        <w:rPr>
          <w:rFonts w:ascii="Calibri Light" w:hAnsi="Calibri Light" w:cs="Calibri Light"/>
          <w:sz w:val="22"/>
          <w:szCs w:val="22"/>
          <w:lang w:val="en-AU" w:eastAsia="en-US"/>
        </w:rPr>
      </w:pPr>
      <w:r>
        <w:rPr>
          <w:noProof/>
        </w:rPr>
        <mc:AlternateContent>
          <mc:Choice Requires="wps">
            <w:drawing>
              <wp:anchor distT="0" distB="0" distL="114300" distR="114300" simplePos="0" relativeHeight="251664384" behindDoc="0" locked="0" layoutInCell="1" allowOverlap="1" wp14:anchorId="57E75505" wp14:editId="60B5757C">
                <wp:simplePos x="0" y="0"/>
                <wp:positionH relativeFrom="column">
                  <wp:posOffset>3048000</wp:posOffset>
                </wp:positionH>
                <wp:positionV relativeFrom="paragraph">
                  <wp:posOffset>97790</wp:posOffset>
                </wp:positionV>
                <wp:extent cx="1887220" cy="819150"/>
                <wp:effectExtent l="0" t="0" r="0" b="0"/>
                <wp:wrapNone/>
                <wp:docPr id="858504844"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819150"/>
                        </a:xfrm>
                        <a:prstGeom prst="rect">
                          <a:avLst/>
                        </a:prstGeom>
                        <a:gradFill rotWithShape="1">
                          <a:gsLst>
                            <a:gs pos="0">
                              <a:srgbClr val="FFC000">
                                <a:lumMod val="110000"/>
                                <a:satMod val="105000"/>
                                <a:tint val="67000"/>
                              </a:srgbClr>
                            </a:gs>
                            <a:gs pos="50000">
                              <a:srgbClr val="FFC000">
                                <a:lumMod val="105000"/>
                                <a:satMod val="103000"/>
                                <a:tint val="73000"/>
                              </a:srgbClr>
                            </a:gs>
                            <a:gs pos="100000">
                              <a:srgbClr val="FFC000">
                                <a:lumMod val="105000"/>
                                <a:satMod val="109000"/>
                                <a:tint val="81000"/>
                              </a:srgbClr>
                            </a:gs>
                          </a:gsLst>
                          <a:lin ang="5400000" scaled="0"/>
                        </a:gradFill>
                        <a:ln w="6350" cap="flat" cmpd="sng" algn="ctr">
                          <a:solidFill>
                            <a:srgbClr val="FFC000"/>
                          </a:solidFill>
                          <a:prstDash val="solid"/>
                          <a:miter lim="800000"/>
                        </a:ln>
                        <a:effectLst/>
                      </wps:spPr>
                      <wps:txbx>
                        <w:txbxContent>
                          <w:p w14:paraId="767113B9" w14:textId="77777777" w:rsidR="00672ECC" w:rsidRPr="00672ECC" w:rsidRDefault="00672ECC" w:rsidP="00672ECC">
                            <w:pPr>
                              <w:rPr>
                                <w:color w:val="000000"/>
                              </w:rPr>
                            </w:pPr>
                            <w:r w:rsidRPr="00672ECC">
                              <w:rPr>
                                <w:color w:val="000000"/>
                              </w:rPr>
                              <w:t>"Qur'an and human rights," "Shari'ah law in Egypt," "Islamic law and human rights in Indonesia," and "Islamic jurisprudence."</w:t>
                            </w:r>
                          </w:p>
                          <w:p w14:paraId="6B0E971E" w14:textId="77777777" w:rsidR="00672ECC" w:rsidRPr="00672ECC" w:rsidRDefault="00672ECC" w:rsidP="00672ECC">
                            <w:pPr>
                              <w:rPr>
                                <w:rFonts w:ascii="Arial" w:hAnsi="Arial" w:cs="Arial"/>
                                <w:color w:val="000000"/>
                                <w:sz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E75505" id="Rectangle 20" o:spid="_x0000_s1032" style="position:absolute;margin-left:240pt;margin-top:7.7pt;width:148.6pt;height:6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" fillcolor="#ffdd9c" strokecolor="#ffc000" strokeweight=".5pt">
                <v:fill color2="#ffd479" rotate="t" colors="0 #ffdd9c;.5 #ffd78e;1 #ffd479" focus="100%" type="gradient">
                  <o:fill v:ext="view" type="gradientUnscaled"/>
                </v:fill>
                <v:path arrowok="t"/>
                <v:textbox>
                  <w:txbxContent>
                    <w:p w14:paraId="767113B9" w14:textId="77777777" w:rsidR="00672ECC" w:rsidRPr="00672ECC" w:rsidRDefault="00672ECC" w:rsidP="00672ECC">
                      <w:pPr>
                        <w:rPr>
                          <w:color w:val="000000"/>
                        </w:rPr>
                      </w:pPr>
                      <w:r w:rsidRPr="00672ECC">
                        <w:rPr>
                          <w:color w:val="000000"/>
                        </w:rPr>
                        <w:t>"Qur'an and human rights," "Shari'ah law in Egypt," "Islamic law and human rights in Indonesia," and "Islamic jurisprudence."</w:t>
                      </w:r>
                    </w:p>
                    <w:p w14:paraId="6B0E971E" w14:textId="77777777" w:rsidR="00672ECC" w:rsidRPr="00672ECC" w:rsidRDefault="00672ECC" w:rsidP="00672ECC">
                      <w:pPr>
                        <w:rPr>
                          <w:rFonts w:ascii="Arial" w:hAnsi="Arial" w:cs="Arial"/>
                          <w:color w:val="000000"/>
                          <w:sz w:val="18"/>
                        </w:rPr>
                      </w:pPr>
                    </w:p>
                  </w:txbxContent>
                </v:textbox>
              </v:rect>
            </w:pict>
          </mc:Fallback>
        </mc:AlternateContent>
      </w:r>
    </w:p>
    <w:p w14:paraId="702253D2" w14:textId="77777777" w:rsidR="00672ECC" w:rsidRPr="00672ECC" w:rsidRDefault="00E170AD" w:rsidP="00672ECC">
      <w:pPr>
        <w:autoSpaceDE/>
        <w:autoSpaceDN/>
        <w:rPr>
          <w:rFonts w:ascii="Calibri Light" w:hAnsi="Calibri Light" w:cs="Calibri Light"/>
          <w:sz w:val="22"/>
          <w:szCs w:val="22"/>
          <w:lang w:val="en-AU" w:eastAsia="en-US"/>
        </w:rPr>
      </w:pPr>
      <w:r>
        <w:rPr>
          <w:noProof/>
        </w:rPr>
        <mc:AlternateContent>
          <mc:Choice Requires="wps">
            <w:drawing>
              <wp:anchor distT="0" distB="0" distL="114300" distR="114300" simplePos="0" relativeHeight="251663360" behindDoc="0" locked="0" layoutInCell="1" allowOverlap="1" wp14:anchorId="2C68F9A1" wp14:editId="523D5853">
                <wp:simplePos x="0" y="0"/>
                <wp:positionH relativeFrom="column">
                  <wp:posOffset>560705</wp:posOffset>
                </wp:positionH>
                <wp:positionV relativeFrom="paragraph">
                  <wp:posOffset>47625</wp:posOffset>
                </wp:positionV>
                <wp:extent cx="1887220" cy="526415"/>
                <wp:effectExtent l="0" t="0" r="0" b="6985"/>
                <wp:wrapNone/>
                <wp:docPr id="183812549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526415"/>
                        </a:xfrm>
                        <a:prstGeom prst="rect">
                          <a:avLst/>
                        </a:prstGeom>
                        <a:gradFill rotWithShape="1">
                          <a:gsLst>
                            <a:gs pos="0">
                              <a:srgbClr val="70AD47">
                                <a:lumMod val="110000"/>
                                <a:satMod val="105000"/>
                                <a:tint val="67000"/>
                              </a:srgbClr>
                            </a:gs>
                            <a:gs pos="50000">
                              <a:srgbClr val="70AD47">
                                <a:lumMod val="105000"/>
                                <a:satMod val="103000"/>
                                <a:tint val="73000"/>
                              </a:srgbClr>
                            </a:gs>
                            <a:gs pos="100000">
                              <a:srgbClr val="70AD47">
                                <a:lumMod val="105000"/>
                                <a:satMod val="109000"/>
                                <a:tint val="81000"/>
                              </a:srgbClr>
                            </a:gs>
                          </a:gsLst>
                          <a:lin ang="5400000" scaled="0"/>
                        </a:gradFill>
                        <a:ln w="6350" cap="flat" cmpd="sng" algn="ctr">
                          <a:solidFill>
                            <a:srgbClr val="70AD47"/>
                          </a:solidFill>
                          <a:prstDash val="solid"/>
                          <a:miter lim="800000"/>
                        </a:ln>
                        <a:effectLst/>
                      </wps:spPr>
                      <wps:txbx>
                        <w:txbxContent>
                          <w:p w14:paraId="01FC99D3" w14:textId="77777777" w:rsidR="00672ECC" w:rsidRPr="00672ECC" w:rsidRDefault="00672ECC" w:rsidP="00672ECC">
                            <w:pPr>
                              <w:rPr>
                                <w:color w:val="000000"/>
                                <w:szCs w:val="22"/>
                              </w:rPr>
                            </w:pPr>
                            <w:r w:rsidRPr="00672ECC">
                              <w:rPr>
                                <w:color w:val="000000"/>
                                <w:szCs w:val="22"/>
                              </w:rPr>
                              <w:t>Key terms used in this search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68F9A1" id="Rectangle 18" o:spid="_x0000_s1033" style="position:absolute;margin-left:44.15pt;margin-top:3.75pt;width:148.6pt;height:41.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" fillcolor="#b5d5a7" strokecolor="#70ad47" strokeweight=".5pt">
                <v:fill color2="#9cca86" rotate="t" colors="0 #b5d5a7;.5 #aace99;1 #9cca86" focus="100%" type="gradient">
                  <o:fill v:ext="view" type="gradientUnscaled"/>
                </v:fill>
                <v:path arrowok="t"/>
                <v:textbox>
                  <w:txbxContent>
                    <w:p w14:paraId="01FC99D3" w14:textId="77777777" w:rsidR="00672ECC" w:rsidRPr="00672ECC" w:rsidRDefault="00672ECC" w:rsidP="00672ECC">
                      <w:pPr>
                        <w:rPr>
                          <w:color w:val="000000"/>
                          <w:szCs w:val="22"/>
                        </w:rPr>
                      </w:pPr>
                      <w:r w:rsidRPr="00672ECC">
                        <w:rPr>
                          <w:color w:val="000000"/>
                          <w:szCs w:val="22"/>
                        </w:rPr>
                        <w:t>Key terms used in this search</w:t>
                      </w:r>
                    </w:p>
                  </w:txbxContent>
                </v:textbox>
              </v:rect>
            </w:pict>
          </mc:Fallback>
        </mc:AlternateContent>
      </w:r>
      <w:r>
        <w:rPr>
          <w:noProof/>
        </w:rPr>
        <mc:AlternateContent>
          <mc:Choice Requires="wps">
            <w:drawing>
              <wp:anchor distT="4294967295" distB="4294967295" distL="114300" distR="114300" simplePos="0" relativeHeight="251669504" behindDoc="0" locked="0" layoutInCell="1" allowOverlap="1" wp14:anchorId="167242E5" wp14:editId="387CFD65">
                <wp:simplePos x="0" y="0"/>
                <wp:positionH relativeFrom="column">
                  <wp:posOffset>2463165</wp:posOffset>
                </wp:positionH>
                <wp:positionV relativeFrom="paragraph">
                  <wp:posOffset>320674</wp:posOffset>
                </wp:positionV>
                <wp:extent cx="563245" cy="0"/>
                <wp:effectExtent l="0" t="76200" r="8255" b="76200"/>
                <wp:wrapNone/>
                <wp:docPr id="643986967"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324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4EBCEFB" id="Straight Arrow Connector 16" o:spid="_x0000_s1026" type="#_x0000_t32" style="position:absolute;margin-left:193.95pt;margin-top:25.25pt;width:44.35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" strokecolor="windowText" strokeweight=".5pt">
                <v:stroke endarrow="block" joinstyle="miter"/>
                <o:lock v:ext="edit" shapetype="f"/>
              </v:shape>
            </w:pict>
          </mc:Fallback>
        </mc:AlternateContent>
      </w:r>
    </w:p>
    <w:p w14:paraId="6FF6918D" w14:textId="77777777" w:rsidR="00672ECC" w:rsidRPr="00672ECC" w:rsidRDefault="00672ECC" w:rsidP="00672ECC">
      <w:pPr>
        <w:autoSpaceDE/>
        <w:autoSpaceDN/>
        <w:rPr>
          <w:rFonts w:ascii="Calibri Light" w:hAnsi="Calibri Light" w:cs="Calibri Light"/>
          <w:sz w:val="22"/>
          <w:szCs w:val="22"/>
          <w:lang w:val="en-AU" w:eastAsia="en-US"/>
        </w:rPr>
      </w:pPr>
    </w:p>
    <w:p w14:paraId="613ACE93" w14:textId="77777777" w:rsidR="00672ECC" w:rsidRPr="00672ECC" w:rsidRDefault="00E170AD" w:rsidP="00672ECC">
      <w:pPr>
        <w:autoSpaceDE/>
        <w:autoSpaceDN/>
        <w:rPr>
          <w:rFonts w:ascii="Calibri Light" w:hAnsi="Calibri Light" w:cs="Calibri Light"/>
          <w:sz w:val="22"/>
          <w:szCs w:val="22"/>
          <w:lang w:val="en-AU" w:eastAsia="en-US"/>
        </w:rPr>
      </w:pPr>
      <w:r>
        <w:rPr>
          <w:noProof/>
        </w:rPr>
        <mc:AlternateContent>
          <mc:Choice Requires="wps">
            <w:drawing>
              <wp:anchor distT="0" distB="0" distL="114300" distR="114300" simplePos="0" relativeHeight="251672576" behindDoc="0" locked="0" layoutInCell="1" allowOverlap="1" wp14:anchorId="2E11D9FE" wp14:editId="7DE4B7FE">
                <wp:simplePos x="0" y="0"/>
                <wp:positionH relativeFrom="column">
                  <wp:posOffset>-1160780</wp:posOffset>
                </wp:positionH>
                <wp:positionV relativeFrom="paragraph">
                  <wp:posOffset>140335</wp:posOffset>
                </wp:positionV>
                <wp:extent cx="2787650" cy="262890"/>
                <wp:effectExtent l="5080" t="0" r="0" b="0"/>
                <wp:wrapNone/>
                <wp:docPr id="810699132" name="Flowchart: Alternate Process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2787650" cy="262890"/>
                        </a:xfrm>
                        <a:prstGeom prst="flowChartAlternateProcess">
                          <a:avLst/>
                        </a:prstGeom>
                        <a:solidFill>
                          <a:srgbClr val="5B9BD5">
                            <a:lumMod val="60000"/>
                            <a:lumOff val="40000"/>
                          </a:srgbClr>
                        </a:solidFill>
                        <a:ln w="12700" cap="flat" cmpd="sng" algn="ctr">
                          <a:solidFill>
                            <a:sysClr val="windowText" lastClr="000000"/>
                          </a:solidFill>
                          <a:prstDash val="solid"/>
                          <a:miter lim="800000"/>
                        </a:ln>
                        <a:effectLst/>
                      </wps:spPr>
                      <wps:txbx>
                        <w:txbxContent>
                          <w:p w14:paraId="3F19EBC3" w14:textId="77777777" w:rsidR="00672ECC" w:rsidRPr="00672ECC" w:rsidRDefault="00672ECC" w:rsidP="00672ECC">
                            <w:pPr>
                              <w:jc w:val="center"/>
                              <w:rPr>
                                <w:rFonts w:ascii="Arial" w:hAnsi="Arial" w:cs="Arial"/>
                                <w:b/>
                                <w:color w:val="000000"/>
                                <w:sz w:val="18"/>
                                <w:szCs w:val="18"/>
                              </w:rPr>
                            </w:pPr>
                            <w:r w:rsidRPr="00672ECC">
                              <w:rPr>
                                <w:rFonts w:ascii="Arial" w:hAnsi="Arial" w:cs="Arial"/>
                                <w:b/>
                                <w:color w:val="000000"/>
                                <w:sz w:val="18"/>
                                <w:szCs w:val="18"/>
                              </w:rPr>
                              <w:t>Screening</w:t>
                            </w:r>
                          </w:p>
                          <w:p w14:paraId="60766863" w14:textId="77777777" w:rsidR="00672ECC" w:rsidRPr="00672ECC" w:rsidRDefault="00672ECC" w:rsidP="00672ECC">
                            <w:pPr>
                              <w:rPr>
                                <w:rFonts w:ascii="Arial" w:hAnsi="Arial" w:cs="Arial"/>
                                <w:b/>
                                <w:color w:val="000000"/>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11D9FE" id="Flowchart: Alternate Process 14" o:spid="_x0000_s1034" type="#_x0000_t176" style="position:absolute;margin-left:-91.4pt;margin-top:11.05pt;width:219.5pt;height:20.7pt;rotation:-9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" fillcolor="#9dc3e6" strokecolor="windowText" strokeweight="1pt">
                <v:path arrowok="t"/>
                <v:textbox>
                  <w:txbxContent>
                    <w:p w14:paraId="3F19EBC3" w14:textId="77777777" w:rsidR="00672ECC" w:rsidRPr="00672ECC" w:rsidRDefault="00672ECC" w:rsidP="00672ECC">
                      <w:pPr>
                        <w:jc w:val="center"/>
                        <w:rPr>
                          <w:rFonts w:ascii="Arial" w:hAnsi="Arial" w:cs="Arial"/>
                          <w:b/>
                          <w:color w:val="000000"/>
                          <w:sz w:val="18"/>
                          <w:szCs w:val="18"/>
                        </w:rPr>
                      </w:pPr>
                      <w:r w:rsidRPr="00672ECC">
                        <w:rPr>
                          <w:rFonts w:ascii="Arial" w:hAnsi="Arial" w:cs="Arial"/>
                          <w:b/>
                          <w:color w:val="000000"/>
                          <w:sz w:val="18"/>
                          <w:szCs w:val="18"/>
                        </w:rPr>
                        <w:t>Screening</w:t>
                      </w:r>
                    </w:p>
                    <w:p w14:paraId="60766863" w14:textId="77777777" w:rsidR="00672ECC" w:rsidRPr="00672ECC" w:rsidRDefault="00672ECC" w:rsidP="00672ECC">
                      <w:pPr>
                        <w:rPr>
                          <w:rFonts w:ascii="Arial" w:hAnsi="Arial" w:cs="Arial"/>
                          <w:b/>
                          <w:color w:val="000000"/>
                          <w:sz w:val="18"/>
                          <w:szCs w:val="18"/>
                        </w:rPr>
                      </w:pPr>
                    </w:p>
                  </w:txbxContent>
                </v:textbox>
              </v:shape>
            </w:pict>
          </mc:Fallback>
        </mc:AlternateContent>
      </w:r>
    </w:p>
    <w:p w14:paraId="2813BD16" w14:textId="77777777" w:rsidR="00672ECC" w:rsidRPr="00672ECC" w:rsidRDefault="00E170AD" w:rsidP="00672ECC">
      <w:pPr>
        <w:autoSpaceDE/>
        <w:autoSpaceDN/>
        <w:rPr>
          <w:rFonts w:ascii="Calibri Light" w:hAnsi="Calibri Light" w:cs="Calibri Light"/>
          <w:sz w:val="22"/>
          <w:szCs w:val="22"/>
          <w:lang w:val="en-AU" w:eastAsia="en-US"/>
        </w:rPr>
      </w:pPr>
      <w:r>
        <w:rPr>
          <w:noProof/>
        </w:rPr>
        <mc:AlternateContent>
          <mc:Choice Requires="wps">
            <w:drawing>
              <wp:anchor distT="0" distB="0" distL="114299" distR="114299" simplePos="0" relativeHeight="251676672" behindDoc="0" locked="0" layoutInCell="1" allowOverlap="1" wp14:anchorId="4A73797E" wp14:editId="4B08B81B">
                <wp:simplePos x="0" y="0"/>
                <wp:positionH relativeFrom="column">
                  <wp:posOffset>1409699</wp:posOffset>
                </wp:positionH>
                <wp:positionV relativeFrom="paragraph">
                  <wp:posOffset>56515</wp:posOffset>
                </wp:positionV>
                <wp:extent cx="0" cy="281305"/>
                <wp:effectExtent l="76200" t="0" r="38100" b="42545"/>
                <wp:wrapNone/>
                <wp:docPr id="736257549"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8130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75CC7C1A" id="Straight Arrow Connector 12" o:spid="_x0000_s1026" type="#_x0000_t32" style="position:absolute;margin-left:111pt;margin-top:4.45pt;width:0;height:22.15pt;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" strokecolor="windowText" strokeweight=".5pt">
                <v:stroke endarrow="block" joinstyle="miter"/>
                <o:lock v:ext="edit" shapetype="f"/>
              </v:shape>
            </w:pict>
          </mc:Fallback>
        </mc:AlternateContent>
      </w:r>
    </w:p>
    <w:p w14:paraId="1849CD1C" w14:textId="77777777" w:rsidR="00672ECC" w:rsidRPr="00672ECC" w:rsidRDefault="00672ECC" w:rsidP="00672ECC">
      <w:pPr>
        <w:autoSpaceDE/>
        <w:autoSpaceDN/>
        <w:rPr>
          <w:rFonts w:ascii="Calibri Light" w:hAnsi="Calibri Light" w:cs="Calibri Light"/>
          <w:sz w:val="22"/>
          <w:szCs w:val="22"/>
          <w:lang w:val="en-AU" w:eastAsia="en-US"/>
        </w:rPr>
      </w:pPr>
    </w:p>
    <w:p w14:paraId="624E7606" w14:textId="77777777" w:rsidR="00672ECC" w:rsidRPr="00672ECC" w:rsidRDefault="00E170AD" w:rsidP="00672ECC">
      <w:pPr>
        <w:autoSpaceDE/>
        <w:autoSpaceDN/>
        <w:rPr>
          <w:rFonts w:ascii="Calibri Light" w:hAnsi="Calibri Light" w:cs="Calibri Light"/>
          <w:sz w:val="22"/>
          <w:szCs w:val="22"/>
          <w:lang w:val="en-AU" w:eastAsia="en-US"/>
        </w:rPr>
      </w:pPr>
      <w:r>
        <w:rPr>
          <w:noProof/>
        </w:rPr>
        <mc:AlternateContent>
          <mc:Choice Requires="wps">
            <w:drawing>
              <wp:anchor distT="0" distB="0" distL="114300" distR="114300" simplePos="0" relativeHeight="251665408" behindDoc="0" locked="0" layoutInCell="1" allowOverlap="1" wp14:anchorId="288BBBC7" wp14:editId="13AF7E36">
                <wp:simplePos x="0" y="0"/>
                <wp:positionH relativeFrom="column">
                  <wp:posOffset>561975</wp:posOffset>
                </wp:positionH>
                <wp:positionV relativeFrom="paragraph">
                  <wp:posOffset>13335</wp:posOffset>
                </wp:positionV>
                <wp:extent cx="1887220" cy="526415"/>
                <wp:effectExtent l="0" t="0" r="0" b="6985"/>
                <wp:wrapNone/>
                <wp:docPr id="56612909"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526415"/>
                        </a:xfrm>
                        <a:prstGeom prst="rect">
                          <a:avLst/>
                        </a:prstGeom>
                        <a:gradFill rotWithShape="1">
                          <a:gsLst>
                            <a:gs pos="0">
                              <a:srgbClr val="70AD47">
                                <a:lumMod val="110000"/>
                                <a:satMod val="105000"/>
                                <a:tint val="67000"/>
                              </a:srgbClr>
                            </a:gs>
                            <a:gs pos="50000">
                              <a:srgbClr val="70AD47">
                                <a:lumMod val="105000"/>
                                <a:satMod val="103000"/>
                                <a:tint val="73000"/>
                              </a:srgbClr>
                            </a:gs>
                            <a:gs pos="100000">
                              <a:srgbClr val="70AD47">
                                <a:lumMod val="105000"/>
                                <a:satMod val="109000"/>
                                <a:tint val="81000"/>
                              </a:srgbClr>
                            </a:gs>
                          </a:gsLst>
                          <a:lin ang="5400000" scaled="0"/>
                        </a:gradFill>
                        <a:ln w="6350" cap="flat" cmpd="sng" algn="ctr">
                          <a:solidFill>
                            <a:srgbClr val="70AD47"/>
                          </a:solidFill>
                          <a:prstDash val="solid"/>
                          <a:miter lim="800000"/>
                        </a:ln>
                        <a:effectLst/>
                      </wps:spPr>
                      <wps:txbx>
                        <w:txbxContent>
                          <w:p w14:paraId="5177FA0C" w14:textId="77777777" w:rsidR="00672ECC" w:rsidRPr="00672ECC" w:rsidRDefault="00672ECC" w:rsidP="00672ECC">
                            <w:pPr>
                              <w:rPr>
                                <w:rFonts w:ascii="Arial" w:hAnsi="Arial" w:cs="Arial"/>
                                <w:color w:val="000000"/>
                                <w:sz w:val="18"/>
                              </w:rPr>
                            </w:pPr>
                            <w:r w:rsidRPr="00672ECC">
                              <w:rPr>
                                <w:color w:val="000000"/>
                                <w:szCs w:val="22"/>
                              </w:rPr>
                              <w:t>150 studies passed the eligibility check based on the title and abstract</w:t>
                            </w:r>
                            <w:r w:rsidRPr="00672ECC">
                              <w:rPr>
                                <w:rFonts w:ascii="Arial" w:hAnsi="Arial" w:cs="Arial"/>
                                <w:color w:val="00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8BBBC7" id="Rectangle 10" o:spid="_x0000_s1035" style="position:absolute;margin-left:44.25pt;margin-top:1.05pt;width:148.6pt;height:41.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" fillcolor="#b5d5a7" strokecolor="#70ad47" strokeweight=".5pt">
                <v:fill color2="#9cca86" rotate="t" colors="0 #b5d5a7;.5 #aace99;1 #9cca86" focus="100%" type="gradient">
                  <o:fill v:ext="view" type="gradientUnscaled"/>
                </v:fill>
                <v:path arrowok="t"/>
                <v:textbox>
                  <w:txbxContent>
                    <w:p w14:paraId="5177FA0C" w14:textId="77777777" w:rsidR="00672ECC" w:rsidRPr="00672ECC" w:rsidRDefault="00672ECC" w:rsidP="00672ECC">
                      <w:pPr>
                        <w:rPr>
                          <w:rFonts w:ascii="Arial" w:hAnsi="Arial" w:cs="Arial"/>
                          <w:color w:val="000000"/>
                          <w:sz w:val="18"/>
                        </w:rPr>
                      </w:pPr>
                      <w:r w:rsidRPr="00672ECC">
                        <w:rPr>
                          <w:color w:val="000000"/>
                          <w:szCs w:val="22"/>
                        </w:rPr>
                        <w:t>150 studies passed the eligibility check based on the title and abstract</w:t>
                      </w:r>
                      <w:r w:rsidRPr="00672ECC">
                        <w:rPr>
                          <w:rFonts w:ascii="Arial" w:hAnsi="Arial" w:cs="Arial"/>
                          <w:color w:val="000000"/>
                          <w:sz w:val="18"/>
                        </w:rPr>
                        <w:t>.</w:t>
                      </w:r>
                    </w:p>
                  </w:txbxContent>
                </v:textbox>
              </v:rect>
            </w:pict>
          </mc:Fallback>
        </mc:AlternateContent>
      </w:r>
    </w:p>
    <w:p w14:paraId="7712AFA0" w14:textId="77777777" w:rsidR="00672ECC" w:rsidRPr="00672ECC" w:rsidRDefault="00672ECC" w:rsidP="00672ECC">
      <w:pPr>
        <w:autoSpaceDE/>
        <w:autoSpaceDN/>
        <w:rPr>
          <w:rFonts w:ascii="Calibri Light" w:hAnsi="Calibri Light" w:cs="Calibri Light"/>
          <w:sz w:val="22"/>
          <w:szCs w:val="22"/>
          <w:lang w:val="en-AU" w:eastAsia="en-US"/>
        </w:rPr>
      </w:pPr>
    </w:p>
    <w:p w14:paraId="22E87919" w14:textId="77777777" w:rsidR="00672ECC" w:rsidRPr="00672ECC" w:rsidRDefault="00672ECC" w:rsidP="00672ECC">
      <w:pPr>
        <w:autoSpaceDE/>
        <w:autoSpaceDN/>
        <w:rPr>
          <w:rFonts w:ascii="Calibri Light" w:hAnsi="Calibri Light" w:cs="Calibri Light"/>
          <w:sz w:val="22"/>
          <w:szCs w:val="22"/>
          <w:lang w:val="en-AU" w:eastAsia="en-US"/>
        </w:rPr>
      </w:pPr>
    </w:p>
    <w:p w14:paraId="4B7A842E" w14:textId="77777777" w:rsidR="00672ECC" w:rsidRPr="00672ECC" w:rsidRDefault="00E170AD" w:rsidP="00672ECC">
      <w:pPr>
        <w:autoSpaceDE/>
        <w:autoSpaceDN/>
        <w:rPr>
          <w:rFonts w:ascii="Calibri Light" w:hAnsi="Calibri Light" w:cs="Calibri Light"/>
          <w:sz w:val="22"/>
          <w:szCs w:val="22"/>
          <w:lang w:val="en-AU" w:eastAsia="en-US"/>
        </w:rPr>
      </w:pPr>
      <w:r>
        <w:rPr>
          <w:noProof/>
        </w:rPr>
        <mc:AlternateContent>
          <mc:Choice Requires="wps">
            <w:drawing>
              <wp:anchor distT="0" distB="0" distL="114299" distR="114299" simplePos="0" relativeHeight="251677696" behindDoc="0" locked="0" layoutInCell="1" allowOverlap="1" wp14:anchorId="4E89AAF1" wp14:editId="126FCAC7">
                <wp:simplePos x="0" y="0"/>
                <wp:positionH relativeFrom="column">
                  <wp:posOffset>1400809</wp:posOffset>
                </wp:positionH>
                <wp:positionV relativeFrom="paragraph">
                  <wp:posOffset>29845</wp:posOffset>
                </wp:positionV>
                <wp:extent cx="0" cy="746125"/>
                <wp:effectExtent l="76200" t="0" r="38100" b="34925"/>
                <wp:wrapNone/>
                <wp:docPr id="308621726"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4612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7FEEC303" id="Straight Arrow Connector 8" o:spid="_x0000_s1026" type="#_x0000_t32" style="position:absolute;margin-left:110.3pt;margin-top:2.35pt;width:0;height:58.75pt;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" strokecolor="windowText" strokeweight=".5pt">
                <v:stroke endarrow="block" joinstyle="miter"/>
                <o:lock v:ext="edit" shapetype="f"/>
              </v:shape>
            </w:pict>
          </mc:Fallback>
        </mc:AlternateContent>
      </w:r>
    </w:p>
    <w:p w14:paraId="362DB938" w14:textId="77777777" w:rsidR="00672ECC" w:rsidRPr="00672ECC" w:rsidRDefault="00672ECC" w:rsidP="00672ECC">
      <w:pPr>
        <w:autoSpaceDE/>
        <w:autoSpaceDN/>
        <w:rPr>
          <w:rFonts w:ascii="Calibri Light" w:hAnsi="Calibri Light" w:cs="Calibri Light"/>
          <w:sz w:val="22"/>
          <w:szCs w:val="22"/>
          <w:lang w:val="en-AU" w:eastAsia="en-US"/>
        </w:rPr>
      </w:pPr>
    </w:p>
    <w:p w14:paraId="13277163" w14:textId="77777777" w:rsidR="00672ECC" w:rsidRPr="00672ECC" w:rsidRDefault="00672ECC" w:rsidP="00672ECC">
      <w:pPr>
        <w:autoSpaceDE/>
        <w:autoSpaceDN/>
        <w:rPr>
          <w:rFonts w:ascii="Calibri Light" w:hAnsi="Calibri Light" w:cs="Calibri Light"/>
          <w:sz w:val="22"/>
          <w:szCs w:val="22"/>
          <w:lang w:val="en-AU" w:eastAsia="en-US"/>
        </w:rPr>
      </w:pPr>
    </w:p>
    <w:p w14:paraId="6B35A6D9" w14:textId="77777777" w:rsidR="00672ECC" w:rsidRPr="00672ECC" w:rsidRDefault="00672ECC" w:rsidP="00672ECC">
      <w:pPr>
        <w:autoSpaceDE/>
        <w:autoSpaceDN/>
        <w:rPr>
          <w:rFonts w:ascii="Calibri Light" w:hAnsi="Calibri Light" w:cs="Calibri Light"/>
          <w:sz w:val="22"/>
          <w:szCs w:val="22"/>
          <w:lang w:val="en-AU" w:eastAsia="en-US"/>
        </w:rPr>
      </w:pPr>
    </w:p>
    <w:p w14:paraId="044EC267" w14:textId="77777777" w:rsidR="00672ECC" w:rsidRPr="00672ECC" w:rsidRDefault="00E170AD" w:rsidP="00672ECC">
      <w:pPr>
        <w:autoSpaceDE/>
        <w:autoSpaceDN/>
        <w:rPr>
          <w:rFonts w:ascii="Calibri Light" w:hAnsi="Calibri Light" w:cs="Calibri Light"/>
          <w:sz w:val="22"/>
          <w:szCs w:val="22"/>
          <w:lang w:val="en-AU" w:eastAsia="en-US"/>
        </w:rPr>
      </w:pPr>
      <w:r>
        <w:rPr>
          <w:noProof/>
        </w:rPr>
        <mc:AlternateContent>
          <mc:Choice Requires="wps">
            <w:drawing>
              <wp:anchor distT="0" distB="0" distL="114300" distR="114300" simplePos="0" relativeHeight="251666432" behindDoc="0" locked="0" layoutInCell="1" allowOverlap="1" wp14:anchorId="65C2E4FF" wp14:editId="00D7E707">
                <wp:simplePos x="0" y="0"/>
                <wp:positionH relativeFrom="column">
                  <wp:posOffset>540385</wp:posOffset>
                </wp:positionH>
                <wp:positionV relativeFrom="paragraph">
                  <wp:posOffset>110490</wp:posOffset>
                </wp:positionV>
                <wp:extent cx="1887220" cy="723900"/>
                <wp:effectExtent l="0" t="0" r="0" b="0"/>
                <wp:wrapNone/>
                <wp:docPr id="6017657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723900"/>
                        </a:xfrm>
                        <a:prstGeom prst="rect">
                          <a:avLst/>
                        </a:prstGeom>
                        <a:gradFill rotWithShape="1">
                          <a:gsLst>
                            <a:gs pos="0">
                              <a:srgbClr val="70AD47">
                                <a:lumMod val="110000"/>
                                <a:satMod val="105000"/>
                                <a:tint val="67000"/>
                              </a:srgbClr>
                            </a:gs>
                            <a:gs pos="50000">
                              <a:srgbClr val="70AD47">
                                <a:lumMod val="105000"/>
                                <a:satMod val="103000"/>
                                <a:tint val="73000"/>
                              </a:srgbClr>
                            </a:gs>
                            <a:gs pos="100000">
                              <a:srgbClr val="70AD47">
                                <a:lumMod val="105000"/>
                                <a:satMod val="109000"/>
                                <a:tint val="81000"/>
                              </a:srgbClr>
                            </a:gs>
                          </a:gsLst>
                          <a:lin ang="5400000" scaled="0"/>
                        </a:gradFill>
                        <a:ln w="6350" cap="flat" cmpd="sng" algn="ctr">
                          <a:solidFill>
                            <a:srgbClr val="70AD47"/>
                          </a:solidFill>
                          <a:prstDash val="solid"/>
                          <a:miter lim="800000"/>
                        </a:ln>
                        <a:effectLst/>
                      </wps:spPr>
                      <wps:txbx>
                        <w:txbxContent>
                          <w:p w14:paraId="2F9BCE00" w14:textId="77777777" w:rsidR="00672ECC" w:rsidRPr="00672ECC" w:rsidRDefault="00672ECC" w:rsidP="00672ECC">
                            <w:pPr>
                              <w:rPr>
                                <w:rFonts w:ascii="Arial" w:hAnsi="Arial" w:cs="Arial"/>
                                <w:color w:val="000000"/>
                                <w:sz w:val="18"/>
                              </w:rPr>
                            </w:pPr>
                            <w:r w:rsidRPr="00672ECC">
                              <w:rPr>
                                <w:color w:val="000000"/>
                                <w:szCs w:val="22"/>
                              </w:rPr>
                              <w:t>50 studies were finally included for detailed analysis</w:t>
                            </w:r>
                            <w:r w:rsidRPr="00672ECC">
                              <w:rPr>
                                <w:rFonts w:ascii="Arial" w:hAnsi="Arial" w:cs="Arial"/>
                                <w:color w:val="00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C2E4FF" id="Rectangle 6" o:spid="_x0000_s1036" style="position:absolute;margin-left:42.55pt;margin-top:8.7pt;width:148.6pt;height:5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" fillcolor="#b5d5a7" strokecolor="#70ad47" strokeweight=".5pt">
                <v:fill color2="#9cca86" rotate="t" colors="0 #b5d5a7;.5 #aace99;1 #9cca86" focus="100%" type="gradient">
                  <o:fill v:ext="view" type="gradientUnscaled"/>
                </v:fill>
                <v:path arrowok="t"/>
                <v:textbox>
                  <w:txbxContent>
                    <w:p w14:paraId="2F9BCE00" w14:textId="77777777" w:rsidR="00672ECC" w:rsidRPr="00672ECC" w:rsidRDefault="00672ECC" w:rsidP="00672ECC">
                      <w:pPr>
                        <w:rPr>
                          <w:rFonts w:ascii="Arial" w:hAnsi="Arial" w:cs="Arial"/>
                          <w:color w:val="000000"/>
                          <w:sz w:val="18"/>
                        </w:rPr>
                      </w:pPr>
                      <w:r w:rsidRPr="00672ECC">
                        <w:rPr>
                          <w:color w:val="000000"/>
                          <w:szCs w:val="22"/>
                        </w:rPr>
                        <w:t>50 studies were finally included for detailed analysis</w:t>
                      </w:r>
                      <w:r w:rsidRPr="00672ECC">
                        <w:rPr>
                          <w:rFonts w:ascii="Arial" w:hAnsi="Arial" w:cs="Arial"/>
                          <w:color w:val="000000"/>
                          <w:sz w:val="18"/>
                        </w:rPr>
                        <w:t>.</w:t>
                      </w:r>
                    </w:p>
                  </w:txbxContent>
                </v:textbox>
              </v:rect>
            </w:pict>
          </mc:Fallback>
        </mc:AlternateContent>
      </w:r>
    </w:p>
    <w:p w14:paraId="5C84AEBA" w14:textId="77777777" w:rsidR="00672ECC" w:rsidRPr="00672ECC" w:rsidRDefault="00E170AD" w:rsidP="00672ECC">
      <w:pPr>
        <w:autoSpaceDE/>
        <w:autoSpaceDN/>
        <w:rPr>
          <w:rFonts w:ascii="Calibri Light" w:hAnsi="Calibri Light" w:cs="Calibri Light"/>
          <w:sz w:val="22"/>
          <w:szCs w:val="22"/>
          <w:lang w:val="en-AU" w:eastAsia="en-US"/>
        </w:rPr>
      </w:pPr>
      <w:r>
        <w:rPr>
          <w:noProof/>
        </w:rPr>
        <mc:AlternateContent>
          <mc:Choice Requires="wps">
            <w:drawing>
              <wp:anchor distT="0" distB="0" distL="114300" distR="114300" simplePos="0" relativeHeight="251673600" behindDoc="0" locked="0" layoutInCell="1" allowOverlap="1" wp14:anchorId="75C6A998" wp14:editId="616512F2">
                <wp:simplePos x="0" y="0"/>
                <wp:positionH relativeFrom="column">
                  <wp:posOffset>-133350</wp:posOffset>
                </wp:positionH>
                <wp:positionV relativeFrom="paragraph">
                  <wp:posOffset>170815</wp:posOffset>
                </wp:positionV>
                <wp:extent cx="764540" cy="262890"/>
                <wp:effectExtent l="3175" t="0" r="635" b="635"/>
                <wp:wrapNone/>
                <wp:docPr id="1132616007" name="Flowchart: Alternate Process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764540" cy="262890"/>
                        </a:xfrm>
                        <a:prstGeom prst="flowChartAlternateProcess">
                          <a:avLst/>
                        </a:prstGeom>
                        <a:solidFill>
                          <a:srgbClr val="5B9BD5">
                            <a:lumMod val="60000"/>
                            <a:lumOff val="40000"/>
                          </a:srgbClr>
                        </a:solidFill>
                        <a:ln w="12700" cap="flat" cmpd="sng" algn="ctr">
                          <a:solidFill>
                            <a:sysClr val="windowText" lastClr="000000"/>
                          </a:solidFill>
                          <a:prstDash val="solid"/>
                          <a:miter lim="800000"/>
                        </a:ln>
                        <a:effectLst/>
                      </wps:spPr>
                      <wps:txbx>
                        <w:txbxContent>
                          <w:p w14:paraId="6D1A8616" w14:textId="77777777" w:rsidR="00672ECC" w:rsidRPr="00672ECC" w:rsidRDefault="00672ECC" w:rsidP="00672ECC">
                            <w:pPr>
                              <w:jc w:val="center"/>
                              <w:rPr>
                                <w:rFonts w:ascii="Arial" w:hAnsi="Arial" w:cs="Arial"/>
                                <w:b/>
                                <w:color w:val="000000"/>
                                <w:sz w:val="18"/>
                                <w:szCs w:val="18"/>
                              </w:rPr>
                            </w:pPr>
                            <w:r w:rsidRPr="00672ECC">
                              <w:rPr>
                                <w:rFonts w:ascii="Arial" w:hAnsi="Arial" w:cs="Arial"/>
                                <w:b/>
                                <w:color w:val="000000"/>
                                <w:sz w:val="18"/>
                                <w:szCs w:val="18"/>
                              </w:rPr>
                              <w:t>Included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C6A998" id="Flowchart: Alternate Process 4" o:spid="_x0000_s1037" type="#_x0000_t176" style="position:absolute;margin-left:-10.5pt;margin-top:13.45pt;width:60.2pt;height:20.7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" fillcolor="#9dc3e6" strokecolor="windowText" strokeweight="1pt">
                <v:path arrowok="t"/>
                <v:textbox>
                  <w:txbxContent>
                    <w:p w14:paraId="6D1A8616" w14:textId="77777777" w:rsidR="00672ECC" w:rsidRPr="00672ECC" w:rsidRDefault="00672ECC" w:rsidP="00672ECC">
                      <w:pPr>
                        <w:jc w:val="center"/>
                        <w:rPr>
                          <w:rFonts w:ascii="Arial" w:hAnsi="Arial" w:cs="Arial"/>
                          <w:b/>
                          <w:color w:val="000000"/>
                          <w:sz w:val="18"/>
                          <w:szCs w:val="18"/>
                        </w:rPr>
                      </w:pPr>
                      <w:r w:rsidRPr="00672ECC">
                        <w:rPr>
                          <w:rFonts w:ascii="Arial" w:hAnsi="Arial" w:cs="Arial"/>
                          <w:b/>
                          <w:color w:val="000000"/>
                          <w:sz w:val="18"/>
                          <w:szCs w:val="18"/>
                        </w:rPr>
                        <w:t>Included</w:t>
                      </w:r>
                    </w:p>
                  </w:txbxContent>
                </v:textbox>
              </v:shape>
            </w:pict>
          </mc:Fallback>
        </mc:AlternateContent>
      </w:r>
    </w:p>
    <w:bookmarkEnd w:id="6"/>
    <w:p w14:paraId="692FF015" w14:textId="77777777" w:rsidR="00672ECC" w:rsidRPr="00672ECC" w:rsidRDefault="00672ECC" w:rsidP="00672ECC">
      <w:pPr>
        <w:autoSpaceDE/>
        <w:autoSpaceDN/>
        <w:spacing w:after="160" w:line="259" w:lineRule="auto"/>
        <w:jc w:val="both"/>
        <w:rPr>
          <w:rFonts w:cs="Calibri Light"/>
          <w:sz w:val="22"/>
          <w:szCs w:val="22"/>
          <w:rtl/>
          <w:lang w:val="en-AU" w:eastAsia="en-US"/>
        </w:rPr>
      </w:pPr>
    </w:p>
    <w:p w14:paraId="6F1A3FA6" w14:textId="77777777" w:rsidR="00672ECC" w:rsidRPr="00672ECC" w:rsidRDefault="00672ECC" w:rsidP="00672ECC">
      <w:pPr>
        <w:autoSpaceDE/>
        <w:autoSpaceDN/>
        <w:spacing w:after="160" w:line="259" w:lineRule="auto"/>
        <w:jc w:val="both"/>
        <w:rPr>
          <w:rFonts w:cs="Calibri Light"/>
          <w:sz w:val="22"/>
          <w:szCs w:val="22"/>
          <w:rtl/>
          <w:lang w:val="en-AU" w:eastAsia="en-US"/>
        </w:rPr>
      </w:pPr>
    </w:p>
    <w:p w14:paraId="5D08C454" w14:textId="77777777" w:rsidR="005A5D6C" w:rsidRPr="00672ECC" w:rsidRDefault="005A5D6C" w:rsidP="00D71087">
      <w:pPr>
        <w:spacing w:before="120" w:after="120"/>
        <w:ind w:left="426"/>
        <w:rPr>
          <w:rFonts w:ascii="Calibri Light" w:hAnsi="Calibri Light" w:cs="Calibri Light"/>
          <w:sz w:val="24"/>
          <w:szCs w:val="24"/>
          <w:rtl/>
        </w:rPr>
      </w:pPr>
    </w:p>
    <w:p w14:paraId="3460C2A0"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7F17547B"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p>
    <w:p w14:paraId="3D10E327" w14:textId="77777777" w:rsidR="0007539D" w:rsidRPr="0007539D" w:rsidRDefault="00D26ADD" w:rsidP="0007539D">
      <w:pPr>
        <w:spacing w:before="120" w:after="120"/>
        <w:ind w:left="440" w:right="-1" w:hanging="14"/>
        <w:jc w:val="both"/>
        <w:rPr>
          <w:rFonts w:ascii="Calibri Light" w:hAnsi="Calibri Light" w:cs="Calibri Light"/>
          <w:sz w:val="24"/>
          <w:szCs w:val="24"/>
          <w:lang w:val="en-ID"/>
        </w:rPr>
      </w:pPr>
      <w:r w:rsidRPr="00122F5F">
        <w:rPr>
          <w:rFonts w:ascii="Calibri Light" w:hAnsi="Calibri Light" w:cs="Calibri Light"/>
          <w:sz w:val="24"/>
          <w:szCs w:val="24"/>
        </w:rPr>
        <w:t xml:space="preserve"> </w:t>
      </w:r>
      <w:r w:rsidR="0007539D" w:rsidRPr="0007539D">
        <w:rPr>
          <w:rFonts w:ascii="Calibri Light" w:hAnsi="Calibri Light" w:cs="Calibri Light"/>
          <w:sz w:val="24"/>
          <w:szCs w:val="24"/>
          <w:lang w:val="en-ID"/>
        </w:rPr>
        <w:t xml:space="preserve">The results and discussion of this study focus on </w:t>
      </w:r>
      <w:proofErr w:type="spellStart"/>
      <w:r w:rsidR="0007539D" w:rsidRPr="0007539D">
        <w:rPr>
          <w:rFonts w:ascii="Calibri Light" w:hAnsi="Calibri Light" w:cs="Calibri Light"/>
          <w:sz w:val="24"/>
          <w:szCs w:val="24"/>
          <w:lang w:val="en-ID"/>
        </w:rPr>
        <w:t>analyzing</w:t>
      </w:r>
      <w:proofErr w:type="spellEnd"/>
      <w:r w:rsidR="0007539D" w:rsidRPr="0007539D">
        <w:rPr>
          <w:rFonts w:ascii="Calibri Light" w:hAnsi="Calibri Light" w:cs="Calibri Light"/>
          <w:sz w:val="24"/>
          <w:szCs w:val="24"/>
          <w:lang w:val="en-ID"/>
        </w:rPr>
        <w:t xml:space="preserve"> the integration of Qur'anic principles related to human rights in the legal systems of Egypt and Indonesia, with special emphasis on the ways these principles are interpreted and applied in contemporary settings. The comparative analysis reveals important insights into how Islamic teachings are translated into legal practice, highlighting the strengths and limitations of each system in aligning with universal human rights standards </w:t>
      </w:r>
      <w:r w:rsidR="00A526EF">
        <w:rPr>
          <w:rFonts w:ascii="Calibri Light" w:hAnsi="Calibri Light" w:cs="Calibri Light"/>
          <w:sz w:val="24"/>
          <w:szCs w:val="24"/>
          <w:lang w:val="en-ID"/>
        </w:rPr>
        <w:fldChar w:fldCharType="begin" w:fldLock="1"/>
      </w:r>
      <w:r w:rsidR="00A526EF">
        <w:rPr>
          <w:rFonts w:ascii="Calibri Light" w:hAnsi="Calibri Light" w:cs="Calibri Light"/>
          <w:sz w:val="24"/>
          <w:szCs w:val="24"/>
          <w:lang w:val="en-ID"/>
        </w:rPr>
        <w:instrText>ADDIN CSL_CITATION {"citationItems":[{"id":"ITEM-1","itemData":{"DOI":"10.15168/2284-4503-3204","ISSN":"22844503 (ISSN)","abstract":"The protection of the rights of persons with disabilities has undergone an extraordinary development in recent decades, culminating in the adoption of the United Nations convention on the rights of persons with disabilities. The latter has become the cornerstone of an ongoing legal and cultural revolution, based on adherence to the so-called human rights model. Moreover, the convention boosted a change in the global system of protection of human rights. Against this background, this contribution argues that some of the provisions of the convention have acquired the value of a source of general international law, thus providing a further interpretive tool for a affirming a higher standard of protection of disability rights. © (2024), (University of Trento). All rights reserved.","author":[{"dropping-particle":"","family":"Favalli","given":"S","non-dropping-particle":"","parse-names":false,"suffix":""}],"container-title":"BioLaw Journal","id":"ITEM-1","issue":"3","issued":{"date-parts":[["2024"]]},"language":"English","page":"351-362","publisher":"University of Trento","publisher-place":"Ricercatrice (tdA) in Diritto Internazionale, Università degli Studi di Milano, Italy","title":"THE ROLE OF THE UNITED NATIONS CONVENTION ON THE RIGHTS OF PERSONS WITH DISABILITIES AND THE HUMAN RIGHTS MODEL","type":"article-journal"},"uris":["http://www.mendeley.com/documents/?uuid=3e837698-57f0-4797-b699-c0f682ca492c","http://www.mendeley.com/documents/?uuid=efa4551e-48a6-4d38-b00c-445ae70d0c03"]}],"mendeley":{"formattedCitation":"(Favalli 2024)","plainTextFormattedCitation":"(Favalli 2024)","previouslyFormattedCitation":"(Favalli 2024)"},"properties":{"noteIndex":0},"schema":"https://github.com/citation-style-language/schema/raw/master/csl-citation.json"}</w:instrText>
      </w:r>
      <w:r w:rsidR="00A526EF">
        <w:rPr>
          <w:rFonts w:ascii="Calibri Light" w:hAnsi="Calibri Light" w:cs="Calibri Light"/>
          <w:sz w:val="24"/>
          <w:szCs w:val="24"/>
          <w:lang w:val="en-ID"/>
        </w:rPr>
        <w:fldChar w:fldCharType="separate"/>
      </w:r>
      <w:r w:rsidR="00E810D4" w:rsidRPr="00E810D4">
        <w:rPr>
          <w:rFonts w:ascii="Calibri Light" w:hAnsi="Calibri Light" w:cs="Calibri Light"/>
          <w:noProof/>
          <w:sz w:val="24"/>
          <w:szCs w:val="24"/>
          <w:lang w:val="en-ID"/>
        </w:rPr>
        <w:t>(Favalli 2024)</w:t>
      </w:r>
      <w:r w:rsidR="00A526EF">
        <w:rPr>
          <w:rFonts w:ascii="Calibri Light" w:hAnsi="Calibri Light" w:cs="Calibri Light"/>
          <w:sz w:val="24"/>
          <w:szCs w:val="24"/>
          <w:lang w:val="en-ID"/>
        </w:rPr>
        <w:fldChar w:fldCharType="end"/>
      </w:r>
      <w:r w:rsidR="0007539D" w:rsidRPr="0007539D">
        <w:rPr>
          <w:rFonts w:ascii="Calibri Light" w:hAnsi="Calibri Light" w:cs="Calibri Light"/>
          <w:sz w:val="24"/>
          <w:szCs w:val="24"/>
          <w:lang w:val="en-ID"/>
        </w:rPr>
        <w:t>.</w:t>
      </w:r>
    </w:p>
    <w:p w14:paraId="4BE71B5F" w14:textId="77777777" w:rsidR="0007539D" w:rsidRPr="0007539D" w:rsidRDefault="0007539D" w:rsidP="0007539D">
      <w:pPr>
        <w:spacing w:before="120" w:after="120"/>
        <w:ind w:left="440" w:right="-1" w:hanging="14"/>
        <w:jc w:val="both"/>
        <w:rPr>
          <w:rFonts w:ascii="Calibri Light" w:hAnsi="Calibri Light" w:cs="Calibri Light"/>
          <w:b/>
          <w:bCs/>
          <w:sz w:val="24"/>
          <w:szCs w:val="24"/>
          <w:lang w:val="en-ID"/>
        </w:rPr>
      </w:pPr>
      <w:r w:rsidRPr="0007539D">
        <w:rPr>
          <w:rFonts w:ascii="Calibri Light" w:hAnsi="Calibri Light" w:cs="Calibri Light"/>
          <w:b/>
          <w:bCs/>
          <w:sz w:val="24"/>
          <w:szCs w:val="24"/>
          <w:lang w:val="en-ID"/>
        </w:rPr>
        <w:lastRenderedPageBreak/>
        <w:t>Results</w:t>
      </w:r>
    </w:p>
    <w:p w14:paraId="7C11DAEF" w14:textId="77777777" w:rsidR="0007539D" w:rsidRPr="0007539D" w:rsidRDefault="0007539D" w:rsidP="0007539D">
      <w:pPr>
        <w:spacing w:before="120" w:after="120"/>
        <w:ind w:left="440" w:right="-1" w:hanging="14"/>
        <w:jc w:val="both"/>
        <w:rPr>
          <w:rFonts w:ascii="Calibri Light" w:hAnsi="Calibri Light" w:cs="Calibri Light"/>
          <w:sz w:val="24"/>
          <w:szCs w:val="24"/>
          <w:lang w:val="en-ID"/>
        </w:rPr>
      </w:pPr>
      <w:r w:rsidRPr="0007539D">
        <w:rPr>
          <w:rFonts w:ascii="Calibri Light" w:hAnsi="Calibri Light" w:cs="Calibri Light"/>
          <w:sz w:val="24"/>
          <w:szCs w:val="24"/>
          <w:lang w:val="en-ID"/>
        </w:rPr>
        <w:t>The analysis of the literature reveals significant variations in the interpretation and application of human rights law based on the Qur'an in Egypt and Indonesia. Both countries, while predominantly Muslim, have adopted different approaches to integrating Islamic principles into their national legal frameworks</w:t>
      </w:r>
      <w:r w:rsidR="00FB4ACA">
        <w:rPr>
          <w:rFonts w:ascii="Calibri Light" w:hAnsi="Calibri Light" w:cs="Calibri Light"/>
          <w:sz w:val="24"/>
          <w:szCs w:val="24"/>
          <w:lang w:val="en-ID"/>
        </w:rPr>
        <w:fldChar w:fldCharType="begin" w:fldLock="1"/>
      </w:r>
      <w:r w:rsidR="00FB4ACA">
        <w:rPr>
          <w:rFonts w:ascii="Calibri Light" w:hAnsi="Calibri Light" w:cs="Calibri Light"/>
          <w:sz w:val="24"/>
          <w:szCs w:val="24"/>
          <w:lang w:val="en-ID"/>
        </w:rPr>
        <w:instrText>ADDIN CSL_CITATION {"citationItems":[{"id":"ITEM-1","itemData":{"DOI":"10.47172/2965-730X.SDGsReview.v4.n00.pe01721","ISSN":"2965-730X","abstract":"Objective: The fact in salt production by traditional coastal communities is a lack of understanding of the halal standards for salt production formulated by the Ulama Consultative Council in the Aceh region. Supposedly, Muslim salt farmers already have basic knowledge about halal salt production standards under Islamic sharia rules. This article, therefore, describes the salt processing process that conforms to halal production standards, including the main raw materials, workers, facilities, production processes, product packaging, and product distribution under Islamic law. Method: The data used in this study were observations of Lancang coastal salt (coastal salt fields), interviews with the head of LPPOM MPU and secretaries, the head of the Banda Aceh Maritime Affairs and Fisheries Service, 241 coastal salt farmers, and three staff supporting salt farmers. Data were also obtained through a focus group discussion attended by all elements involved in the Acehnese halal salt production. Results: The results of this study highlighted that four standards had been met: raw material standards, worker standards, packaging standards, and distribution standards. Meanwhile, two standards have not been fulfilled: the standard for processing and the standard for the facilities used. Both have not met halal standards according to the guidelines of the Ulama Consultative Council in Aceh. SDGs Review | São Paulo (SP) | VOL. 4 | e01594 | pag: 01-47 | Jan-Dec | 2024. Contribution: this research helps improve the quality of salt produced by traditional farmers in Aceh by introducing and guiding them to comply with the halal standards set by LPPOM MPU Aceh. Education and awareness-raising among farmers about the importance of halal production are key points, where they are taught how to apply halal principles at every stage of the salt-making process. With a better understanding of these standards, farmers can not only improve the quality of their products but also obtain halal certification, which in turn increases the market value and consumer trust in the salt they produce. Furthermore, this research positively impacts the local economy by opening up broader market opportunities for traditional salt farmers. Halal certification allows them to sell their products to a larger market segment, including consumers who prioritize halal products, thus increasing the income and well-being of the farmers. Additionally, this research emphasizes the importance of preserving t…","author":[{"dropping-particle":"","family":"Nirwana","given":"Andri","non-dropping-particle":"","parse-names":false,"suffix":""},{"dropping-particle":"","family":"Arfan","given":"Fahmi","non-dropping-particle":"","parse-names":false,"suffix":""},{"dropping-particle":"","family":"Muthoifin","given":"","non-dropping-particle":"","parse-names":false,"suffix":""},{"dropping-particle":"","family":"Daud","given":"Zainora","non-dropping-particle":"","parse-names":false,"suffix":""},{"dropping-particle":"","family":"Amin","given":"Saifuddin","non-dropping-particle":"","parse-names":false,"suffix":""},{"dropping-particle":"","family":"Hidayat","given":"Syamsul","non-dropping-particle":"","parse-names":false,"suffix":""},{"dropping-particle":"","family":"Marshal","given":"Fahmi Dolles","non-dropping-particle":"","parse-names":false,"suffix":""}],"container-title":"Journal of Lifestyle and SDGs Review","id":"ITEM-1","issue":"2","issued":{"date-parts":[["2024","8","12"]]},"page":"e01721","title":"The Role of Traditional Salt Production in Achieving Halal Standards of the Ulamaconsultative Council: Implications for Sustainable Development Goals","type":"article-journal","volume":"4"},"uris":["http://www.mendeley.com/documents/?uuid=b64009f9-1156-4ec8-975d-6963dcdb86dc"]}],"mendeley":{"formattedCitation":"(Nirwana, Arfan, et al. 2024)","plainTextFormattedCitation":"(Nirwana, Arfan, et al. 2024)","previouslyFormattedCitation":"(Nirwana, Arfan, et al. 2024)"},"properties":{"noteIndex":0},"schema":"https://github.com/citation-style-language/schema/raw/master/csl-citation.json"}</w:instrText>
      </w:r>
      <w:r w:rsidR="00FB4ACA">
        <w:rPr>
          <w:rFonts w:ascii="Calibri Light" w:hAnsi="Calibri Light" w:cs="Calibri Light"/>
          <w:sz w:val="24"/>
          <w:szCs w:val="24"/>
          <w:lang w:val="en-ID"/>
        </w:rPr>
        <w:fldChar w:fldCharType="separate"/>
      </w:r>
      <w:r w:rsidR="00FB4ACA" w:rsidRPr="00FB4ACA">
        <w:rPr>
          <w:rFonts w:ascii="Calibri Light" w:hAnsi="Calibri Light" w:cs="Calibri Light"/>
          <w:noProof/>
          <w:sz w:val="24"/>
          <w:szCs w:val="24"/>
          <w:lang w:val="en-ID"/>
        </w:rPr>
        <w:t>(Nirwana, Arfan, et al. 2024)</w:t>
      </w:r>
      <w:r w:rsidR="00FB4ACA">
        <w:rPr>
          <w:rFonts w:ascii="Calibri Light" w:hAnsi="Calibri Light" w:cs="Calibri Light"/>
          <w:sz w:val="24"/>
          <w:szCs w:val="24"/>
          <w:lang w:val="en-ID"/>
        </w:rPr>
        <w:fldChar w:fldCharType="end"/>
      </w:r>
      <w:r w:rsidRPr="0007539D">
        <w:rPr>
          <w:rFonts w:ascii="Calibri Light" w:hAnsi="Calibri Light" w:cs="Calibri Light"/>
          <w:sz w:val="24"/>
          <w:szCs w:val="24"/>
          <w:lang w:val="en-ID"/>
        </w:rPr>
        <w:t xml:space="preserve">. In Egypt, the legal system operates with a combination of </w:t>
      </w:r>
      <w:proofErr w:type="spellStart"/>
      <w:r w:rsidRPr="0007539D">
        <w:rPr>
          <w:rFonts w:ascii="Calibri Light" w:hAnsi="Calibri Light" w:cs="Calibri Light"/>
          <w:sz w:val="24"/>
          <w:szCs w:val="24"/>
          <w:lang w:val="en-ID"/>
        </w:rPr>
        <w:t>Shari'ah</w:t>
      </w:r>
      <w:proofErr w:type="spellEnd"/>
      <w:r w:rsidRPr="0007539D">
        <w:rPr>
          <w:rFonts w:ascii="Calibri Light" w:hAnsi="Calibri Light" w:cs="Calibri Light"/>
          <w:sz w:val="24"/>
          <w:szCs w:val="24"/>
          <w:lang w:val="en-ID"/>
        </w:rPr>
        <w:t xml:space="preserve"> law and secular legal norms, whereas Indonesia, while also incorporating </w:t>
      </w:r>
      <w:proofErr w:type="spellStart"/>
      <w:r w:rsidRPr="0007539D">
        <w:rPr>
          <w:rFonts w:ascii="Calibri Light" w:hAnsi="Calibri Light" w:cs="Calibri Light"/>
          <w:sz w:val="24"/>
          <w:szCs w:val="24"/>
          <w:lang w:val="en-ID"/>
        </w:rPr>
        <w:t>Shari'ah</w:t>
      </w:r>
      <w:proofErr w:type="spellEnd"/>
      <w:r w:rsidRPr="0007539D">
        <w:rPr>
          <w:rFonts w:ascii="Calibri Light" w:hAnsi="Calibri Light" w:cs="Calibri Light"/>
          <w:sz w:val="24"/>
          <w:szCs w:val="24"/>
          <w:lang w:val="en-ID"/>
        </w:rPr>
        <w:t xml:space="preserve"> principles in some regions, maintains a more pluralistic approach to governance and law </w:t>
      </w:r>
      <w:r w:rsidR="00A526EF">
        <w:rPr>
          <w:rFonts w:ascii="Calibri Light" w:hAnsi="Calibri Light" w:cs="Calibri Light"/>
          <w:sz w:val="24"/>
          <w:szCs w:val="24"/>
          <w:lang w:val="en-ID"/>
        </w:rPr>
        <w:fldChar w:fldCharType="begin" w:fldLock="1"/>
      </w:r>
      <w:r w:rsidR="00A526EF">
        <w:rPr>
          <w:rFonts w:ascii="Calibri Light" w:hAnsi="Calibri Light" w:cs="Calibri Light"/>
          <w:sz w:val="24"/>
          <w:szCs w:val="24"/>
          <w:lang w:val="en-ID"/>
        </w:rPr>
        <w:instrText>ADDIN CSL_CITATION {"citationItems":[{"id":"ITEM-1","itemData":{"DOI":"10.1017/S2045381722000168","ISSN":"20453817 (ISSN)","abstract":"'Practical' approaches to human rights hold that analysis of legal human rights must attend to the practice(s) of international human rights law and that the nature and justification of international human rights is best determined by attending to their role(s) in international human rights law's system of normative practices, not analogous moral rights outside it. These core tenets plausibly explain the apparent normativity of international human rights law despite controversies about the status of many 'rights' in the 'International Bill of Rights'. Yet plausible practical approaches require clear and compelling accounts of which practices qualify as human rights practices. Most existing accounts view 'responses' to claims made in the name of the international legal community as key to the identification of human rights. Activities by domestic governments and non-governmental actors qualify as relevant practices. While understandable, these 'responsive' accounts of practice create more problems than they solve. This work accordingly promotes a largely unexplored account on which 'human rights practices' are strictly defined by international legal doctrine. This 'doctrinal' account of practice is most likely to maintain practical approaches to human rights' potential benefits without generating an unduly expansive rights register or adopting strong theoretical commitments about the nature of law. © The Author(s), 2022. Published by Cambridge University Press.","author":[{"dropping-particle":"","family":"Silva","given":"M","non-dropping-particle":"Da","parse-names":false,"suffix":""}],"container-title":"Global Constitutionalism","id":"ITEM-1","issue":"1","issued":{"date-parts":[["2023"]]},"language":"English","page":"106-132","publisher":"Cambridge University Press","publisher-place":"School of Law, University of Southampton, Southampton, United Kingdom","title":"Legal doctrine as human rights 'practice'","type":"article-journal","volume":"12"},"uris":["http://www.mendeley.com/documents/?uuid=884741a9-98db-4ce0-a56c-33519d0e9e12"]}],"mendeley":{"formattedCitation":"(Da Silva 2023)","plainTextFormattedCitation":"(Da Silva 2023)","previouslyFormattedCitation":"(Da Silva 2023)"},"properties":{"noteIndex":0},"schema":"https://github.com/citation-style-language/schema/raw/master/csl-citation.json"}</w:instrText>
      </w:r>
      <w:r w:rsidR="00A526EF">
        <w:rPr>
          <w:rFonts w:ascii="Calibri Light" w:hAnsi="Calibri Light" w:cs="Calibri Light"/>
          <w:sz w:val="24"/>
          <w:szCs w:val="24"/>
          <w:lang w:val="en-ID"/>
        </w:rPr>
        <w:fldChar w:fldCharType="separate"/>
      </w:r>
      <w:r w:rsidR="00E810D4" w:rsidRPr="00E810D4">
        <w:rPr>
          <w:rFonts w:ascii="Calibri Light" w:hAnsi="Calibri Light" w:cs="Calibri Light"/>
          <w:noProof/>
          <w:sz w:val="24"/>
          <w:szCs w:val="24"/>
          <w:lang w:val="en-ID"/>
        </w:rPr>
        <w:t>(Da Silva 2023)</w:t>
      </w:r>
      <w:r w:rsidR="00A526EF">
        <w:rPr>
          <w:rFonts w:ascii="Calibri Light" w:hAnsi="Calibri Light" w:cs="Calibri Light"/>
          <w:sz w:val="24"/>
          <w:szCs w:val="24"/>
          <w:lang w:val="en-ID"/>
        </w:rPr>
        <w:fldChar w:fldCharType="end"/>
      </w:r>
      <w:r w:rsidRPr="0007539D">
        <w:rPr>
          <w:rFonts w:ascii="Calibri Light" w:hAnsi="Calibri Light" w:cs="Calibri Light"/>
          <w:sz w:val="24"/>
          <w:szCs w:val="24"/>
          <w:lang w:val="en-ID"/>
        </w:rPr>
        <w:t>.</w:t>
      </w:r>
    </w:p>
    <w:p w14:paraId="5408F158" w14:textId="77777777" w:rsidR="0007539D" w:rsidRPr="0007539D" w:rsidRDefault="0007539D" w:rsidP="0007539D">
      <w:pPr>
        <w:spacing w:before="120" w:after="120"/>
        <w:ind w:left="440" w:right="-1" w:hanging="14"/>
        <w:jc w:val="both"/>
        <w:rPr>
          <w:rFonts w:ascii="Calibri Light" w:hAnsi="Calibri Light" w:cs="Calibri Light"/>
          <w:sz w:val="24"/>
          <w:szCs w:val="24"/>
          <w:lang w:val="en-ID"/>
        </w:rPr>
      </w:pPr>
      <w:r w:rsidRPr="0007539D">
        <w:rPr>
          <w:rFonts w:ascii="Calibri Light" w:hAnsi="Calibri Light" w:cs="Calibri Light"/>
          <w:sz w:val="24"/>
          <w:szCs w:val="24"/>
          <w:lang w:val="en-ID"/>
        </w:rPr>
        <w:t xml:space="preserve">In Egypt, the role of </w:t>
      </w:r>
      <w:proofErr w:type="spellStart"/>
      <w:r w:rsidRPr="0007539D">
        <w:rPr>
          <w:rFonts w:ascii="Calibri Light" w:hAnsi="Calibri Light" w:cs="Calibri Light"/>
          <w:sz w:val="24"/>
          <w:szCs w:val="24"/>
          <w:lang w:val="en-ID"/>
        </w:rPr>
        <w:t>Shari'ah</w:t>
      </w:r>
      <w:proofErr w:type="spellEnd"/>
      <w:r w:rsidRPr="0007539D">
        <w:rPr>
          <w:rFonts w:ascii="Calibri Light" w:hAnsi="Calibri Light" w:cs="Calibri Light"/>
          <w:sz w:val="24"/>
          <w:szCs w:val="24"/>
          <w:lang w:val="en-ID"/>
        </w:rPr>
        <w:t xml:space="preserve"> in law is significant, with the country’s Constitution recognizing Islam as the state religion and </w:t>
      </w:r>
      <w:proofErr w:type="spellStart"/>
      <w:r w:rsidRPr="0007539D">
        <w:rPr>
          <w:rFonts w:ascii="Calibri Light" w:hAnsi="Calibri Light" w:cs="Calibri Light"/>
          <w:sz w:val="24"/>
          <w:szCs w:val="24"/>
          <w:lang w:val="en-ID"/>
        </w:rPr>
        <w:t>Shari'ah</w:t>
      </w:r>
      <w:proofErr w:type="spellEnd"/>
      <w:r w:rsidRPr="0007539D">
        <w:rPr>
          <w:rFonts w:ascii="Calibri Light" w:hAnsi="Calibri Light" w:cs="Calibri Light"/>
          <w:sz w:val="24"/>
          <w:szCs w:val="24"/>
          <w:lang w:val="en-ID"/>
        </w:rPr>
        <w:t xml:space="preserve"> as the main source of legislation. The influence of Islamic principles in shaping the legal system is especially evident in family law, inheritance, and criminal law. However, the practical application of human rights based on the Qur'an in Egypt has been marked by tension, particularly in the areas of gender equality and freedom of expression</w:t>
      </w:r>
      <w:r w:rsidR="00FB4ACA">
        <w:rPr>
          <w:rFonts w:ascii="Calibri Light" w:hAnsi="Calibri Light" w:cs="Calibri Light"/>
          <w:sz w:val="24"/>
          <w:szCs w:val="24"/>
          <w:lang w:val="en-ID"/>
        </w:rPr>
        <w:fldChar w:fldCharType="begin" w:fldLock="1"/>
      </w:r>
      <w:r w:rsidR="00FB4ACA">
        <w:rPr>
          <w:rFonts w:ascii="Calibri Light" w:hAnsi="Calibri Light" w:cs="Calibri Light"/>
          <w:sz w:val="24"/>
          <w:szCs w:val="24"/>
          <w:lang w:val="en-ID"/>
        </w:rPr>
        <w:instrText>ADDIN CSL_CITATION {"citationItems":[{"id":"ITEM-1","itemData":{"DOI":"10.47172/2965-730X.SDGsReview.v5.n02.pe02988","ISSN":"2965-730X","abstract":"Objectives: Humans are called homo sapiens (Latin word); He is a wise, knowledgeable, civilized (cultured) human. The main purpose of the article is to find and understand the reasons for lifelong education (why humans are educated), in relation to sustainable development goals (SDGs). Theoretical Framework: The main role model for humans (uswatun hasanah) is the Prophet Muhammad, based on the Quran and al-Hadith (Q. al-Ahzaab 33:21). Islamic epistemology is an epistemology based on Islamic teachings, with the Quran and al-Hadith as the main sources and standards of Islamic truth. It does not base it on objects (world matter) as Western epistemology does but bases it on \"The Subject of Everything\", namely the Creator and Ruler of world matter, namely Allah Almighty and the Creator of the universe. “Surely Allah will exalt the believers among you and those who are given some degree of knowledge. And Allah knows what you do.\" (the Quran of Mujaadilah's chapter 58, verse 11) The passage explains how God will elevate those who seek knowledge several times higher than those who do not. This sign indicates that it is with the knowledge that man can become nobler, not with his wealth let alone his fate. The aphorisms of the Arabs it is also described about learning; It means: \"Demand knowledge from the cradle (baby) to the grave.\" The obligation to study throughout our lives starts from our birth until the end of our lives. Lifelong education is also a process of being open to new ideas, skills, decisions, or behaviors and providing opportunities at all ages and in a variety of contexts: at work, at home, and leisure. Method: Method of Data (information, knowledge) colletion is Bayani method. Bayani is a method of thinking that emphasizes the authority of texts (propositions) directly or indirectly and is justified by reason. The data analysis method in this study is mainly qualitative analysis. Qualitative analysis is carried out by describing information, namely relevant verses of the Quran, then analyzing it by understanding the content of the verse in depth, connecting the verse with real examples, evaluating it, and finally concluding it. Results and Discussion: The problem that will be discussed in this paper is, \"What are the reasons that humans need education\"? Explanation of these reasons is in the Islamic epistemology perspective, i.e. using Bayani Epistemology. Bayani is a method of thinking that emphasizes the authority of texts (propositions in th…","author":[{"dropping-particle":"","family":"Sholeh","given":"Muhammad Muhtar Arifin","non-dropping-particle":"","parse-names":false,"suffix":""},{"dropping-particle":"","family":"Waston","given":"","non-dropping-particle":"","parse-names":false,"suffix":""},{"dropping-particle":"","family":"Nirwana","given":"Andri","non-dropping-particle":"","parse-names":false,"suffix":""},{"dropping-particle":"","family":"Mahmudulhassan","given":"M.","non-dropping-particle":"","parse-names":false,"suffix":""}],"container-title":"Journal of Lifestyle and SDGs Review","id":"ITEM-1","issue":"2","issued":{"date-parts":[["2024","11","8"]]},"page":"e02988","title":"The Reasons of Lifelong Education for the Sustainable Development Goals (SDGs): The Islamic Epistemology Perspective","type":"article-journal","volume":"5"},"uris":["http://www.mendeley.com/documents/?uuid=75b03a69-0708-47e2-b12c-15d92c8a957b"]}],"mendeley":{"formattedCitation":"(Sholeh et al. 2024)","plainTextFormattedCitation":"(Sholeh et al. 2024)","previouslyFormattedCitation":"(Sholeh et al. 2024)"},"properties":{"noteIndex":0},"schema":"https://github.com/citation-style-language/schema/raw/master/csl-citation.json"}</w:instrText>
      </w:r>
      <w:r w:rsidR="00FB4ACA">
        <w:rPr>
          <w:rFonts w:ascii="Calibri Light" w:hAnsi="Calibri Light" w:cs="Calibri Light"/>
          <w:sz w:val="24"/>
          <w:szCs w:val="24"/>
          <w:lang w:val="en-ID"/>
        </w:rPr>
        <w:fldChar w:fldCharType="separate"/>
      </w:r>
      <w:r w:rsidR="00FB4ACA" w:rsidRPr="00FB4ACA">
        <w:rPr>
          <w:rFonts w:ascii="Calibri Light" w:hAnsi="Calibri Light" w:cs="Calibri Light"/>
          <w:noProof/>
          <w:sz w:val="24"/>
          <w:szCs w:val="24"/>
          <w:lang w:val="en-ID"/>
        </w:rPr>
        <w:t>(Sholeh et al. 2024)</w:t>
      </w:r>
      <w:r w:rsidR="00FB4ACA">
        <w:rPr>
          <w:rFonts w:ascii="Calibri Light" w:hAnsi="Calibri Light" w:cs="Calibri Light"/>
          <w:sz w:val="24"/>
          <w:szCs w:val="24"/>
          <w:lang w:val="en-ID"/>
        </w:rPr>
        <w:fldChar w:fldCharType="end"/>
      </w:r>
      <w:r w:rsidRPr="0007539D">
        <w:rPr>
          <w:rFonts w:ascii="Calibri Light" w:hAnsi="Calibri Light" w:cs="Calibri Light"/>
          <w:sz w:val="24"/>
          <w:szCs w:val="24"/>
          <w:lang w:val="en-ID"/>
        </w:rPr>
        <w:t xml:space="preserve">. For instance, while the Qur'an emphasizes the equality of all humans, the implementation of gender equality has been slow, and women's rights continue to be a contentious issue, especially in the political and social spheres </w:t>
      </w:r>
      <w:r w:rsidR="00A526EF">
        <w:rPr>
          <w:rFonts w:ascii="Calibri Light" w:hAnsi="Calibri Light" w:cs="Calibri Light"/>
          <w:sz w:val="24"/>
          <w:szCs w:val="24"/>
          <w:lang w:val="en-ID"/>
        </w:rPr>
        <w:fldChar w:fldCharType="begin" w:fldLock="1"/>
      </w:r>
      <w:r w:rsidR="00A526EF">
        <w:rPr>
          <w:rFonts w:ascii="Calibri Light" w:hAnsi="Calibri Light" w:cs="Calibri Light"/>
          <w:sz w:val="24"/>
          <w:szCs w:val="24"/>
          <w:lang w:val="en-ID"/>
        </w:rPr>
        <w:instrText>ADDIN CSL_CITATION {"citationItems":[{"id":"ITEM-1","itemData":{"DOI":"10.1093/jhuman/huad058","ISSN":"17579619 (ISSN)","abstract":"This article is a conversation between the authors on areas of complementarity between these two mechanisms, gaps, and potential avenues for enhanced mutual cooperation between the two.  © 2023 The Author(s).","author":[{"dropping-particle":"","family":"Steinerte","given":"E","non-dropping-particle":"","parse-names":false,"suffix":""},{"dropping-particle":"","family":"Ploton","given":"V","non-dropping-particle":"","parse-names":false,"suffix":""}],"container-title":"Journal of Human Rights Practice","id":"ITEM-1","issue":"3","issued":{"date-parts":[["2023"]]},"language":"English","page":"784-793","publisher":"Oxford University Press","publisher-place":"Riga, Latvia","title":"Treaty Bodies and Special Procedures: Can They Work Better Together?","type":"article-journal","volume":"15"},"uris":["http://www.mendeley.com/documents/?uuid=c82870d7-a975-434b-aa78-e0c2bda10d7d","http://www.mendeley.com/documents/?uuid=48bbf096-5edc-456c-b2f9-e86adbe0bd79"]}],"mendeley":{"formattedCitation":"(Steinerte and Ploton 2023)","plainTextFormattedCitation":"(Steinerte and Ploton 2023)","previouslyFormattedCitation":"(Steinerte and Ploton 2023)"},"properties":{"noteIndex":0},"schema":"https://github.com/citation-style-language/schema/raw/master/csl-citation.json"}</w:instrText>
      </w:r>
      <w:r w:rsidR="00A526EF">
        <w:rPr>
          <w:rFonts w:ascii="Calibri Light" w:hAnsi="Calibri Light" w:cs="Calibri Light"/>
          <w:sz w:val="24"/>
          <w:szCs w:val="24"/>
          <w:lang w:val="en-ID"/>
        </w:rPr>
        <w:fldChar w:fldCharType="separate"/>
      </w:r>
      <w:r w:rsidR="00E810D4" w:rsidRPr="00E810D4">
        <w:rPr>
          <w:rFonts w:ascii="Calibri Light" w:hAnsi="Calibri Light" w:cs="Calibri Light"/>
          <w:noProof/>
          <w:sz w:val="24"/>
          <w:szCs w:val="24"/>
          <w:lang w:val="en-ID"/>
        </w:rPr>
        <w:t>(Steinerte and Ploton 2023)</w:t>
      </w:r>
      <w:r w:rsidR="00A526EF">
        <w:rPr>
          <w:rFonts w:ascii="Calibri Light" w:hAnsi="Calibri Light" w:cs="Calibri Light"/>
          <w:sz w:val="24"/>
          <w:szCs w:val="24"/>
          <w:lang w:val="en-ID"/>
        </w:rPr>
        <w:fldChar w:fldCharType="end"/>
      </w:r>
      <w:r w:rsidRPr="0007539D">
        <w:rPr>
          <w:rFonts w:ascii="Calibri Light" w:hAnsi="Calibri Light" w:cs="Calibri Light"/>
          <w:sz w:val="24"/>
          <w:szCs w:val="24"/>
          <w:lang w:val="en-ID"/>
        </w:rPr>
        <w:t>.</w:t>
      </w:r>
    </w:p>
    <w:p w14:paraId="761F93CF" w14:textId="77777777" w:rsidR="0007539D" w:rsidRPr="0007539D" w:rsidRDefault="0007539D" w:rsidP="0007539D">
      <w:pPr>
        <w:spacing w:before="120" w:after="120"/>
        <w:ind w:left="440" w:right="-1" w:hanging="14"/>
        <w:jc w:val="both"/>
        <w:rPr>
          <w:rFonts w:ascii="Calibri Light" w:hAnsi="Calibri Light" w:cs="Calibri Light"/>
          <w:sz w:val="24"/>
          <w:szCs w:val="24"/>
          <w:lang w:val="en-ID"/>
        </w:rPr>
      </w:pPr>
      <w:r w:rsidRPr="0007539D">
        <w:rPr>
          <w:rFonts w:ascii="Calibri Light" w:hAnsi="Calibri Light" w:cs="Calibri Light"/>
          <w:sz w:val="24"/>
          <w:szCs w:val="24"/>
          <w:lang w:val="en-ID"/>
        </w:rPr>
        <w:t xml:space="preserve">One example of the Qur'anic emphasis on justice is the verse, "O mankind, indeed We have created you from male and female and made you peoples and tribes that you may know one another. Indeed, the most noble of you in the sight of Allah is the most righteous of you" (Qur'an 49:13). While this verse affirms the equality of all human beings, the interpretation and application of these principles in Egyptian law often remain conservative, particularly when it comes to women's rights and personal freedoms </w:t>
      </w:r>
      <w:r w:rsidR="00A526EF">
        <w:rPr>
          <w:rFonts w:ascii="Calibri Light" w:hAnsi="Calibri Light" w:cs="Calibri Light"/>
          <w:sz w:val="24"/>
          <w:szCs w:val="24"/>
          <w:lang w:val="en-ID"/>
        </w:rPr>
        <w:fldChar w:fldCharType="begin" w:fldLock="1"/>
      </w:r>
      <w:r w:rsidR="00A526EF">
        <w:rPr>
          <w:rFonts w:ascii="Calibri Light" w:hAnsi="Calibri Light" w:cs="Calibri Light"/>
          <w:sz w:val="24"/>
          <w:szCs w:val="24"/>
          <w:lang w:val="en-ID"/>
        </w:rPr>
        <w:instrText>ADDIN CSL_CITATION {"citationItems":[{"id":"ITEM-1","itemData":{"DOI":"10.1093/jhuman/huad020","ISSN":"17579619 (ISSN)","abstract":"States are increasingly developing and deploying large scale surveillance and AI-enabled analytical capabilities. What is uncertain, however, is the impact this surveillance will have. Will it result in a chilling effect whereby individuals modify their behaviour due to the fear of the consequences that may follow? Understanding any such effect is essential: if surveillance activities interfere with the processes by which individuals develop their identity, or undermine democratic processes, the consequences may be almost imperceptible in the short term but profound over the long term. Currently, surveillance-related chilling effects are not well understood, meaning that insufficient weight is given to their potentially society-wide impacts. This article seeks to help redress this balance. Drawing on empirical research in Zimbabwe and Uganda it highlights how State surveillance has chilled behaviour, with significant implications for rights essential to individual development and democratic functioning, specifically the rights to freedom of expression and to freedom of assembly. Importantly, this qualitative research identifies a pattern of common themes or consequences associated with surveillance in general, allowing us to move beyond hypothetical or individual experiences, and providing a greater understanding of the nuances of surveillance-related effects that can help inform decision-making surrounding large scale digital surveillance. © The Author(s) 2023.","author":[{"dropping-particle":"","family":"Murray","given":"D","non-dropping-particle":"","parse-names":false,"suffix":""},{"dropping-particle":"","family":"Fussey","given":"P","non-dropping-particle":"","parse-names":false,"suffix":""},{"dropping-particle":"","family":"Hove","given":"K","non-dropping-particle":"","parse-names":false,"suffix":""},{"dropping-particle":"","family":"Wakabi","given":"W","non-dropping-particle":"","parse-names":false,"suffix":""},{"dropping-particle":"","family":"Kimumwe","given":"P","non-dropping-particle":"","parse-names":false,"suffix":""},{"dropping-particle":"","family":"Saki","given":"O","non-dropping-particle":"","parse-names":false,"suffix":""},{"dropping-particle":"","family":"Stevens","given":"A","non-dropping-particle":"","parse-names":false,"suffix":""}],"container-title":"Journal of Human Rights Practice","id":"ITEM-1","issue":"1","issued":{"date-parts":[["2024"]]},"language":"English","page":"397-412","publisher":"Oxford University Press","publisher-place":"University Of Essex, Colchester, United Kingdom","title":"The Chilling Effects of Surveillance and Human Rights: Insights from Qualitative Research in Uganda and Zimbabwe","type":"article-journal","volume":"16"},"uris":["http://www.mendeley.com/documents/?uuid=c17aef73-33a0-4889-977a-89bb24d3ea8d"]}],"mendeley":{"formattedCitation":"(Murray et al. 2024)","plainTextFormattedCitation":"(Murray et al. 2024)","previouslyFormattedCitation":"(Murray et al. 2024)"},"properties":{"noteIndex":0},"schema":"https://github.com/citation-style-language/schema/raw/master/csl-citation.json"}</w:instrText>
      </w:r>
      <w:r w:rsidR="00A526EF">
        <w:rPr>
          <w:rFonts w:ascii="Calibri Light" w:hAnsi="Calibri Light" w:cs="Calibri Light"/>
          <w:sz w:val="24"/>
          <w:szCs w:val="24"/>
          <w:lang w:val="en-ID"/>
        </w:rPr>
        <w:fldChar w:fldCharType="separate"/>
      </w:r>
      <w:r w:rsidR="00E810D4" w:rsidRPr="00E810D4">
        <w:rPr>
          <w:rFonts w:ascii="Calibri Light" w:hAnsi="Calibri Light" w:cs="Calibri Light"/>
          <w:noProof/>
          <w:sz w:val="24"/>
          <w:szCs w:val="24"/>
          <w:lang w:val="en-ID"/>
        </w:rPr>
        <w:t>(Murray et al. 2024)</w:t>
      </w:r>
      <w:r w:rsidR="00A526EF">
        <w:rPr>
          <w:rFonts w:ascii="Calibri Light" w:hAnsi="Calibri Light" w:cs="Calibri Light"/>
          <w:sz w:val="24"/>
          <w:szCs w:val="24"/>
          <w:lang w:val="en-ID"/>
        </w:rPr>
        <w:fldChar w:fldCharType="end"/>
      </w:r>
      <w:r w:rsidRPr="0007539D">
        <w:rPr>
          <w:rFonts w:ascii="Calibri Light" w:hAnsi="Calibri Light" w:cs="Calibri Light"/>
          <w:sz w:val="24"/>
          <w:szCs w:val="24"/>
          <w:lang w:val="en-ID"/>
        </w:rPr>
        <w:t>.</w:t>
      </w:r>
    </w:p>
    <w:p w14:paraId="34765A0C" w14:textId="77777777" w:rsidR="0007539D" w:rsidRPr="0007539D" w:rsidRDefault="0007539D" w:rsidP="0007539D">
      <w:pPr>
        <w:spacing w:before="120" w:after="120"/>
        <w:ind w:left="440" w:right="-1" w:hanging="14"/>
        <w:jc w:val="both"/>
        <w:rPr>
          <w:rFonts w:ascii="Calibri Light" w:hAnsi="Calibri Light" w:cs="Calibri Light"/>
          <w:sz w:val="24"/>
          <w:szCs w:val="24"/>
          <w:lang w:val="en-ID"/>
        </w:rPr>
      </w:pPr>
      <w:r w:rsidRPr="0007539D">
        <w:rPr>
          <w:rFonts w:ascii="Calibri Light" w:hAnsi="Calibri Light" w:cs="Calibri Light"/>
          <w:sz w:val="24"/>
          <w:szCs w:val="24"/>
          <w:lang w:val="en-ID"/>
        </w:rPr>
        <w:t xml:space="preserve">In contrast, Indonesia adopts a more flexible approach, especially in the way it integrates </w:t>
      </w:r>
      <w:proofErr w:type="spellStart"/>
      <w:r w:rsidRPr="0007539D">
        <w:rPr>
          <w:rFonts w:ascii="Calibri Light" w:hAnsi="Calibri Light" w:cs="Calibri Light"/>
          <w:sz w:val="24"/>
          <w:szCs w:val="24"/>
          <w:lang w:val="en-ID"/>
        </w:rPr>
        <w:t>Shari'ah</w:t>
      </w:r>
      <w:proofErr w:type="spellEnd"/>
      <w:r w:rsidRPr="0007539D">
        <w:rPr>
          <w:rFonts w:ascii="Calibri Light" w:hAnsi="Calibri Light" w:cs="Calibri Light"/>
          <w:sz w:val="24"/>
          <w:szCs w:val="24"/>
          <w:lang w:val="en-ID"/>
        </w:rPr>
        <w:t xml:space="preserve"> with democratic governance. The Indonesian Constitution guarantees the protection of human rights for all citizens, regardless of their religion, and the legal system reflects a balance between Islamic teachings and international human rights standards </w:t>
      </w:r>
      <w:r w:rsidR="00A526EF">
        <w:rPr>
          <w:rFonts w:ascii="Calibri Light" w:hAnsi="Calibri Light" w:cs="Calibri Light"/>
          <w:sz w:val="24"/>
          <w:szCs w:val="24"/>
          <w:lang w:val="en-ID"/>
        </w:rPr>
        <w:fldChar w:fldCharType="begin" w:fldLock="1"/>
      </w:r>
      <w:r w:rsidR="00A526EF">
        <w:rPr>
          <w:rFonts w:ascii="Calibri Light" w:hAnsi="Calibri Light" w:cs="Calibri Light"/>
          <w:sz w:val="24"/>
          <w:szCs w:val="24"/>
          <w:lang w:val="en-ID"/>
        </w:rPr>
        <w:instrText>ADDIN CSL_CITATION {"citationItems":[{"id":"ITEM-1","itemData":{"DOI":"10.24042/adalah.v21i1.21251","ISSN":"08541272 (ISSN)","abstract":"The debates on the application of Islamic criminal law in various Muslim-majority countries are still ongoing. This is because these countries still adhere to a positive legal system. This phenomenon has spread to many things including implementing the punishment of cutting off the hands of corruptors as is the punishment for thieves in the provisions of Islamic criminal law. One of the obstacles, in this case, is due to differences of opinion on the use of the term \"thief\" to be applied to \"corruptor\". This article aims to analyze the punishment provisions for thieves as regulated in Surah al-Maidah verse 38 to be applied to perpetrators of corruption. This article is the result of qualitative research with a linguistic approach. The primary data source in this study is the Qur'an, whereas, the secondary data sources are articles, books, and other relevant documents. Data were collected through a literature study method which was then processed, analyzed, and concluded. This study found that the crime of corruption, seen from a linguistic perspective, has the same meaning as thievery; the perpetrator, therefore, can be sentenced to the same punishment (cutting off the hand). The punishment here is the most severe type that can be imposed on perpetrators of corruption, considering that the impact it causes is heavier and wider than the impact that arises in the crime of thievery. Certainly, this punishment is applied if it has met all the elements and legal requirements and is applied in a very strict manner. © 2024, Universitas Islam Negeri Raden Intan Lampung. All rights reserved.","author":[{"dropping-particle":"","family":"Helmina","given":"H","non-dropping-particle":"","parse-names":false,"suffix":""},{"dropping-particle":"","family":"Harun","given":"H","non-dropping-particle":"","parse-names":false,"suffix":""},{"dropping-particle":"","family":"Witro","given":"D","non-dropping-particle":"","parse-names":false,"suffix":""},{"dropping-particle":"","family":"Ardi","given":"M Z","non-dropping-particle":"","parse-names":false,"suffix":""},{"dropping-particle":"","family":"Busni","given":"D","non-dropping-particle":"","parse-names":false,"suffix":""}],"container-title":"Al-'Adalah","id":"ITEM-1","issue":"1","issued":{"date-parts":[["2024"]]},"language":"English","page":"25-52","publisher":"Universitas Islam Negeri Raden Intan Lampung","publisher-place":"Institut Agama Islam Negeri Kerinci, Indonesia","title":"Compromising and Repositioning the Meaning of Corruptors as Thieves in Applying the Provisions of Shara’ into the Modern Era Context","type":"article-journal","volume":"21"},"uris":["http://www.mendeley.com/documents/?uuid=44b9e491-7575-40de-be37-370559cce91e","http://www.mendeley.com/documents/?uuid=77c4f74a-8d66-47a5-a99a-2796971dc1bf"]}],"mendeley":{"formattedCitation":"(Helmina et al. 2024)","plainTextFormattedCitation":"(Helmina et al. 2024)","previouslyFormattedCitation":"(Helmina et al. 2024)"},"properties":{"noteIndex":0},"schema":"https://github.com/citation-style-language/schema/raw/master/csl-citation.json"}</w:instrText>
      </w:r>
      <w:r w:rsidR="00A526EF">
        <w:rPr>
          <w:rFonts w:ascii="Calibri Light" w:hAnsi="Calibri Light" w:cs="Calibri Light"/>
          <w:sz w:val="24"/>
          <w:szCs w:val="24"/>
          <w:lang w:val="en-ID"/>
        </w:rPr>
        <w:fldChar w:fldCharType="separate"/>
      </w:r>
      <w:r w:rsidR="00E810D4" w:rsidRPr="00E810D4">
        <w:rPr>
          <w:rFonts w:ascii="Calibri Light" w:hAnsi="Calibri Light" w:cs="Calibri Light"/>
          <w:noProof/>
          <w:sz w:val="24"/>
          <w:szCs w:val="24"/>
          <w:lang w:val="en-ID"/>
        </w:rPr>
        <w:t>(Helmina et al. 2024)</w:t>
      </w:r>
      <w:r w:rsidR="00A526EF">
        <w:rPr>
          <w:rFonts w:ascii="Calibri Light" w:hAnsi="Calibri Light" w:cs="Calibri Light"/>
          <w:sz w:val="24"/>
          <w:szCs w:val="24"/>
          <w:lang w:val="en-ID"/>
        </w:rPr>
        <w:fldChar w:fldCharType="end"/>
      </w:r>
      <w:r w:rsidRPr="0007539D">
        <w:rPr>
          <w:rFonts w:ascii="Calibri Light" w:hAnsi="Calibri Light" w:cs="Calibri Light"/>
          <w:sz w:val="24"/>
          <w:szCs w:val="24"/>
          <w:lang w:val="en-ID"/>
        </w:rPr>
        <w:t xml:space="preserve">. In regions such as Aceh, where </w:t>
      </w:r>
      <w:proofErr w:type="spellStart"/>
      <w:r w:rsidRPr="0007539D">
        <w:rPr>
          <w:rFonts w:ascii="Calibri Light" w:hAnsi="Calibri Light" w:cs="Calibri Light"/>
          <w:sz w:val="24"/>
          <w:szCs w:val="24"/>
          <w:lang w:val="en-ID"/>
        </w:rPr>
        <w:t>Shari'ah</w:t>
      </w:r>
      <w:proofErr w:type="spellEnd"/>
      <w:r w:rsidRPr="0007539D">
        <w:rPr>
          <w:rFonts w:ascii="Calibri Light" w:hAnsi="Calibri Light" w:cs="Calibri Light"/>
          <w:sz w:val="24"/>
          <w:szCs w:val="24"/>
          <w:lang w:val="en-ID"/>
        </w:rPr>
        <w:t xml:space="preserve"> law is formally applied, human rights issues, particularly concerning women’s rights and religious freedoms, often come to the forefront. However, the Indonesian government’s commitment to pluralism and democracy provides a more inclusive platform for addressing these issues, allowing for legal reforms that promote both Islamic values and human rights </w:t>
      </w:r>
      <w:r w:rsidR="00A526EF">
        <w:rPr>
          <w:rFonts w:ascii="Calibri Light" w:hAnsi="Calibri Light" w:cs="Calibri Light"/>
          <w:sz w:val="24"/>
          <w:szCs w:val="24"/>
          <w:lang w:val="en-ID"/>
        </w:rPr>
        <w:fldChar w:fldCharType="begin" w:fldLock="1"/>
      </w:r>
      <w:r w:rsidR="00A526EF">
        <w:rPr>
          <w:rFonts w:ascii="Calibri Light" w:hAnsi="Calibri Light" w:cs="Calibri Light"/>
          <w:sz w:val="24"/>
          <w:szCs w:val="24"/>
          <w:lang w:val="en-ID"/>
        </w:rPr>
        <w:instrText>ADDIN CSL_CITATION {"citationItems":[{"id":"ITEM-1","itemData":{"DOI":"10.1017/jlr.2024.10","ISSN":"07480814 (ISSN)","abstract":"Of all the principles in classical Jewish law that stand out from a comparative legal perspective perhaps none is more notable than the ban on self-incrimination in criminal procedures. Contrary to the most basic evidentiary assumptions of other ancient legal systems, this principle differs fundamentally from the right to remain silent that is part of both early modern and modern legal systems. Only rabbinic jurisprudence incorporates an outright exclusion of criminal confessions. Despite receiving much scholarly attention over the centuries, this principle's fundamental justification relating to the rule of law and the public pursuit of justice has gone unnoticed. This article explores this salient jurisprudential perspective, and sheds new light on this principle by contrasting the Jewish legal approach with the primary modes of criminal adjudication that were adopted in the West. What emerges from this comparative analysis is that this seemingly anomalous principle actually reveals much about the core commitments and values of Jewish law. These, in turn, have substantial implications for certain contemporary legal practices and dilemmas.  © The Author(s), 2024.","author":[{"dropping-particle":"","family":"Flatto","given":"D C","non-dropping-particle":"","parse-names":false,"suffix":""}],"container-title":"Journal of Law and Religion","id":"ITEM-1","issue":"2","issued":{"date-parts":[["2024"]]},"language":"English","page":"173-191","publisher":"Cambridge University Press","publisher-place":"Hebrew University, Jerusalem, Israel","title":"Evidently Not: Why Confessions Are Excluded in Jewish Criminal Jurisprudence","type":"article-journal","volume":"39"},"uris":["http://www.mendeley.com/documents/?uuid=1d3c8d7d-1a19-498b-bf3b-69a4a160f1b8","http://www.mendeley.com/documents/?uuid=becfc400-7957-4a4c-83fc-b2e1a77c1523"]}],"mendeley":{"formattedCitation":"(Flatto 2024)","plainTextFormattedCitation":"(Flatto 2024)","previouslyFormattedCitation":"(Flatto 2024)"},"properties":{"noteIndex":0},"schema":"https://github.com/citation-style-language/schema/raw/master/csl-citation.json"}</w:instrText>
      </w:r>
      <w:r w:rsidR="00A526EF">
        <w:rPr>
          <w:rFonts w:ascii="Calibri Light" w:hAnsi="Calibri Light" w:cs="Calibri Light"/>
          <w:sz w:val="24"/>
          <w:szCs w:val="24"/>
          <w:lang w:val="en-ID"/>
        </w:rPr>
        <w:fldChar w:fldCharType="separate"/>
      </w:r>
      <w:r w:rsidR="00E810D4" w:rsidRPr="00E810D4">
        <w:rPr>
          <w:rFonts w:ascii="Calibri Light" w:hAnsi="Calibri Light" w:cs="Calibri Light"/>
          <w:noProof/>
          <w:sz w:val="24"/>
          <w:szCs w:val="24"/>
          <w:lang w:val="en-ID"/>
        </w:rPr>
        <w:t>(Flatto 2024)</w:t>
      </w:r>
      <w:r w:rsidR="00A526EF">
        <w:rPr>
          <w:rFonts w:ascii="Calibri Light" w:hAnsi="Calibri Light" w:cs="Calibri Light"/>
          <w:sz w:val="24"/>
          <w:szCs w:val="24"/>
          <w:lang w:val="en-ID"/>
        </w:rPr>
        <w:fldChar w:fldCharType="end"/>
      </w:r>
      <w:r w:rsidRPr="0007539D">
        <w:rPr>
          <w:rFonts w:ascii="Calibri Light" w:hAnsi="Calibri Light" w:cs="Calibri Light"/>
          <w:sz w:val="24"/>
          <w:szCs w:val="24"/>
          <w:lang w:val="en-ID"/>
        </w:rPr>
        <w:t>.</w:t>
      </w:r>
    </w:p>
    <w:p w14:paraId="3B693CED" w14:textId="77777777" w:rsidR="0007539D" w:rsidRPr="0007539D" w:rsidRDefault="0007539D" w:rsidP="0007539D">
      <w:pPr>
        <w:spacing w:before="120" w:after="120"/>
        <w:ind w:left="440" w:right="-1" w:hanging="14"/>
        <w:jc w:val="both"/>
        <w:rPr>
          <w:rFonts w:ascii="Calibri Light" w:hAnsi="Calibri Light" w:cs="Calibri Light"/>
          <w:sz w:val="24"/>
          <w:szCs w:val="24"/>
          <w:lang w:val="en-ID"/>
        </w:rPr>
      </w:pPr>
      <w:r w:rsidRPr="0007539D">
        <w:rPr>
          <w:rFonts w:ascii="Calibri Light" w:hAnsi="Calibri Light" w:cs="Calibri Light"/>
          <w:sz w:val="24"/>
          <w:szCs w:val="24"/>
          <w:lang w:val="en-ID"/>
        </w:rPr>
        <w:t xml:space="preserve">Indonesia’s approach is reflected in the following Qur'anic verse: "And if you judge, judge between them with justice. Indeed, Allah loves those who act justly" (Qur'an 5:42). This verse underscores the importance of justice, a value that resonates strongly within Indonesia's legal system, particularly as it strives to maintain a balance between </w:t>
      </w:r>
      <w:proofErr w:type="spellStart"/>
      <w:r w:rsidRPr="0007539D">
        <w:rPr>
          <w:rFonts w:ascii="Calibri Light" w:hAnsi="Calibri Light" w:cs="Calibri Light"/>
          <w:sz w:val="24"/>
          <w:szCs w:val="24"/>
          <w:lang w:val="en-ID"/>
        </w:rPr>
        <w:t>Shari'ah</w:t>
      </w:r>
      <w:proofErr w:type="spellEnd"/>
      <w:r w:rsidRPr="0007539D">
        <w:rPr>
          <w:rFonts w:ascii="Calibri Light" w:hAnsi="Calibri Light" w:cs="Calibri Light"/>
          <w:sz w:val="24"/>
          <w:szCs w:val="24"/>
          <w:lang w:val="en-ID"/>
        </w:rPr>
        <w:t xml:space="preserve"> and human rights principles </w:t>
      </w:r>
      <w:r w:rsidR="00A526EF">
        <w:rPr>
          <w:rFonts w:ascii="Calibri Light" w:hAnsi="Calibri Light" w:cs="Calibri Light"/>
          <w:sz w:val="24"/>
          <w:szCs w:val="24"/>
          <w:lang w:val="en-ID"/>
        </w:rPr>
        <w:fldChar w:fldCharType="begin" w:fldLock="1"/>
      </w:r>
      <w:r w:rsidR="00A526EF">
        <w:rPr>
          <w:rFonts w:ascii="Calibri Light" w:hAnsi="Calibri Light" w:cs="Calibri Light"/>
          <w:sz w:val="24"/>
          <w:szCs w:val="24"/>
          <w:lang w:val="en-ID"/>
        </w:rPr>
        <w:instrText>ADDIN CSL_CITATION {"citationItems":[{"id":"ITEM-1","itemData":{"DOI":"10.1177/0306624X241254691","ISSN":"0306624X (ISSN)","abstract":"Living in recovery housing can improve addiction recovery and desistance outcomes. This study examined whether retention in recovery housing and types of discharge outcomes (completed, “neutral,” and “negative” outcomes) differed for clients with recent criminal legal system (CLS) involvement. Using data from 101 recovery residences certified by the Virginia Association of Recovery Residences based on 1,978 individuals completing the REC-CAP assessment, competing risk analyses (cumulative incidence function, restricted mean survival time, and restricted mean time lost) followed by the marginalization of effects were implemented to examine program outcomes at final discharge. Residents with recent CLS involvement were more likely to be discharged for positive reasons (successful completion of their goals) and premature/negative reasons (e.g., disciplinary releases) than for neutral reasons. Findings indicate that retention for 6–18 months is essential to establish and maintain positive discharge outcomes, and interventions should be developed to enhance retention in recovery residents with recent justice involvement. © The Author(s) 2024.","author":[{"dropping-particle":"","family":"Sondhi","given":"A","non-dropping-particle":"","parse-names":false,"suffix":""},{"dropping-particle":"","family":"Bunaciu","given":"A","non-dropping-particle":"","parse-names":false,"suffix":""},{"dropping-particle":"","family":"Best","given":"D","non-dropping-particle":"","parse-names":false,"suffix":""},{"dropping-particle":"","family":"Hennessy","given":"E A","non-dropping-particle":"","parse-names":false,"suffix":""},{"dropping-particle":"","family":"Best","given":"J","non-dropping-particle":"","parse-names":false,"suffix":""},{"dropping-particle":"","family":"Leidi","given":"A","non-dropping-particle":"","parse-names":false,"suffix":""},{"dropping-particle":"","family":"Grimes","given":"A","non-dropping-particle":"","parse-names":false,"suffix":""},{"dropping-particle":"","family":"Conner","given":"M","non-dropping-particle":"","parse-names":false,"suffix":""},{"dropping-particle":"","family":"DeTriquet","given":"R","non-dropping-particle":"","parse-names":false,"suffix":""},{"dropping-particle":"","family":"White","given":"W","non-dropping-particle":"","parse-names":false,"suffix":""}],"container-title":"International Journal of Offender Therapy and Comparative Criminology","id":"ITEM-1","issue":"15","issued":{"date-parts":[["2024"]]},"language":"English","page":"1579-1597","publisher":"SAGE Publications Inc.","publisher-place":"Therapeutic Solutions (Addictions) Ltd., London, United Kingdom","title":"Modeling Recovery Housing Retention and Program Outcomes by Justice Involvement among Residents in Virginia, USA: An Observational Study","type":"article-journal","volume":"68"},"uris":["http://www.mendeley.com/documents/?uuid=cbb025a7-1252-46f3-b341-ec3f507411ae"]}],"mendeley":{"formattedCitation":"(Sondhi et al. 2024)","plainTextFormattedCitation":"(Sondhi et al. 2024)","previouslyFormattedCitation":"(Sondhi et al. 2024)"},"properties":{"noteIndex":0},"schema":"https://github.com/citation-style-language/schema/raw/master/csl-citation.json"}</w:instrText>
      </w:r>
      <w:r w:rsidR="00A526EF">
        <w:rPr>
          <w:rFonts w:ascii="Calibri Light" w:hAnsi="Calibri Light" w:cs="Calibri Light"/>
          <w:sz w:val="24"/>
          <w:szCs w:val="24"/>
          <w:lang w:val="en-ID"/>
        </w:rPr>
        <w:fldChar w:fldCharType="separate"/>
      </w:r>
      <w:r w:rsidR="00E810D4" w:rsidRPr="00E810D4">
        <w:rPr>
          <w:rFonts w:ascii="Calibri Light" w:hAnsi="Calibri Light" w:cs="Calibri Light"/>
          <w:noProof/>
          <w:sz w:val="24"/>
          <w:szCs w:val="24"/>
          <w:lang w:val="en-ID"/>
        </w:rPr>
        <w:t>(Sondhi et al. 2024)</w:t>
      </w:r>
      <w:r w:rsidR="00A526EF">
        <w:rPr>
          <w:rFonts w:ascii="Calibri Light" w:hAnsi="Calibri Light" w:cs="Calibri Light"/>
          <w:sz w:val="24"/>
          <w:szCs w:val="24"/>
          <w:lang w:val="en-ID"/>
        </w:rPr>
        <w:fldChar w:fldCharType="end"/>
      </w:r>
      <w:r w:rsidRPr="0007539D">
        <w:rPr>
          <w:rFonts w:ascii="Calibri Light" w:hAnsi="Calibri Light" w:cs="Calibri Light"/>
          <w:sz w:val="24"/>
          <w:szCs w:val="24"/>
          <w:lang w:val="en-ID"/>
        </w:rPr>
        <w:t>.</w:t>
      </w:r>
    </w:p>
    <w:p w14:paraId="4F531D46" w14:textId="77777777" w:rsidR="0007539D" w:rsidRPr="0007539D" w:rsidRDefault="0007539D" w:rsidP="0007539D">
      <w:pPr>
        <w:spacing w:before="120" w:after="120"/>
        <w:ind w:left="440" w:right="-1" w:hanging="14"/>
        <w:jc w:val="both"/>
        <w:rPr>
          <w:rFonts w:ascii="Calibri Light" w:hAnsi="Calibri Light" w:cs="Calibri Light"/>
          <w:sz w:val="24"/>
          <w:szCs w:val="24"/>
          <w:lang w:val="en-ID"/>
        </w:rPr>
      </w:pPr>
      <w:r w:rsidRPr="0007539D">
        <w:rPr>
          <w:rFonts w:ascii="Calibri Light" w:hAnsi="Calibri Light" w:cs="Calibri Light"/>
          <w:sz w:val="24"/>
          <w:szCs w:val="24"/>
          <w:lang w:val="en-ID"/>
        </w:rPr>
        <w:t xml:space="preserve">In both countries, the role of ijtihad, or independent legal reasoning, is pivotal in shaping the application of </w:t>
      </w:r>
      <w:proofErr w:type="spellStart"/>
      <w:r w:rsidRPr="0007539D">
        <w:rPr>
          <w:rFonts w:ascii="Calibri Light" w:hAnsi="Calibri Light" w:cs="Calibri Light"/>
          <w:sz w:val="24"/>
          <w:szCs w:val="24"/>
          <w:lang w:val="en-ID"/>
        </w:rPr>
        <w:t>Shari'ah</w:t>
      </w:r>
      <w:proofErr w:type="spellEnd"/>
      <w:r w:rsidRPr="0007539D">
        <w:rPr>
          <w:rFonts w:ascii="Calibri Light" w:hAnsi="Calibri Light" w:cs="Calibri Light"/>
          <w:sz w:val="24"/>
          <w:szCs w:val="24"/>
          <w:lang w:val="en-ID"/>
        </w:rPr>
        <w:t xml:space="preserve"> law in modern society. In Egypt, ijtihad has been used sparingly, and many conservative interpretations of </w:t>
      </w:r>
      <w:proofErr w:type="spellStart"/>
      <w:r w:rsidRPr="0007539D">
        <w:rPr>
          <w:rFonts w:ascii="Calibri Light" w:hAnsi="Calibri Light" w:cs="Calibri Light"/>
          <w:sz w:val="24"/>
          <w:szCs w:val="24"/>
          <w:lang w:val="en-ID"/>
        </w:rPr>
        <w:t>Shari'ah</w:t>
      </w:r>
      <w:proofErr w:type="spellEnd"/>
      <w:r w:rsidRPr="0007539D">
        <w:rPr>
          <w:rFonts w:ascii="Calibri Light" w:hAnsi="Calibri Light" w:cs="Calibri Light"/>
          <w:sz w:val="24"/>
          <w:szCs w:val="24"/>
          <w:lang w:val="en-ID"/>
        </w:rPr>
        <w:t xml:space="preserve"> continue to dominate</w:t>
      </w:r>
      <w:r w:rsidR="00FB4ACA">
        <w:rPr>
          <w:rFonts w:ascii="Calibri Light" w:hAnsi="Calibri Light" w:cs="Calibri Light"/>
          <w:sz w:val="24"/>
          <w:szCs w:val="24"/>
          <w:lang w:val="en-ID"/>
        </w:rPr>
        <w:fldChar w:fldCharType="begin" w:fldLock="1"/>
      </w:r>
      <w:r w:rsidR="00FB4ACA">
        <w:rPr>
          <w:rFonts w:ascii="Calibri Light" w:hAnsi="Calibri Light" w:cs="Calibri Light"/>
          <w:sz w:val="24"/>
          <w:szCs w:val="24"/>
          <w:lang w:val="en-ID"/>
        </w:rPr>
        <w:instrText>ADDIN CSL_CITATION {"citationItems":[{"id":"ITEM-1","itemData":{"DOI":"10.31893/multirev.2025002","ISSN":"25953982","abstract":"The mapping of Quranic Parenting research development and direction on publications indexed by the Scopus database is aimed to be determined in this study. Bibliometric analysis techniques were utilized to explore all Scopus-indexed publications on Quranic Parenting from 2004 to 2023. The data obtained were analyzed using Exel and R/R-Studio, with VOS-viewer employed for visual analysis of keyword co-occurrences and document citations. Twenty-nine publications meeting the established function, subject, and criteria were identified by the author. However, it should be noted that this study is limited to metadata from Scopus-indexed publications, and other national and international databases were not considered. A concise overview of the literature accessible to researchers in the field of Islamic Psychology is provided by this study, along with recommendations for future research.","author":[{"dropping-particle":"","family":"An","given":"Andri Nirwana","non-dropping-particle":"","parse-names":false,"suffix":""},{"dropping-particle":"","family":"Amir","given":"Abdul Muiz","non-dropping-particle":"","parse-names":false,"suffix":""},{"dropping-particle":"Bin","family":"Husain","given":"Muhammad Zakir","non-dropping-particle":"","parse-names":false,"suffix":""},{"dropping-particle":"","family":"Ismail","given":"Faisal Husen","non-dropping-particle":"","parse-names":false,"suffix":""},{"dropping-particle":"Bin","family":"Sahimi","given":"Mohd Shafiq","non-dropping-particle":"","parse-names":false,"suffix":""},{"dropping-particle":"","family":"Fansuri","given":"Fuad","non-dropping-particle":"","parse-names":false,"suffix":""},{"dropping-particle":"","family":"Amri","given":"Muhammad","non-dropping-particle":"","parse-names":false,"suffix":""},{"dropping-particle":"","family":"Arfan","given":"Fahmi","non-dropping-particle":"","parse-names":false,"suffix":""},{"dropping-particle":"","family":"Rhain","given":"Ainur","non-dropping-particle":"","parse-names":false,"suffix":""}],"container-title":"Multidisciplinary Reviews","id":"ITEM-1","issue":"1","issued":{"date-parts":[["2025"]]},"page":"1-12","title":"Millennial era Islamic parenting studies: A bibliometric analysis utilizing the Scopus database","type":"article-journal","volume":"8"},"uris":["http://www.mendeley.com/documents/?uuid=7106c8ac-e65f-4ea7-b14b-75dad91b147b"]}],"mendeley":{"formattedCitation":"(An et al. 2025)","plainTextFormattedCitation":"(An et al. 2025)","previouslyFormattedCitation":"(An et al. 2025)"},"properties":{"noteIndex":0},"schema":"https://github.com/citation-style-language/schema/raw/master/csl-citation.json"}</w:instrText>
      </w:r>
      <w:r w:rsidR="00FB4ACA">
        <w:rPr>
          <w:rFonts w:ascii="Calibri Light" w:hAnsi="Calibri Light" w:cs="Calibri Light"/>
          <w:sz w:val="24"/>
          <w:szCs w:val="24"/>
          <w:lang w:val="en-ID"/>
        </w:rPr>
        <w:fldChar w:fldCharType="separate"/>
      </w:r>
      <w:r w:rsidR="00FB4ACA" w:rsidRPr="00FB4ACA">
        <w:rPr>
          <w:rFonts w:ascii="Calibri Light" w:hAnsi="Calibri Light" w:cs="Calibri Light"/>
          <w:noProof/>
          <w:sz w:val="24"/>
          <w:szCs w:val="24"/>
          <w:lang w:val="en-ID"/>
        </w:rPr>
        <w:t>(An et al. 2025)</w:t>
      </w:r>
      <w:r w:rsidR="00FB4ACA">
        <w:rPr>
          <w:rFonts w:ascii="Calibri Light" w:hAnsi="Calibri Light" w:cs="Calibri Light"/>
          <w:sz w:val="24"/>
          <w:szCs w:val="24"/>
          <w:lang w:val="en-ID"/>
        </w:rPr>
        <w:fldChar w:fldCharType="end"/>
      </w:r>
      <w:r w:rsidRPr="0007539D">
        <w:rPr>
          <w:rFonts w:ascii="Calibri Light" w:hAnsi="Calibri Light" w:cs="Calibri Light"/>
          <w:sz w:val="24"/>
          <w:szCs w:val="24"/>
          <w:lang w:val="en-ID"/>
        </w:rPr>
        <w:t xml:space="preserve">. In Indonesia, however, ijtihad has played a more significant role in the evolution of human </w:t>
      </w:r>
      <w:r w:rsidRPr="0007539D">
        <w:rPr>
          <w:rFonts w:ascii="Calibri Light" w:hAnsi="Calibri Light" w:cs="Calibri Light"/>
          <w:sz w:val="24"/>
          <w:szCs w:val="24"/>
          <w:lang w:val="en-ID"/>
        </w:rPr>
        <w:lastRenderedPageBreak/>
        <w:t xml:space="preserve">rights law, allowing for a reinterpretation of Islamic texts in line with contemporary human rights standards </w:t>
      </w:r>
      <w:r w:rsidR="00A526EF">
        <w:rPr>
          <w:rFonts w:ascii="Calibri Light" w:hAnsi="Calibri Light" w:cs="Calibri Light"/>
          <w:sz w:val="24"/>
          <w:szCs w:val="24"/>
          <w:lang w:val="en-ID"/>
        </w:rPr>
        <w:fldChar w:fldCharType="begin" w:fldLock="1"/>
      </w:r>
      <w:r w:rsidR="00A526EF">
        <w:rPr>
          <w:rFonts w:ascii="Calibri Light" w:hAnsi="Calibri Light" w:cs="Calibri Light"/>
          <w:sz w:val="24"/>
          <w:szCs w:val="24"/>
          <w:lang w:val="en-ID"/>
        </w:rPr>
        <w:instrText>ADDIN CSL_CITATION {"citationItems":[{"id":"ITEM-1","itemData":{"DOI":"10.33102/mjsl.vol12no1.491","ISSN":"19857454 (ISSN)","abstract":"In criminal litigation, evidence plays a very significant role in ensuring that justice is delivered. Nevertheless, justice cannot be achieved without the correct application of standard of proof. Failure to apply the correct standard of proof could result in miscarriage of justice. This paper examines the concept of standard of proof from the Islamic and common law perspectives. It also analyses the similarities and differences in the application of standard of proof under both legal systems. This study is a doctrinal research and utilises qualitative methods. The primary and secondary data are gathered using the documentation method obtained from library, legal statutes and reported cases. The gathered data are then further analysed using content analysis method. Findings of this study show that there are similarities and differences in the concept of standard of proof in criminal cases under both legal systems. In spite of the similarities, several applications under the common law should not be referred or utilised in litigating Syariah criminal cases. This paper suggests that the standard of proof under Islamic law is to be harmonised with the common law in the prosecution of criminal cases in the Syariah courts. The research conducted contributes towards the knowledge in distinguishing between the Islamic and common law principles particularly for countries that practise Islamic criminal law. © The authors (2024).","author":[{"dropping-particle":"","family":"Saifuddin","given":"S","non-dropping-particle":"","parse-names":false,"suffix":""},{"dropping-particle":"","family":"Ali Tajuddin","given":"H H","non-dropping-particle":"","parse-names":false,"suffix":""},{"dropping-particle":"","family":"Yahya","given":"M A","non-dropping-particle":"","parse-names":false,"suffix":""},{"dropping-particle":"","family":"Abd Rahman","given":"M R","non-dropping-particle":"","parse-names":false,"suffix":""},{"dropping-particle":"","family":"Hashim","given":"F Y","non-dropping-particle":"","parse-names":false,"suffix":""}],"container-title":"Malaysian Journal of Syariah and Law","id":"ITEM-1","issue":"1","issued":{"date-parts":[["2024"]]},"language":"English","page":"11-22","publisher":"Faculty of Syariah and Law, Islamic Science University of Malaysia (USIM)","publisher-place":"Pusat Kajian Undang-Undang Malaysia &amp; Perbandingan, Universiti Kebangsaan Malaysia, Selangor, Bangi, Malaysia","title":"EXAMINING THE APPLICATION OF STANDARD OF PROOF IN CRIMINAL CASES: A COMPARATIVE ANALYSIS OF ISLAMIC LAW AND COMMON LAW IN MALAYSIA","type":"article-journal","volume":"12"},"uris":["http://www.mendeley.com/documents/?uuid=0e38bab5-0eaf-497a-a061-e2ca46ce9861"]}],"mendeley":{"formattedCitation":"(Saifuddin et al. 2024)","plainTextFormattedCitation":"(Saifuddin et al. 2024)","previouslyFormattedCitation":"(Saifuddin et al. 2024)"},"properties":{"noteIndex":0},"schema":"https://github.com/citation-style-language/schema/raw/master/csl-citation.json"}</w:instrText>
      </w:r>
      <w:r w:rsidR="00A526EF">
        <w:rPr>
          <w:rFonts w:ascii="Calibri Light" w:hAnsi="Calibri Light" w:cs="Calibri Light"/>
          <w:sz w:val="24"/>
          <w:szCs w:val="24"/>
          <w:lang w:val="en-ID"/>
        </w:rPr>
        <w:fldChar w:fldCharType="separate"/>
      </w:r>
      <w:r w:rsidR="00E810D4" w:rsidRPr="00E810D4">
        <w:rPr>
          <w:rFonts w:ascii="Calibri Light" w:hAnsi="Calibri Light" w:cs="Calibri Light"/>
          <w:noProof/>
          <w:sz w:val="24"/>
          <w:szCs w:val="24"/>
          <w:lang w:val="en-ID"/>
        </w:rPr>
        <w:t>(Saifuddin et al. 2024)</w:t>
      </w:r>
      <w:r w:rsidR="00A526EF">
        <w:rPr>
          <w:rFonts w:ascii="Calibri Light" w:hAnsi="Calibri Light" w:cs="Calibri Light"/>
          <w:sz w:val="24"/>
          <w:szCs w:val="24"/>
          <w:lang w:val="en-ID"/>
        </w:rPr>
        <w:fldChar w:fldCharType="end"/>
      </w:r>
      <w:r w:rsidRPr="0007539D">
        <w:rPr>
          <w:rFonts w:ascii="Calibri Light" w:hAnsi="Calibri Light" w:cs="Calibri Light"/>
          <w:sz w:val="24"/>
          <w:szCs w:val="24"/>
          <w:lang w:val="en-ID"/>
        </w:rPr>
        <w:t>.</w:t>
      </w:r>
    </w:p>
    <w:p w14:paraId="4296E3B7" w14:textId="77777777" w:rsidR="0007539D" w:rsidRPr="0007539D" w:rsidRDefault="0007539D" w:rsidP="0007539D">
      <w:pPr>
        <w:spacing w:before="120" w:after="120"/>
        <w:ind w:left="440" w:right="-1" w:hanging="14"/>
        <w:jc w:val="both"/>
        <w:rPr>
          <w:rFonts w:ascii="Calibri Light" w:hAnsi="Calibri Light" w:cs="Calibri Light"/>
          <w:b/>
          <w:bCs/>
          <w:sz w:val="24"/>
          <w:szCs w:val="24"/>
          <w:lang w:val="en-ID"/>
        </w:rPr>
      </w:pPr>
      <w:r w:rsidRPr="0007539D">
        <w:rPr>
          <w:rFonts w:ascii="Calibri Light" w:hAnsi="Calibri Light" w:cs="Calibri Light"/>
          <w:b/>
          <w:bCs/>
          <w:i/>
          <w:iCs/>
          <w:sz w:val="24"/>
          <w:szCs w:val="24"/>
          <w:lang w:val="en-ID"/>
        </w:rPr>
        <w:t xml:space="preserve">Table </w:t>
      </w:r>
      <w:r>
        <w:rPr>
          <w:rFonts w:ascii="Calibri Light" w:hAnsi="Calibri Light" w:cs="Calibri Light"/>
          <w:b/>
          <w:bCs/>
          <w:i/>
          <w:iCs/>
          <w:sz w:val="24"/>
          <w:szCs w:val="24"/>
          <w:rtl/>
          <w:lang w:val="en-ID"/>
        </w:rPr>
        <w:t>1</w:t>
      </w:r>
      <w:r w:rsidRPr="0007539D">
        <w:rPr>
          <w:rFonts w:ascii="Calibri Light" w:hAnsi="Calibri Light" w:cs="Calibri Light"/>
          <w:b/>
          <w:bCs/>
          <w:i/>
          <w:iCs/>
          <w:sz w:val="24"/>
          <w:szCs w:val="24"/>
          <w:lang w:val="en-ID"/>
        </w:rPr>
        <w:t>:</w:t>
      </w:r>
      <w:r w:rsidRPr="0007539D">
        <w:rPr>
          <w:rFonts w:ascii="Calibri Light" w:hAnsi="Calibri Light" w:cs="Calibri Light"/>
          <w:b/>
          <w:bCs/>
          <w:sz w:val="24"/>
          <w:szCs w:val="24"/>
          <w:lang w:val="en-ID"/>
        </w:rPr>
        <w:t xml:space="preserve"> </w:t>
      </w:r>
      <w:r w:rsidRPr="0007539D">
        <w:rPr>
          <w:rFonts w:ascii="Calibri Light" w:hAnsi="Calibri Light" w:cs="Calibri Light"/>
          <w:sz w:val="24"/>
          <w:szCs w:val="24"/>
          <w:lang w:val="en-ID"/>
        </w:rPr>
        <w:t>Summarizes the key findings regarding the application of Qur'anic principles in the human rights laws of Egypt and Indonesia.</w:t>
      </w:r>
    </w:p>
    <w:tbl>
      <w:tblPr>
        <w:tblStyle w:val="PlainTable2"/>
        <w:tblW w:w="0" w:type="auto"/>
        <w:tblLook w:val="04A0" w:firstRow="1" w:lastRow="0" w:firstColumn="1" w:lastColumn="0" w:noHBand="0" w:noVBand="1"/>
      </w:tblPr>
      <w:tblGrid>
        <w:gridCol w:w="2200"/>
        <w:gridCol w:w="3219"/>
        <w:gridCol w:w="3652"/>
      </w:tblGrid>
      <w:tr w:rsidR="0007539D" w:rsidRPr="0007539D" w14:paraId="05C3DD28" w14:textId="77777777" w:rsidTr="000753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7F7F7F" w:themeColor="text1" w:themeTint="80"/>
            </w:tcBorders>
            <w:shd w:val="clear" w:color="auto" w:fill="FFC000"/>
            <w:hideMark/>
          </w:tcPr>
          <w:p w14:paraId="31AAC2CA" w14:textId="77777777" w:rsidR="0007539D" w:rsidRPr="0007539D" w:rsidRDefault="0007539D" w:rsidP="0007539D">
            <w:pPr>
              <w:spacing w:before="120" w:after="120"/>
              <w:ind w:left="440" w:right="-1" w:hanging="14"/>
              <w:jc w:val="both"/>
              <w:rPr>
                <w:rFonts w:ascii="Calibri Light" w:hAnsi="Calibri Light" w:cs="Calibri Light"/>
                <w:sz w:val="24"/>
                <w:szCs w:val="24"/>
              </w:rPr>
            </w:pPr>
            <w:r w:rsidRPr="0007539D">
              <w:rPr>
                <w:rFonts w:ascii="Calibri Light" w:hAnsi="Calibri Light" w:cs="Calibri Light"/>
                <w:sz w:val="24"/>
                <w:szCs w:val="24"/>
              </w:rPr>
              <w:t>Aspect</w:t>
            </w:r>
          </w:p>
        </w:tc>
        <w:tc>
          <w:tcPr>
            <w:tcW w:w="0" w:type="auto"/>
            <w:tcBorders>
              <w:top w:val="single" w:sz="4" w:space="0" w:color="7F7F7F" w:themeColor="text1" w:themeTint="80"/>
            </w:tcBorders>
            <w:shd w:val="clear" w:color="auto" w:fill="FFC000"/>
            <w:hideMark/>
          </w:tcPr>
          <w:p w14:paraId="7EFF9B04" w14:textId="77777777" w:rsidR="0007539D" w:rsidRPr="0007539D" w:rsidRDefault="0007539D" w:rsidP="0007539D">
            <w:pPr>
              <w:spacing w:before="120" w:after="120"/>
              <w:ind w:left="440" w:right="-1" w:hanging="14"/>
              <w:jc w:val="both"/>
              <w:cnfStyle w:val="100000000000" w:firstRow="1" w:lastRow="0" w:firstColumn="0" w:lastColumn="0" w:oddVBand="0" w:evenVBand="0" w:oddHBand="0" w:evenHBand="0" w:firstRowFirstColumn="0" w:firstRowLastColumn="0" w:lastRowFirstColumn="0" w:lastRowLastColumn="0"/>
              <w:rPr>
                <w:rFonts w:ascii="Calibri Light" w:hAnsi="Calibri Light" w:cs="Calibri Light"/>
                <w:sz w:val="24"/>
                <w:szCs w:val="24"/>
              </w:rPr>
            </w:pPr>
            <w:r w:rsidRPr="0007539D">
              <w:rPr>
                <w:rFonts w:ascii="Calibri Light" w:hAnsi="Calibri Light" w:cs="Calibri Light"/>
                <w:sz w:val="24"/>
                <w:szCs w:val="24"/>
                <w:rtl/>
                <w:lang w:val="en-US"/>
              </w:rPr>
              <w:t xml:space="preserve">     </w:t>
            </w:r>
            <w:r w:rsidRPr="0007539D">
              <w:rPr>
                <w:rFonts w:ascii="Calibri Light" w:hAnsi="Calibri Light" w:cs="Calibri Light"/>
                <w:sz w:val="24"/>
                <w:szCs w:val="24"/>
              </w:rPr>
              <w:t>Egypt</w:t>
            </w:r>
          </w:p>
        </w:tc>
        <w:tc>
          <w:tcPr>
            <w:tcW w:w="0" w:type="auto"/>
            <w:tcBorders>
              <w:top w:val="single" w:sz="4" w:space="0" w:color="7F7F7F" w:themeColor="text1" w:themeTint="80"/>
            </w:tcBorders>
            <w:shd w:val="clear" w:color="auto" w:fill="FFC000"/>
            <w:hideMark/>
          </w:tcPr>
          <w:p w14:paraId="2EEAEE47" w14:textId="77777777" w:rsidR="0007539D" w:rsidRPr="0007539D" w:rsidRDefault="0007539D" w:rsidP="0007539D">
            <w:pPr>
              <w:spacing w:before="120" w:after="120"/>
              <w:ind w:left="440" w:right="-1" w:hanging="14"/>
              <w:jc w:val="both"/>
              <w:cnfStyle w:val="100000000000" w:firstRow="1" w:lastRow="0" w:firstColumn="0" w:lastColumn="0" w:oddVBand="0" w:evenVBand="0" w:oddHBand="0" w:evenHBand="0" w:firstRowFirstColumn="0" w:firstRowLastColumn="0" w:lastRowFirstColumn="0" w:lastRowLastColumn="0"/>
              <w:rPr>
                <w:rFonts w:ascii="Calibri Light" w:hAnsi="Calibri Light" w:cs="Calibri Light"/>
                <w:sz w:val="24"/>
                <w:szCs w:val="24"/>
              </w:rPr>
            </w:pPr>
            <w:r w:rsidRPr="0007539D">
              <w:rPr>
                <w:rFonts w:ascii="Calibri Light" w:hAnsi="Calibri Light" w:cs="Calibri Light"/>
                <w:sz w:val="24"/>
                <w:szCs w:val="24"/>
                <w:rtl/>
                <w:lang w:val="en-US"/>
              </w:rPr>
              <w:t xml:space="preserve">     </w:t>
            </w:r>
            <w:r w:rsidRPr="0007539D">
              <w:rPr>
                <w:rFonts w:ascii="Calibri Light" w:hAnsi="Calibri Light" w:cs="Calibri Light"/>
                <w:sz w:val="24"/>
                <w:szCs w:val="24"/>
              </w:rPr>
              <w:t>Indonesia</w:t>
            </w:r>
          </w:p>
        </w:tc>
      </w:tr>
      <w:tr w:rsidR="0007539D" w:rsidRPr="0007539D" w14:paraId="5D180141" w14:textId="77777777" w:rsidTr="000753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8DB3E2" w:themeFill="text2" w:themeFillTint="66"/>
            <w:hideMark/>
          </w:tcPr>
          <w:p w14:paraId="46080652" w14:textId="77777777" w:rsidR="0007539D" w:rsidRPr="0007539D" w:rsidRDefault="0007539D" w:rsidP="0007539D">
            <w:pPr>
              <w:spacing w:before="120" w:after="120"/>
              <w:ind w:left="440" w:right="-1" w:hanging="14"/>
              <w:jc w:val="both"/>
              <w:rPr>
                <w:rFonts w:ascii="Calibri Light" w:hAnsi="Calibri Light" w:cs="Calibri Light"/>
                <w:sz w:val="24"/>
                <w:szCs w:val="24"/>
              </w:rPr>
            </w:pPr>
            <w:r w:rsidRPr="0007539D">
              <w:rPr>
                <w:rFonts w:ascii="Calibri Light" w:hAnsi="Calibri Light" w:cs="Calibri Light"/>
                <w:sz w:val="24"/>
                <w:szCs w:val="24"/>
              </w:rPr>
              <w:t>Constitutional Framework</w:t>
            </w:r>
          </w:p>
        </w:tc>
        <w:tc>
          <w:tcPr>
            <w:tcW w:w="0" w:type="auto"/>
            <w:shd w:val="clear" w:color="auto" w:fill="C6D9F1"/>
            <w:hideMark/>
          </w:tcPr>
          <w:p w14:paraId="3CE759DF" w14:textId="77777777" w:rsidR="0007539D" w:rsidRPr="0007539D" w:rsidRDefault="0007539D" w:rsidP="0007539D">
            <w:pPr>
              <w:spacing w:before="120" w:after="120"/>
              <w:ind w:left="440" w:right="-1" w:hanging="14"/>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rPr>
            </w:pPr>
            <w:proofErr w:type="spellStart"/>
            <w:r w:rsidRPr="0007539D">
              <w:rPr>
                <w:rFonts w:ascii="Calibri Light" w:hAnsi="Calibri Light" w:cs="Calibri Light"/>
                <w:sz w:val="24"/>
                <w:szCs w:val="24"/>
              </w:rPr>
              <w:t>Shari'ah</w:t>
            </w:r>
            <w:proofErr w:type="spellEnd"/>
            <w:r w:rsidRPr="0007539D">
              <w:rPr>
                <w:rFonts w:ascii="Calibri Light" w:hAnsi="Calibri Light" w:cs="Calibri Light"/>
                <w:sz w:val="24"/>
                <w:szCs w:val="24"/>
              </w:rPr>
              <w:t xml:space="preserve"> recognized as a source of law. Secular law also plays a role.</w:t>
            </w:r>
          </w:p>
        </w:tc>
        <w:tc>
          <w:tcPr>
            <w:tcW w:w="0" w:type="auto"/>
            <w:shd w:val="clear" w:color="auto" w:fill="EAF1DD"/>
            <w:hideMark/>
          </w:tcPr>
          <w:p w14:paraId="126F90F0" w14:textId="77777777" w:rsidR="0007539D" w:rsidRPr="0007539D" w:rsidRDefault="0007539D" w:rsidP="0007539D">
            <w:pPr>
              <w:spacing w:before="120" w:after="120"/>
              <w:ind w:left="440" w:right="-1" w:hanging="14"/>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rPr>
            </w:pPr>
            <w:r w:rsidRPr="0007539D">
              <w:rPr>
                <w:rFonts w:ascii="Calibri Light" w:hAnsi="Calibri Light" w:cs="Calibri Light"/>
                <w:sz w:val="24"/>
                <w:szCs w:val="24"/>
              </w:rPr>
              <w:t xml:space="preserve">Constitution guarantees human rights for all. </w:t>
            </w:r>
            <w:proofErr w:type="spellStart"/>
            <w:r w:rsidRPr="0007539D">
              <w:rPr>
                <w:rFonts w:ascii="Calibri Light" w:hAnsi="Calibri Light" w:cs="Calibri Light"/>
                <w:sz w:val="24"/>
                <w:szCs w:val="24"/>
              </w:rPr>
              <w:t>Shari'ah</w:t>
            </w:r>
            <w:proofErr w:type="spellEnd"/>
            <w:r w:rsidRPr="0007539D">
              <w:rPr>
                <w:rFonts w:ascii="Calibri Light" w:hAnsi="Calibri Light" w:cs="Calibri Light"/>
                <w:sz w:val="24"/>
                <w:szCs w:val="24"/>
              </w:rPr>
              <w:t xml:space="preserve"> implemented regionally.</w:t>
            </w:r>
          </w:p>
        </w:tc>
      </w:tr>
      <w:tr w:rsidR="0007539D" w:rsidRPr="0007539D" w14:paraId="284F41D5" w14:textId="77777777" w:rsidTr="0007539D">
        <w:tc>
          <w:tcPr>
            <w:cnfStyle w:val="001000000000" w:firstRow="0" w:lastRow="0" w:firstColumn="1" w:lastColumn="0" w:oddVBand="0" w:evenVBand="0" w:oddHBand="0" w:evenHBand="0" w:firstRowFirstColumn="0" w:firstRowLastColumn="0" w:lastRowFirstColumn="0" w:lastRowLastColumn="0"/>
            <w:tcW w:w="0" w:type="auto"/>
            <w:shd w:val="clear" w:color="auto" w:fill="8DB3E2" w:themeFill="text2" w:themeFillTint="66"/>
            <w:hideMark/>
          </w:tcPr>
          <w:p w14:paraId="7CF5120C" w14:textId="77777777" w:rsidR="0007539D" w:rsidRPr="0007539D" w:rsidRDefault="0007539D" w:rsidP="0007539D">
            <w:pPr>
              <w:spacing w:before="120" w:after="120"/>
              <w:ind w:left="440" w:right="-1" w:hanging="14"/>
              <w:jc w:val="both"/>
              <w:rPr>
                <w:rFonts w:ascii="Calibri Light" w:hAnsi="Calibri Light" w:cs="Calibri Light"/>
                <w:sz w:val="24"/>
                <w:szCs w:val="24"/>
              </w:rPr>
            </w:pPr>
            <w:r w:rsidRPr="0007539D">
              <w:rPr>
                <w:rFonts w:ascii="Calibri Light" w:hAnsi="Calibri Light" w:cs="Calibri Light"/>
                <w:sz w:val="24"/>
                <w:szCs w:val="24"/>
              </w:rPr>
              <w:t>Women's Rights</w:t>
            </w:r>
          </w:p>
        </w:tc>
        <w:tc>
          <w:tcPr>
            <w:tcW w:w="0" w:type="auto"/>
            <w:shd w:val="clear" w:color="auto" w:fill="C6D9F1"/>
            <w:hideMark/>
          </w:tcPr>
          <w:p w14:paraId="60C244BA" w14:textId="77777777" w:rsidR="0007539D" w:rsidRPr="0007539D" w:rsidRDefault="0007539D" w:rsidP="0007539D">
            <w:pPr>
              <w:spacing w:before="120" w:after="120"/>
              <w:ind w:left="440" w:right="-1" w:hanging="14"/>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4"/>
                <w:szCs w:val="24"/>
              </w:rPr>
            </w:pPr>
            <w:r w:rsidRPr="0007539D">
              <w:rPr>
                <w:rFonts w:ascii="Calibri Light" w:hAnsi="Calibri Light" w:cs="Calibri Light"/>
                <w:sz w:val="24"/>
                <w:szCs w:val="24"/>
              </w:rPr>
              <w:t>Gender equality is often contested; women face limitations in certain legal areas.</w:t>
            </w:r>
          </w:p>
        </w:tc>
        <w:tc>
          <w:tcPr>
            <w:tcW w:w="0" w:type="auto"/>
            <w:shd w:val="clear" w:color="auto" w:fill="EAF1DD"/>
            <w:hideMark/>
          </w:tcPr>
          <w:p w14:paraId="17D382D7" w14:textId="77777777" w:rsidR="0007539D" w:rsidRPr="0007539D" w:rsidRDefault="0007539D" w:rsidP="0007539D">
            <w:pPr>
              <w:spacing w:before="120" w:after="120"/>
              <w:ind w:left="440" w:right="-1" w:hanging="14"/>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4"/>
                <w:szCs w:val="24"/>
              </w:rPr>
            </w:pPr>
            <w:r w:rsidRPr="0007539D">
              <w:rPr>
                <w:rFonts w:ascii="Calibri Light" w:hAnsi="Calibri Light" w:cs="Calibri Light"/>
                <w:sz w:val="24"/>
                <w:szCs w:val="24"/>
              </w:rPr>
              <w:t xml:space="preserve">More progressive in terms of women's rights, especially in urban areas, but still issues in </w:t>
            </w:r>
            <w:proofErr w:type="spellStart"/>
            <w:r w:rsidRPr="0007539D">
              <w:rPr>
                <w:rFonts w:ascii="Calibri Light" w:hAnsi="Calibri Light" w:cs="Calibri Light"/>
                <w:sz w:val="24"/>
                <w:szCs w:val="24"/>
              </w:rPr>
              <w:t>Shari'ah</w:t>
            </w:r>
            <w:proofErr w:type="spellEnd"/>
            <w:r w:rsidRPr="0007539D">
              <w:rPr>
                <w:rFonts w:ascii="Calibri Light" w:hAnsi="Calibri Light" w:cs="Calibri Light"/>
                <w:sz w:val="24"/>
                <w:szCs w:val="24"/>
              </w:rPr>
              <w:t>-applying regions.</w:t>
            </w:r>
          </w:p>
        </w:tc>
      </w:tr>
      <w:tr w:rsidR="0007539D" w:rsidRPr="0007539D" w14:paraId="190E1A75" w14:textId="77777777" w:rsidTr="000753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8DB3E2" w:themeFill="text2" w:themeFillTint="66"/>
            <w:hideMark/>
          </w:tcPr>
          <w:p w14:paraId="039D460D" w14:textId="77777777" w:rsidR="0007539D" w:rsidRPr="0007539D" w:rsidRDefault="0007539D" w:rsidP="0007539D">
            <w:pPr>
              <w:spacing w:before="120" w:after="120"/>
              <w:ind w:left="440" w:right="-1" w:hanging="14"/>
              <w:jc w:val="both"/>
              <w:rPr>
                <w:rFonts w:ascii="Calibri Light" w:hAnsi="Calibri Light" w:cs="Calibri Light"/>
                <w:sz w:val="24"/>
                <w:szCs w:val="24"/>
              </w:rPr>
            </w:pPr>
            <w:r w:rsidRPr="0007539D">
              <w:rPr>
                <w:rFonts w:ascii="Calibri Light" w:hAnsi="Calibri Light" w:cs="Calibri Light"/>
                <w:sz w:val="24"/>
                <w:szCs w:val="24"/>
              </w:rPr>
              <w:t>Freedom of Expression</w:t>
            </w:r>
          </w:p>
        </w:tc>
        <w:tc>
          <w:tcPr>
            <w:tcW w:w="0" w:type="auto"/>
            <w:shd w:val="clear" w:color="auto" w:fill="C6D9F1"/>
            <w:hideMark/>
          </w:tcPr>
          <w:p w14:paraId="439500A4" w14:textId="77777777" w:rsidR="0007539D" w:rsidRPr="0007539D" w:rsidRDefault="0007539D" w:rsidP="0007539D">
            <w:pPr>
              <w:spacing w:before="120" w:after="120"/>
              <w:ind w:left="440" w:right="-1" w:hanging="14"/>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rPr>
            </w:pPr>
            <w:r w:rsidRPr="0007539D">
              <w:rPr>
                <w:rFonts w:ascii="Calibri Light" w:hAnsi="Calibri Light" w:cs="Calibri Light"/>
                <w:sz w:val="24"/>
                <w:szCs w:val="24"/>
              </w:rPr>
              <w:t>Restricted in certain contexts due to conservative interpretations of Islam.</w:t>
            </w:r>
          </w:p>
        </w:tc>
        <w:tc>
          <w:tcPr>
            <w:tcW w:w="0" w:type="auto"/>
            <w:shd w:val="clear" w:color="auto" w:fill="EAF1DD"/>
            <w:hideMark/>
          </w:tcPr>
          <w:p w14:paraId="46467BF4" w14:textId="77777777" w:rsidR="0007539D" w:rsidRPr="0007539D" w:rsidRDefault="0007539D" w:rsidP="0007539D">
            <w:pPr>
              <w:spacing w:before="120" w:after="120"/>
              <w:ind w:left="440" w:right="-1" w:hanging="14"/>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rPr>
            </w:pPr>
            <w:r w:rsidRPr="0007539D">
              <w:rPr>
                <w:rFonts w:ascii="Calibri Light" w:hAnsi="Calibri Light" w:cs="Calibri Light"/>
                <w:sz w:val="24"/>
                <w:szCs w:val="24"/>
              </w:rPr>
              <w:t>Greater freedom, although challenges exist in conservative regions like Aceh.</w:t>
            </w:r>
          </w:p>
        </w:tc>
      </w:tr>
      <w:tr w:rsidR="0007539D" w:rsidRPr="0007539D" w14:paraId="0C2288FE" w14:textId="77777777" w:rsidTr="0007539D">
        <w:tc>
          <w:tcPr>
            <w:cnfStyle w:val="001000000000" w:firstRow="0" w:lastRow="0" w:firstColumn="1" w:lastColumn="0" w:oddVBand="0" w:evenVBand="0" w:oddHBand="0" w:evenHBand="0" w:firstRowFirstColumn="0" w:firstRowLastColumn="0" w:lastRowFirstColumn="0" w:lastRowLastColumn="0"/>
            <w:tcW w:w="0" w:type="auto"/>
            <w:shd w:val="clear" w:color="auto" w:fill="8DB3E2" w:themeFill="text2" w:themeFillTint="66"/>
            <w:hideMark/>
          </w:tcPr>
          <w:p w14:paraId="4D19B3AC" w14:textId="77777777" w:rsidR="0007539D" w:rsidRPr="0007539D" w:rsidRDefault="0007539D" w:rsidP="0007539D">
            <w:pPr>
              <w:spacing w:before="120" w:after="120"/>
              <w:ind w:left="440" w:right="-1" w:hanging="14"/>
              <w:jc w:val="both"/>
              <w:rPr>
                <w:rFonts w:ascii="Calibri Light" w:hAnsi="Calibri Light" w:cs="Calibri Light"/>
                <w:sz w:val="24"/>
                <w:szCs w:val="24"/>
              </w:rPr>
            </w:pPr>
            <w:r w:rsidRPr="0007539D">
              <w:rPr>
                <w:rFonts w:ascii="Calibri Light" w:hAnsi="Calibri Light" w:cs="Calibri Light"/>
                <w:sz w:val="24"/>
                <w:szCs w:val="24"/>
              </w:rPr>
              <w:t>Religious Freedom</w:t>
            </w:r>
          </w:p>
        </w:tc>
        <w:tc>
          <w:tcPr>
            <w:tcW w:w="0" w:type="auto"/>
            <w:shd w:val="clear" w:color="auto" w:fill="C6D9F1"/>
            <w:hideMark/>
          </w:tcPr>
          <w:p w14:paraId="6E0EBE06" w14:textId="77777777" w:rsidR="0007539D" w:rsidRPr="0007539D" w:rsidRDefault="0007539D" w:rsidP="0007539D">
            <w:pPr>
              <w:spacing w:before="120" w:after="120"/>
              <w:ind w:left="440" w:right="-1" w:hanging="14"/>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4"/>
                <w:szCs w:val="24"/>
              </w:rPr>
            </w:pPr>
            <w:r w:rsidRPr="0007539D">
              <w:rPr>
                <w:rFonts w:ascii="Calibri Light" w:hAnsi="Calibri Light" w:cs="Calibri Light"/>
                <w:sz w:val="24"/>
                <w:szCs w:val="24"/>
              </w:rPr>
              <w:t>Religious minorities have limited rights; state religion is Islam.</w:t>
            </w:r>
          </w:p>
        </w:tc>
        <w:tc>
          <w:tcPr>
            <w:tcW w:w="0" w:type="auto"/>
            <w:shd w:val="clear" w:color="auto" w:fill="EAF1DD"/>
            <w:hideMark/>
          </w:tcPr>
          <w:p w14:paraId="469CE5A3" w14:textId="77777777" w:rsidR="0007539D" w:rsidRPr="0007539D" w:rsidRDefault="0007539D" w:rsidP="0007539D">
            <w:pPr>
              <w:spacing w:before="120" w:after="120"/>
              <w:ind w:left="440" w:right="-1" w:hanging="14"/>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4"/>
                <w:szCs w:val="24"/>
              </w:rPr>
            </w:pPr>
            <w:r w:rsidRPr="0007539D">
              <w:rPr>
                <w:rFonts w:ascii="Calibri Light" w:hAnsi="Calibri Light" w:cs="Calibri Light"/>
                <w:sz w:val="24"/>
                <w:szCs w:val="24"/>
              </w:rPr>
              <w:t xml:space="preserve">Stronger religious pluralism, though there are tensions in </w:t>
            </w:r>
            <w:proofErr w:type="spellStart"/>
            <w:r w:rsidRPr="0007539D">
              <w:rPr>
                <w:rFonts w:ascii="Calibri Light" w:hAnsi="Calibri Light" w:cs="Calibri Light"/>
                <w:sz w:val="24"/>
                <w:szCs w:val="24"/>
              </w:rPr>
              <w:t>Shari'ah</w:t>
            </w:r>
            <w:proofErr w:type="spellEnd"/>
            <w:r w:rsidRPr="0007539D">
              <w:rPr>
                <w:rFonts w:ascii="Calibri Light" w:hAnsi="Calibri Light" w:cs="Calibri Light"/>
                <w:sz w:val="24"/>
                <w:szCs w:val="24"/>
              </w:rPr>
              <w:t>-implemented areas.</w:t>
            </w:r>
          </w:p>
        </w:tc>
      </w:tr>
      <w:tr w:rsidR="0007539D" w:rsidRPr="0007539D" w14:paraId="19841587" w14:textId="77777777" w:rsidTr="000753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8DB3E2" w:themeFill="text2" w:themeFillTint="66"/>
            <w:hideMark/>
          </w:tcPr>
          <w:p w14:paraId="23EE2588" w14:textId="77777777" w:rsidR="0007539D" w:rsidRPr="0007539D" w:rsidRDefault="0007539D" w:rsidP="0007539D">
            <w:pPr>
              <w:spacing w:before="120" w:after="120"/>
              <w:ind w:left="440" w:right="-1" w:hanging="14"/>
              <w:jc w:val="both"/>
              <w:rPr>
                <w:rFonts w:ascii="Calibri Light" w:hAnsi="Calibri Light" w:cs="Calibri Light"/>
                <w:sz w:val="24"/>
                <w:szCs w:val="24"/>
              </w:rPr>
            </w:pPr>
            <w:r w:rsidRPr="0007539D">
              <w:rPr>
                <w:rFonts w:ascii="Calibri Light" w:hAnsi="Calibri Light" w:cs="Calibri Light"/>
                <w:sz w:val="24"/>
                <w:szCs w:val="24"/>
              </w:rPr>
              <w:t>Role of Ijtihad</w:t>
            </w:r>
          </w:p>
        </w:tc>
        <w:tc>
          <w:tcPr>
            <w:tcW w:w="0" w:type="auto"/>
            <w:shd w:val="clear" w:color="auto" w:fill="C6D9F1"/>
            <w:hideMark/>
          </w:tcPr>
          <w:p w14:paraId="0222A129" w14:textId="77777777" w:rsidR="0007539D" w:rsidRPr="0007539D" w:rsidRDefault="0007539D" w:rsidP="0007539D">
            <w:pPr>
              <w:spacing w:before="120" w:after="120"/>
              <w:ind w:left="440" w:right="-1" w:hanging="14"/>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rPr>
            </w:pPr>
            <w:r w:rsidRPr="0007539D">
              <w:rPr>
                <w:rFonts w:ascii="Calibri Light" w:hAnsi="Calibri Light" w:cs="Calibri Light"/>
                <w:sz w:val="24"/>
                <w:szCs w:val="24"/>
              </w:rPr>
              <w:t>Ijtihad is used sparingly, and traditional interpretations dominate.</w:t>
            </w:r>
          </w:p>
        </w:tc>
        <w:tc>
          <w:tcPr>
            <w:tcW w:w="0" w:type="auto"/>
            <w:shd w:val="clear" w:color="auto" w:fill="EAF1DD"/>
            <w:hideMark/>
          </w:tcPr>
          <w:p w14:paraId="058D51B4" w14:textId="77777777" w:rsidR="0007539D" w:rsidRPr="0007539D" w:rsidRDefault="0007539D" w:rsidP="0007539D">
            <w:pPr>
              <w:spacing w:before="120" w:after="120"/>
              <w:ind w:left="440" w:right="-1" w:hanging="14"/>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rPr>
            </w:pPr>
            <w:r w:rsidRPr="0007539D">
              <w:rPr>
                <w:rFonts w:ascii="Calibri Light" w:hAnsi="Calibri Light" w:cs="Calibri Light"/>
                <w:sz w:val="24"/>
                <w:szCs w:val="24"/>
              </w:rPr>
              <w:t>Ijtihad plays a significant role in adapting Islamic principles to modern human rights norms.</w:t>
            </w:r>
          </w:p>
        </w:tc>
      </w:tr>
    </w:tbl>
    <w:p w14:paraId="7B3A89D0" w14:textId="77777777" w:rsidR="002E29FD" w:rsidRDefault="002E29FD" w:rsidP="002E29FD">
      <w:pPr>
        <w:jc w:val="both"/>
        <w:rPr>
          <w:rFonts w:ascii="Calibri Light" w:hAnsi="Calibri Light" w:cs="Calibri Light"/>
          <w:color w:val="FF0000"/>
          <w:sz w:val="24"/>
          <w:szCs w:val="24"/>
          <w:rtl/>
        </w:rPr>
      </w:pPr>
      <w:r>
        <w:rPr>
          <w:rFonts w:ascii="Calibri Light" w:hAnsi="Calibri Light" w:cs="Calibri Light"/>
          <w:color w:val="FF0000"/>
          <w:sz w:val="24"/>
          <w:szCs w:val="24"/>
          <w:rtl/>
        </w:rPr>
        <w:t xml:space="preserve"> </w:t>
      </w:r>
      <w:r>
        <w:rPr>
          <w:rFonts w:ascii="Calibri Light" w:hAnsi="Calibri Light" w:cs="Calibri Light"/>
          <w:color w:val="FF0000"/>
          <w:sz w:val="24"/>
          <w:szCs w:val="24"/>
          <w:rtl/>
        </w:rPr>
        <w:tab/>
      </w:r>
    </w:p>
    <w:p w14:paraId="0FC5E0D9" w14:textId="77777777" w:rsidR="002E29FD" w:rsidRPr="002E29FD" w:rsidRDefault="002E29FD" w:rsidP="002E29FD">
      <w:pPr>
        <w:jc w:val="both"/>
        <w:rPr>
          <w:rFonts w:ascii="Calibri Light" w:hAnsi="Calibri Light" w:cs="Calibri Light"/>
          <w:b/>
          <w:bCs/>
          <w:sz w:val="24"/>
          <w:szCs w:val="24"/>
        </w:rPr>
      </w:pPr>
      <w:commentRangeStart w:id="7"/>
      <w:r w:rsidRPr="002E29FD">
        <w:rPr>
          <w:rFonts w:ascii="Calibri Light" w:hAnsi="Calibri Light" w:cs="Calibri Light"/>
          <w:b/>
          <w:bCs/>
          <w:sz w:val="24"/>
          <w:szCs w:val="24"/>
        </w:rPr>
        <w:t>Discussion</w:t>
      </w:r>
      <w:commentRangeEnd w:id="7"/>
      <w:r w:rsidR="00654490">
        <w:rPr>
          <w:rStyle w:val="CommentReference"/>
        </w:rPr>
        <w:commentReference w:id="7"/>
      </w:r>
    </w:p>
    <w:p w14:paraId="354F8C78" w14:textId="77777777" w:rsidR="002E29FD" w:rsidRPr="002E29FD" w:rsidRDefault="002E29FD" w:rsidP="002E29FD">
      <w:pPr>
        <w:ind w:left="284"/>
        <w:jc w:val="both"/>
        <w:rPr>
          <w:rFonts w:ascii="Calibri Light" w:hAnsi="Calibri Light" w:cs="Calibri Light"/>
          <w:sz w:val="24"/>
          <w:szCs w:val="24"/>
        </w:rPr>
      </w:pPr>
      <w:r w:rsidRPr="002E29FD">
        <w:rPr>
          <w:rFonts w:ascii="Calibri Light" w:hAnsi="Calibri Light" w:cs="Calibri Light"/>
          <w:sz w:val="24"/>
          <w:szCs w:val="24"/>
        </w:rPr>
        <w:t>The findings of this study provide an in-depth understanding of how the Qur'an’s teachings on justice, equality, and human dignity are interpreted and applied in the legal systems of Egypt and Indonesia. Both countries reflect the complexities of balancing traditional Islamic values with modern human rights frameworks.</w:t>
      </w:r>
    </w:p>
    <w:p w14:paraId="47CCB4CE" w14:textId="77777777" w:rsidR="002E29FD" w:rsidRPr="002E29FD" w:rsidRDefault="002E29FD" w:rsidP="002E29FD">
      <w:pPr>
        <w:ind w:left="284"/>
        <w:jc w:val="both"/>
        <w:rPr>
          <w:rFonts w:ascii="Calibri Light" w:hAnsi="Calibri Light" w:cs="Calibri Light"/>
          <w:sz w:val="24"/>
          <w:szCs w:val="24"/>
        </w:rPr>
      </w:pPr>
      <w:r w:rsidRPr="002E29FD">
        <w:rPr>
          <w:rFonts w:ascii="Calibri Light" w:hAnsi="Calibri Light" w:cs="Calibri Light"/>
          <w:sz w:val="24"/>
          <w:szCs w:val="24"/>
        </w:rPr>
        <w:t xml:space="preserve">In Egypt, while the Qur'an’s principles of justice and equality are clearly articulated, the application of these values is limited by conservative interpretations of </w:t>
      </w:r>
      <w:proofErr w:type="spellStart"/>
      <w:r w:rsidRPr="002E29FD">
        <w:rPr>
          <w:rFonts w:ascii="Calibri Light" w:hAnsi="Calibri Light" w:cs="Calibri Light"/>
          <w:sz w:val="24"/>
          <w:szCs w:val="24"/>
        </w:rPr>
        <w:t>Shari'ah</w:t>
      </w:r>
      <w:proofErr w:type="spellEnd"/>
      <w:r w:rsidRPr="002E29FD">
        <w:rPr>
          <w:rFonts w:ascii="Calibri Light" w:hAnsi="Calibri Light" w:cs="Calibri Light"/>
          <w:sz w:val="24"/>
          <w:szCs w:val="24"/>
        </w:rPr>
        <w:t xml:space="preserve"> law. Gender equality, for instance, remains an area of contention. Despite the Qur'anic assertion that men and women are equal in the sight of Allah, Egyptian law often places women in a subordinate role, particularly in the areas of inheritance, marriage, and divorce</w:t>
      </w:r>
      <w:r w:rsidR="00FB4ACA">
        <w:rPr>
          <w:rFonts w:ascii="Calibri Light" w:hAnsi="Calibri Light" w:cs="Calibri Light"/>
          <w:sz w:val="24"/>
          <w:szCs w:val="24"/>
        </w:rPr>
        <w:fldChar w:fldCharType="begin" w:fldLock="1"/>
      </w:r>
      <w:r w:rsidR="00FB4ACA">
        <w:rPr>
          <w:rFonts w:ascii="Calibri Light" w:hAnsi="Calibri Light" w:cs="Calibri Light"/>
          <w:sz w:val="24"/>
          <w:szCs w:val="24"/>
        </w:rPr>
        <w:instrText>ADDIN CSL_CITATION {"citationItems":[{"id":"ITEM-1","itemData":{"DOI":"10.57239/PJLSS-2024-22.2.00105","ISSN":"17274915","abstract":"A thorough bibliometric examination of the body of research on memory, learning, and educational methods from 1897 to 2024 is presented in this paper. This study uses a quantitative approach to analyze 6,328 documents that were gathered from a Boolean search on a large academic database. Vosviewer, Microsoft Excel, and r/r-studio are used in the analysis to look into document and network metrics. Key findings show a consistent 4.57% yearly growth rate, with notable increases in research efforts starting in 2010. The dataset highlights the widespread interest in these subjects worldwide by displaying a wide range of sources and considerable international collaboration. Network visualizations draw attention to key concepts including memory, cognition, learning, and education as well as new developments in deep learning and e-learning. Highly cited works by writers such as Dehaene S., Cheng H-T., and Zhang H. Show how they have an impact on the conversation. This study identifies historical trends, present concerns, and future directions in cognitive and educational research, offering insightful information to scholars, educators, and policymakers. The results support continued research into cognitive processes and successful teaching methods, encouraging creativity and multidisciplinary cooperation.","author":[{"dropping-particle":"","family":"Ardiansyah","given":"","non-dropping-particle":"","parse-names":false,"suffix":""},{"dropping-particle":"","family":"Waston","given":"","non-dropping-particle":"","parse-names":false,"suffix":""},{"dropping-particle":"","family":"Mahmudulhassan","given":"","non-dropping-particle":"","parse-names":false,"suffix":""},{"dropping-particle":"","family":"Daud","given":"Zainora","non-dropping-particle":"","parse-names":false,"suffix":""},{"dropping-particle":"","family":"Salleh","given":"Norsaleha Mohd","non-dropping-particle":"","parse-names":false,"suffix":""},{"dropping-particle":"","family":"AN","given":"Andri Nirwana","non-dropping-particle":"","parse-names":false,"suffix":""},{"dropping-particle":"","family":"Muthoifin","given":"","non-dropping-particle":"","parse-names":false,"suffix":""}],"container-title":"Pakistan Journal of Life and Social Sciences (PJLSS)","id":"ITEM-1","issue":"2","issued":{"date-parts":[["2024"]]},"page":"1493-1509","title":"Tracing Trends in Quran Memorization and Cognitive Learning: A Bibliometric Analysis from the Scopus Database","type":"article-journal","volume":"22"},"uris":["http://www.mendeley.com/documents/?uuid=2322b807-56cf-4f54-ab33-dcecb16f778f"]}],"mendeley":{"formattedCitation":"(Ardiansyah, Waston, et al. 2024)","plainTextFormattedCitation":"(Ardiansyah, Waston, et al. 2024)","previouslyFormattedCitation":"(Ardiansyah, Waston, et al. 2024)"},"properties":{"noteIndex":0},"schema":"https://github.com/citation-style-language/schema/raw/master/csl-citation.json"}</w:instrText>
      </w:r>
      <w:r w:rsidR="00FB4ACA">
        <w:rPr>
          <w:rFonts w:ascii="Calibri Light" w:hAnsi="Calibri Light" w:cs="Calibri Light"/>
          <w:sz w:val="24"/>
          <w:szCs w:val="24"/>
        </w:rPr>
        <w:fldChar w:fldCharType="separate"/>
      </w:r>
      <w:r w:rsidR="00FB4ACA" w:rsidRPr="00FB4ACA">
        <w:rPr>
          <w:rFonts w:ascii="Calibri Light" w:hAnsi="Calibri Light" w:cs="Calibri Light"/>
          <w:noProof/>
          <w:sz w:val="24"/>
          <w:szCs w:val="24"/>
        </w:rPr>
        <w:t>(Ardiansyah, Waston, et al. 2024)</w:t>
      </w:r>
      <w:r w:rsidR="00FB4ACA">
        <w:rPr>
          <w:rFonts w:ascii="Calibri Light" w:hAnsi="Calibri Light" w:cs="Calibri Light"/>
          <w:sz w:val="24"/>
          <w:szCs w:val="24"/>
        </w:rPr>
        <w:fldChar w:fldCharType="end"/>
      </w:r>
      <w:r w:rsidRPr="002E29FD">
        <w:rPr>
          <w:rFonts w:ascii="Calibri Light" w:hAnsi="Calibri Light" w:cs="Calibri Light"/>
          <w:sz w:val="24"/>
          <w:szCs w:val="24"/>
        </w:rPr>
        <w:t>. The Qur'an clearly states that "For men is a share of what the parents and close relatives leave, and for women is a share of what the parents and close relatives leave" (Qur'an 4:7), yet the inheritance laws in Egypt continue to reflect gender inequality in practice. This highlights a gap between the Qur'anic principle of equality and its practical application in the legal system.</w:t>
      </w:r>
    </w:p>
    <w:p w14:paraId="13411B2E" w14:textId="77777777" w:rsidR="002E29FD" w:rsidRPr="002E29FD" w:rsidRDefault="002E29FD" w:rsidP="002E29FD">
      <w:pPr>
        <w:ind w:left="284"/>
        <w:jc w:val="both"/>
        <w:rPr>
          <w:rFonts w:ascii="Calibri Light" w:hAnsi="Calibri Light" w:cs="Calibri Light"/>
          <w:sz w:val="24"/>
          <w:szCs w:val="24"/>
        </w:rPr>
      </w:pPr>
      <w:r w:rsidRPr="002E29FD">
        <w:rPr>
          <w:rFonts w:ascii="Calibri Light" w:hAnsi="Calibri Light" w:cs="Calibri Light"/>
          <w:sz w:val="24"/>
          <w:szCs w:val="24"/>
        </w:rPr>
        <w:lastRenderedPageBreak/>
        <w:t xml:space="preserve">Indonesia, on the other hand, demonstrates a more inclusive approach to human rights. While regions such as Aceh have faced criticism for their strict implementation of </w:t>
      </w:r>
      <w:proofErr w:type="spellStart"/>
      <w:r w:rsidRPr="002E29FD">
        <w:rPr>
          <w:rFonts w:ascii="Calibri Light" w:hAnsi="Calibri Light" w:cs="Calibri Light"/>
          <w:sz w:val="24"/>
          <w:szCs w:val="24"/>
        </w:rPr>
        <w:t>Shari'ah</w:t>
      </w:r>
      <w:proofErr w:type="spellEnd"/>
      <w:r w:rsidRPr="002E29FD">
        <w:rPr>
          <w:rFonts w:ascii="Calibri Light" w:hAnsi="Calibri Light" w:cs="Calibri Light"/>
          <w:sz w:val="24"/>
          <w:szCs w:val="24"/>
        </w:rPr>
        <w:t xml:space="preserve"> law, the broader Indonesian legal system allows for a wider interpretation of human rights. The country’s pluralistic society has allowed for a legal framework that incorporates Islamic values while respecting international human rights standards</w:t>
      </w:r>
      <w:r w:rsidR="00232863">
        <w:rPr>
          <w:rFonts w:ascii="Calibri Light" w:hAnsi="Calibri Light" w:cs="Calibri Light"/>
          <w:sz w:val="24"/>
          <w:szCs w:val="24"/>
        </w:rPr>
        <w:fldChar w:fldCharType="begin" w:fldLock="1"/>
      </w:r>
      <w:r w:rsidR="00232863">
        <w:rPr>
          <w:rFonts w:ascii="Calibri Light" w:hAnsi="Calibri Light" w:cs="Calibri Light"/>
          <w:sz w:val="24"/>
          <w:szCs w:val="24"/>
        </w:rPr>
        <w:instrText>ADDIN CSL_CITATION {"citationItems":[{"id":"ITEM-1","itemData":{"DOI":"10.57239/PJLSS-2024-22.2.0086","ISSN":"17274915","abstract":"Within the Indonesian religious education practices framework, this study offers a thorough bibliometric analysis of research on Islamic education and character development. We used a quantitative method to analyze a collection of 1266 documents that were released between 1970 and 2024. Using programs like R/R-Studio, VOSviewer, and Microsoft Excel, we carried out our study with an emphasis on network visualizations, citation patterns, and document metrics. Important trends, prolific writers, prestigious publications, and keywords were all identified. The results underscore the significance of research contributions from Indonesia and Malaysia, the fundamental topics in Islamic education, and the developing emphasis on amalgamating modern pedagogical approaches with traditional religious education. This study offers insightful information about the academic environment surrounding Islamic education, guiding future research paths and field policy-making","author":[{"dropping-particle":"","family":"AN","given":"Andri Nirwana","non-dropping-particle":"","parse-names":false,"suffix":""},{"dropping-particle":"","family":".","given":"Mahmudulhassan","non-dropping-particle":"","parse-names":false,"suffix":""},{"dropping-particle":"","family":".","given":"Muthoifin","non-dropping-particle":"","parse-names":false,"suffix":""},{"dropping-particle":"","family":".","given":"Waston","non-dropping-particle":"","parse-names":false,"suffix":""}],"container-title":"Pakistan Journal of Life and Social Sciences (PJLSS)","id":"ITEM-1","issue":"2","issued":{"date-parts":[["2024"]]},"page":"1231-1245","title":"Bibliometric Analysis of Islamic Education and Character Development in Religious Education Practices in Indonesia","type":"article-journal","volume":"22"},"uris":["http://www.mendeley.com/documents/?uuid=ef553568-c8d0-4e1d-a12d-2b2e3d5a5fd0"]}],"mendeley":{"formattedCitation":"(AN, ., et al. 2024)","plainTextFormattedCitation":"(AN, ., et al. 2024)","previouslyFormattedCitation":"(AN, ., et al. 2024)"},"properties":{"noteIndex":0},"schema":"https://github.com/citation-style-language/schema/raw/master/csl-citation.json"}</w:instrText>
      </w:r>
      <w:r w:rsidR="00232863">
        <w:rPr>
          <w:rFonts w:ascii="Calibri Light" w:hAnsi="Calibri Light" w:cs="Calibri Light"/>
          <w:sz w:val="24"/>
          <w:szCs w:val="24"/>
        </w:rPr>
        <w:fldChar w:fldCharType="separate"/>
      </w:r>
      <w:r w:rsidR="00232863" w:rsidRPr="00232863">
        <w:rPr>
          <w:rFonts w:ascii="Calibri Light" w:hAnsi="Calibri Light" w:cs="Calibri Light"/>
          <w:noProof/>
          <w:sz w:val="24"/>
          <w:szCs w:val="24"/>
        </w:rPr>
        <w:t>(AN, ., et al. 2024)</w:t>
      </w:r>
      <w:r w:rsidR="00232863">
        <w:rPr>
          <w:rFonts w:ascii="Calibri Light" w:hAnsi="Calibri Light" w:cs="Calibri Light"/>
          <w:sz w:val="24"/>
          <w:szCs w:val="24"/>
        </w:rPr>
        <w:fldChar w:fldCharType="end"/>
      </w:r>
      <w:r w:rsidRPr="002E29FD">
        <w:rPr>
          <w:rFonts w:ascii="Calibri Light" w:hAnsi="Calibri Light" w:cs="Calibri Light"/>
          <w:sz w:val="24"/>
          <w:szCs w:val="24"/>
        </w:rPr>
        <w:t>. This is particularly evident in the protection of religious freedoms, where Indonesia has a strong tradition of religious tolerance that is not as readily observed in Egypt</w:t>
      </w:r>
      <w:r w:rsidR="00232863">
        <w:rPr>
          <w:rFonts w:ascii="Calibri Light" w:hAnsi="Calibri Light" w:cs="Calibri Light"/>
          <w:sz w:val="24"/>
          <w:szCs w:val="24"/>
        </w:rPr>
        <w:fldChar w:fldCharType="begin" w:fldLock="1"/>
      </w:r>
      <w:r w:rsidR="00232863">
        <w:rPr>
          <w:rFonts w:ascii="Calibri Light" w:hAnsi="Calibri Light" w:cs="Calibri Light"/>
          <w:sz w:val="24"/>
          <w:szCs w:val="24"/>
        </w:rPr>
        <w:instrText>ADDIN CSL_CITATION {"citationItems":[{"id":"ITEM-1","itemData":{"ISSN":"2965-730X","author":[{"dropping-particle":"","family":"Ali","given":"Mohamad","non-dropping-particle":"","parse-names":false,"suffix":""},{"dropping-particle":"","family":"Tamami","given":"Fauziyah Qurrota A’yun","non-dropping-particle":"","parse-names":false,"suffix":""},{"dropping-particle":"","family":"Rahmawati","given":"Siti","non-dropping-particle":"","parse-names":false,"suffix":""},{"dropping-particle":"","family":"Elbanna","given":"Mariam","non-dropping-particle":"","parse-names":false,"suffix":""},{"dropping-particle":"","family":"AN","given":"Andri Nirwana","non-dropping-particle":"","parse-names":false,"suffix":""}],"container-title":"Journal of Lifestyle and SDGs Review","id":"ITEM-1","issue":"1","issued":{"date-parts":[["2025"]]},"page":"e03295-e03295","title":"Tracking Education Transformation Towards Sustainable Development Goals: A Bibliometric Review on the Influence of Socioeconomic Factors in the Education Ecosystem","type":"article-journal","volume":"5"},"uris":["http://www.mendeley.com/documents/?uuid=489060ee-8dc1-486f-b664-e29f402e4ac0"]}],"mendeley":{"formattedCitation":"(Ali et al. 2025)","plainTextFormattedCitation":"(Ali et al. 2025)","previouslyFormattedCitation":"(Ali et al. 2025)"},"properties":{"noteIndex":0},"schema":"https://github.com/citation-style-language/schema/raw/master/csl-citation.json"}</w:instrText>
      </w:r>
      <w:r w:rsidR="00232863">
        <w:rPr>
          <w:rFonts w:ascii="Calibri Light" w:hAnsi="Calibri Light" w:cs="Calibri Light"/>
          <w:sz w:val="24"/>
          <w:szCs w:val="24"/>
        </w:rPr>
        <w:fldChar w:fldCharType="separate"/>
      </w:r>
      <w:r w:rsidR="00232863" w:rsidRPr="00232863">
        <w:rPr>
          <w:rFonts w:ascii="Calibri Light" w:hAnsi="Calibri Light" w:cs="Calibri Light"/>
          <w:noProof/>
          <w:sz w:val="24"/>
          <w:szCs w:val="24"/>
        </w:rPr>
        <w:t>(Ali et al. 2025)</w:t>
      </w:r>
      <w:r w:rsidR="00232863">
        <w:rPr>
          <w:rFonts w:ascii="Calibri Light" w:hAnsi="Calibri Light" w:cs="Calibri Light"/>
          <w:sz w:val="24"/>
          <w:szCs w:val="24"/>
        </w:rPr>
        <w:fldChar w:fldCharType="end"/>
      </w:r>
      <w:r w:rsidRPr="002E29FD">
        <w:rPr>
          <w:rFonts w:ascii="Calibri Light" w:hAnsi="Calibri Light" w:cs="Calibri Light"/>
          <w:sz w:val="24"/>
          <w:szCs w:val="24"/>
        </w:rPr>
        <w:t>.</w:t>
      </w:r>
    </w:p>
    <w:p w14:paraId="43BC6D1B" w14:textId="77777777" w:rsidR="002E29FD" w:rsidRPr="002E29FD" w:rsidRDefault="002E29FD" w:rsidP="002E29FD">
      <w:pPr>
        <w:ind w:left="284"/>
        <w:jc w:val="both"/>
        <w:rPr>
          <w:rFonts w:ascii="Calibri Light" w:hAnsi="Calibri Light" w:cs="Calibri Light"/>
          <w:sz w:val="24"/>
          <w:szCs w:val="24"/>
        </w:rPr>
      </w:pPr>
      <w:r w:rsidRPr="002E29FD">
        <w:rPr>
          <w:rFonts w:ascii="Calibri Light" w:hAnsi="Calibri Light" w:cs="Calibri Light"/>
          <w:sz w:val="24"/>
          <w:szCs w:val="24"/>
        </w:rPr>
        <w:t>The role of ijtihad in Indonesia has also allowed for a more progressive and evolving interpretation of Islamic law. Scholars in Indonesia have embraced the concept of ijtihad to address contemporary human rights issues, such as gender equality and religious freedom</w:t>
      </w:r>
      <w:r w:rsidR="00232863">
        <w:rPr>
          <w:rFonts w:ascii="Calibri Light" w:hAnsi="Calibri Light" w:cs="Calibri Light"/>
          <w:sz w:val="24"/>
          <w:szCs w:val="24"/>
        </w:rPr>
        <w:fldChar w:fldCharType="begin" w:fldLock="1"/>
      </w:r>
      <w:r w:rsidR="00232863">
        <w:rPr>
          <w:rFonts w:ascii="Calibri Light" w:hAnsi="Calibri Light" w:cs="Calibri Light"/>
          <w:sz w:val="24"/>
          <w:szCs w:val="24"/>
        </w:rPr>
        <w:instrText>ADDIN CSL_CITATION {"citationItems":[{"id":"ITEM-1","itemData":{"ISSN":"2709-8206","author":[{"dropping-particle":"","family":"AN","given":"Andri Nirwana","non-dropping-particle":"","parse-names":false,"suffix":""},{"dropping-particle":"","family":"Mahmudulhassan","given":"Mahmudulhassan","non-dropping-particle":"","parse-names":false,"suffix":""},{"dropping-particle":"","family":"Ali","given":"Mohamad","non-dropping-particle":"","parse-names":false,"suffix":""},{"dropping-particle":"","family":"Muthoifin","given":"Muthoifin","non-dropping-particle":"","parse-names":false,"suffix":""},{"dropping-particle":"","family":"Waston","given":"Waston","non-dropping-particle":"","parse-names":false,"suffix":""},{"dropping-particle":"","family":"Senathirajah","given":"Abdul Rahman Bin S","non-dropping-particle":"","parse-names":false,"suffix":""}],"container-title":"Qubahan Academic Journal","id":"ITEM-1","issue":"4","issued":{"date-parts":[["2024"]]},"page":"178-190","title":"The Intersection of Quranic Studies and Modern Technology: A Bibliometric Analysis of Academic Publications from 2000 to 2024","type":"article-journal","volume":"4"},"uris":["http://www.mendeley.com/documents/?uuid=ae13e8e4-ddc5-417d-a71c-1c1242461d91"]}],"mendeley":{"formattedCitation":"(AN, Mahmudulhassan, et al. 2024)","plainTextFormattedCitation":"(AN, Mahmudulhassan, et al. 2024)","previouslyFormattedCitation":"(AN, Mahmudulhassan, et al. 2024)"},"properties":{"noteIndex":0},"schema":"https://github.com/citation-style-language/schema/raw/master/csl-citation.json"}</w:instrText>
      </w:r>
      <w:r w:rsidR="00232863">
        <w:rPr>
          <w:rFonts w:ascii="Calibri Light" w:hAnsi="Calibri Light" w:cs="Calibri Light"/>
          <w:sz w:val="24"/>
          <w:szCs w:val="24"/>
        </w:rPr>
        <w:fldChar w:fldCharType="separate"/>
      </w:r>
      <w:r w:rsidR="00232863" w:rsidRPr="00232863">
        <w:rPr>
          <w:rFonts w:ascii="Calibri Light" w:hAnsi="Calibri Light" w:cs="Calibri Light"/>
          <w:noProof/>
          <w:sz w:val="24"/>
          <w:szCs w:val="24"/>
        </w:rPr>
        <w:t>(AN, Mahmudulhassan, et al. 2024)</w:t>
      </w:r>
      <w:r w:rsidR="00232863">
        <w:rPr>
          <w:rFonts w:ascii="Calibri Light" w:hAnsi="Calibri Light" w:cs="Calibri Light"/>
          <w:sz w:val="24"/>
          <w:szCs w:val="24"/>
        </w:rPr>
        <w:fldChar w:fldCharType="end"/>
      </w:r>
      <w:r w:rsidRPr="002E29FD">
        <w:rPr>
          <w:rFonts w:ascii="Calibri Light" w:hAnsi="Calibri Light" w:cs="Calibri Light"/>
          <w:sz w:val="24"/>
          <w:szCs w:val="24"/>
        </w:rPr>
        <w:t>. By adapting traditional interpretations to modern realities, ijtihad has become an essential tool for aligning Islamic principles with international human rights norms.</w:t>
      </w:r>
    </w:p>
    <w:p w14:paraId="2EB283E5" w14:textId="77777777" w:rsidR="002E29FD" w:rsidRPr="002E29FD" w:rsidRDefault="002E29FD" w:rsidP="002E29FD">
      <w:pPr>
        <w:ind w:left="284"/>
        <w:jc w:val="both"/>
        <w:rPr>
          <w:rFonts w:ascii="Calibri Light" w:hAnsi="Calibri Light" w:cs="Calibri Light"/>
          <w:sz w:val="24"/>
          <w:szCs w:val="24"/>
        </w:rPr>
      </w:pPr>
      <w:r w:rsidRPr="002E29FD">
        <w:rPr>
          <w:rFonts w:ascii="Calibri Light" w:hAnsi="Calibri Light" w:cs="Calibri Light"/>
          <w:sz w:val="24"/>
          <w:szCs w:val="24"/>
        </w:rPr>
        <w:t>Despite these differences, both countries face similar challenges in reconciling traditional Islamic teachings with modern legal norms. The tension between maintaining the integrity of Islamic law and adhering to global human rights standards remains a key issue in both Egypt and Indonesia</w:t>
      </w:r>
      <w:r w:rsidR="00232863">
        <w:rPr>
          <w:rFonts w:ascii="Calibri Light" w:hAnsi="Calibri Light" w:cs="Calibri Light"/>
          <w:sz w:val="24"/>
          <w:szCs w:val="24"/>
        </w:rPr>
        <w:fldChar w:fldCharType="begin" w:fldLock="1"/>
      </w:r>
      <w:r w:rsidR="00232863">
        <w:rPr>
          <w:rFonts w:ascii="Calibri Light" w:hAnsi="Calibri Light" w:cs="Calibri Light"/>
          <w:sz w:val="24"/>
          <w:szCs w:val="24"/>
        </w:rPr>
        <w:instrText>ADDIN CSL_CITATION {"citationItems":[{"id":"ITEM-1","itemData":{"DOI":"10.23917/qist.v3i3.5166","ISSN":"2828-2779","abstract":"The development of meaning occurs in all words in the world. This happens because humans interact with words from a language so that over time they will develop. These changes can be in the form of specializing a word, expanding a word, increasing the meaning of a word, decreasing the quality of a word, deleting the meaning of a word, or multiplying a meaning. This research focuses on library research by examining the word ta'lamun which is used in the verses of the Qur'an. From the verses of the Qur'an studied, it was found that the word ta'lamun experienced a development in the meaning of the word in terms of specialization of meaning, so that the meaning of ta'lamun has a meaning that adapts to the context of the sentence in which the word ta'lamun is located.","author":[{"dropping-particle":"","family":"Hidayah","given":"Nurul","non-dropping-particle":"","parse-names":false,"suffix":""},{"dropping-particle":"Al","family":"Rasyid","given":"Ahmad Ridwan","non-dropping-particle":"","parse-names":false,"suffix":""},{"dropping-particle":"","family":"Windarto","given":"Cahyani","non-dropping-particle":"","parse-names":false,"suffix":""}],"container-title":"QiST: Journal of Quran and Tafseer Studies","id":"ITEM-1","issue":"3","issued":{"date-parts":[["2024","7","30"]]},"page":"433-450","title":"Meaning of The Word Ta'lamun in The Qur'an","type":"article-journal","volume":"3"},"uris":["http://www.mendeley.com/documents/?uuid=bf5c4b29-3e81-4904-a08a-95174efcfbe4"]}],"mendeley":{"formattedCitation":"(Nurul Hidayah, Rasyid, and Windarto 2024)","plainTextFormattedCitation":"(Nurul Hidayah, Rasyid, and Windarto 2024)"},"properties":{"noteIndex":0},"schema":"https://github.com/citation-style-language/schema/raw/master/csl-citation.json"}</w:instrText>
      </w:r>
      <w:r w:rsidR="00232863">
        <w:rPr>
          <w:rFonts w:ascii="Calibri Light" w:hAnsi="Calibri Light" w:cs="Calibri Light"/>
          <w:sz w:val="24"/>
          <w:szCs w:val="24"/>
        </w:rPr>
        <w:fldChar w:fldCharType="separate"/>
      </w:r>
      <w:r w:rsidR="00232863" w:rsidRPr="00232863">
        <w:rPr>
          <w:rFonts w:ascii="Calibri Light" w:hAnsi="Calibri Light" w:cs="Calibri Light"/>
          <w:noProof/>
          <w:sz w:val="24"/>
          <w:szCs w:val="24"/>
        </w:rPr>
        <w:t>(Nurul Hidayah, Rasyid, and Windarto 2024)</w:t>
      </w:r>
      <w:r w:rsidR="00232863">
        <w:rPr>
          <w:rFonts w:ascii="Calibri Light" w:hAnsi="Calibri Light" w:cs="Calibri Light"/>
          <w:sz w:val="24"/>
          <w:szCs w:val="24"/>
        </w:rPr>
        <w:fldChar w:fldCharType="end"/>
      </w:r>
      <w:r w:rsidRPr="002E29FD">
        <w:rPr>
          <w:rFonts w:ascii="Calibri Light" w:hAnsi="Calibri Light" w:cs="Calibri Light"/>
          <w:sz w:val="24"/>
          <w:szCs w:val="24"/>
        </w:rPr>
        <w:t>. This is particularly true in areas such as gender equality, freedom of expression, and religious freedom. Both countries must navigate the delicate balance between honoring Islamic teachings and ensuring the protection of fundamental human rights.</w:t>
      </w:r>
    </w:p>
    <w:p w14:paraId="117AAEED" w14:textId="77777777" w:rsidR="002E29FD" w:rsidRPr="002E29FD" w:rsidRDefault="00F331B5" w:rsidP="002E29FD">
      <w:pPr>
        <w:ind w:left="284"/>
        <w:jc w:val="both"/>
        <w:rPr>
          <w:rFonts w:ascii="Calibri Light" w:hAnsi="Calibri Light" w:cs="Calibri Light"/>
          <w:sz w:val="24"/>
          <w:szCs w:val="24"/>
          <w:rtl/>
        </w:rPr>
      </w:pPr>
      <w:r>
        <w:rPr>
          <w:rFonts w:ascii="Calibri Light" w:hAnsi="Calibri Light" w:cs="Calibri Light"/>
          <w:sz w:val="24"/>
          <w:szCs w:val="24"/>
        </w:rPr>
        <w:t>T</w:t>
      </w:r>
      <w:r w:rsidR="002E29FD" w:rsidRPr="002E29FD">
        <w:rPr>
          <w:rFonts w:ascii="Calibri Light" w:hAnsi="Calibri Light" w:cs="Calibri Light"/>
          <w:sz w:val="24"/>
          <w:szCs w:val="24"/>
        </w:rPr>
        <w:t xml:space="preserve">he study highlights the diverse ways in which Islamic law and Qur'anic principles are applied in the legal systems of Egypt and Indonesia. While both countries incorporate </w:t>
      </w:r>
      <w:proofErr w:type="spellStart"/>
      <w:r w:rsidR="002E29FD" w:rsidRPr="002E29FD">
        <w:rPr>
          <w:rFonts w:ascii="Calibri Light" w:hAnsi="Calibri Light" w:cs="Calibri Light"/>
          <w:sz w:val="24"/>
          <w:szCs w:val="24"/>
        </w:rPr>
        <w:t>Shari'ah</w:t>
      </w:r>
      <w:proofErr w:type="spellEnd"/>
      <w:r w:rsidR="002E29FD" w:rsidRPr="002E29FD">
        <w:rPr>
          <w:rFonts w:ascii="Calibri Light" w:hAnsi="Calibri Light" w:cs="Calibri Light"/>
          <w:sz w:val="24"/>
          <w:szCs w:val="24"/>
        </w:rPr>
        <w:t xml:space="preserve"> principles into their legal frameworks, the extent to which these principles are aligned with international human rights standards varies significantly. The role of ijtihad, the interpretation of Qur'anic verses, and the broader socio-political context play a crucial role in shaping the human rights landscape in each country. This study underscores the importance of reinterpreting traditional Islamic principles in a way that promotes both justice and human dignity in modern legal systems.</w:t>
      </w:r>
    </w:p>
    <w:p w14:paraId="2A957F8F" w14:textId="77777777" w:rsidR="006B0510" w:rsidRPr="002E29FD" w:rsidRDefault="006B0510" w:rsidP="002E29FD">
      <w:pPr>
        <w:pStyle w:val="ListParagraph"/>
        <w:tabs>
          <w:tab w:val="left" w:pos="1230"/>
        </w:tabs>
        <w:spacing w:before="120" w:after="120" w:line="240" w:lineRule="auto"/>
        <w:ind w:left="0" w:right="-1"/>
        <w:contextualSpacing w:val="0"/>
        <w:jc w:val="both"/>
        <w:rPr>
          <w:rFonts w:ascii="Calibri Light" w:hAnsi="Calibri Light" w:cs="Calibri Light"/>
          <w:color w:val="FF0000"/>
          <w:sz w:val="32"/>
          <w:szCs w:val="32"/>
        </w:rPr>
      </w:pPr>
    </w:p>
    <w:p w14:paraId="444B5309" w14:textId="77777777"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commentRangeStart w:id="8"/>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commentRangeEnd w:id="8"/>
      <w:r w:rsidR="00B27599">
        <w:rPr>
          <w:rStyle w:val="CommentReference"/>
        </w:rPr>
        <w:commentReference w:id="8"/>
      </w:r>
    </w:p>
    <w:p w14:paraId="18BD620E" w14:textId="77777777" w:rsidR="00F331B5" w:rsidRPr="00F331B5" w:rsidRDefault="00741058" w:rsidP="00F331B5">
      <w:pPr>
        <w:pStyle w:val="ListParagraph"/>
        <w:spacing w:before="120" w:after="120"/>
        <w:ind w:left="440" w:right="-1" w:hanging="14"/>
        <w:jc w:val="both"/>
        <w:rPr>
          <w:rFonts w:ascii="Calibri Light" w:hAnsi="Calibri Light" w:cs="Calibri Light"/>
          <w:sz w:val="24"/>
          <w:szCs w:val="24"/>
          <w:lang w:val="en-ID"/>
        </w:rPr>
      </w:pPr>
      <w:r w:rsidRPr="00122F5F">
        <w:rPr>
          <w:rFonts w:ascii="Calibri Light" w:hAnsi="Calibri Light" w:cs="Calibri Light"/>
          <w:sz w:val="24"/>
          <w:szCs w:val="24"/>
        </w:rPr>
        <w:t xml:space="preserve">A </w:t>
      </w:r>
      <w:r w:rsidR="00F331B5" w:rsidRPr="00F331B5">
        <w:rPr>
          <w:rFonts w:ascii="Calibri Light" w:hAnsi="Calibri Light" w:cs="Calibri Light"/>
          <w:sz w:val="24"/>
          <w:szCs w:val="24"/>
          <w:lang w:val="en-US"/>
        </w:rPr>
        <w:t>T</w:t>
      </w:r>
      <w:r w:rsidR="00F331B5" w:rsidRPr="00F331B5">
        <w:rPr>
          <w:rFonts w:ascii="Calibri Light" w:hAnsi="Calibri Light" w:cs="Calibri Light"/>
          <w:sz w:val="24"/>
          <w:szCs w:val="24"/>
          <w:lang w:val="en-ID"/>
        </w:rPr>
        <w:t xml:space="preserve">his study provides a comparative analysis of the integration of Qur'anic principles into the human rights legal frameworks of Egypt and Indonesia. The findings reveal significant differences in how both countries interpret and implement these principles, despite sharing a common Islamic heritage. In Egypt, the application of Qur'anic teachings within the legal system often faces challenges due to conservative interpretations, particularly concerning gender equality, freedom of expression, and religious freedoms. While the Qur'an advocates for equality and justice, these values are sometimes limited by traditional legal frameworks.On the other hand, Indonesia presents a more flexible approach, balancing Islamic principles with modern democratic values. The country's pluralistic society and its emphasis on human rights allow for a broader interpretation of Qur'anic principles, particularly in areas such as gender equality and freedom of religion. The role </w:t>
      </w:r>
      <w:r w:rsidR="00F331B5" w:rsidRPr="00F331B5">
        <w:rPr>
          <w:rFonts w:ascii="Calibri Light" w:hAnsi="Calibri Light" w:cs="Calibri Light"/>
          <w:sz w:val="24"/>
          <w:szCs w:val="24"/>
          <w:lang w:val="en-ID"/>
        </w:rPr>
        <w:lastRenderedPageBreak/>
        <w:t>of ijtihad in Indonesia has been crucial in adapting Islamic law to contemporary human rights standards, ensuring a more inclusive legal system.</w:t>
      </w:r>
    </w:p>
    <w:p w14:paraId="34676823" w14:textId="77777777" w:rsidR="00F331B5" w:rsidRPr="00F331B5" w:rsidRDefault="00F331B5" w:rsidP="00F331B5">
      <w:pPr>
        <w:pStyle w:val="ListParagraph"/>
        <w:spacing w:before="120" w:after="120" w:line="240" w:lineRule="auto"/>
        <w:ind w:left="440" w:right="-1" w:hanging="14"/>
        <w:jc w:val="both"/>
        <w:rPr>
          <w:rFonts w:ascii="Calibri Light" w:hAnsi="Calibri Light" w:cs="Calibri Light"/>
          <w:sz w:val="24"/>
          <w:szCs w:val="24"/>
          <w:lang w:val="en-ID"/>
        </w:rPr>
      </w:pPr>
      <w:r w:rsidRPr="00F331B5">
        <w:rPr>
          <w:rFonts w:ascii="Calibri Light" w:hAnsi="Calibri Light" w:cs="Calibri Light"/>
          <w:sz w:val="24"/>
          <w:szCs w:val="24"/>
          <w:lang w:val="en-ID"/>
        </w:rPr>
        <w:t>Ultimately, both countries illustrate the complexities of reconciling Islamic teachings with global human rights norms. This study underscores the importance of revisiting traditional interpretations of the Qur'an to better align with contemporary values of justice, equality, and human dignity, ensuring that human rights are respected for all citizens.</w:t>
      </w:r>
    </w:p>
    <w:p w14:paraId="7E12D144" w14:textId="77777777" w:rsidR="00741058" w:rsidRPr="00122F5F" w:rsidRDefault="006E466B" w:rsidP="006E466B">
      <w:pPr>
        <w:pStyle w:val="ListParagraph"/>
        <w:tabs>
          <w:tab w:val="left" w:pos="3900"/>
        </w:tabs>
        <w:spacing w:before="120" w:after="120" w:line="240" w:lineRule="auto"/>
        <w:ind w:left="440" w:right="-1" w:firstLine="677"/>
        <w:contextualSpacing w:val="0"/>
        <w:jc w:val="both"/>
        <w:rPr>
          <w:rFonts w:ascii="Calibri Light" w:hAnsi="Calibri Light" w:cs="Calibri Light"/>
          <w:noProof w:val="0"/>
          <w:color w:val="FF0000"/>
          <w:sz w:val="23"/>
          <w:rtl/>
        </w:rPr>
      </w:pPr>
      <w:r>
        <w:rPr>
          <w:rFonts w:ascii="Calibri Light" w:hAnsi="Calibri Light" w:cs="Calibri Light"/>
          <w:color w:val="FF0000"/>
          <w:sz w:val="23"/>
        </w:rPr>
        <w:tab/>
      </w:r>
    </w:p>
    <w:p w14:paraId="32F313A4" w14:textId="77777777" w:rsidR="00741058" w:rsidRPr="00122F5F" w:rsidRDefault="00F369EC" w:rsidP="00F369EC">
      <w:pPr>
        <w:spacing w:line="240" w:lineRule="atLeast"/>
        <w:rPr>
          <w:rFonts w:ascii="Calibri Light" w:hAnsi="Calibri Light" w:cs="Calibri Light"/>
          <w:b/>
          <w:color w:val="FF0000"/>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ACKNOWLEDGEMENTS</w:t>
      </w:r>
      <w:r w:rsidR="00741058" w:rsidRPr="00122F5F">
        <w:rPr>
          <w:rFonts w:ascii="Calibri Light" w:hAnsi="Calibri Light" w:cs="Calibri Light"/>
          <w:b/>
          <w:color w:val="7030A0"/>
          <w:sz w:val="24"/>
          <w:szCs w:val="24"/>
        </w:rPr>
        <w:t xml:space="preserve"> </w:t>
      </w:r>
    </w:p>
    <w:p w14:paraId="324550D2" w14:textId="77777777" w:rsidR="00E810D4" w:rsidRPr="00ED1805" w:rsidRDefault="00E810D4" w:rsidP="00ED1805">
      <w:pPr>
        <w:pStyle w:val="ListParagraph"/>
        <w:spacing w:before="120" w:after="120"/>
        <w:ind w:left="440" w:right="-1" w:hanging="14"/>
        <w:jc w:val="both"/>
        <w:rPr>
          <w:rFonts w:ascii="Calibri Light" w:hAnsi="Calibri Light" w:cs="Calibri Light"/>
          <w:sz w:val="24"/>
          <w:szCs w:val="22"/>
          <w:lang w:val="en-ID"/>
        </w:rPr>
      </w:pPr>
      <w:r w:rsidRPr="00E810D4">
        <w:rPr>
          <w:sz w:val="24"/>
          <w:szCs w:val="24"/>
          <w:lang w:val="en-ID" w:eastAsia="en-ID"/>
        </w:rPr>
        <w:t xml:space="preserve"> </w:t>
      </w:r>
      <w:r w:rsidRPr="00ED1805">
        <w:rPr>
          <w:rFonts w:ascii="Calibri Light" w:hAnsi="Calibri Light" w:cs="Calibri Light"/>
          <w:sz w:val="24"/>
          <w:szCs w:val="22"/>
          <w:lang w:val="en-ID"/>
        </w:rPr>
        <w:t>The author would like to thank the editors and anonymous reviewers for their assistance</w:t>
      </w:r>
      <w:r w:rsidR="00A526EF">
        <w:rPr>
          <w:rFonts w:ascii="Calibri Light" w:hAnsi="Calibri Light" w:cs="Calibri Light"/>
          <w:sz w:val="24"/>
          <w:szCs w:val="22"/>
          <w:lang w:val="en-ID"/>
        </w:rPr>
        <w:t xml:space="preserve"> </w:t>
      </w:r>
      <w:r w:rsidRPr="00ED1805">
        <w:rPr>
          <w:rFonts w:ascii="Calibri Light" w:hAnsi="Calibri Light" w:cs="Calibri Light"/>
          <w:sz w:val="24"/>
          <w:szCs w:val="22"/>
          <w:lang w:val="en-ID"/>
        </w:rPr>
        <w:t>in</w:t>
      </w:r>
      <w:r w:rsidR="00ED1805">
        <w:rPr>
          <w:rFonts w:ascii="Calibri Light" w:hAnsi="Calibri Light" w:cs="Calibri Light"/>
          <w:sz w:val="24"/>
          <w:szCs w:val="22"/>
          <w:lang w:val="en-ID"/>
        </w:rPr>
        <w:t xml:space="preserve"> </w:t>
      </w:r>
      <w:r w:rsidRPr="00ED1805">
        <w:rPr>
          <w:rFonts w:ascii="Calibri Light" w:hAnsi="Calibri Light" w:cs="Calibri Light"/>
          <w:sz w:val="24"/>
          <w:szCs w:val="22"/>
          <w:lang w:val="en-ID"/>
        </w:rPr>
        <w:t>improving the quality of the research documents.</w:t>
      </w:r>
    </w:p>
    <w:p w14:paraId="283A64C1" w14:textId="77777777" w:rsidR="00741058" w:rsidRDefault="00741058" w:rsidP="001602A0">
      <w:pPr>
        <w:numPr>
          <w:ilvl w:val="0"/>
          <w:numId w:val="28"/>
        </w:numPr>
        <w:spacing w:line="240" w:lineRule="atLeast"/>
        <w:jc w:val="both"/>
        <w:rPr>
          <w:rFonts w:ascii="Calibri Light" w:hAnsi="Calibri Light" w:cs="Calibri Light"/>
          <w:b/>
          <w:color w:val="7030A0"/>
          <w:sz w:val="24"/>
          <w:szCs w:val="24"/>
        </w:rPr>
      </w:pPr>
      <w:commentRangeStart w:id="9"/>
      <w:r w:rsidRPr="00122F5F">
        <w:rPr>
          <w:rFonts w:ascii="Calibri Light" w:hAnsi="Calibri Light" w:cs="Calibri Light"/>
          <w:b/>
          <w:sz w:val="24"/>
          <w:szCs w:val="24"/>
        </w:rPr>
        <w:t>REFERENCES</w:t>
      </w:r>
      <w:r w:rsidRPr="00122F5F">
        <w:rPr>
          <w:rFonts w:ascii="Calibri Light" w:hAnsi="Calibri Light" w:cs="Calibri Light"/>
          <w:b/>
          <w:color w:val="7030A0"/>
          <w:sz w:val="24"/>
          <w:szCs w:val="24"/>
        </w:rPr>
        <w:t xml:space="preserve"> </w:t>
      </w:r>
      <w:commentRangeEnd w:id="9"/>
      <w:r w:rsidR="009A22BF">
        <w:rPr>
          <w:rStyle w:val="CommentReference"/>
        </w:rPr>
        <w:commentReference w:id="9"/>
      </w:r>
    </w:p>
    <w:p w14:paraId="6337F922" w14:textId="77777777" w:rsidR="00232863" w:rsidRPr="00232863" w:rsidRDefault="001602A0" w:rsidP="00232863">
      <w:pPr>
        <w:widowControl w:val="0"/>
        <w:adjustRightInd w:val="0"/>
        <w:spacing w:line="240" w:lineRule="atLeast"/>
        <w:ind w:left="480" w:hanging="480"/>
        <w:rPr>
          <w:rFonts w:ascii="Calibri Light" w:hAnsi="Calibri Light" w:cs="Calibri Light"/>
          <w:noProof/>
          <w:sz w:val="24"/>
          <w:szCs w:val="24"/>
        </w:rPr>
      </w:pPr>
      <w:r>
        <w:rPr>
          <w:rFonts w:ascii="Calibri Light" w:hAnsi="Calibri Light" w:cs="Calibri Light"/>
          <w:b/>
          <w:color w:val="7030A0"/>
          <w:sz w:val="24"/>
          <w:szCs w:val="24"/>
        </w:rPr>
        <w:fldChar w:fldCharType="begin" w:fldLock="1"/>
      </w:r>
      <w:r>
        <w:rPr>
          <w:rFonts w:ascii="Calibri Light" w:hAnsi="Calibri Light" w:cs="Calibri Light"/>
          <w:b/>
          <w:color w:val="7030A0"/>
          <w:sz w:val="24"/>
          <w:szCs w:val="24"/>
        </w:rPr>
        <w:instrText xml:space="preserve">ADDIN Mendeley Bibliography CSL_BIBLIOGRAPHY </w:instrText>
      </w:r>
      <w:r>
        <w:rPr>
          <w:rFonts w:ascii="Calibri Light" w:hAnsi="Calibri Light" w:cs="Calibri Light"/>
          <w:b/>
          <w:color w:val="7030A0"/>
          <w:sz w:val="24"/>
          <w:szCs w:val="24"/>
        </w:rPr>
        <w:fldChar w:fldCharType="separate"/>
      </w:r>
      <w:r w:rsidR="00232863" w:rsidRPr="00232863">
        <w:rPr>
          <w:rFonts w:ascii="Calibri Light" w:hAnsi="Calibri Light" w:cs="Calibri Light"/>
          <w:noProof/>
          <w:sz w:val="24"/>
          <w:szCs w:val="24"/>
        </w:rPr>
        <w:t xml:space="preserve">A.N., Andri Nirwana, Mahmudulhassan Mahmudulhassan, Fahmi Dolles Marshal, Muthoifin Muthoifin, and Nazar Fadli. 2024. “Human Rights and Social Justice in Quranic Contexts: A Global Trend.” </w:t>
      </w:r>
      <w:r w:rsidR="00232863" w:rsidRPr="00232863">
        <w:rPr>
          <w:rFonts w:ascii="Calibri Light" w:hAnsi="Calibri Light" w:cs="Calibri Light"/>
          <w:i/>
          <w:iCs/>
          <w:noProof/>
          <w:sz w:val="24"/>
          <w:szCs w:val="24"/>
        </w:rPr>
        <w:t>Legality : Jurnal Ilmiah Hukum</w:t>
      </w:r>
      <w:r w:rsidR="00232863" w:rsidRPr="00232863">
        <w:rPr>
          <w:rFonts w:ascii="Calibri Light" w:hAnsi="Calibri Light" w:cs="Calibri Light"/>
          <w:noProof/>
          <w:sz w:val="24"/>
          <w:szCs w:val="24"/>
        </w:rPr>
        <w:t xml:space="preserve"> 32(2): 453–71. doi:10.22219/ljih.v32i2.35088.</w:t>
      </w:r>
    </w:p>
    <w:p w14:paraId="755D6FF4"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Abubakar, Ahmad. 2024. “Assessment of The Application of Social Media Among Muslims in Tertiary Institutions and Its Implications on Their Lives in Kaduna State, Nigeria.” </w:t>
      </w:r>
      <w:r w:rsidRPr="00232863">
        <w:rPr>
          <w:rFonts w:ascii="Calibri Light" w:hAnsi="Calibri Light" w:cs="Calibri Light"/>
          <w:i/>
          <w:iCs/>
          <w:noProof/>
          <w:sz w:val="24"/>
          <w:szCs w:val="24"/>
        </w:rPr>
        <w:t>Bulletin of Islamic Research</w:t>
      </w:r>
      <w:r w:rsidRPr="00232863">
        <w:rPr>
          <w:rFonts w:ascii="Calibri Light" w:hAnsi="Calibri Light" w:cs="Calibri Light"/>
          <w:noProof/>
          <w:sz w:val="24"/>
          <w:szCs w:val="24"/>
        </w:rPr>
        <w:t xml:space="preserve"> 2(4): 629–52. doi:10.69526/bir.v2i4.156.</w:t>
      </w:r>
    </w:p>
    <w:p w14:paraId="1C9CE558"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Achyani, Fatchan, and Agung Riyardi. 2024. “Indonesian Bus Stations: Mixed-Use, Government Capital Funding, and Its Determinants and Impact.” </w:t>
      </w:r>
      <w:r w:rsidRPr="00232863">
        <w:rPr>
          <w:rFonts w:ascii="Calibri Light" w:hAnsi="Calibri Light" w:cs="Calibri Light"/>
          <w:i/>
          <w:iCs/>
          <w:noProof/>
          <w:sz w:val="24"/>
          <w:szCs w:val="24"/>
        </w:rPr>
        <w:t>Riset Akuntansi dan Keuangan Indonesia</w:t>
      </w:r>
      <w:r w:rsidRPr="00232863">
        <w:rPr>
          <w:rFonts w:ascii="Calibri Light" w:hAnsi="Calibri Light" w:cs="Calibri Light"/>
          <w:noProof/>
          <w:sz w:val="24"/>
          <w:szCs w:val="24"/>
        </w:rPr>
        <w:t xml:space="preserve"> 8(3): 301–8. doi:10.23917/reaksi.v8i3.3133.</w:t>
      </w:r>
    </w:p>
    <w:p w14:paraId="4A1724A1"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Adanu, Khadijatu. 2024. “Staff Development and Commitment in Nigerian Colleges of Education: A Pathway to Institutional Success.” </w:t>
      </w:r>
      <w:r w:rsidRPr="00232863">
        <w:rPr>
          <w:rFonts w:ascii="Calibri Light" w:hAnsi="Calibri Light" w:cs="Calibri Light"/>
          <w:i/>
          <w:iCs/>
          <w:noProof/>
          <w:sz w:val="24"/>
          <w:szCs w:val="24"/>
        </w:rPr>
        <w:t>Bulletin of Islamic Research</w:t>
      </w:r>
      <w:r w:rsidRPr="00232863">
        <w:rPr>
          <w:rFonts w:ascii="Calibri Light" w:hAnsi="Calibri Light" w:cs="Calibri Light"/>
          <w:noProof/>
          <w:sz w:val="24"/>
          <w:szCs w:val="24"/>
        </w:rPr>
        <w:t xml:space="preserve"> 2(4): 653–76. doi:10.69526/bir.v2i4.158.</w:t>
      </w:r>
    </w:p>
    <w:p w14:paraId="74E50F26"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Ali, Mohamad, Fauziyah Qurrota A’yun Tamami, Siti Rahmawati, Mariam Elbanna, and Andri Nirwana AN. 2025. “Tracking Education Transformation Towards Sustainable Development Goals: A Bibliometric Review on the Influence of Socioeconomic Factors in the Education Ecosystem.” </w:t>
      </w:r>
      <w:r w:rsidRPr="00232863">
        <w:rPr>
          <w:rFonts w:ascii="Calibri Light" w:hAnsi="Calibri Light" w:cs="Calibri Light"/>
          <w:i/>
          <w:iCs/>
          <w:noProof/>
          <w:sz w:val="24"/>
          <w:szCs w:val="24"/>
        </w:rPr>
        <w:t>Journal of Lifestyle and SDGs Review</w:t>
      </w:r>
      <w:r w:rsidRPr="00232863">
        <w:rPr>
          <w:rFonts w:ascii="Calibri Light" w:hAnsi="Calibri Light" w:cs="Calibri Light"/>
          <w:noProof/>
          <w:sz w:val="24"/>
          <w:szCs w:val="24"/>
        </w:rPr>
        <w:t xml:space="preserve"> 5(1): e03295–e03295.</w:t>
      </w:r>
    </w:p>
    <w:p w14:paraId="12831CC5"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AN, Andri Nirwana, . Mahmudulhassan, . Muthoifin, and . Waston. 2024. “Bibliometric Analysis of Islamic Education and Character Development in Religious Education Practices in Indonesia.” </w:t>
      </w:r>
      <w:r w:rsidRPr="00232863">
        <w:rPr>
          <w:rFonts w:ascii="Calibri Light" w:hAnsi="Calibri Light" w:cs="Calibri Light"/>
          <w:i/>
          <w:iCs/>
          <w:noProof/>
          <w:sz w:val="24"/>
          <w:szCs w:val="24"/>
        </w:rPr>
        <w:t>Pakistan Journal of Life and Social Sciences (PJLSS)</w:t>
      </w:r>
      <w:r w:rsidRPr="00232863">
        <w:rPr>
          <w:rFonts w:ascii="Calibri Light" w:hAnsi="Calibri Light" w:cs="Calibri Light"/>
          <w:noProof/>
          <w:sz w:val="24"/>
          <w:szCs w:val="24"/>
        </w:rPr>
        <w:t xml:space="preserve"> 22(2): 1231–45. doi:10.57239/PJLSS-2024-22.2.0086.</w:t>
      </w:r>
    </w:p>
    <w:p w14:paraId="4AF35DB3"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An, Andri Nirwana, Abdul Muiz Amir, Muhammad Zakir Bin Husain, Faisal Husen Ismail, Mohd Shafiq Bin Sahimi, Fuad Fansuri, Muhammad Amri, Fahmi Arfan, and Ainur Rhain. 2025. “Millennial Era Islamic Parenting Studies: A Bibliometric Analysis Utilizing the Scopus Database.” </w:t>
      </w:r>
      <w:r w:rsidRPr="00232863">
        <w:rPr>
          <w:rFonts w:ascii="Calibri Light" w:hAnsi="Calibri Light" w:cs="Calibri Light"/>
          <w:i/>
          <w:iCs/>
          <w:noProof/>
          <w:sz w:val="24"/>
          <w:szCs w:val="24"/>
        </w:rPr>
        <w:t>Multidisciplinary Reviews</w:t>
      </w:r>
      <w:r w:rsidRPr="00232863">
        <w:rPr>
          <w:rFonts w:ascii="Calibri Light" w:hAnsi="Calibri Light" w:cs="Calibri Light"/>
          <w:noProof/>
          <w:sz w:val="24"/>
          <w:szCs w:val="24"/>
        </w:rPr>
        <w:t xml:space="preserve"> 8(1): 1–12. doi:10.31893/multirev.2025002.</w:t>
      </w:r>
    </w:p>
    <w:p w14:paraId="755E7557"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AN, Andri Nirwana, Mahmudulhassan Mahmudulhassan, Mohamad Ali, Muthoifin Muthoifin, Waston Waston, and Abdul Rahman Bin S Senathirajah. 2024. “The Intersection of Quranic Studies and Modern Technology: A Bibliometric Analysis of Academic Publications from 2000 to 2024.” </w:t>
      </w:r>
      <w:r w:rsidRPr="00232863">
        <w:rPr>
          <w:rFonts w:ascii="Calibri Light" w:hAnsi="Calibri Light" w:cs="Calibri Light"/>
          <w:i/>
          <w:iCs/>
          <w:noProof/>
          <w:sz w:val="24"/>
          <w:szCs w:val="24"/>
        </w:rPr>
        <w:t>Qubahan Academic Journal</w:t>
      </w:r>
      <w:r w:rsidRPr="00232863">
        <w:rPr>
          <w:rFonts w:ascii="Calibri Light" w:hAnsi="Calibri Light" w:cs="Calibri Light"/>
          <w:noProof/>
          <w:sz w:val="24"/>
          <w:szCs w:val="24"/>
        </w:rPr>
        <w:t xml:space="preserve"> 4(4): 178–90.</w:t>
      </w:r>
    </w:p>
    <w:p w14:paraId="43C8783A"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Andri Nirwana, A. N., Sulkhan Fajar Affani, Didi Junaedi, Sayed Akhyar, Sufian Suri, Ahmad Nurrohim, Yeti Dahliana, and Alfiyatul Azizah. 2024. “A Historical Review on Mapping the Evolution and Direction of Leadership in Islam: Challenges and Development </w:t>
      </w:r>
      <w:r w:rsidRPr="00232863">
        <w:rPr>
          <w:rFonts w:ascii="Calibri Light" w:hAnsi="Calibri Light" w:cs="Calibri Light"/>
          <w:noProof/>
          <w:sz w:val="24"/>
          <w:szCs w:val="24"/>
        </w:rPr>
        <w:lastRenderedPageBreak/>
        <w:t xml:space="preserve">Opportunities.” </w:t>
      </w:r>
      <w:r w:rsidRPr="00232863">
        <w:rPr>
          <w:rFonts w:ascii="Calibri Light" w:hAnsi="Calibri Light" w:cs="Calibri Light"/>
          <w:i/>
          <w:iCs/>
          <w:noProof/>
          <w:sz w:val="24"/>
          <w:szCs w:val="24"/>
        </w:rPr>
        <w:t>Multidisciplinary Reviews</w:t>
      </w:r>
      <w:r w:rsidRPr="00232863">
        <w:rPr>
          <w:rFonts w:ascii="Calibri Light" w:hAnsi="Calibri Light" w:cs="Calibri Light"/>
          <w:noProof/>
          <w:sz w:val="24"/>
          <w:szCs w:val="24"/>
        </w:rPr>
        <w:t xml:space="preserve"> 7(6). doi:10.31893/multirev.2024124.</w:t>
      </w:r>
    </w:p>
    <w:p w14:paraId="7CB91904"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Anwar, Sholihul, Sukisno Sukisno, Waston Waston, Andri Nirwana, Yeri Utami, Agustina Putri Reistanti, Armin Nurhartanto, and Muthoifin Muthoifin. 2024. “Development of the Concept of Islamic Education to Build and Improve the Personality of School-Age Children.” </w:t>
      </w:r>
      <w:r w:rsidRPr="00232863">
        <w:rPr>
          <w:rFonts w:ascii="Calibri Light" w:hAnsi="Calibri Light" w:cs="Calibri Light"/>
          <w:i/>
          <w:iCs/>
          <w:noProof/>
          <w:sz w:val="24"/>
          <w:szCs w:val="24"/>
        </w:rPr>
        <w:t>Multidisciplinary Reviews</w:t>
      </w:r>
      <w:r w:rsidRPr="00232863">
        <w:rPr>
          <w:rFonts w:ascii="Calibri Light" w:hAnsi="Calibri Light" w:cs="Calibri Light"/>
          <w:noProof/>
          <w:sz w:val="24"/>
          <w:szCs w:val="24"/>
        </w:rPr>
        <w:t xml:space="preserve"> 7(8): 2024139. doi:10.31893/multirev.2024139.</w:t>
      </w:r>
    </w:p>
    <w:p w14:paraId="6401A763"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Ardiansyah, Mahmudulhassan, Zainora Daud, Norsaleha Mohd Salleh, Andri Nirwana AN, Waston, and Muthoifin. 2024. “Mapping the Evolution and Trends in Quran Memorization, Cognitive Learning, and Educational Research: A Comprehensive Bibliometric Analysis Utilizing the Scopus Database.” </w:t>
      </w:r>
      <w:r w:rsidRPr="00232863">
        <w:rPr>
          <w:rFonts w:ascii="Calibri Light" w:hAnsi="Calibri Light" w:cs="Calibri Light"/>
          <w:i/>
          <w:iCs/>
          <w:noProof/>
          <w:sz w:val="24"/>
          <w:szCs w:val="24"/>
        </w:rPr>
        <w:t>Multidisciplinary Reviews</w:t>
      </w:r>
      <w:r w:rsidRPr="00232863">
        <w:rPr>
          <w:rFonts w:ascii="Calibri Light" w:hAnsi="Calibri Light" w:cs="Calibri Light"/>
          <w:noProof/>
          <w:sz w:val="24"/>
          <w:szCs w:val="24"/>
        </w:rPr>
        <w:t xml:space="preserve"> (Accepted Articles).</w:t>
      </w:r>
    </w:p>
    <w:p w14:paraId="2E7F6166"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Ardiansyah, Waston, Mahmudulhassan, Zainora Daud, Norsaleha Mohd Salleh, Andri Nirwana AN, and Muthoifin. 2024. “Tracing Trends in Quran Memorization and Cognitive Learning: A Bibliometric Analysis from the Scopus Database.” </w:t>
      </w:r>
      <w:r w:rsidRPr="00232863">
        <w:rPr>
          <w:rFonts w:ascii="Calibri Light" w:hAnsi="Calibri Light" w:cs="Calibri Light"/>
          <w:i/>
          <w:iCs/>
          <w:noProof/>
          <w:sz w:val="24"/>
          <w:szCs w:val="24"/>
        </w:rPr>
        <w:t>Pakistan Journal of Life and Social Sciences (PJLSS)</w:t>
      </w:r>
      <w:r w:rsidRPr="00232863">
        <w:rPr>
          <w:rFonts w:ascii="Calibri Light" w:hAnsi="Calibri Light" w:cs="Calibri Light"/>
          <w:noProof/>
          <w:sz w:val="24"/>
          <w:szCs w:val="24"/>
        </w:rPr>
        <w:t xml:space="preserve"> 22(2): 1493–1509. doi:10.57239/PJLSS-2024-22.2.00105.</w:t>
      </w:r>
    </w:p>
    <w:p w14:paraId="67C85720"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Arfan, Fahmi, Andri Nirwana, Muhammad Fuadi, Nazar Fadli, and Ayu Sahfitri Ana. 2024. “Contribution of Ali Hasjmy’s Legacy of Thought to Aceh Islamic Education.” </w:t>
      </w:r>
      <w:r w:rsidRPr="00232863">
        <w:rPr>
          <w:rFonts w:ascii="Calibri Light" w:hAnsi="Calibri Light" w:cs="Calibri Light"/>
          <w:i/>
          <w:iCs/>
          <w:noProof/>
          <w:sz w:val="24"/>
          <w:szCs w:val="24"/>
        </w:rPr>
        <w:t>Suhuf</w:t>
      </w:r>
      <w:r w:rsidRPr="00232863">
        <w:rPr>
          <w:rFonts w:ascii="Calibri Light" w:hAnsi="Calibri Light" w:cs="Calibri Light"/>
          <w:noProof/>
          <w:sz w:val="24"/>
          <w:szCs w:val="24"/>
        </w:rPr>
        <w:t xml:space="preserve"> 36(2). doi:10.23917/suhuf.v36i2.4764.</w:t>
      </w:r>
    </w:p>
    <w:p w14:paraId="0BC354FF"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Budiono, Arief, M Junaidi, Rizka Rizka, Jan Alizea Sybelle, Kiki Samudera, and Iqbal Muhammad Ichsan. 2023. “Legal Policies on Welfare Approaches in Forest Management in Indonesia: : Policy Study at Perum Perhutani KPH Saradan.” </w:t>
      </w:r>
      <w:r w:rsidRPr="00232863">
        <w:rPr>
          <w:rFonts w:ascii="Calibri Light" w:hAnsi="Calibri Light" w:cs="Calibri Light"/>
          <w:i/>
          <w:iCs/>
          <w:noProof/>
          <w:sz w:val="24"/>
          <w:szCs w:val="24"/>
        </w:rPr>
        <w:t>Law and Justice</w:t>
      </w:r>
      <w:r w:rsidRPr="00232863">
        <w:rPr>
          <w:rFonts w:ascii="Calibri Light" w:hAnsi="Calibri Light" w:cs="Calibri Light"/>
          <w:noProof/>
          <w:sz w:val="24"/>
          <w:szCs w:val="24"/>
        </w:rPr>
        <w:t xml:space="preserve"> 8(1): 95–110. doi:10.23917/laj.v8i1.1693.</w:t>
      </w:r>
    </w:p>
    <w:p w14:paraId="5FA08377"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Crawford, L B. 2024. “The Problem of Complex Legislation.” </w:t>
      </w:r>
      <w:r w:rsidRPr="00232863">
        <w:rPr>
          <w:rFonts w:ascii="Calibri Light" w:hAnsi="Calibri Light" w:cs="Calibri Light"/>
          <w:i/>
          <w:iCs/>
          <w:noProof/>
          <w:sz w:val="24"/>
          <w:szCs w:val="24"/>
        </w:rPr>
        <w:t>Legal Theory</w:t>
      </w:r>
      <w:r w:rsidRPr="00232863">
        <w:rPr>
          <w:rFonts w:ascii="Calibri Light" w:hAnsi="Calibri Light" w:cs="Calibri Light"/>
          <w:noProof/>
          <w:sz w:val="24"/>
          <w:szCs w:val="24"/>
        </w:rPr>
        <w:t xml:space="preserve"> 30(1): 1–21. doi:10.1017/S135232522400003X.</w:t>
      </w:r>
    </w:p>
    <w:p w14:paraId="2BE05B5A"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Elbanna, Mariam. 2024. “The Development of Zakat, Infaq, Sadaqah in Egypt: A Literature Review Approach.” </w:t>
      </w:r>
      <w:r w:rsidRPr="00232863">
        <w:rPr>
          <w:rFonts w:ascii="Calibri Light" w:hAnsi="Calibri Light" w:cs="Calibri Light"/>
          <w:i/>
          <w:iCs/>
          <w:noProof/>
          <w:sz w:val="24"/>
          <w:szCs w:val="24"/>
        </w:rPr>
        <w:t>Demak Universal Journal of Islam and Sharia</w:t>
      </w:r>
      <w:r w:rsidRPr="00232863">
        <w:rPr>
          <w:rFonts w:ascii="Calibri Light" w:hAnsi="Calibri Light" w:cs="Calibri Light"/>
          <w:noProof/>
          <w:sz w:val="24"/>
          <w:szCs w:val="24"/>
        </w:rPr>
        <w:t xml:space="preserve"> 2(03): 375–88. doi:https://doi.org/10.61455/deujis.v2i03.218.</w:t>
      </w:r>
    </w:p>
    <w:p w14:paraId="591D4D7B"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Elbanna, Mariam. 2025a. “Islamic Education Models: A Bibliometric Analysis of Challenges and Prospects.” </w:t>
      </w:r>
      <w:r w:rsidRPr="00232863">
        <w:rPr>
          <w:rFonts w:ascii="Calibri Light" w:hAnsi="Calibri Light" w:cs="Calibri Light"/>
          <w:i/>
          <w:iCs/>
          <w:noProof/>
          <w:sz w:val="24"/>
          <w:szCs w:val="24"/>
        </w:rPr>
        <w:t>Solo Universal Journal of Islamic Education and Multiculturalism</w:t>
      </w:r>
      <w:r w:rsidRPr="00232863">
        <w:rPr>
          <w:rFonts w:ascii="Calibri Light" w:hAnsi="Calibri Light" w:cs="Calibri Light"/>
          <w:noProof/>
          <w:sz w:val="24"/>
          <w:szCs w:val="24"/>
        </w:rPr>
        <w:t xml:space="preserve"> 3(01): 11–26. doi:https://doi.org/10.61455/sujiem.v3i01.231.</w:t>
      </w:r>
    </w:p>
    <w:p w14:paraId="543253F4"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Elbanna, Mariam. 2025b. “The Existence of Career Women in Egypt from a Social Cultural and Economic Perspective.” </w:t>
      </w:r>
      <w:r w:rsidRPr="00232863">
        <w:rPr>
          <w:rFonts w:ascii="Calibri Light" w:hAnsi="Calibri Light" w:cs="Calibri Light"/>
          <w:i/>
          <w:iCs/>
          <w:noProof/>
          <w:sz w:val="24"/>
          <w:szCs w:val="24"/>
        </w:rPr>
        <w:t>Solo International Collaboration and Publication of Social Sciences and Humanities</w:t>
      </w:r>
      <w:r w:rsidRPr="00232863">
        <w:rPr>
          <w:rFonts w:ascii="Calibri Light" w:hAnsi="Calibri Light" w:cs="Calibri Light"/>
          <w:noProof/>
          <w:sz w:val="24"/>
          <w:szCs w:val="24"/>
        </w:rPr>
        <w:t xml:space="preserve"> 3(01): 13–26. doi:https://doi.org/10.61455/sicopus.v3i01.221.</w:t>
      </w:r>
    </w:p>
    <w:p w14:paraId="29CBA38A"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Elbanna, Mariam, and Andri Nirwana. 2025. “Analysing the Role of Conti Entertain as a Gateway to Digital Gambling Among Teenagers Sharia Perspective: Challenges and Solutions.” </w:t>
      </w:r>
      <w:r w:rsidRPr="00232863">
        <w:rPr>
          <w:rFonts w:ascii="Calibri Light" w:hAnsi="Calibri Light" w:cs="Calibri Light"/>
          <w:i/>
          <w:iCs/>
          <w:noProof/>
          <w:sz w:val="24"/>
          <w:szCs w:val="24"/>
        </w:rPr>
        <w:t>Demak Universal Journal of Islam and Sharia</w:t>
      </w:r>
      <w:r w:rsidRPr="00232863">
        <w:rPr>
          <w:rFonts w:ascii="Calibri Light" w:hAnsi="Calibri Light" w:cs="Calibri Light"/>
          <w:noProof/>
          <w:sz w:val="24"/>
          <w:szCs w:val="24"/>
        </w:rPr>
        <w:t xml:space="preserve"> 3(01): 1–12. doi:https://doi.org/10.61455/deujis.v3i01.215.</w:t>
      </w:r>
    </w:p>
    <w:p w14:paraId="044DAE31"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Favalli, S. 2024. “THE ROLE OF THE UNITED NATIONS CONVENTION ON THE RIGHTS OF PERSONS WITH DISABILITIES AND THE HUMAN RIGHTS MODEL.” </w:t>
      </w:r>
      <w:r w:rsidRPr="00232863">
        <w:rPr>
          <w:rFonts w:ascii="Calibri Light" w:hAnsi="Calibri Light" w:cs="Calibri Light"/>
          <w:i/>
          <w:iCs/>
          <w:noProof/>
          <w:sz w:val="24"/>
          <w:szCs w:val="24"/>
        </w:rPr>
        <w:t>BioLaw Journal</w:t>
      </w:r>
      <w:r w:rsidRPr="00232863">
        <w:rPr>
          <w:rFonts w:ascii="Calibri Light" w:hAnsi="Calibri Light" w:cs="Calibri Light"/>
          <w:noProof/>
          <w:sz w:val="24"/>
          <w:szCs w:val="24"/>
        </w:rPr>
        <w:t xml:space="preserve"> (3): 351–62. doi:10.15168/2284-4503-3204.</w:t>
      </w:r>
    </w:p>
    <w:p w14:paraId="33204519"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Fiala-Butora, J. 2022. “Linguistic Discrimination as a Social, Legal and Human Rights Phenomenon.” </w:t>
      </w:r>
      <w:r w:rsidRPr="00232863">
        <w:rPr>
          <w:rFonts w:ascii="Calibri Light" w:hAnsi="Calibri Light" w:cs="Calibri Light"/>
          <w:i/>
          <w:iCs/>
          <w:noProof/>
          <w:sz w:val="24"/>
          <w:szCs w:val="24"/>
        </w:rPr>
        <w:t>Jazykovedny Casopis</w:t>
      </w:r>
      <w:r w:rsidRPr="00232863">
        <w:rPr>
          <w:rFonts w:ascii="Calibri Light" w:hAnsi="Calibri Light" w:cs="Calibri Light"/>
          <w:noProof/>
          <w:sz w:val="24"/>
          <w:szCs w:val="24"/>
        </w:rPr>
        <w:t xml:space="preserve"> 73(3): 285–302. doi:10.2478/jazcas-2023-0010.</w:t>
      </w:r>
    </w:p>
    <w:p w14:paraId="7807ABDE"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Flatto, D C. 2024. “Evidently Not: Why Confessions Are Excluded in Jewish Criminal Jurisprudence.” </w:t>
      </w:r>
      <w:r w:rsidRPr="00232863">
        <w:rPr>
          <w:rFonts w:ascii="Calibri Light" w:hAnsi="Calibri Light" w:cs="Calibri Light"/>
          <w:i/>
          <w:iCs/>
          <w:noProof/>
          <w:sz w:val="24"/>
          <w:szCs w:val="24"/>
        </w:rPr>
        <w:t>Journal of Law and Religion</w:t>
      </w:r>
      <w:r w:rsidRPr="00232863">
        <w:rPr>
          <w:rFonts w:ascii="Calibri Light" w:hAnsi="Calibri Light" w:cs="Calibri Light"/>
          <w:noProof/>
          <w:sz w:val="24"/>
          <w:szCs w:val="24"/>
        </w:rPr>
        <w:t xml:space="preserve"> 39(2): 173–91. doi:10.1017/jlr.2024.10.</w:t>
      </w:r>
    </w:p>
    <w:p w14:paraId="5959510B"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Ghanea, N. 2022. “Piecing the Puzzle—Women and Freedom of Religion or Belief.” </w:t>
      </w:r>
      <w:r w:rsidRPr="00232863">
        <w:rPr>
          <w:rFonts w:ascii="Calibri Light" w:hAnsi="Calibri Light" w:cs="Calibri Light"/>
          <w:i/>
          <w:iCs/>
          <w:noProof/>
          <w:sz w:val="24"/>
          <w:szCs w:val="24"/>
        </w:rPr>
        <w:t>Review of Faith and International Affairs</w:t>
      </w:r>
      <w:r w:rsidRPr="00232863">
        <w:rPr>
          <w:rFonts w:ascii="Calibri Light" w:hAnsi="Calibri Light" w:cs="Calibri Light"/>
          <w:noProof/>
          <w:sz w:val="24"/>
          <w:szCs w:val="24"/>
        </w:rPr>
        <w:t xml:space="preserve"> 20(3): 4–18. doi:10.1080/15570274.2022.2111804.</w:t>
      </w:r>
    </w:p>
    <w:p w14:paraId="5286F454"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lastRenderedPageBreak/>
        <w:t xml:space="preserve">Greenberg, J R. 2024. “Justice Suspended: Rethinking Institutions, Regimentation, and Channels from a Human Rights Law Perspective.” </w:t>
      </w:r>
      <w:r w:rsidRPr="00232863">
        <w:rPr>
          <w:rFonts w:ascii="Calibri Light" w:hAnsi="Calibri Light" w:cs="Calibri Light"/>
          <w:i/>
          <w:iCs/>
          <w:noProof/>
          <w:sz w:val="24"/>
          <w:szCs w:val="24"/>
        </w:rPr>
        <w:t>Journal of Linguistic Anthropology</w:t>
      </w:r>
      <w:r w:rsidRPr="00232863">
        <w:rPr>
          <w:rFonts w:ascii="Calibri Light" w:hAnsi="Calibri Light" w:cs="Calibri Light"/>
          <w:noProof/>
          <w:sz w:val="24"/>
          <w:szCs w:val="24"/>
        </w:rPr>
        <w:t xml:space="preserve"> 34(1): 45–65. doi:10.1111/jola.12415.</w:t>
      </w:r>
    </w:p>
    <w:p w14:paraId="1E58127C"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Hanifah Kusumastuti, Imron Rosyadi, and Rizka. 2023. “Limitations on the President’s Term of Office from Maslahah Mursalah’s Perspective (Ijtihad as Determination of Islamic Law).” </w:t>
      </w:r>
      <w:r w:rsidRPr="00232863">
        <w:rPr>
          <w:rFonts w:ascii="Calibri Light" w:hAnsi="Calibri Light" w:cs="Calibri Light"/>
          <w:i/>
          <w:iCs/>
          <w:noProof/>
          <w:sz w:val="24"/>
          <w:szCs w:val="24"/>
        </w:rPr>
        <w:t>Journal of Transcendental Law</w:t>
      </w:r>
      <w:r w:rsidRPr="00232863">
        <w:rPr>
          <w:rFonts w:ascii="Calibri Light" w:hAnsi="Calibri Light" w:cs="Calibri Light"/>
          <w:noProof/>
          <w:sz w:val="24"/>
          <w:szCs w:val="24"/>
        </w:rPr>
        <w:t xml:space="preserve"> 5(1): 16–27. doi:10.23917/jtl.v5i1.1922.</w:t>
      </w:r>
    </w:p>
    <w:p w14:paraId="33C9DBF7"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Helmina, H, H Harun, D Witro, M Z Ardi, and D Busni. 2024. “Compromising and Repositioning the Meaning of Corruptors as Thieves in Applying the Provisions of Shara’ into the Modern Era Context.” </w:t>
      </w:r>
      <w:r w:rsidRPr="00232863">
        <w:rPr>
          <w:rFonts w:ascii="Calibri Light" w:hAnsi="Calibri Light" w:cs="Calibri Light"/>
          <w:i/>
          <w:iCs/>
          <w:noProof/>
          <w:sz w:val="24"/>
          <w:szCs w:val="24"/>
        </w:rPr>
        <w:t>Al-’Adalah</w:t>
      </w:r>
      <w:r w:rsidRPr="00232863">
        <w:rPr>
          <w:rFonts w:ascii="Calibri Light" w:hAnsi="Calibri Light" w:cs="Calibri Light"/>
          <w:noProof/>
          <w:sz w:val="24"/>
          <w:szCs w:val="24"/>
        </w:rPr>
        <w:t xml:space="preserve"> 21(1): 25–52. doi:10.24042/adalah.v21i1.21251.</w:t>
      </w:r>
    </w:p>
    <w:p w14:paraId="6208600E"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Hidayah, Nur, Dinar Wahyuningrum, Ibrahim Sorie Kamara, and Jihan Lutfiyah Rahmah. 2023. “Determinants of Green GDP in ASEAN-5 Countries.” </w:t>
      </w:r>
      <w:r w:rsidRPr="00232863">
        <w:rPr>
          <w:rFonts w:ascii="Calibri Light" w:hAnsi="Calibri Light" w:cs="Calibri Light"/>
          <w:i/>
          <w:iCs/>
          <w:noProof/>
          <w:sz w:val="24"/>
          <w:szCs w:val="24"/>
        </w:rPr>
        <w:t>Jurnal Ekonomi Pembangunan: Kajian Masalah Ekonomi dan Pembangunan</w:t>
      </w:r>
      <w:r w:rsidRPr="00232863">
        <w:rPr>
          <w:rFonts w:ascii="Calibri Light" w:hAnsi="Calibri Light" w:cs="Calibri Light"/>
          <w:noProof/>
          <w:sz w:val="24"/>
          <w:szCs w:val="24"/>
        </w:rPr>
        <w:t xml:space="preserve"> 24(2): 256–64. doi:10.23917/jep.v24i2.22488.</w:t>
      </w:r>
    </w:p>
    <w:p w14:paraId="7659E44E"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Hidayah, Nurul, Ahmad Ridwan Al Rasyid, and Cahyani Windarto. 2024. “Meaning of The Word Ta’lamun in The Qur’an.” </w:t>
      </w:r>
      <w:r w:rsidRPr="00232863">
        <w:rPr>
          <w:rFonts w:ascii="Calibri Light" w:hAnsi="Calibri Light" w:cs="Calibri Light"/>
          <w:i/>
          <w:iCs/>
          <w:noProof/>
          <w:sz w:val="24"/>
          <w:szCs w:val="24"/>
        </w:rPr>
        <w:t>QiST: Journal of Quran and Tafseer Studies</w:t>
      </w:r>
      <w:r w:rsidRPr="00232863">
        <w:rPr>
          <w:rFonts w:ascii="Calibri Light" w:hAnsi="Calibri Light" w:cs="Calibri Light"/>
          <w:noProof/>
          <w:sz w:val="24"/>
          <w:szCs w:val="24"/>
        </w:rPr>
        <w:t xml:space="preserve"> 3(3): 433–50. doi:10.23917/qist.v3i3.5166.</w:t>
      </w:r>
    </w:p>
    <w:p w14:paraId="719881C3"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Jumadi, Jumadi, and Yuli Priyana. 2016. “Development and Evaluation of Web GIS Application for Groundwater Management of Karanganyar Regency.” </w:t>
      </w:r>
      <w:r w:rsidRPr="00232863">
        <w:rPr>
          <w:rFonts w:ascii="Calibri Light" w:hAnsi="Calibri Light" w:cs="Calibri Light"/>
          <w:i/>
          <w:iCs/>
          <w:noProof/>
          <w:sz w:val="24"/>
          <w:szCs w:val="24"/>
        </w:rPr>
        <w:t>Forum Geografi</w:t>
      </w:r>
      <w:r w:rsidRPr="00232863">
        <w:rPr>
          <w:rFonts w:ascii="Calibri Light" w:hAnsi="Calibri Light" w:cs="Calibri Light"/>
          <w:noProof/>
          <w:sz w:val="24"/>
          <w:szCs w:val="24"/>
        </w:rPr>
        <w:t xml:space="preserve"> 29(2): 165. doi:10.23917/forgeo.v29i2.1482.</w:t>
      </w:r>
    </w:p>
    <w:p w14:paraId="02B718BE"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Kerwanto, K, Muhammad Aulal Fikri Al Hasani, and Muhammad Miftah Hamdani. 2024. “Contextual Interpretation (Study of Epistemology, History, Variety of Books and Examples of Interpretation).” </w:t>
      </w:r>
      <w:r w:rsidRPr="00232863">
        <w:rPr>
          <w:rFonts w:ascii="Calibri Light" w:hAnsi="Calibri Light" w:cs="Calibri Light"/>
          <w:i/>
          <w:iCs/>
          <w:noProof/>
          <w:sz w:val="24"/>
          <w:szCs w:val="24"/>
        </w:rPr>
        <w:t>QiST: Journal of Quran and Tafseer Studies</w:t>
      </w:r>
      <w:r w:rsidRPr="00232863">
        <w:rPr>
          <w:rFonts w:ascii="Calibri Light" w:hAnsi="Calibri Light" w:cs="Calibri Light"/>
          <w:noProof/>
          <w:sz w:val="24"/>
          <w:szCs w:val="24"/>
        </w:rPr>
        <w:t xml:space="preserve"> 3(3): 451–70. doi:10.23917/qist.v3i3.5737.</w:t>
      </w:r>
    </w:p>
    <w:p w14:paraId="453CF116"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Kiviorg, M. 2022. “International Obligations and Internal Tensions: Individual Religious Autonomy and Gender Equality in Russia and Central Asia.” </w:t>
      </w:r>
      <w:r w:rsidRPr="00232863">
        <w:rPr>
          <w:rFonts w:ascii="Calibri Light" w:hAnsi="Calibri Light" w:cs="Calibri Light"/>
          <w:i/>
          <w:iCs/>
          <w:noProof/>
          <w:sz w:val="24"/>
          <w:szCs w:val="24"/>
        </w:rPr>
        <w:t>Review of Faith and International Affairs</w:t>
      </w:r>
      <w:r w:rsidRPr="00232863">
        <w:rPr>
          <w:rFonts w:ascii="Calibri Light" w:hAnsi="Calibri Light" w:cs="Calibri Light"/>
          <w:noProof/>
          <w:sz w:val="24"/>
          <w:szCs w:val="24"/>
        </w:rPr>
        <w:t xml:space="preserve"> 20(3): 47–62. doi:10.1080/15570274.2022.2111810.</w:t>
      </w:r>
    </w:p>
    <w:p w14:paraId="4DF9BE72"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Madson, N H. 2022. “I Am an Ordinary Citizen: Human Rights Discourse and the Limits of Human Rights Law.” </w:t>
      </w:r>
      <w:r w:rsidRPr="00232863">
        <w:rPr>
          <w:rFonts w:ascii="Calibri Light" w:hAnsi="Calibri Light" w:cs="Calibri Light"/>
          <w:i/>
          <w:iCs/>
          <w:noProof/>
          <w:sz w:val="24"/>
          <w:szCs w:val="24"/>
        </w:rPr>
        <w:t>American Anthropologist</w:t>
      </w:r>
      <w:r w:rsidRPr="00232863">
        <w:rPr>
          <w:rFonts w:ascii="Calibri Light" w:hAnsi="Calibri Light" w:cs="Calibri Light"/>
          <w:noProof/>
          <w:sz w:val="24"/>
          <w:szCs w:val="24"/>
        </w:rPr>
        <w:t xml:space="preserve"> 124(3): 504–14. doi:10.1111/aman.13737.</w:t>
      </w:r>
    </w:p>
    <w:p w14:paraId="010C0A03"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Mahmudulhassan, Waston Waston, Andri Nirwana, Soleh Amini, Muhammad Muhtar Arifin Sholeh, and Muthoifin Muthoifin. 2024. “A Moral-Based Curriculum to Improve Civilization and Human Resource Development in Bangladesh.” </w:t>
      </w:r>
      <w:r w:rsidRPr="00232863">
        <w:rPr>
          <w:rFonts w:ascii="Calibri Light" w:hAnsi="Calibri Light" w:cs="Calibri Light"/>
          <w:i/>
          <w:iCs/>
          <w:noProof/>
          <w:sz w:val="24"/>
          <w:szCs w:val="24"/>
        </w:rPr>
        <w:t>Multidisciplinary Reviews</w:t>
      </w:r>
      <w:r w:rsidRPr="00232863">
        <w:rPr>
          <w:rFonts w:ascii="Calibri Light" w:hAnsi="Calibri Light" w:cs="Calibri Light"/>
          <w:noProof/>
          <w:sz w:val="24"/>
          <w:szCs w:val="24"/>
        </w:rPr>
        <w:t xml:space="preserve"> 7(8): 2024137. doi:10.31893/multirev.2024137.</w:t>
      </w:r>
    </w:p>
    <w:p w14:paraId="45E8CC76"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Marthoenis, Marthoenis, Andri Nirwana, and Liza Fathiariani. 2019. “Prevalence and Determinants of Posttraumatic Stress in Adolescents Following an Earthquake.” </w:t>
      </w:r>
      <w:r w:rsidRPr="00232863">
        <w:rPr>
          <w:rFonts w:ascii="Calibri Light" w:hAnsi="Calibri Light" w:cs="Calibri Light"/>
          <w:i/>
          <w:iCs/>
          <w:noProof/>
          <w:sz w:val="24"/>
          <w:szCs w:val="24"/>
        </w:rPr>
        <w:t>Indian Journal of Psychiatry</w:t>
      </w:r>
      <w:r w:rsidRPr="00232863">
        <w:rPr>
          <w:rFonts w:ascii="Calibri Light" w:hAnsi="Calibri Light" w:cs="Calibri Light"/>
          <w:noProof/>
          <w:sz w:val="24"/>
          <w:szCs w:val="24"/>
        </w:rPr>
        <w:t xml:space="preserve"> 61(5): 526. doi:10.4103/psychiatry.IndianJPsychiatry_35_19.</w:t>
      </w:r>
    </w:p>
    <w:p w14:paraId="0EF8ADA1"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Masduki, Masduki, Suwarsono Suwarsono, and Mega Teguh Budiarto. 2024. “Relationships between Teacher’s Instructional Strategies and Their Knowledge: A Study of Seventh-Grade Mathematics Teachers.” </w:t>
      </w:r>
      <w:r w:rsidRPr="00232863">
        <w:rPr>
          <w:rFonts w:ascii="Calibri Light" w:hAnsi="Calibri Light" w:cs="Calibri Light"/>
          <w:i/>
          <w:iCs/>
          <w:noProof/>
          <w:sz w:val="24"/>
          <w:szCs w:val="24"/>
        </w:rPr>
        <w:t>JRAMathEdu (Journal of Research and Advances in Mathematics Education)</w:t>
      </w:r>
      <w:r w:rsidRPr="00232863">
        <w:rPr>
          <w:rFonts w:ascii="Calibri Light" w:hAnsi="Calibri Light" w:cs="Calibri Light"/>
          <w:noProof/>
          <w:sz w:val="24"/>
          <w:szCs w:val="24"/>
        </w:rPr>
        <w:t>. doi:10.23917/jramathedu.v8i3.4742.</w:t>
      </w:r>
    </w:p>
    <w:p w14:paraId="7529A17F"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Muhtar Arifin Sholeh, Muhammad, Waston, Andri Nirwana AN, and Syamsul Hidayat. 2023. “Good Character, Good Deeds and Good Speech for Developing Multicultural Islamic Education: An Islamic Concept.” </w:t>
      </w:r>
      <w:r w:rsidRPr="00232863">
        <w:rPr>
          <w:rFonts w:ascii="Calibri Light" w:hAnsi="Calibri Light" w:cs="Calibri Light"/>
          <w:i/>
          <w:iCs/>
          <w:noProof/>
          <w:sz w:val="24"/>
          <w:szCs w:val="24"/>
        </w:rPr>
        <w:t>Multicultural Islamic Education Review</w:t>
      </w:r>
      <w:r w:rsidRPr="00232863">
        <w:rPr>
          <w:rFonts w:ascii="Calibri Light" w:hAnsi="Calibri Light" w:cs="Calibri Light"/>
          <w:noProof/>
          <w:sz w:val="24"/>
          <w:szCs w:val="24"/>
        </w:rPr>
        <w:t xml:space="preserve"> 1(2): 180–95. doi:10.23917/mier.v1i2.3427.</w:t>
      </w:r>
    </w:p>
    <w:p w14:paraId="59258530"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Murray, D, P Fussey, K Hove, W Wakabi, P Kimumwe, O Saki, and A Stevens. 2024. “The Chilling Effects of Surveillance and Human Rights: Insights from Qualitative Research in </w:t>
      </w:r>
      <w:r w:rsidRPr="00232863">
        <w:rPr>
          <w:rFonts w:ascii="Calibri Light" w:hAnsi="Calibri Light" w:cs="Calibri Light"/>
          <w:noProof/>
          <w:sz w:val="24"/>
          <w:szCs w:val="24"/>
        </w:rPr>
        <w:lastRenderedPageBreak/>
        <w:t xml:space="preserve">Uganda and Zimbabwe.” </w:t>
      </w:r>
      <w:r w:rsidRPr="00232863">
        <w:rPr>
          <w:rFonts w:ascii="Calibri Light" w:hAnsi="Calibri Light" w:cs="Calibri Light"/>
          <w:i/>
          <w:iCs/>
          <w:noProof/>
          <w:sz w:val="24"/>
          <w:szCs w:val="24"/>
        </w:rPr>
        <w:t>Journal of Human Rights Practice</w:t>
      </w:r>
      <w:r w:rsidRPr="00232863">
        <w:rPr>
          <w:rFonts w:ascii="Calibri Light" w:hAnsi="Calibri Light" w:cs="Calibri Light"/>
          <w:noProof/>
          <w:sz w:val="24"/>
          <w:szCs w:val="24"/>
        </w:rPr>
        <w:t xml:space="preserve"> 16(1): 397–412. doi:10.1093/jhuman/huad020.</w:t>
      </w:r>
    </w:p>
    <w:p w14:paraId="0F736C9D"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Muthoifin, Muhammad Abuzar, Mahmudulhassan, Ishmah Afiyah, Andri Nirwana, Nuha, Gigih Setianto, and Waston. 2024. “Fostering Multicultural Community Harmony to Enhance Peace and Sustainable Development Goals (SDG’s).” </w:t>
      </w:r>
      <w:r w:rsidRPr="00232863">
        <w:rPr>
          <w:rFonts w:ascii="Calibri Light" w:hAnsi="Calibri Light" w:cs="Calibri Light"/>
          <w:i/>
          <w:iCs/>
          <w:noProof/>
          <w:sz w:val="24"/>
          <w:szCs w:val="24"/>
        </w:rPr>
        <w:t>Journal of Lifestyle and SDGs Review</w:t>
      </w:r>
      <w:r w:rsidRPr="00232863">
        <w:rPr>
          <w:rFonts w:ascii="Calibri Light" w:hAnsi="Calibri Light" w:cs="Calibri Light"/>
          <w:noProof/>
          <w:sz w:val="24"/>
          <w:szCs w:val="24"/>
        </w:rPr>
        <w:t xml:space="preserve"> 5(1): e01687. doi:10.47172/2965-730X.SDGsReview.v5.n01.pe01687.</w:t>
      </w:r>
    </w:p>
    <w:p w14:paraId="5A1A8545"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Muthoifin, Noor Hamid, Sutama, Syamsul Hidayat, Waston, Andri Nirwana, and Muthoifin. 2024. “Creative Leadership: An Implementing Study of Transformative Leadership Models in High School for Sustainable Development Goals.” </w:t>
      </w:r>
      <w:r w:rsidRPr="00232863">
        <w:rPr>
          <w:rFonts w:ascii="Calibri Light" w:hAnsi="Calibri Light" w:cs="Calibri Light"/>
          <w:i/>
          <w:iCs/>
          <w:noProof/>
          <w:sz w:val="24"/>
          <w:szCs w:val="24"/>
        </w:rPr>
        <w:t>Journal of Lifestyle and SDGs Review</w:t>
      </w:r>
      <w:r w:rsidRPr="00232863">
        <w:rPr>
          <w:rFonts w:ascii="Calibri Light" w:hAnsi="Calibri Light" w:cs="Calibri Light"/>
          <w:noProof/>
          <w:sz w:val="24"/>
          <w:szCs w:val="24"/>
        </w:rPr>
        <w:t xml:space="preserve"> 5(1): e01686. doi:10.47172/2965-730X.SDGsReview.v5.n01.pe01686.</w:t>
      </w:r>
    </w:p>
    <w:p w14:paraId="467797C9"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Nirwana, Andri, Fahmi Arfan, Muthoifin, Zainora Daud, Saifuddin Amin, Syamsul Hidayat, and Fahmi Dolles Marshal. 2024. “The Role of Traditional Salt Production in Achieving Halal Standards of the Ulamaconsultative Council: Implications for Sustainable Development Goals.” </w:t>
      </w:r>
      <w:r w:rsidRPr="00232863">
        <w:rPr>
          <w:rFonts w:ascii="Calibri Light" w:hAnsi="Calibri Light" w:cs="Calibri Light"/>
          <w:i/>
          <w:iCs/>
          <w:noProof/>
          <w:sz w:val="24"/>
          <w:szCs w:val="24"/>
        </w:rPr>
        <w:t>Journal of Lifestyle and SDGs Review</w:t>
      </w:r>
      <w:r w:rsidRPr="00232863">
        <w:rPr>
          <w:rFonts w:ascii="Calibri Light" w:hAnsi="Calibri Light" w:cs="Calibri Light"/>
          <w:noProof/>
          <w:sz w:val="24"/>
          <w:szCs w:val="24"/>
        </w:rPr>
        <w:t xml:space="preserve"> 4(2): e01721. doi:10.47172/2965-730X.SDGsReview.v4.n00.pe01721.</w:t>
      </w:r>
    </w:p>
    <w:p w14:paraId="7506CD30"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Nirwana, Andri, Sufian Suri, Didi Junaedi, Sayed Akhyar, Faisal Husen Ismail, Fuad Fansuri, Mohd Shafiq bin Sahimi, et al. 2024. “Exploration of Wasatiyah Diction to Realize Sustainable Tolerance Between Religious Communities: A Study of the Translation of the Quran of the Ministry of Religious Affairs of the Republic of Indonesia.” </w:t>
      </w:r>
      <w:r w:rsidRPr="00232863">
        <w:rPr>
          <w:rFonts w:ascii="Calibri Light" w:hAnsi="Calibri Light" w:cs="Calibri Light"/>
          <w:i/>
          <w:iCs/>
          <w:noProof/>
          <w:sz w:val="24"/>
          <w:szCs w:val="24"/>
        </w:rPr>
        <w:t>Revista de Gestão Social e Ambiental</w:t>
      </w:r>
      <w:r w:rsidRPr="00232863">
        <w:rPr>
          <w:rFonts w:ascii="Calibri Light" w:hAnsi="Calibri Light" w:cs="Calibri Light"/>
          <w:noProof/>
          <w:sz w:val="24"/>
          <w:szCs w:val="24"/>
        </w:rPr>
        <w:t xml:space="preserve"> 18(6): e05717. doi:10.24857/rgsa.v18n6-012.</w:t>
      </w:r>
    </w:p>
    <w:p w14:paraId="20FA9C1B"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Pasha, Nariza Ayu, and Khalifah Fathonia Gumay. 2023. “HEDONISM REFLECTED ON CELEBRITIES INSTAGRAM (CELEBGRAM) ACCOUNT.” </w:t>
      </w:r>
      <w:r w:rsidRPr="00232863">
        <w:rPr>
          <w:rFonts w:ascii="Calibri Light" w:hAnsi="Calibri Light" w:cs="Calibri Light"/>
          <w:i/>
          <w:iCs/>
          <w:noProof/>
          <w:sz w:val="24"/>
          <w:szCs w:val="24"/>
        </w:rPr>
        <w:t>Jurnal Penelitian Humaniora</w:t>
      </w:r>
      <w:r w:rsidRPr="00232863">
        <w:rPr>
          <w:rFonts w:ascii="Calibri Light" w:hAnsi="Calibri Light" w:cs="Calibri Light"/>
          <w:noProof/>
          <w:sz w:val="24"/>
          <w:szCs w:val="24"/>
        </w:rPr>
        <w:t xml:space="preserve"> 24(1): 49–59. doi:10.23917/humaniora.v24i1.18683.</w:t>
      </w:r>
    </w:p>
    <w:p w14:paraId="4943806A"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Rajiani, Ismi, Harun Joko Prayitno, Sebastian Kot, Norain Ismail, and Widya Prihesti Iswarani. 2023. “Developing Local Education Content Supplementary Textbook Innovation by Referencing to Women in Floating Market.” </w:t>
      </w:r>
      <w:r w:rsidRPr="00232863">
        <w:rPr>
          <w:rFonts w:ascii="Calibri Light" w:hAnsi="Calibri Light" w:cs="Calibri Light"/>
          <w:i/>
          <w:iCs/>
          <w:noProof/>
          <w:sz w:val="24"/>
          <w:szCs w:val="24"/>
        </w:rPr>
        <w:t>Indonesian Journal on Learning and Advanced Education (IJOLAE)</w:t>
      </w:r>
      <w:r w:rsidRPr="00232863">
        <w:rPr>
          <w:rFonts w:ascii="Calibri Light" w:hAnsi="Calibri Light" w:cs="Calibri Light"/>
          <w:noProof/>
          <w:sz w:val="24"/>
          <w:szCs w:val="24"/>
        </w:rPr>
        <w:t xml:space="preserve"> 5(2): 136–50. doi:10.23917/ijolae.v5i2.22005.</w:t>
      </w:r>
    </w:p>
    <w:p w14:paraId="3DA23CB9"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Rhain, Ainur, Anggi Maulana Rizqi, Aulia Naufal, Muhammad Irfanudin Kurniawan, Alfiyatul Azizah, Kharis Nugroho, and Andri Nirwana AN. 2024. “Reconstructing Deliberative Practices for Building Religious Character: A Quranic Study of Ali Imran: 159 in Alignment with the United Nations’ Sustainable Development Goals.” </w:t>
      </w:r>
      <w:r w:rsidRPr="00232863">
        <w:rPr>
          <w:rFonts w:ascii="Calibri Light" w:hAnsi="Calibri Light" w:cs="Calibri Light"/>
          <w:i/>
          <w:iCs/>
          <w:noProof/>
          <w:sz w:val="24"/>
          <w:szCs w:val="24"/>
        </w:rPr>
        <w:t>Journal of Lifestyle and SDGs Review</w:t>
      </w:r>
      <w:r w:rsidRPr="00232863">
        <w:rPr>
          <w:rFonts w:ascii="Calibri Light" w:hAnsi="Calibri Light" w:cs="Calibri Light"/>
          <w:noProof/>
          <w:sz w:val="24"/>
          <w:szCs w:val="24"/>
        </w:rPr>
        <w:t xml:space="preserve"> 4(2): e01914. doi:10.47172/2965-730X.SDGsReview.v4.n02.pe01914.</w:t>
      </w:r>
    </w:p>
    <w:p w14:paraId="1400535C"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Saifuddin, S, H H Ali Tajuddin, M A Yahya, M R Abd Rahman, and F Y Hashim. 2024. “EXAMINING THE APPLICATION OF STANDARD OF PROOF IN CRIMINAL CASES: A COMPARATIVE ANALYSIS OF ISLAMIC LAW AND COMMON LAW IN MALAYSIA.” </w:t>
      </w:r>
      <w:r w:rsidRPr="00232863">
        <w:rPr>
          <w:rFonts w:ascii="Calibri Light" w:hAnsi="Calibri Light" w:cs="Calibri Light"/>
          <w:i/>
          <w:iCs/>
          <w:noProof/>
          <w:sz w:val="24"/>
          <w:szCs w:val="24"/>
        </w:rPr>
        <w:t>Malaysian Journal of Syariah and Law</w:t>
      </w:r>
      <w:r w:rsidRPr="00232863">
        <w:rPr>
          <w:rFonts w:ascii="Calibri Light" w:hAnsi="Calibri Light" w:cs="Calibri Light"/>
          <w:noProof/>
          <w:sz w:val="24"/>
          <w:szCs w:val="24"/>
        </w:rPr>
        <w:t xml:space="preserve"> 12(1): 11–22. doi:10.33102/mjsl.vol12no1.491.</w:t>
      </w:r>
    </w:p>
    <w:p w14:paraId="6B8AB534"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Shah, S, and S Sivakumaran. 2024. “Complementing UN Human Rights Efforts Through Universal Periodic Review.” </w:t>
      </w:r>
      <w:r w:rsidRPr="00232863">
        <w:rPr>
          <w:rFonts w:ascii="Calibri Light" w:hAnsi="Calibri Light" w:cs="Calibri Light"/>
          <w:i/>
          <w:iCs/>
          <w:noProof/>
          <w:sz w:val="24"/>
          <w:szCs w:val="24"/>
        </w:rPr>
        <w:t>Journal of Human Rights Practice</w:t>
      </w:r>
      <w:r w:rsidRPr="00232863">
        <w:rPr>
          <w:rFonts w:ascii="Calibri Light" w:hAnsi="Calibri Light" w:cs="Calibri Light"/>
          <w:noProof/>
          <w:sz w:val="24"/>
          <w:szCs w:val="24"/>
        </w:rPr>
        <w:t xml:space="preserve"> 16(3): 794–818. doi:10.1093/jhuman/huae008.</w:t>
      </w:r>
    </w:p>
    <w:p w14:paraId="4356825A"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Sholeh, Muhammad Muhtar Arifin, Waston, Andri Nirwana, and M. Mahmudulhassan. 2024. “The Reasons of Lifelong Education for the Sustainable Development Goals (SDGs): The Islamic Epistemology Perspective.” </w:t>
      </w:r>
      <w:r w:rsidRPr="00232863">
        <w:rPr>
          <w:rFonts w:ascii="Calibri Light" w:hAnsi="Calibri Light" w:cs="Calibri Light"/>
          <w:i/>
          <w:iCs/>
          <w:noProof/>
          <w:sz w:val="24"/>
          <w:szCs w:val="24"/>
        </w:rPr>
        <w:t>Journal of Lifestyle and SDGs Review</w:t>
      </w:r>
      <w:r w:rsidRPr="00232863">
        <w:rPr>
          <w:rFonts w:ascii="Calibri Light" w:hAnsi="Calibri Light" w:cs="Calibri Light"/>
          <w:noProof/>
          <w:sz w:val="24"/>
          <w:szCs w:val="24"/>
        </w:rPr>
        <w:t xml:space="preserve"> 5(2): e02988. doi:10.47172/2965-730X.SDGsReview.v5.n02.pe02988.</w:t>
      </w:r>
    </w:p>
    <w:p w14:paraId="68D39747"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Da Silva, M. 2023. “Legal Doctrine as Human Rights ‘Practice.’” </w:t>
      </w:r>
      <w:r w:rsidRPr="00232863">
        <w:rPr>
          <w:rFonts w:ascii="Calibri Light" w:hAnsi="Calibri Light" w:cs="Calibri Light"/>
          <w:i/>
          <w:iCs/>
          <w:noProof/>
          <w:sz w:val="24"/>
          <w:szCs w:val="24"/>
        </w:rPr>
        <w:t>Global Constitutionalism</w:t>
      </w:r>
      <w:r w:rsidRPr="00232863">
        <w:rPr>
          <w:rFonts w:ascii="Calibri Light" w:hAnsi="Calibri Light" w:cs="Calibri Light"/>
          <w:noProof/>
          <w:sz w:val="24"/>
          <w:szCs w:val="24"/>
        </w:rPr>
        <w:t xml:space="preserve"> 12(1): 106–32. doi:10.1017/S2045381722000168.</w:t>
      </w:r>
    </w:p>
    <w:p w14:paraId="185F5DCE"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lastRenderedPageBreak/>
        <w:t xml:space="preserve">Sondhi, A, A Bunaciu, D Best, E A Hennessy, J Best, A Leidi, A Grimes, et al. 2024. “Modeling Recovery Housing Retention and Program Outcomes by Justice Involvement among Residents in Virginia, USA: An Observational Study.” </w:t>
      </w:r>
      <w:r w:rsidRPr="00232863">
        <w:rPr>
          <w:rFonts w:ascii="Calibri Light" w:hAnsi="Calibri Light" w:cs="Calibri Light"/>
          <w:i/>
          <w:iCs/>
          <w:noProof/>
          <w:sz w:val="24"/>
          <w:szCs w:val="24"/>
        </w:rPr>
        <w:t>International Journal of Offender Therapy and Comparative Criminology</w:t>
      </w:r>
      <w:r w:rsidRPr="00232863">
        <w:rPr>
          <w:rFonts w:ascii="Calibri Light" w:hAnsi="Calibri Light" w:cs="Calibri Light"/>
          <w:noProof/>
          <w:sz w:val="24"/>
          <w:szCs w:val="24"/>
        </w:rPr>
        <w:t xml:space="preserve"> 68(15): 1579–97. doi:10.1177/0306624X241254691.</w:t>
      </w:r>
    </w:p>
    <w:p w14:paraId="1D9E679A"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Steinerte, E, and V Ploton. 2023. “Treaty Bodies and Special Procedures: Can They Work Better Together?” </w:t>
      </w:r>
      <w:r w:rsidRPr="00232863">
        <w:rPr>
          <w:rFonts w:ascii="Calibri Light" w:hAnsi="Calibri Light" w:cs="Calibri Light"/>
          <w:i/>
          <w:iCs/>
          <w:noProof/>
          <w:sz w:val="24"/>
          <w:szCs w:val="24"/>
        </w:rPr>
        <w:t>Journal of Human Rights Practice</w:t>
      </w:r>
      <w:r w:rsidRPr="00232863">
        <w:rPr>
          <w:rFonts w:ascii="Calibri Light" w:hAnsi="Calibri Light" w:cs="Calibri Light"/>
          <w:noProof/>
          <w:sz w:val="24"/>
          <w:szCs w:val="24"/>
        </w:rPr>
        <w:t xml:space="preserve"> 15(3): 784–93. doi:10.1093/jhuman/huad058.</w:t>
      </w:r>
    </w:p>
    <w:p w14:paraId="60F94886"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Sukisno, Waston, Andri Nirwana, Mahmudulhassan, and Muthoifin Muthoifin. 2024. “Parenting Problems in the Digital Age and Their Solution Development in the Frame of Value Education.” </w:t>
      </w:r>
      <w:r w:rsidRPr="00232863">
        <w:rPr>
          <w:rFonts w:ascii="Calibri Light" w:hAnsi="Calibri Light" w:cs="Calibri Light"/>
          <w:i/>
          <w:iCs/>
          <w:noProof/>
          <w:sz w:val="24"/>
          <w:szCs w:val="24"/>
        </w:rPr>
        <w:t>Multidisciplinary Reviews</w:t>
      </w:r>
      <w:r w:rsidRPr="00232863">
        <w:rPr>
          <w:rFonts w:ascii="Calibri Light" w:hAnsi="Calibri Light" w:cs="Calibri Light"/>
          <w:noProof/>
          <w:sz w:val="24"/>
          <w:szCs w:val="24"/>
        </w:rPr>
        <w:t xml:space="preserve"> 7(8): 2024163. doi:10.31893/multirev.2024163.</w:t>
      </w:r>
    </w:p>
    <w:p w14:paraId="566024C1"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Suwarsono, Bambang Setiadji, Musa Asy’arie, Waston, Andri Nirwana, and Muthoifin. 2024. “The Future of the Civilization of the Ummah Is Reviewed from the Sociology of Education for the Sustainable Development Goals (SDG’S).” </w:t>
      </w:r>
      <w:r w:rsidRPr="00232863">
        <w:rPr>
          <w:rFonts w:ascii="Calibri Light" w:hAnsi="Calibri Light" w:cs="Calibri Light"/>
          <w:i/>
          <w:iCs/>
          <w:noProof/>
          <w:sz w:val="24"/>
          <w:szCs w:val="24"/>
        </w:rPr>
        <w:t>Journal of Lifestyle and SDGs Review</w:t>
      </w:r>
      <w:r w:rsidRPr="00232863">
        <w:rPr>
          <w:rFonts w:ascii="Calibri Light" w:hAnsi="Calibri Light" w:cs="Calibri Light"/>
          <w:noProof/>
          <w:sz w:val="24"/>
          <w:szCs w:val="24"/>
        </w:rPr>
        <w:t xml:space="preserve"> 4: e01688. doi:10.47172/2965-730X.SDGsReview.v4.n00.pe01688.</w:t>
      </w:r>
    </w:p>
    <w:p w14:paraId="416EE56B"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Syukrawati, S, I Sidqi, S M Nisa, Z Zufriani, and D Witro. 2024. “Post-Divorce Rights of Women and Children in Pekalongan City, Central Java: Challenges in Islamic Law Analysis.” </w:t>
      </w:r>
      <w:r w:rsidRPr="00232863">
        <w:rPr>
          <w:rFonts w:ascii="Calibri Light" w:hAnsi="Calibri Light" w:cs="Calibri Light"/>
          <w:i/>
          <w:iCs/>
          <w:noProof/>
          <w:sz w:val="24"/>
          <w:szCs w:val="24"/>
        </w:rPr>
        <w:t>Al-Ahkam</w:t>
      </w:r>
      <w:r w:rsidRPr="00232863">
        <w:rPr>
          <w:rFonts w:ascii="Calibri Light" w:hAnsi="Calibri Light" w:cs="Calibri Light"/>
          <w:noProof/>
          <w:sz w:val="24"/>
          <w:szCs w:val="24"/>
        </w:rPr>
        <w:t xml:space="preserve"> 34(1): 121–46. doi:10.21580/ahkam.2024.34.1.20624.</w:t>
      </w:r>
    </w:p>
    <w:p w14:paraId="56640386"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Taufik, Taufik, Rini Lestari, and Permata Ashfi Raihana. 2023. “Quality of Life in the Elderly Qur’an Memorizers.” </w:t>
      </w:r>
      <w:r w:rsidRPr="00232863">
        <w:rPr>
          <w:rFonts w:ascii="Calibri Light" w:hAnsi="Calibri Light" w:cs="Calibri Light"/>
          <w:i/>
          <w:iCs/>
          <w:noProof/>
          <w:sz w:val="24"/>
          <w:szCs w:val="24"/>
        </w:rPr>
        <w:t>Asian Journal of Islamic Psychology</w:t>
      </w:r>
      <w:r w:rsidRPr="00232863">
        <w:rPr>
          <w:rFonts w:ascii="Calibri Light" w:hAnsi="Calibri Light" w:cs="Calibri Light"/>
          <w:noProof/>
          <w:sz w:val="24"/>
          <w:szCs w:val="24"/>
        </w:rPr>
        <w:t>: 15–20. doi:10.23917/ajip.v1i1.3707.</w:t>
      </w:r>
    </w:p>
    <w:p w14:paraId="55E81AB9"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Thoyib, Fachri Muhammad, Mutohharun Jinan, and Syamsul Hidayat. 2023. “Penggunaan Teknologi Multimedia Dalam Mendukung Pembelajaran Bahasa Arab Dengan Buku Al-‘Arabiyyah Bayna Yadayk.” </w:t>
      </w:r>
      <w:r w:rsidRPr="00232863">
        <w:rPr>
          <w:rFonts w:ascii="Calibri Light" w:hAnsi="Calibri Light" w:cs="Calibri Light"/>
          <w:i/>
          <w:iCs/>
          <w:noProof/>
          <w:sz w:val="24"/>
          <w:szCs w:val="24"/>
        </w:rPr>
        <w:t>Iseedu: Journal of Islamic Educational Thoughts and Practices</w:t>
      </w:r>
      <w:r w:rsidRPr="00232863">
        <w:rPr>
          <w:rFonts w:ascii="Calibri Light" w:hAnsi="Calibri Light" w:cs="Calibri Light"/>
          <w:noProof/>
          <w:sz w:val="24"/>
          <w:szCs w:val="24"/>
        </w:rPr>
        <w:t xml:space="preserve"> 7(2): 213–22. doi:10.23917/iseedu.v7i2.24201.</w:t>
      </w:r>
    </w:p>
    <w:p w14:paraId="44560C64"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Undari, Rizki, Achmad Muthali’in, and Wibowo Heru Prasetiyo. 2022. “Etika Komunikasi Siswa Dalam Pembelajaran Daring: Studi Kualitatif Pada Pembelajaran PPKn.” </w:t>
      </w:r>
      <w:r w:rsidRPr="00232863">
        <w:rPr>
          <w:rFonts w:ascii="Calibri Light" w:hAnsi="Calibri Light" w:cs="Calibri Light"/>
          <w:i/>
          <w:iCs/>
          <w:noProof/>
          <w:sz w:val="24"/>
          <w:szCs w:val="24"/>
        </w:rPr>
        <w:t>Jurnal Penelitian Ilmu-Ilmu Sosial</w:t>
      </w:r>
      <w:r w:rsidRPr="00232863">
        <w:rPr>
          <w:rFonts w:ascii="Calibri Light" w:hAnsi="Calibri Light" w:cs="Calibri Light"/>
          <w:noProof/>
          <w:sz w:val="24"/>
          <w:szCs w:val="24"/>
        </w:rPr>
        <w:t xml:space="preserve"> 3(1): 74–89. doi:10.23917/sosial.v3i1.623.</w:t>
      </w:r>
    </w:p>
    <w:p w14:paraId="3426225C"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Wahid, Abd., Mazlan Ibrahim, Bukhori Abdul Shomad, Andri Nirwana AN, and Damanhuri Damanhuri. 2023. “UTILIZING ZUHD HADITHS FOR UPPER-CLASS CRIME PREVENTION.” </w:t>
      </w:r>
      <w:r w:rsidRPr="00232863">
        <w:rPr>
          <w:rFonts w:ascii="Calibri Light" w:hAnsi="Calibri Light" w:cs="Calibri Light"/>
          <w:i/>
          <w:iCs/>
          <w:noProof/>
          <w:sz w:val="24"/>
          <w:szCs w:val="24"/>
        </w:rPr>
        <w:t>Jurnal Ilmiah Islam Futura</w:t>
      </w:r>
      <w:r w:rsidRPr="00232863">
        <w:rPr>
          <w:rFonts w:ascii="Calibri Light" w:hAnsi="Calibri Light" w:cs="Calibri Light"/>
          <w:noProof/>
          <w:sz w:val="24"/>
          <w:szCs w:val="24"/>
        </w:rPr>
        <w:t xml:space="preserve"> 23(2): 263. doi:10.22373/jiif.v23i2.17353.</w:t>
      </w:r>
    </w:p>
    <w:p w14:paraId="3600E895"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Waston, Muthoifin, Soleh Amini, Roni Ismail, Sekar Ayu Aryani, and Andri Nirwana. 2024. “Religiosity to Minimize Violence: A Study of Solo Indonesian Society.” </w:t>
      </w:r>
      <w:r w:rsidRPr="00232863">
        <w:rPr>
          <w:rFonts w:ascii="Calibri Light" w:hAnsi="Calibri Light" w:cs="Calibri Light"/>
          <w:i/>
          <w:iCs/>
          <w:noProof/>
          <w:sz w:val="24"/>
          <w:szCs w:val="24"/>
        </w:rPr>
        <w:t>Revista de Gestão Social e Ambiental</w:t>
      </w:r>
      <w:r w:rsidRPr="00232863">
        <w:rPr>
          <w:rFonts w:ascii="Calibri Light" w:hAnsi="Calibri Light" w:cs="Calibri Light"/>
          <w:noProof/>
          <w:sz w:val="24"/>
          <w:szCs w:val="24"/>
        </w:rPr>
        <w:t xml:space="preserve"> 18(6): e05426. doi:10.24857/rgsa.v18n6-089.</w:t>
      </w:r>
    </w:p>
    <w:p w14:paraId="5BE768B4"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Waston, Erham Budi Wiranto, Mudzakir Ali, Noor Achmad, Deddy Ramdhani, Muthoifin, and Andri Nirwana AN. 2024. “Islamophobia and Communism: Perpetual Prejudice in Contemporary Indonesia.” </w:t>
      </w:r>
      <w:r w:rsidRPr="00232863">
        <w:rPr>
          <w:rFonts w:ascii="Calibri Light" w:hAnsi="Calibri Light" w:cs="Calibri Light"/>
          <w:i/>
          <w:iCs/>
          <w:noProof/>
          <w:sz w:val="24"/>
          <w:szCs w:val="24"/>
        </w:rPr>
        <w:t>Revista de Gestão Social e Ambiental</w:t>
      </w:r>
      <w:r w:rsidRPr="00232863">
        <w:rPr>
          <w:rFonts w:ascii="Calibri Light" w:hAnsi="Calibri Light" w:cs="Calibri Light"/>
          <w:noProof/>
          <w:sz w:val="24"/>
          <w:szCs w:val="24"/>
        </w:rPr>
        <w:t xml:space="preserve"> 18(2): e04875. doi:10.24857/rgsa.v18n2-075.</w:t>
      </w:r>
    </w:p>
    <w:p w14:paraId="57A8B3A8"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szCs w:val="24"/>
        </w:rPr>
      </w:pPr>
      <w:r w:rsidRPr="00232863">
        <w:rPr>
          <w:rFonts w:ascii="Calibri Light" w:hAnsi="Calibri Light" w:cs="Calibri Light"/>
          <w:noProof/>
          <w:sz w:val="24"/>
          <w:szCs w:val="24"/>
        </w:rPr>
        <w:t xml:space="preserve">Yahya, Abdullah Muhammad, Moh Abdul Kholiq Hasan, and Andri Nirwana AN. 2022. “Rights Protection Guarantee for the Partners of Indonesian Gojek Company According to Labour Laws No 13 of 2033 and Maqasid.” </w:t>
      </w:r>
      <w:r w:rsidRPr="00232863">
        <w:rPr>
          <w:rFonts w:ascii="Calibri Light" w:hAnsi="Calibri Light" w:cs="Calibri Light"/>
          <w:i/>
          <w:iCs/>
          <w:noProof/>
          <w:sz w:val="24"/>
          <w:szCs w:val="24"/>
        </w:rPr>
        <w:t>Al-Manahij: Jurnal Kajian Hukum Islam</w:t>
      </w:r>
      <w:r w:rsidRPr="00232863">
        <w:rPr>
          <w:rFonts w:ascii="Calibri Light" w:hAnsi="Calibri Light" w:cs="Calibri Light"/>
          <w:noProof/>
          <w:sz w:val="24"/>
          <w:szCs w:val="24"/>
        </w:rPr>
        <w:t xml:space="preserve"> 16(1): 115–32. doi:10.24090/mnh.v16i1.6382.</w:t>
      </w:r>
    </w:p>
    <w:p w14:paraId="7E010DF1" w14:textId="77777777" w:rsidR="00232863" w:rsidRPr="00232863" w:rsidRDefault="00232863" w:rsidP="00232863">
      <w:pPr>
        <w:widowControl w:val="0"/>
        <w:adjustRightInd w:val="0"/>
        <w:spacing w:line="240" w:lineRule="atLeast"/>
        <w:ind w:left="480" w:hanging="480"/>
        <w:rPr>
          <w:rFonts w:ascii="Calibri Light" w:hAnsi="Calibri Light" w:cs="Calibri Light"/>
          <w:noProof/>
          <w:sz w:val="24"/>
        </w:rPr>
      </w:pPr>
      <w:r w:rsidRPr="00232863">
        <w:rPr>
          <w:rFonts w:ascii="Calibri Light" w:hAnsi="Calibri Light" w:cs="Calibri Light"/>
          <w:noProof/>
          <w:sz w:val="24"/>
          <w:szCs w:val="24"/>
        </w:rPr>
        <w:t xml:space="preserve">Yayuli, Yayuli, Fauzul Hanif Noor Athief, and Dewi Nur Utari. 2021. “STUDI KOMPARATIF PEMIKIRAN YUSUF QARDHAWI DAN SAHAL MAHFUDH TENTANG ZAKAT PRODUKTIF </w:t>
      </w:r>
      <w:r w:rsidRPr="00232863">
        <w:rPr>
          <w:rFonts w:ascii="Calibri Light" w:hAnsi="Calibri Light" w:cs="Calibri Light"/>
          <w:noProof/>
          <w:sz w:val="24"/>
          <w:szCs w:val="24"/>
        </w:rPr>
        <w:lastRenderedPageBreak/>
        <w:t xml:space="preserve">SEBAGAI SARANA PEMBERDAYAAN EKONOMI.” </w:t>
      </w:r>
      <w:r w:rsidRPr="00232863">
        <w:rPr>
          <w:rFonts w:ascii="Calibri Light" w:hAnsi="Calibri Light" w:cs="Calibri Light"/>
          <w:i/>
          <w:iCs/>
          <w:noProof/>
          <w:sz w:val="24"/>
          <w:szCs w:val="24"/>
        </w:rPr>
        <w:t>Profetika: Jurnal Studi Islam</w:t>
      </w:r>
      <w:r w:rsidRPr="00232863">
        <w:rPr>
          <w:rFonts w:ascii="Calibri Light" w:hAnsi="Calibri Light" w:cs="Calibri Light"/>
          <w:noProof/>
          <w:sz w:val="24"/>
          <w:szCs w:val="24"/>
        </w:rPr>
        <w:t xml:space="preserve"> 23(1): 98–113. doi:10.23917/profetika.v23i1.16798.</w:t>
      </w:r>
    </w:p>
    <w:p w14:paraId="0980D58F" w14:textId="77777777" w:rsidR="001602A0" w:rsidRDefault="001602A0" w:rsidP="001602A0">
      <w:pPr>
        <w:spacing w:line="240" w:lineRule="atLeast"/>
        <w:ind w:left="1146"/>
        <w:jc w:val="both"/>
        <w:rPr>
          <w:rFonts w:ascii="Calibri Light" w:hAnsi="Calibri Light" w:cs="Calibri Light"/>
          <w:b/>
          <w:color w:val="7030A0"/>
          <w:sz w:val="24"/>
          <w:szCs w:val="24"/>
        </w:rPr>
      </w:pPr>
      <w:r>
        <w:rPr>
          <w:rFonts w:ascii="Calibri Light" w:hAnsi="Calibri Light" w:cs="Calibri Light"/>
          <w:b/>
          <w:color w:val="7030A0"/>
          <w:sz w:val="24"/>
          <w:szCs w:val="24"/>
        </w:rPr>
        <w:fldChar w:fldCharType="end"/>
      </w:r>
    </w:p>
    <w:p w14:paraId="2E8D7DEE" w14:textId="77777777" w:rsidR="001602A0" w:rsidRPr="00540F02" w:rsidRDefault="001602A0" w:rsidP="001602A0">
      <w:pPr>
        <w:spacing w:line="240" w:lineRule="atLeast"/>
        <w:jc w:val="both"/>
        <w:rPr>
          <w:rFonts w:ascii="Calibri Light" w:hAnsi="Calibri Light" w:cs="Calibri Light"/>
          <w:b/>
          <w:color w:val="A6A6A6"/>
          <w:sz w:val="24"/>
          <w:szCs w:val="24"/>
          <w:lang w:val="id-ID"/>
        </w:rPr>
      </w:pPr>
    </w:p>
    <w:p w14:paraId="0524E908" w14:textId="77777777" w:rsidR="006538D6" w:rsidRPr="00E810D4" w:rsidRDefault="006538D6" w:rsidP="00E810D4">
      <w:pPr>
        <w:pStyle w:val="ListParagraph"/>
        <w:spacing w:before="120" w:after="120" w:line="240" w:lineRule="auto"/>
        <w:ind w:right="-1"/>
        <w:contextualSpacing w:val="0"/>
        <w:jc w:val="both"/>
        <w:rPr>
          <w:rFonts w:ascii="Calibri Light" w:hAnsi="Calibri Light" w:cs="Calibri Light"/>
          <w:color w:val="A6A6A6"/>
          <w:sz w:val="24"/>
          <w:szCs w:val="24"/>
        </w:rPr>
      </w:pPr>
    </w:p>
    <w:sectPr w:rsidR="006538D6" w:rsidRPr="00E810D4" w:rsidSect="007816FC">
      <w:headerReference w:type="even" r:id="rId15"/>
      <w:headerReference w:type="default" r:id="rId16"/>
      <w:footerReference w:type="even" r:id="rId17"/>
      <w:footerReference w:type="default" r:id="rId18"/>
      <w:headerReference w:type="first" r:id="rId19"/>
      <w:footerReference w:type="first" r:id="rId20"/>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y" w:date="2025-01-07T11:36:00Z" w:initials="y">
    <w:p w14:paraId="5BD9FF29" w14:textId="3308CECC" w:rsidR="001E440D" w:rsidRDefault="001E440D">
      <w:pPr>
        <w:pStyle w:val="CommentText"/>
      </w:pPr>
      <w:r>
        <w:rPr>
          <w:rStyle w:val="CommentReference"/>
        </w:rPr>
        <w:annotationRef/>
      </w:r>
      <w:r w:rsidRPr="001E440D">
        <w:t>Firstly, the abstract has not been written in 250 words, secondly, the method does not seem coherent (type, approach, data &amp; data sources etc.), at the end of the abstract there is no originality of the study.</w:t>
      </w:r>
    </w:p>
  </w:comment>
  <w:comment w:id="1" w:author="y" w:date="2025-01-07T11:39:00Z" w:initials="y">
    <w:p w14:paraId="4F984819" w14:textId="40D7E388" w:rsidR="00A628C4" w:rsidRDefault="00A628C4">
      <w:pPr>
        <w:pStyle w:val="CommentText"/>
      </w:pPr>
      <w:r>
        <w:rPr>
          <w:rStyle w:val="CommentReference"/>
        </w:rPr>
        <w:annotationRef/>
      </w:r>
      <w:r w:rsidRPr="00A628C4">
        <w:t>There is no need for any definition or theoretical study here, it is a waste of space. Make sure you only write the important points. The abstract contains a summary of all the elements of the article, so it is enough to just mention it, no need to explain what it means.</w:t>
      </w:r>
    </w:p>
  </w:comment>
  <w:comment w:id="2" w:author="y" w:date="2025-01-07T11:44:00Z" w:initials="y">
    <w:p w14:paraId="58824E4E" w14:textId="0410243A" w:rsidR="002E6AB8" w:rsidRDefault="002E6AB8">
      <w:pPr>
        <w:pStyle w:val="CommentText"/>
      </w:pPr>
      <w:r>
        <w:rPr>
          <w:rStyle w:val="CommentReference"/>
        </w:rPr>
        <w:annotationRef/>
      </w:r>
      <w:proofErr w:type="gramStart"/>
      <w:r w:rsidRPr="002E6AB8">
        <w:t>Yes</w:t>
      </w:r>
      <w:proofErr w:type="gramEnd"/>
      <w:r w:rsidRPr="002E6AB8">
        <w:t xml:space="preserve"> we know there are definitely differences but what we want is a description of what the differences are, not just the word 'different'. But what are the differences, explain</w:t>
      </w:r>
    </w:p>
  </w:comment>
  <w:comment w:id="3" w:author="y" w:date="2025-01-10T15:13:00Z" w:initials="y">
    <w:p w14:paraId="0250E6E4" w14:textId="67B37356" w:rsidR="00C52693" w:rsidRDefault="00C52693">
      <w:pPr>
        <w:pStyle w:val="CommentText"/>
      </w:pPr>
      <w:r>
        <w:rPr>
          <w:rStyle w:val="CommentReference"/>
        </w:rPr>
        <w:annotationRef/>
      </w:r>
      <w:r w:rsidRPr="00C52693">
        <w:t>The introduction is too long, so the main focus is biased.</w:t>
      </w:r>
    </w:p>
  </w:comment>
  <w:comment w:id="4" w:author="y" w:date="2025-01-10T15:15:00Z" w:initials="y">
    <w:p w14:paraId="6A5C9011" w14:textId="58AA11C0" w:rsidR="00C52693" w:rsidRDefault="00C52693">
      <w:pPr>
        <w:pStyle w:val="CommentText"/>
      </w:pPr>
      <w:r>
        <w:rPr>
          <w:rStyle w:val="CommentReference"/>
        </w:rPr>
        <w:annotationRef/>
      </w:r>
      <w:r w:rsidRPr="00C52693">
        <w:t>One of the objectives of the research is to start from previous studies. You take a gap that has not been studied</w:t>
      </w:r>
    </w:p>
  </w:comment>
  <w:comment w:id="5" w:author="y" w:date="2025-01-10T15:09:00Z" w:initials="y">
    <w:p w14:paraId="0BF075A5" w14:textId="58400DC2" w:rsidR="00F70BA6" w:rsidRDefault="00F70BA6">
      <w:pPr>
        <w:pStyle w:val="CommentText"/>
      </w:pPr>
      <w:r>
        <w:rPr>
          <w:rStyle w:val="CommentReference"/>
        </w:rPr>
        <w:annotationRef/>
      </w:r>
      <w:r w:rsidRPr="00F70BA6">
        <w:t>This diagram should be included in the discussion, this is the finding of the PRISMA analysis. While the method will focus on the method only, the stages and steps of the research.</w:t>
      </w:r>
    </w:p>
  </w:comment>
  <w:comment w:id="7" w:author="y" w:date="2025-01-07T12:57:00Z" w:initials="y">
    <w:p w14:paraId="0556CAB9" w14:textId="64076F90" w:rsidR="00654490" w:rsidRDefault="00654490">
      <w:pPr>
        <w:pStyle w:val="CommentText"/>
      </w:pPr>
      <w:r>
        <w:rPr>
          <w:rStyle w:val="CommentReference"/>
        </w:rPr>
        <w:annotationRef/>
      </w:r>
      <w:r w:rsidRPr="00654490">
        <w:t>Your discussion is too short, there is no visible correlation with theory or comparison with existing studies.</w:t>
      </w:r>
    </w:p>
  </w:comment>
  <w:comment w:id="8" w:author="y" w:date="2025-01-07T12:54:00Z" w:initials="y">
    <w:p w14:paraId="34FA33DF" w14:textId="01E422EB" w:rsidR="00B27599" w:rsidRDefault="00B27599">
      <w:pPr>
        <w:pStyle w:val="CommentText"/>
      </w:pPr>
      <w:r>
        <w:rPr>
          <w:rStyle w:val="CommentReference"/>
        </w:rPr>
        <w:annotationRef/>
      </w:r>
      <w:r w:rsidRPr="00B27599">
        <w:t>Give the practical implications of your study, what are the future findings of this study?</w:t>
      </w:r>
    </w:p>
  </w:comment>
  <w:comment w:id="9" w:author="y" w:date="2025-01-07T12:47:00Z" w:initials="y">
    <w:p w14:paraId="321A0567" w14:textId="6CF136AB" w:rsidR="009A22BF" w:rsidRDefault="009A22BF">
      <w:pPr>
        <w:pStyle w:val="CommentText"/>
      </w:pPr>
      <w:r>
        <w:rPr>
          <w:rStyle w:val="CommentReference"/>
        </w:rPr>
        <w:annotationRef/>
      </w:r>
      <w:r w:rsidRPr="009A22BF">
        <w:t>Technically; please pay attention to capitalization; some do not include the journal DOI; must use a reference manager such as Mendeley or something similar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BD9FF29" w15:done="0"/>
  <w15:commentEx w15:paraId="4F984819" w15:done="0"/>
  <w15:commentEx w15:paraId="58824E4E" w15:done="0"/>
  <w15:commentEx w15:paraId="0250E6E4" w15:done="0"/>
  <w15:commentEx w15:paraId="6A5C9011" w15:done="0"/>
  <w15:commentEx w15:paraId="0BF075A5" w15:done="0"/>
  <w15:commentEx w15:paraId="0556CAB9" w15:done="0"/>
  <w15:commentEx w15:paraId="34FA33DF" w15:done="0"/>
  <w15:commentEx w15:paraId="321A056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C9D7C7E" w16cex:dateUtc="2025-01-07T04:36:00Z"/>
  <w16cex:commentExtensible w16cex:durableId="449F2931" w16cex:dateUtc="2025-01-07T04:39:00Z"/>
  <w16cex:commentExtensible w16cex:durableId="1786302A" w16cex:dateUtc="2025-01-07T04:44:00Z"/>
  <w16cex:commentExtensible w16cex:durableId="7E4F5A0B" w16cex:dateUtc="2025-01-10T08:13:00Z"/>
  <w16cex:commentExtensible w16cex:durableId="632FF18A" w16cex:dateUtc="2025-01-10T08:15:00Z"/>
  <w16cex:commentExtensible w16cex:durableId="6264F0C8" w16cex:dateUtc="2025-01-10T08:09:00Z"/>
  <w16cex:commentExtensible w16cex:durableId="69C9BFEF" w16cex:dateUtc="2025-01-07T05:57:00Z"/>
  <w16cex:commentExtensible w16cex:durableId="2C115D67" w16cex:dateUtc="2025-01-07T05:54:00Z"/>
  <w16cex:commentExtensible w16cex:durableId="168B48A2" w16cex:dateUtc="2025-01-07T05: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BD9FF29" w16cid:durableId="1C9D7C7E"/>
  <w16cid:commentId w16cid:paraId="4F984819" w16cid:durableId="449F2931"/>
  <w16cid:commentId w16cid:paraId="58824E4E" w16cid:durableId="1786302A"/>
  <w16cid:commentId w16cid:paraId="0250E6E4" w16cid:durableId="7E4F5A0B"/>
  <w16cid:commentId w16cid:paraId="6A5C9011" w16cid:durableId="632FF18A"/>
  <w16cid:commentId w16cid:paraId="0BF075A5" w16cid:durableId="6264F0C8"/>
  <w16cid:commentId w16cid:paraId="0556CAB9" w16cid:durableId="69C9BFEF"/>
  <w16cid:commentId w16cid:paraId="34FA33DF" w16cid:durableId="2C115D67"/>
  <w16cid:commentId w16cid:paraId="321A0567" w16cid:durableId="168B48A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28F249" w14:textId="77777777" w:rsidR="002C11BD" w:rsidRDefault="002C11BD">
      <w:r>
        <w:separator/>
      </w:r>
    </w:p>
  </w:endnote>
  <w:endnote w:type="continuationSeparator" w:id="0">
    <w:p w14:paraId="00BB5A5F" w14:textId="77777777" w:rsidR="002C11BD" w:rsidRDefault="002C1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899AF8" w14:textId="77777777" w:rsidR="00122F5F" w:rsidRPr="00540F02" w:rsidRDefault="00E170AD"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604CCE14" wp14:editId="7D8AB76B">
              <wp:simplePos x="0" y="0"/>
              <wp:positionH relativeFrom="column">
                <wp:posOffset>5151755</wp:posOffset>
              </wp:positionH>
              <wp:positionV relativeFrom="paragraph">
                <wp:posOffset>-64770</wp:posOffset>
              </wp:positionV>
              <wp:extent cx="619760" cy="278130"/>
              <wp:effectExtent l="13335" t="7620" r="5080" b="9525"/>
              <wp:wrapNone/>
              <wp:docPr id="122954372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0D6568D"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4CCE14" id="Rectangle 7" o:spid="_x0000_s1044"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20D6568D"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240B0572"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4777A3" w14:textId="77777777" w:rsidR="0008220C" w:rsidRPr="00540F02" w:rsidRDefault="00E170AD"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4DAB8220" wp14:editId="47ABE203">
              <wp:simplePos x="0" y="0"/>
              <wp:positionH relativeFrom="column">
                <wp:posOffset>5151755</wp:posOffset>
              </wp:positionH>
              <wp:positionV relativeFrom="paragraph">
                <wp:posOffset>-64770</wp:posOffset>
              </wp:positionV>
              <wp:extent cx="619760" cy="278130"/>
              <wp:effectExtent l="13335" t="7620" r="5080" b="9525"/>
              <wp:wrapNone/>
              <wp:docPr id="109412386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D12BECB"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AB8220" id="Rectangle 8" o:spid="_x0000_s1045"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2D12BECB"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09C56F07"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96F74" w14:textId="77777777" w:rsidR="00965E3F" w:rsidRPr="0008220C" w:rsidRDefault="00E170AD"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2F4741F2" wp14:editId="5BB9B9DA">
              <wp:simplePos x="0" y="0"/>
              <wp:positionH relativeFrom="column">
                <wp:posOffset>5151755</wp:posOffset>
              </wp:positionH>
              <wp:positionV relativeFrom="paragraph">
                <wp:posOffset>-64770</wp:posOffset>
              </wp:positionV>
              <wp:extent cx="619760" cy="278130"/>
              <wp:effectExtent l="13335" t="7620" r="5080" b="9525"/>
              <wp:wrapNone/>
              <wp:docPr id="170077601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BA2ECC6"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4741F2" id="Rectangle 12" o:spid="_x0000_s1049"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2BA2ECC6"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3E15ACF4"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A44C44" w14:textId="77777777" w:rsidR="002C11BD" w:rsidRDefault="002C11BD">
      <w:r>
        <w:separator/>
      </w:r>
    </w:p>
  </w:footnote>
  <w:footnote w:type="continuationSeparator" w:id="0">
    <w:p w14:paraId="56FB3576" w14:textId="77777777" w:rsidR="002C11BD" w:rsidRDefault="002C11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FA9F2" w14:textId="77777777" w:rsidR="00122F5F" w:rsidRDefault="00E170AD" w:rsidP="00122F5F">
    <w:pPr>
      <w:pStyle w:val="Header"/>
    </w:pPr>
    <w:r>
      <w:rPr>
        <w:noProof/>
      </w:rPr>
      <mc:AlternateContent>
        <mc:Choice Requires="wps">
          <w:drawing>
            <wp:anchor distT="0" distB="0" distL="114300" distR="114300" simplePos="0" relativeHeight="251656192" behindDoc="1" locked="0" layoutInCell="1" allowOverlap="1" wp14:anchorId="16B1D981" wp14:editId="3FF1DA6B">
              <wp:simplePos x="0" y="0"/>
              <wp:positionH relativeFrom="page">
                <wp:posOffset>962025</wp:posOffset>
              </wp:positionH>
              <wp:positionV relativeFrom="page">
                <wp:posOffset>947420</wp:posOffset>
              </wp:positionV>
              <wp:extent cx="1998980" cy="229870"/>
              <wp:effectExtent l="0" t="4445" r="1270" b="3810"/>
              <wp:wrapNone/>
              <wp:docPr id="14665331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7D29CF"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0B9A89E"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B1D981" id="_x0000_t202" coordsize="21600,21600" o:spt="202" path="m,l,21600r21600,l21600,xe">
              <v:stroke joinstyle="miter"/>
              <v:path gradientshapeok="t" o:connecttype="rect"/>
            </v:shapetype>
            <v:shape id="Text Box 1" o:spid="_x0000_s1038"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147D29CF"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0B9A89E"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3C550952" wp14:editId="25536F73">
              <wp:simplePos x="0" y="0"/>
              <wp:positionH relativeFrom="page">
                <wp:posOffset>6497955</wp:posOffset>
              </wp:positionH>
              <wp:positionV relativeFrom="page">
                <wp:posOffset>445135</wp:posOffset>
              </wp:positionV>
              <wp:extent cx="231775" cy="177800"/>
              <wp:effectExtent l="1905" t="0" r="4445" b="0"/>
              <wp:wrapNone/>
              <wp:docPr id="53819397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3576BD"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550952" id="Text Box 2" o:spid="_x0000_s1039"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7A3576BD"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0CE74E65" wp14:editId="20B73456">
              <wp:simplePos x="0" y="0"/>
              <wp:positionH relativeFrom="page">
                <wp:posOffset>3143250</wp:posOffset>
              </wp:positionH>
              <wp:positionV relativeFrom="page">
                <wp:posOffset>784860</wp:posOffset>
              </wp:positionV>
              <wp:extent cx="3523615" cy="416560"/>
              <wp:effectExtent l="0" t="3810" r="635" b="0"/>
              <wp:wrapNone/>
              <wp:docPr id="76054673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977F6"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74E65" id="Text Box 3" o:spid="_x0000_s1040"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122977F6"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F5F9133" wp14:editId="00520FB9">
          <wp:extent cx="1097280" cy="50292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14579557" w14:textId="77777777" w:rsidR="00122F5F" w:rsidRDefault="00122F5F" w:rsidP="00122F5F">
    <w:pPr>
      <w:pStyle w:val="Header"/>
      <w:rPr>
        <w:sz w:val="16"/>
        <w:szCs w:val="16"/>
      </w:rPr>
    </w:pPr>
  </w:p>
  <w:p w14:paraId="7F08D7B5" w14:textId="77777777" w:rsidR="00AA4AE4" w:rsidRDefault="00AA4AE4" w:rsidP="00122F5F">
    <w:pPr>
      <w:pStyle w:val="Header"/>
      <w:rPr>
        <w:sz w:val="16"/>
        <w:szCs w:val="16"/>
      </w:rPr>
    </w:pPr>
  </w:p>
  <w:p w14:paraId="1148484C"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538A6" w14:textId="77777777" w:rsidR="00540F02" w:rsidRDefault="00E170AD" w:rsidP="00540F02">
    <w:pPr>
      <w:pStyle w:val="Header"/>
    </w:pPr>
    <w:r>
      <w:rPr>
        <w:noProof/>
      </w:rPr>
      <mc:AlternateContent>
        <mc:Choice Requires="wps">
          <w:drawing>
            <wp:anchor distT="0" distB="0" distL="114300" distR="114300" simplePos="0" relativeHeight="251658240" behindDoc="1" locked="0" layoutInCell="1" allowOverlap="1" wp14:anchorId="6731D68A" wp14:editId="7E005E06">
              <wp:simplePos x="0" y="0"/>
              <wp:positionH relativeFrom="page">
                <wp:posOffset>962025</wp:posOffset>
              </wp:positionH>
              <wp:positionV relativeFrom="page">
                <wp:posOffset>947420</wp:posOffset>
              </wp:positionV>
              <wp:extent cx="1998980" cy="229870"/>
              <wp:effectExtent l="0" t="4445" r="1270" b="3810"/>
              <wp:wrapNone/>
              <wp:docPr id="19218848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64859"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02228AB"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31D68A" id="_x0000_t202" coordsize="21600,21600" o:spt="202" path="m,l,21600r21600,l21600,xe">
              <v:stroke joinstyle="miter"/>
              <v:path gradientshapeok="t" o:connecttype="rect"/>
            </v:shapetype>
            <v:shape id="Text Box 4" o:spid="_x0000_s1041"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03564859"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02228AB"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6F23F800" wp14:editId="51EE0086">
              <wp:simplePos x="0" y="0"/>
              <wp:positionH relativeFrom="page">
                <wp:posOffset>6464300</wp:posOffset>
              </wp:positionH>
              <wp:positionV relativeFrom="page">
                <wp:posOffset>467360</wp:posOffset>
              </wp:positionV>
              <wp:extent cx="231775" cy="177800"/>
              <wp:effectExtent l="0" t="635" r="0" b="2540"/>
              <wp:wrapNone/>
              <wp:docPr id="136666049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5604BD"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23F800" id="Text Box 5" o:spid="_x0000_s1042"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765604BD"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3296FD81" wp14:editId="65881C1F">
              <wp:simplePos x="0" y="0"/>
              <wp:positionH relativeFrom="page">
                <wp:posOffset>3143250</wp:posOffset>
              </wp:positionH>
              <wp:positionV relativeFrom="page">
                <wp:posOffset>784860</wp:posOffset>
              </wp:positionV>
              <wp:extent cx="3523615" cy="416560"/>
              <wp:effectExtent l="0" t="3810" r="635" b="0"/>
              <wp:wrapNone/>
              <wp:docPr id="202707082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029ED3"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96FD81" id="Text Box 6" o:spid="_x0000_s1043"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7F029ED3"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31ABBE6F" wp14:editId="24B574C1">
          <wp:extent cx="1097280" cy="50292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67EAF85E" w14:textId="77777777" w:rsidR="00540F02" w:rsidRDefault="00540F02" w:rsidP="00540F02">
    <w:pPr>
      <w:pStyle w:val="Header"/>
      <w:rPr>
        <w:sz w:val="16"/>
        <w:szCs w:val="16"/>
      </w:rPr>
    </w:pPr>
  </w:p>
  <w:p w14:paraId="3C47139A" w14:textId="77777777" w:rsidR="00540F02" w:rsidRDefault="00540F02" w:rsidP="00540F02">
    <w:pPr>
      <w:pStyle w:val="Header"/>
      <w:rPr>
        <w:sz w:val="16"/>
        <w:szCs w:val="16"/>
      </w:rPr>
    </w:pPr>
  </w:p>
  <w:p w14:paraId="0DC7D28A"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80EFA3" w14:textId="77777777" w:rsidR="00FF1D30" w:rsidRDefault="00E170AD">
    <w:pPr>
      <w:pStyle w:val="Header"/>
    </w:pPr>
    <w:r>
      <w:rPr>
        <w:noProof/>
      </w:rPr>
      <mc:AlternateContent>
        <mc:Choice Requires="wps">
          <w:drawing>
            <wp:anchor distT="0" distB="0" distL="114300" distR="114300" simplePos="0" relativeHeight="251652096" behindDoc="1" locked="0" layoutInCell="1" allowOverlap="1" wp14:anchorId="280A6582" wp14:editId="31E4EC97">
              <wp:simplePos x="0" y="0"/>
              <wp:positionH relativeFrom="page">
                <wp:posOffset>942975</wp:posOffset>
              </wp:positionH>
              <wp:positionV relativeFrom="page">
                <wp:posOffset>947420</wp:posOffset>
              </wp:positionV>
              <wp:extent cx="1998980" cy="229870"/>
              <wp:effectExtent l="0" t="4445" r="1270" b="3810"/>
              <wp:wrapNone/>
              <wp:docPr id="92381347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BFA09"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C441239"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0A6582" id="_x0000_t202" coordsize="21600,21600" o:spt="202" path="m,l,21600r21600,l21600,xe">
              <v:stroke joinstyle="miter"/>
              <v:path gradientshapeok="t" o:connecttype="rect"/>
            </v:shapetype>
            <v:shape id="Text Box 9" o:spid="_x0000_s1046"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60CBFA09"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C441239"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365537D2" wp14:editId="7E4B3A64">
              <wp:simplePos x="0" y="0"/>
              <wp:positionH relativeFrom="page">
                <wp:posOffset>6464300</wp:posOffset>
              </wp:positionH>
              <wp:positionV relativeFrom="page">
                <wp:posOffset>439420</wp:posOffset>
              </wp:positionV>
              <wp:extent cx="231775" cy="177800"/>
              <wp:effectExtent l="0" t="1270" r="0" b="1905"/>
              <wp:wrapNone/>
              <wp:docPr id="188456153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89EB9"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537D2" id="Text Box 10" o:spid="_x0000_s1047"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6D089EB9"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270C1CFE" wp14:editId="16C1101F">
              <wp:simplePos x="0" y="0"/>
              <wp:positionH relativeFrom="page">
                <wp:posOffset>3143250</wp:posOffset>
              </wp:positionH>
              <wp:positionV relativeFrom="page">
                <wp:posOffset>784860</wp:posOffset>
              </wp:positionV>
              <wp:extent cx="3516630" cy="416560"/>
              <wp:effectExtent l="0" t="3810" r="0" b="0"/>
              <wp:wrapNone/>
              <wp:docPr id="6470889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DF834"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0C1CFE" id="Text Box 11" o:spid="_x0000_s1048"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5B5DF834"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0794328F" wp14:editId="5B643B64">
          <wp:extent cx="1097280" cy="50292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68762272" w14:textId="77777777" w:rsidR="00FF1D30" w:rsidRDefault="00FF1D30">
    <w:pPr>
      <w:pStyle w:val="Header"/>
      <w:rPr>
        <w:sz w:val="16"/>
        <w:szCs w:val="16"/>
      </w:rPr>
    </w:pPr>
  </w:p>
  <w:p w14:paraId="17144E47" w14:textId="77777777" w:rsidR="00FF1D30" w:rsidRDefault="00FF1D30">
    <w:pPr>
      <w:pStyle w:val="Header"/>
      <w:rPr>
        <w:sz w:val="16"/>
        <w:szCs w:val="16"/>
      </w:rPr>
    </w:pPr>
  </w:p>
  <w:p w14:paraId="010BABA0"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3A910A7D"/>
    <w:multiLevelType w:val="hybridMultilevel"/>
    <w:tmpl w:val="FFFFFFFF"/>
    <w:lvl w:ilvl="0" w:tplc="FFFFFFF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854370115">
    <w:abstractNumId w:val="14"/>
  </w:num>
  <w:num w:numId="2" w16cid:durableId="1859658061">
    <w:abstractNumId w:val="8"/>
  </w:num>
  <w:num w:numId="3" w16cid:durableId="969745336">
    <w:abstractNumId w:val="9"/>
  </w:num>
  <w:num w:numId="4" w16cid:durableId="192503163">
    <w:abstractNumId w:val="23"/>
  </w:num>
  <w:num w:numId="5" w16cid:durableId="319817256">
    <w:abstractNumId w:val="22"/>
  </w:num>
  <w:num w:numId="6" w16cid:durableId="1721587293">
    <w:abstractNumId w:val="21"/>
  </w:num>
  <w:num w:numId="7" w16cid:durableId="93789997">
    <w:abstractNumId w:val="28"/>
  </w:num>
  <w:num w:numId="8" w16cid:durableId="1207261294">
    <w:abstractNumId w:val="15"/>
  </w:num>
  <w:num w:numId="9" w16cid:durableId="810250991">
    <w:abstractNumId w:val="24"/>
  </w:num>
  <w:num w:numId="10" w16cid:durableId="235673880">
    <w:abstractNumId w:val="25"/>
  </w:num>
  <w:num w:numId="11" w16cid:durableId="1577976194">
    <w:abstractNumId w:val="11"/>
  </w:num>
  <w:num w:numId="12" w16cid:durableId="1945575495">
    <w:abstractNumId w:val="19"/>
  </w:num>
  <w:num w:numId="13" w16cid:durableId="139277282">
    <w:abstractNumId w:val="7"/>
  </w:num>
  <w:num w:numId="14" w16cid:durableId="727335909">
    <w:abstractNumId w:val="0"/>
  </w:num>
  <w:num w:numId="15" w16cid:durableId="1925454319">
    <w:abstractNumId w:val="29"/>
  </w:num>
  <w:num w:numId="16" w16cid:durableId="329214370">
    <w:abstractNumId w:val="20"/>
  </w:num>
  <w:num w:numId="17" w16cid:durableId="868418045">
    <w:abstractNumId w:val="27"/>
  </w:num>
  <w:num w:numId="18" w16cid:durableId="2141265520">
    <w:abstractNumId w:val="26"/>
  </w:num>
  <w:num w:numId="19" w16cid:durableId="1754233746">
    <w:abstractNumId w:val="18"/>
  </w:num>
  <w:num w:numId="20" w16cid:durableId="1909878731">
    <w:abstractNumId w:val="5"/>
  </w:num>
  <w:num w:numId="21" w16cid:durableId="441732060">
    <w:abstractNumId w:val="1"/>
  </w:num>
  <w:num w:numId="22" w16cid:durableId="101531824">
    <w:abstractNumId w:val="12"/>
  </w:num>
  <w:num w:numId="23" w16cid:durableId="1341742211">
    <w:abstractNumId w:val="2"/>
  </w:num>
  <w:num w:numId="24" w16cid:durableId="1744522010">
    <w:abstractNumId w:val="3"/>
  </w:num>
  <w:num w:numId="25" w16cid:durableId="1985545364">
    <w:abstractNumId w:val="4"/>
  </w:num>
  <w:num w:numId="26" w16cid:durableId="1128626139">
    <w:abstractNumId w:val="10"/>
  </w:num>
  <w:num w:numId="27" w16cid:durableId="1414736320">
    <w:abstractNumId w:val="13"/>
  </w:num>
  <w:num w:numId="28" w16cid:durableId="1621758749">
    <w:abstractNumId w:val="6"/>
  </w:num>
  <w:num w:numId="29" w16cid:durableId="1812288148">
    <w:abstractNumId w:val="17"/>
  </w:num>
  <w:num w:numId="30" w16cid:durableId="1238636503">
    <w:abstractNumId w:val="1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y">
    <w15:presenceInfo w15:providerId="None" w15:userI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5FC4"/>
    <w:rsid w:val="0006191D"/>
    <w:rsid w:val="00066AC1"/>
    <w:rsid w:val="0007539D"/>
    <w:rsid w:val="00076F8C"/>
    <w:rsid w:val="0008220C"/>
    <w:rsid w:val="000877EE"/>
    <w:rsid w:val="0009204F"/>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02A0"/>
    <w:rsid w:val="00162A30"/>
    <w:rsid w:val="0016445A"/>
    <w:rsid w:val="00165813"/>
    <w:rsid w:val="00171D19"/>
    <w:rsid w:val="00173196"/>
    <w:rsid w:val="0018288D"/>
    <w:rsid w:val="00187357"/>
    <w:rsid w:val="0019427B"/>
    <w:rsid w:val="00195E59"/>
    <w:rsid w:val="001A07A8"/>
    <w:rsid w:val="001B3613"/>
    <w:rsid w:val="001C2739"/>
    <w:rsid w:val="001C3D6C"/>
    <w:rsid w:val="001C7BDA"/>
    <w:rsid w:val="001D5E03"/>
    <w:rsid w:val="001D7DEE"/>
    <w:rsid w:val="001E02DA"/>
    <w:rsid w:val="001E2AAA"/>
    <w:rsid w:val="001E440D"/>
    <w:rsid w:val="0020406B"/>
    <w:rsid w:val="0020676E"/>
    <w:rsid w:val="002132FC"/>
    <w:rsid w:val="0021416E"/>
    <w:rsid w:val="00216CB6"/>
    <w:rsid w:val="00217D1E"/>
    <w:rsid w:val="00223090"/>
    <w:rsid w:val="00224082"/>
    <w:rsid w:val="00232863"/>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11BD"/>
    <w:rsid w:val="002C238F"/>
    <w:rsid w:val="002C2FAC"/>
    <w:rsid w:val="002D0F54"/>
    <w:rsid w:val="002D1D04"/>
    <w:rsid w:val="002D2DAC"/>
    <w:rsid w:val="002E0452"/>
    <w:rsid w:val="002E29FD"/>
    <w:rsid w:val="002E695D"/>
    <w:rsid w:val="002E6AB8"/>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D1074"/>
    <w:rsid w:val="003E1185"/>
    <w:rsid w:val="003E7145"/>
    <w:rsid w:val="004003CF"/>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67DAA"/>
    <w:rsid w:val="00472C8B"/>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A5D6C"/>
    <w:rsid w:val="005C14AA"/>
    <w:rsid w:val="005C643D"/>
    <w:rsid w:val="005D4A0D"/>
    <w:rsid w:val="005E7673"/>
    <w:rsid w:val="006035FA"/>
    <w:rsid w:val="006052AE"/>
    <w:rsid w:val="00615265"/>
    <w:rsid w:val="0061613E"/>
    <w:rsid w:val="0062129F"/>
    <w:rsid w:val="00622926"/>
    <w:rsid w:val="0062388D"/>
    <w:rsid w:val="006352D0"/>
    <w:rsid w:val="00637098"/>
    <w:rsid w:val="00637BE1"/>
    <w:rsid w:val="006419D1"/>
    <w:rsid w:val="00645E70"/>
    <w:rsid w:val="006538D6"/>
    <w:rsid w:val="00654490"/>
    <w:rsid w:val="00654B07"/>
    <w:rsid w:val="00672ECC"/>
    <w:rsid w:val="00674CB5"/>
    <w:rsid w:val="00680536"/>
    <w:rsid w:val="00684977"/>
    <w:rsid w:val="006902BB"/>
    <w:rsid w:val="006A7DFF"/>
    <w:rsid w:val="006B0510"/>
    <w:rsid w:val="006B2D02"/>
    <w:rsid w:val="006B4974"/>
    <w:rsid w:val="006B6E0F"/>
    <w:rsid w:val="006C0BEA"/>
    <w:rsid w:val="006C65C4"/>
    <w:rsid w:val="006C6EBD"/>
    <w:rsid w:val="006C7730"/>
    <w:rsid w:val="006D6149"/>
    <w:rsid w:val="006D782E"/>
    <w:rsid w:val="006E2F83"/>
    <w:rsid w:val="006E466B"/>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23C6"/>
    <w:rsid w:val="007E508F"/>
    <w:rsid w:val="007F02FB"/>
    <w:rsid w:val="007F37D6"/>
    <w:rsid w:val="007F422E"/>
    <w:rsid w:val="00802718"/>
    <w:rsid w:val="00802990"/>
    <w:rsid w:val="00802A96"/>
    <w:rsid w:val="008049B4"/>
    <w:rsid w:val="00810811"/>
    <w:rsid w:val="008157AA"/>
    <w:rsid w:val="00815993"/>
    <w:rsid w:val="0082272E"/>
    <w:rsid w:val="0082545E"/>
    <w:rsid w:val="00831D8E"/>
    <w:rsid w:val="00846249"/>
    <w:rsid w:val="00852EC7"/>
    <w:rsid w:val="0085484D"/>
    <w:rsid w:val="00862178"/>
    <w:rsid w:val="00862DDA"/>
    <w:rsid w:val="00863A78"/>
    <w:rsid w:val="008678F7"/>
    <w:rsid w:val="00874EB7"/>
    <w:rsid w:val="008765A5"/>
    <w:rsid w:val="00882CAF"/>
    <w:rsid w:val="0088746C"/>
    <w:rsid w:val="008940D8"/>
    <w:rsid w:val="008B23F8"/>
    <w:rsid w:val="008B4BA9"/>
    <w:rsid w:val="008B7A0F"/>
    <w:rsid w:val="008C302B"/>
    <w:rsid w:val="008C3C9B"/>
    <w:rsid w:val="008C3DC2"/>
    <w:rsid w:val="008C45DE"/>
    <w:rsid w:val="008D0F02"/>
    <w:rsid w:val="008E554D"/>
    <w:rsid w:val="008F3342"/>
    <w:rsid w:val="00902F9C"/>
    <w:rsid w:val="00906AC7"/>
    <w:rsid w:val="00907E40"/>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A1E24"/>
    <w:rsid w:val="009A22BF"/>
    <w:rsid w:val="009B6344"/>
    <w:rsid w:val="009B764B"/>
    <w:rsid w:val="009D7AA9"/>
    <w:rsid w:val="009E2468"/>
    <w:rsid w:val="009E3624"/>
    <w:rsid w:val="009E4EBA"/>
    <w:rsid w:val="009F091C"/>
    <w:rsid w:val="009F2D64"/>
    <w:rsid w:val="009F409C"/>
    <w:rsid w:val="009F6F7B"/>
    <w:rsid w:val="00A03126"/>
    <w:rsid w:val="00A13315"/>
    <w:rsid w:val="00A14CEF"/>
    <w:rsid w:val="00A175E3"/>
    <w:rsid w:val="00A27B34"/>
    <w:rsid w:val="00A37C4B"/>
    <w:rsid w:val="00A43778"/>
    <w:rsid w:val="00A4558F"/>
    <w:rsid w:val="00A50B27"/>
    <w:rsid w:val="00A526EF"/>
    <w:rsid w:val="00A549F9"/>
    <w:rsid w:val="00A562A0"/>
    <w:rsid w:val="00A5653C"/>
    <w:rsid w:val="00A574C4"/>
    <w:rsid w:val="00A60243"/>
    <w:rsid w:val="00A602DE"/>
    <w:rsid w:val="00A628C4"/>
    <w:rsid w:val="00A64896"/>
    <w:rsid w:val="00A67525"/>
    <w:rsid w:val="00A71464"/>
    <w:rsid w:val="00A72FCF"/>
    <w:rsid w:val="00A758BF"/>
    <w:rsid w:val="00A762E8"/>
    <w:rsid w:val="00A762F0"/>
    <w:rsid w:val="00A8066D"/>
    <w:rsid w:val="00A80B2E"/>
    <w:rsid w:val="00A819B4"/>
    <w:rsid w:val="00A83D78"/>
    <w:rsid w:val="00A83E44"/>
    <w:rsid w:val="00A91CAD"/>
    <w:rsid w:val="00A92D0F"/>
    <w:rsid w:val="00A95B23"/>
    <w:rsid w:val="00AA4AE4"/>
    <w:rsid w:val="00AA4E7D"/>
    <w:rsid w:val="00AA4FC8"/>
    <w:rsid w:val="00AA6636"/>
    <w:rsid w:val="00AC6628"/>
    <w:rsid w:val="00AC7106"/>
    <w:rsid w:val="00AD2E20"/>
    <w:rsid w:val="00AD3EFD"/>
    <w:rsid w:val="00AD559D"/>
    <w:rsid w:val="00AD7A35"/>
    <w:rsid w:val="00AE283C"/>
    <w:rsid w:val="00AF35CC"/>
    <w:rsid w:val="00AF73DF"/>
    <w:rsid w:val="00B02CE0"/>
    <w:rsid w:val="00B17324"/>
    <w:rsid w:val="00B25EDF"/>
    <w:rsid w:val="00B27599"/>
    <w:rsid w:val="00B35DC8"/>
    <w:rsid w:val="00B4389C"/>
    <w:rsid w:val="00B47B2C"/>
    <w:rsid w:val="00B56B54"/>
    <w:rsid w:val="00B70E6B"/>
    <w:rsid w:val="00B80A1A"/>
    <w:rsid w:val="00B86BF7"/>
    <w:rsid w:val="00B905EC"/>
    <w:rsid w:val="00B91F74"/>
    <w:rsid w:val="00B9472D"/>
    <w:rsid w:val="00BA6FF3"/>
    <w:rsid w:val="00BB08FA"/>
    <w:rsid w:val="00BB2B6F"/>
    <w:rsid w:val="00BB6938"/>
    <w:rsid w:val="00BC51D8"/>
    <w:rsid w:val="00BD3E7E"/>
    <w:rsid w:val="00BD5D62"/>
    <w:rsid w:val="00BD79A0"/>
    <w:rsid w:val="00BE144D"/>
    <w:rsid w:val="00BE17FD"/>
    <w:rsid w:val="00BE30EB"/>
    <w:rsid w:val="00BF76A7"/>
    <w:rsid w:val="00C02E08"/>
    <w:rsid w:val="00C03879"/>
    <w:rsid w:val="00C10C09"/>
    <w:rsid w:val="00C11C42"/>
    <w:rsid w:val="00C152F9"/>
    <w:rsid w:val="00C1756D"/>
    <w:rsid w:val="00C21420"/>
    <w:rsid w:val="00C26170"/>
    <w:rsid w:val="00C420B8"/>
    <w:rsid w:val="00C50A65"/>
    <w:rsid w:val="00C52693"/>
    <w:rsid w:val="00C549E7"/>
    <w:rsid w:val="00C6051D"/>
    <w:rsid w:val="00C67610"/>
    <w:rsid w:val="00C71E29"/>
    <w:rsid w:val="00C72516"/>
    <w:rsid w:val="00C7503D"/>
    <w:rsid w:val="00C90327"/>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71087"/>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170AD"/>
    <w:rsid w:val="00E30D6B"/>
    <w:rsid w:val="00E30E14"/>
    <w:rsid w:val="00E36AA2"/>
    <w:rsid w:val="00E439CB"/>
    <w:rsid w:val="00E46E84"/>
    <w:rsid w:val="00E51701"/>
    <w:rsid w:val="00E5640B"/>
    <w:rsid w:val="00E65AF8"/>
    <w:rsid w:val="00E73641"/>
    <w:rsid w:val="00E75F6E"/>
    <w:rsid w:val="00E77C4D"/>
    <w:rsid w:val="00E810D4"/>
    <w:rsid w:val="00E90C62"/>
    <w:rsid w:val="00E922F2"/>
    <w:rsid w:val="00E93AC4"/>
    <w:rsid w:val="00EA2EA0"/>
    <w:rsid w:val="00EA4465"/>
    <w:rsid w:val="00EA4EF4"/>
    <w:rsid w:val="00EA5258"/>
    <w:rsid w:val="00EB323F"/>
    <w:rsid w:val="00EB5A85"/>
    <w:rsid w:val="00EB743A"/>
    <w:rsid w:val="00EC4D8B"/>
    <w:rsid w:val="00ED1805"/>
    <w:rsid w:val="00ED2F7D"/>
    <w:rsid w:val="00F01DBC"/>
    <w:rsid w:val="00F06CD1"/>
    <w:rsid w:val="00F06FB4"/>
    <w:rsid w:val="00F1027C"/>
    <w:rsid w:val="00F1612A"/>
    <w:rsid w:val="00F23791"/>
    <w:rsid w:val="00F331B5"/>
    <w:rsid w:val="00F3381A"/>
    <w:rsid w:val="00F369EC"/>
    <w:rsid w:val="00F52E83"/>
    <w:rsid w:val="00F660DB"/>
    <w:rsid w:val="00F70BA6"/>
    <w:rsid w:val="00F727DB"/>
    <w:rsid w:val="00F7294C"/>
    <w:rsid w:val="00F814D0"/>
    <w:rsid w:val="00F9056B"/>
    <w:rsid w:val="00F956D7"/>
    <w:rsid w:val="00FA3FD1"/>
    <w:rsid w:val="00FB2A93"/>
    <w:rsid w:val="00FB4ACA"/>
    <w:rsid w:val="00FB5880"/>
    <w:rsid w:val="00FC2DC7"/>
    <w:rsid w:val="00FC3FCF"/>
    <w:rsid w:val="00FC4C88"/>
    <w:rsid w:val="00FC679E"/>
    <w:rsid w:val="00FD08EE"/>
    <w:rsid w:val="00FE0722"/>
    <w:rsid w:val="00FE2189"/>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71A800"/>
  <w14:defaultImageDpi w14:val="96"/>
  <w15:docId w15:val="{2CA1FE4B-48BD-4ABA-B676-4CAFE542A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paragraph" w:styleId="NormalWeb">
    <w:name w:val="Normal (Web)"/>
    <w:basedOn w:val="Normal"/>
    <w:uiPriority w:val="99"/>
    <w:rsid w:val="00672ECC"/>
    <w:rPr>
      <w:sz w:val="24"/>
      <w:szCs w:val="24"/>
    </w:rPr>
  </w:style>
  <w:style w:type="table" w:styleId="PlainTable2">
    <w:name w:val="Plain Table 2"/>
    <w:basedOn w:val="TableNormal"/>
    <w:uiPriority w:val="42"/>
    <w:rsid w:val="0007539D"/>
    <w:rPr>
      <w:lang w:val="en-ID" w:eastAsia="en-ID"/>
    </w:rPr>
    <w:tblPr>
      <w:tblStyleRowBandSize w:val="1"/>
      <w:tblStyleColBandSize w:val="1"/>
      <w:tblBorders>
        <w:top w:val="single" w:sz="4" w:space="0" w:color="7F7F7F" w:themeColor="text1" w:themeTint="80"/>
        <w:bottom w:val="single" w:sz="4" w:space="0" w:color="7F7F7F" w:themeColor="text1" w:themeTint="80"/>
      </w:tblBorders>
    </w:tblPr>
    <w:tblStylePr w:type="firstRow">
      <w:rPr>
        <w:rFonts w:cs="Times New Roman"/>
        <w:b/>
        <w:bCs/>
      </w:rPr>
      <w:tblPr/>
      <w:tcPr>
        <w:tcBorders>
          <w:bottom w:val="single" w:sz="4" w:space="0" w:color="7F7F7F" w:themeColor="text1" w:themeTint="80"/>
        </w:tcBorders>
      </w:tcPr>
    </w:tblStylePr>
    <w:tblStylePr w:type="lastRow">
      <w:rPr>
        <w:rFonts w:cs="Times New Roman"/>
        <w:b/>
        <w:bCs/>
      </w:rPr>
      <w:tblPr/>
      <w:tcPr>
        <w:tcBorders>
          <w:top w:val="single" w:sz="4" w:space="0" w:color="7F7F7F" w:themeColor="text1" w:themeTint="8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themeColor="text1" w:themeTint="80"/>
          <w:right w:val="single" w:sz="4" w:space="0" w:color="7F7F7F" w:themeColor="text1" w:themeTint="80"/>
        </w:tcBorders>
      </w:tcPr>
    </w:tblStylePr>
    <w:tblStylePr w:type="band2Vert">
      <w:rPr>
        <w:rFonts w:cs="Times New Roman"/>
      </w:rPr>
      <w:tblPr/>
      <w:tcPr>
        <w:tcBorders>
          <w:left w:val="single" w:sz="4" w:space="0" w:color="7F7F7F" w:themeColor="text1" w:themeTint="80"/>
          <w:right w:val="single" w:sz="4" w:space="0" w:color="7F7F7F" w:themeColor="text1" w:themeTint="80"/>
        </w:tcBorders>
      </w:tcPr>
    </w:tblStylePr>
    <w:tblStylePr w:type="band1Horz">
      <w:rPr>
        <w:rFonts w:cs="Times New Roman"/>
      </w:rPr>
      <w:tblPr/>
      <w:tcPr>
        <w:tcBorders>
          <w:top w:val="single" w:sz="4" w:space="0" w:color="7F7F7F" w:themeColor="text1" w:themeTint="80"/>
          <w:bottom w:val="single" w:sz="4" w:space="0" w:color="7F7F7F" w:themeColor="text1" w:themeTint="80"/>
        </w:tcBorders>
      </w:tcPr>
    </w:tblStylePr>
  </w:style>
  <w:style w:type="character" w:styleId="CommentReference">
    <w:name w:val="annotation reference"/>
    <w:basedOn w:val="DefaultParagraphFont"/>
    <w:uiPriority w:val="99"/>
    <w:rsid w:val="00195E59"/>
    <w:rPr>
      <w:sz w:val="16"/>
      <w:szCs w:val="16"/>
    </w:rPr>
  </w:style>
  <w:style w:type="paragraph" w:styleId="CommentText">
    <w:name w:val="annotation text"/>
    <w:basedOn w:val="Normal"/>
    <w:link w:val="CommentTextChar"/>
    <w:uiPriority w:val="99"/>
    <w:rsid w:val="00195E59"/>
  </w:style>
  <w:style w:type="character" w:customStyle="1" w:styleId="CommentTextChar">
    <w:name w:val="Comment Text Char"/>
    <w:basedOn w:val="DefaultParagraphFont"/>
    <w:link w:val="CommentText"/>
    <w:uiPriority w:val="99"/>
    <w:rsid w:val="00195E59"/>
    <w:rPr>
      <w:lang w:eastAsia="en-GB"/>
    </w:rPr>
  </w:style>
  <w:style w:type="paragraph" w:styleId="CommentSubject">
    <w:name w:val="annotation subject"/>
    <w:basedOn w:val="CommentText"/>
    <w:next w:val="CommentText"/>
    <w:link w:val="CommentSubjectChar"/>
    <w:uiPriority w:val="99"/>
    <w:rsid w:val="00195E59"/>
    <w:rPr>
      <w:b/>
      <w:bCs/>
    </w:rPr>
  </w:style>
  <w:style w:type="character" w:customStyle="1" w:styleId="CommentSubjectChar">
    <w:name w:val="Comment Subject Char"/>
    <w:basedOn w:val="CommentTextChar"/>
    <w:link w:val="CommentSubject"/>
    <w:uiPriority w:val="99"/>
    <w:rsid w:val="00195E59"/>
    <w:rPr>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s://creativecommons.org/licenses/by/4.0/"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microsoft.com/office/2018/08/relationships/commentsExtensible" Target="commentsExtensible.xml"/><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3AD3C-0A42-4AD3-917C-17024F541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16</Pages>
  <Words>31806</Words>
  <Characters>181298</Characters>
  <Application>Microsoft Office Word</Application>
  <DocSecurity>0</DocSecurity>
  <Lines>1510</Lines>
  <Paragraphs>425</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212679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y</cp:lastModifiedBy>
  <cp:revision>21</cp:revision>
  <cp:lastPrinted>2008-11-01T04:52:00Z</cp:lastPrinted>
  <dcterms:created xsi:type="dcterms:W3CDTF">2025-01-07T04:25:00Z</dcterms:created>
  <dcterms:modified xsi:type="dcterms:W3CDTF">2025-01-10T08:20:00Z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http://www.zotero.org/styles/chicago-fullnote-bibliography-short-title-subsequent</vt:lpwstr>
  </property>
  <property fmtid="{D5CDD505-2E9C-101B-9397-08002B2CF9AE}" pid="15" name="Mendeley Recent Style Name 6_1">
    <vt:lpwstr>Chicago Manual of Style 17th edition (full note, short title subsequent)</vt:lpwstr>
  </property>
  <property fmtid="{D5CDD505-2E9C-101B-9397-08002B2CF9AE}" pid="16" name="Mendeley Recent Style Id 7_1">
    <vt:lpwstr>http://www.zotero.org/styles/chicago-note-bibliography</vt:lpwstr>
  </property>
  <property fmtid="{D5CDD505-2E9C-101B-9397-08002B2CF9AE}" pid="17" name="Mendeley Recent Style Name 7_1">
    <vt:lpwstr>Chicago Manual of Style 17th edition (note)</vt:lpwstr>
  </property>
  <property fmtid="{D5CDD505-2E9C-101B-9397-08002B2CF9AE}" pid="18" name="Mendeley Recent Style Id 8_1">
    <vt:lpwstr>http://www.zotero.org/styles/ieee</vt:lpwstr>
  </property>
  <property fmtid="{D5CDD505-2E9C-101B-9397-08002B2CF9AE}" pid="19" name="Mendeley Recent Style Name 8_1">
    <vt:lpwstr>IEEE</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9th edition</vt:lpwstr>
  </property>
  <property fmtid="{D5CDD505-2E9C-101B-9397-08002B2CF9AE}" pid="22" name="Mendeley Citation Style_1">
    <vt:lpwstr>http://www.zotero.org/styles/american-political-science-association</vt:lpwstr>
  </property>
  <property fmtid="{D5CDD505-2E9C-101B-9397-08002B2CF9AE}" pid="23" name="Mendeley Document_1">
    <vt:lpwstr>True</vt:lpwstr>
  </property>
  <property fmtid="{D5CDD505-2E9C-101B-9397-08002B2CF9AE}" pid="24" name="Mendeley Unique User Id_1">
    <vt:lpwstr>bc2b186c-6d3b-3b07-abab-2f30c57cd112</vt:lpwstr>
  </property>
</Properties>
</file>