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D37B9" w14:textId="77777777" w:rsidR="008A257B" w:rsidRPr="008A257B" w:rsidRDefault="008A257B" w:rsidP="008A257B">
      <w:pPr>
        <w:jc w:val="center"/>
        <w:rPr>
          <w:rFonts w:ascii="Calibri Light" w:hAnsi="Calibri Light" w:cs="Calibri Light"/>
          <w:b/>
          <w:bCs/>
          <w:sz w:val="28"/>
          <w:szCs w:val="28"/>
          <w:lang w:val="en-ID"/>
        </w:rPr>
      </w:pPr>
      <w:r w:rsidRPr="008A257B">
        <w:rPr>
          <w:rFonts w:ascii="Calibri Light" w:hAnsi="Calibri Light" w:cs="Calibri Light"/>
          <w:b/>
          <w:bCs/>
          <w:sz w:val="28"/>
          <w:szCs w:val="28"/>
          <w:lang w:val="en-ID"/>
        </w:rPr>
        <w:t>PRISMA-Based Study on Integrating Islamic Principles into Legal Systems: Human Rights in Egypt and Indonesia</w:t>
      </w:r>
    </w:p>
    <w:p w14:paraId="52CF7133" w14:textId="77777777" w:rsidR="008A257B" w:rsidRPr="008A257B" w:rsidRDefault="008A257B" w:rsidP="00122F5F">
      <w:pPr>
        <w:rPr>
          <w:rFonts w:ascii="Calibri Light" w:hAnsi="Calibri Light" w:cs="Calibri Light"/>
          <w:b/>
          <w:bCs/>
          <w:sz w:val="28"/>
          <w:szCs w:val="28"/>
          <w:rtl/>
          <w:lang w:val="en-ID"/>
        </w:rPr>
      </w:pPr>
    </w:p>
    <w:p w14:paraId="7B3685D2" w14:textId="12700304" w:rsidR="008C45DE" w:rsidRPr="00A91729" w:rsidRDefault="00EA2EA0" w:rsidP="00122F5F">
      <w:pPr>
        <w:rPr>
          <w:rFonts w:ascii="Calibri Light" w:hAnsi="Calibri Light" w:cs="Calibri Light"/>
          <w:color w:val="A6A6A6"/>
          <w:sz w:val="24"/>
          <w:szCs w:val="24"/>
          <w:vertAlign w:val="superscript"/>
        </w:rPr>
      </w:pPr>
      <w:r>
        <w:rPr>
          <w:rFonts w:ascii="Calibri Light" w:hAnsi="Calibri Light" w:cs="Calibri Light"/>
          <w:b/>
          <w:bCs/>
          <w:sz w:val="24"/>
          <w:szCs w:val="24"/>
        </w:rPr>
        <w:t>Andri Nirwana AN</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Pr>
          <w:rFonts w:ascii="Calibri Light" w:hAnsi="Calibri Light" w:cs="Calibri Light"/>
          <w:b/>
          <w:bCs/>
          <w:sz w:val="24"/>
          <w:szCs w:val="24"/>
        </w:rPr>
        <w:t>Mariam Elbanna</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Faisal Husen Ismail</w:t>
      </w:r>
      <w:r>
        <w:rPr>
          <w:rFonts w:ascii="Calibri Light" w:hAnsi="Calibri Light" w:cs="Calibri Light"/>
          <w:b/>
          <w:bCs/>
          <w:sz w:val="24"/>
          <w:szCs w:val="24"/>
          <w:vertAlign w:val="superscript"/>
        </w:rPr>
        <w:t>3</w:t>
      </w:r>
      <w:r>
        <w:rPr>
          <w:rFonts w:ascii="Calibri Light" w:hAnsi="Calibri Light" w:cs="Calibri Light"/>
          <w:b/>
          <w:bCs/>
          <w:sz w:val="24"/>
          <w:szCs w:val="24"/>
        </w:rPr>
        <w:t>, Zainora Daud</w:t>
      </w:r>
      <w:r>
        <w:rPr>
          <w:rFonts w:ascii="Calibri Light" w:hAnsi="Calibri Light" w:cs="Calibri Light"/>
          <w:b/>
          <w:bCs/>
          <w:sz w:val="24"/>
          <w:szCs w:val="24"/>
          <w:vertAlign w:val="superscript"/>
        </w:rPr>
        <w:t>4</w:t>
      </w:r>
      <w:r>
        <w:rPr>
          <w:rFonts w:ascii="Calibri Light" w:hAnsi="Calibri Light" w:cs="Calibri Light"/>
          <w:b/>
          <w:bCs/>
          <w:sz w:val="24"/>
          <w:szCs w:val="24"/>
        </w:rPr>
        <w:t>, Norsaleha Mohd Salleh</w:t>
      </w:r>
      <w:r>
        <w:rPr>
          <w:rFonts w:ascii="Calibri Light" w:hAnsi="Calibri Light" w:cs="Calibri Light"/>
          <w:b/>
          <w:bCs/>
          <w:sz w:val="24"/>
          <w:szCs w:val="24"/>
          <w:vertAlign w:val="superscript"/>
        </w:rPr>
        <w:t>5</w:t>
      </w:r>
      <w:r w:rsidR="00B23F90">
        <w:rPr>
          <w:rFonts w:ascii="Calibri Light" w:hAnsi="Calibri Light" w:cs="Calibri Light"/>
          <w:b/>
          <w:bCs/>
          <w:sz w:val="24"/>
          <w:szCs w:val="24"/>
        </w:rPr>
        <w:t>,</w:t>
      </w:r>
      <w:r w:rsidR="00A91729" w:rsidRPr="00A91729">
        <w:rPr>
          <w:rFonts w:ascii="Calibri Light" w:hAnsi="Calibri Light" w:cs="Calibri Light"/>
          <w:b/>
          <w:bCs/>
          <w:sz w:val="24"/>
          <w:szCs w:val="24"/>
        </w:rPr>
        <w:t xml:space="preserve"> </w:t>
      </w:r>
      <w:r w:rsidR="00A91729" w:rsidRPr="00CA0E28">
        <w:rPr>
          <w:rFonts w:ascii="Calibri Light" w:hAnsi="Calibri Light" w:cs="Calibri Light"/>
          <w:b/>
          <w:bCs/>
          <w:sz w:val="24"/>
          <w:szCs w:val="24"/>
        </w:rPr>
        <w:t>Arwansyah bin Kirin</w:t>
      </w:r>
      <w:r w:rsidR="00A91729">
        <w:rPr>
          <w:rFonts w:ascii="Calibri Light" w:hAnsi="Calibri Light" w:cs="Calibri Light"/>
          <w:b/>
          <w:bCs/>
          <w:sz w:val="24"/>
          <w:szCs w:val="24"/>
          <w:vertAlign w:val="superscript"/>
        </w:rPr>
        <w:t>6</w:t>
      </w:r>
      <w:r w:rsidR="00A91729">
        <w:rPr>
          <w:rFonts w:ascii="Calibri Light" w:hAnsi="Calibri Light" w:cs="Calibri Light"/>
          <w:b/>
          <w:bCs/>
          <w:sz w:val="24"/>
          <w:szCs w:val="24"/>
        </w:rPr>
        <w:t>,</w:t>
      </w:r>
      <w:r w:rsidR="00B23F90">
        <w:rPr>
          <w:rFonts w:ascii="Calibri Light" w:hAnsi="Calibri Light" w:cs="Calibri Light"/>
          <w:b/>
          <w:bCs/>
          <w:sz w:val="24"/>
          <w:szCs w:val="24"/>
        </w:rPr>
        <w:t xml:space="preserve"> Siti Nurkhafifah Marisa</w:t>
      </w:r>
      <w:r w:rsidR="00B23F90">
        <w:rPr>
          <w:rFonts w:ascii="Calibri Light" w:hAnsi="Calibri Light" w:cs="Calibri Light"/>
          <w:b/>
          <w:bCs/>
          <w:sz w:val="24"/>
          <w:szCs w:val="24"/>
          <w:vertAlign w:val="superscript"/>
        </w:rPr>
        <w:t>7</w:t>
      </w:r>
      <w:r w:rsidR="00A91729">
        <w:rPr>
          <w:rFonts w:ascii="Calibri Light" w:hAnsi="Calibri Light" w:cs="Calibri Light"/>
          <w:b/>
          <w:bCs/>
          <w:sz w:val="24"/>
          <w:szCs w:val="24"/>
        </w:rPr>
        <w:t xml:space="preserve">, </w:t>
      </w:r>
      <w:r w:rsidR="00A91729" w:rsidRPr="00A91729">
        <w:rPr>
          <w:rFonts w:ascii="Calibri Light" w:hAnsi="Calibri Light" w:cs="Calibri Light"/>
          <w:b/>
          <w:bCs/>
          <w:sz w:val="24"/>
          <w:szCs w:val="24"/>
        </w:rPr>
        <w:t>Muhammad Zakir Husein</w:t>
      </w:r>
      <w:r w:rsidR="00A91729">
        <w:rPr>
          <w:rFonts w:ascii="Calibri Light" w:hAnsi="Calibri Light" w:cs="Calibri Light"/>
          <w:b/>
          <w:bCs/>
          <w:sz w:val="24"/>
          <w:szCs w:val="24"/>
          <w:vertAlign w:val="superscript"/>
        </w:rPr>
        <w:t>8</w:t>
      </w:r>
    </w:p>
    <w:p w14:paraId="75B8B063" w14:textId="3B45242B"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(Departmen</w:t>
      </w:r>
      <w:r w:rsidR="00EA2EA0">
        <w:rPr>
          <w:rFonts w:ascii="Calibri Light" w:hAnsi="Calibri Light" w:cs="Calibri Light"/>
          <w:sz w:val="24"/>
          <w:szCs w:val="24"/>
        </w:rPr>
        <w:t>t of Quranic Science and Tafsir</w:t>
      </w:r>
      <w:r w:rsidRPr="00122F5F">
        <w:rPr>
          <w:rFonts w:ascii="Calibri Light" w:hAnsi="Calibri Light" w:cs="Calibri Light"/>
          <w:sz w:val="24"/>
          <w:szCs w:val="24"/>
        </w:rPr>
        <w:t xml:space="preserve">, </w:t>
      </w:r>
      <w:r w:rsidR="00EA2EA0">
        <w:rPr>
          <w:rFonts w:ascii="Calibri Light" w:hAnsi="Calibri Light" w:cs="Calibri Light"/>
          <w:sz w:val="24"/>
          <w:szCs w:val="24"/>
        </w:rPr>
        <w:t>Universitas Muhammadiyah Surakarta</w:t>
      </w:r>
      <w:r w:rsidRPr="00122F5F">
        <w:rPr>
          <w:rFonts w:ascii="Calibri Light" w:hAnsi="Calibri Light" w:cs="Calibri Light"/>
          <w:sz w:val="24"/>
          <w:szCs w:val="24"/>
        </w:rPr>
        <w:t xml:space="preserve">, </w:t>
      </w:r>
      <w:r w:rsidR="00EA2EA0">
        <w:rPr>
          <w:rFonts w:ascii="Calibri Light" w:hAnsi="Calibri Light" w:cs="Calibri Light"/>
          <w:sz w:val="24"/>
          <w:szCs w:val="24"/>
        </w:rPr>
        <w:t>Surakarta</w:t>
      </w:r>
      <w:r w:rsidRPr="00122F5F">
        <w:rPr>
          <w:rFonts w:ascii="Calibri Light" w:hAnsi="Calibri Light" w:cs="Calibri Light"/>
          <w:sz w:val="24"/>
          <w:szCs w:val="24"/>
        </w:rPr>
        <w:t xml:space="preserve">, </w:t>
      </w:r>
      <w:r w:rsidR="00EA2EA0">
        <w:rPr>
          <w:rFonts w:ascii="Calibri Light" w:hAnsi="Calibri Light" w:cs="Calibri Light"/>
          <w:sz w:val="24"/>
          <w:szCs w:val="24"/>
        </w:rPr>
        <w:t>Indonesia</w:t>
      </w:r>
      <w:r w:rsidRPr="00122F5F">
        <w:rPr>
          <w:rFonts w:ascii="Calibri Light" w:hAnsi="Calibri Light" w:cs="Calibri Light"/>
          <w:sz w:val="24"/>
          <w:szCs w:val="24"/>
        </w:rPr>
        <w:t>,</w:t>
      </w:r>
      <w:r w:rsidR="00EA2EA0">
        <w:rPr>
          <w:rFonts w:ascii="Calibri Light" w:hAnsi="Calibri Light" w:cs="Calibri Light"/>
          <w:sz w:val="24"/>
          <w:szCs w:val="24"/>
        </w:rPr>
        <w:t xml:space="preserve"> Email Corresponding:</w:t>
      </w:r>
      <w:r w:rsidRPr="00122F5F">
        <w:rPr>
          <w:rFonts w:ascii="Calibri Light" w:hAnsi="Calibri Light" w:cs="Calibri Light"/>
          <w:sz w:val="24"/>
          <w:szCs w:val="24"/>
        </w:rPr>
        <w:t xml:space="preserve"> </w:t>
      </w:r>
      <w:hyperlink r:id="rId8" w:history="1">
        <w:r w:rsidR="004C6239" w:rsidRPr="00AE799E">
          <w:rPr>
            <w:rStyle w:val="Hyperlink"/>
            <w:rFonts w:ascii="Calibri Light" w:hAnsi="Calibri Light" w:cs="Calibri Light"/>
            <w:sz w:val="24"/>
            <w:szCs w:val="24"/>
          </w:rPr>
          <w:t>andri.nirwana@ums.ac.id</w:t>
        </w:r>
      </w:hyperlink>
      <w:r w:rsidRPr="00122F5F">
        <w:rPr>
          <w:rFonts w:ascii="Calibri Light" w:hAnsi="Calibri Light" w:cs="Calibri Light"/>
          <w:sz w:val="24"/>
          <w:szCs w:val="24"/>
        </w:rPr>
        <w:t>)</w:t>
      </w:r>
      <w:r w:rsidR="004C6239">
        <w:rPr>
          <w:rFonts w:ascii="Calibri Light" w:hAnsi="Calibri Light" w:cs="Calibri Light"/>
          <w:sz w:val="24"/>
          <w:szCs w:val="24"/>
        </w:rPr>
        <w:t xml:space="preserve"> </w:t>
      </w:r>
    </w:p>
    <w:p w14:paraId="4953C3C5" w14:textId="3CE68E6A" w:rsidR="00CF57D6" w:rsidRDefault="008C45DE" w:rsidP="00122F5F">
      <w:pPr>
        <w:rPr>
          <w:rFonts w:ascii="Calibri Light" w:hAnsi="Calibri Light" w:cs="Calibri Light"/>
          <w:color w:val="A6A6A6"/>
          <w:sz w:val="24"/>
          <w:szCs w:val="24"/>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w:t>
      </w:r>
      <w:r w:rsidR="00EA2EA0">
        <w:rPr>
          <w:rFonts w:ascii="Calibri Light" w:hAnsi="Calibri Light" w:cs="Calibri Light"/>
          <w:sz w:val="24"/>
          <w:szCs w:val="24"/>
        </w:rPr>
        <w:t>Faculty of Law</w:t>
      </w:r>
      <w:r w:rsidRPr="00122F5F">
        <w:rPr>
          <w:rFonts w:ascii="Calibri Light" w:hAnsi="Calibri Light" w:cs="Calibri Light"/>
          <w:sz w:val="24"/>
          <w:szCs w:val="24"/>
        </w:rPr>
        <w:t>,</w:t>
      </w:r>
      <w:r w:rsidR="00EA2EA0">
        <w:rPr>
          <w:rFonts w:ascii="Calibri Light" w:hAnsi="Calibri Light" w:cs="Calibri Light"/>
          <w:sz w:val="24"/>
          <w:szCs w:val="24"/>
        </w:rPr>
        <w:t xml:space="preserve"> Tanta</w:t>
      </w:r>
      <w:r w:rsidRPr="00122F5F">
        <w:rPr>
          <w:rFonts w:ascii="Calibri Light" w:hAnsi="Calibri Light" w:cs="Calibri Light"/>
          <w:sz w:val="24"/>
          <w:szCs w:val="24"/>
        </w:rPr>
        <w:t xml:space="preserve">University, </w:t>
      </w:r>
      <w:r w:rsidR="00EA2EA0">
        <w:rPr>
          <w:rFonts w:ascii="Calibri Light" w:hAnsi="Calibri Light" w:cs="Calibri Light"/>
          <w:sz w:val="24"/>
          <w:szCs w:val="24"/>
        </w:rPr>
        <w:t>Tanta</w:t>
      </w:r>
      <w:r w:rsidRPr="00122F5F">
        <w:rPr>
          <w:rFonts w:ascii="Calibri Light" w:hAnsi="Calibri Light" w:cs="Calibri Light"/>
          <w:sz w:val="24"/>
          <w:szCs w:val="24"/>
        </w:rPr>
        <w:t xml:space="preserve">, </w:t>
      </w:r>
      <w:r w:rsidR="00EA2EA0">
        <w:rPr>
          <w:rFonts w:ascii="Calibri Light" w:hAnsi="Calibri Light" w:cs="Calibri Light"/>
          <w:sz w:val="24"/>
          <w:szCs w:val="24"/>
        </w:rPr>
        <w:t>Egypt</w:t>
      </w:r>
      <w:r w:rsidRPr="00122F5F">
        <w:rPr>
          <w:rFonts w:ascii="Calibri Light" w:hAnsi="Calibri Light" w:cs="Calibri Light"/>
          <w:sz w:val="24"/>
          <w:szCs w:val="24"/>
        </w:rPr>
        <w:t xml:space="preserve">, </w:t>
      </w:r>
      <w:hyperlink r:id="rId9" w:history="1">
        <w:r w:rsidR="004C6239" w:rsidRPr="00AE799E">
          <w:rPr>
            <w:rStyle w:val="Hyperlink"/>
            <w:rFonts w:ascii="Calibri Light" w:hAnsi="Calibri Light" w:cs="Calibri Light"/>
            <w:sz w:val="24"/>
            <w:szCs w:val="24"/>
          </w:rPr>
          <w:t>mariam.30917745@f-law.tanta.edu.eg</w:t>
        </w:r>
      </w:hyperlink>
      <w:r w:rsidR="00EA2EA0">
        <w:rPr>
          <w:rFonts w:ascii="Calibri Light" w:hAnsi="Calibri Light" w:cs="Calibri Light"/>
          <w:sz w:val="24"/>
          <w:szCs w:val="24"/>
        </w:rPr>
        <w:t>)</w:t>
      </w:r>
      <w:r w:rsidR="004C6239">
        <w:rPr>
          <w:rFonts w:ascii="Calibri Light" w:hAnsi="Calibri Light" w:cs="Calibri Light"/>
          <w:sz w:val="24"/>
          <w:szCs w:val="24"/>
        </w:rPr>
        <w:t xml:space="preserve"> </w:t>
      </w:r>
    </w:p>
    <w:p w14:paraId="2D8A3582" w14:textId="6F22F223" w:rsidR="00EA2EA0" w:rsidRPr="00540F02" w:rsidRDefault="0019427B" w:rsidP="00A91729">
      <w:pPr>
        <w:rPr>
          <w:rFonts w:ascii="Calibri Light" w:hAnsi="Calibri Light" w:cs="Calibri Light"/>
          <w:color w:val="A6A6A6"/>
          <w:sz w:val="24"/>
          <w:szCs w:val="24"/>
          <w:lang w:val="id-ID"/>
        </w:rPr>
      </w:pPr>
      <w:r>
        <w:rPr>
          <w:rFonts w:ascii="Calibri Light" w:hAnsi="Calibri Light" w:cs="Calibri Light"/>
          <w:sz w:val="24"/>
          <w:szCs w:val="24"/>
          <w:vertAlign w:val="superscript"/>
        </w:rPr>
        <w:t>3</w:t>
      </w:r>
      <w:r w:rsidR="00EA2EA0" w:rsidRPr="00122F5F">
        <w:rPr>
          <w:rFonts w:ascii="Calibri Light" w:hAnsi="Calibri Light" w:cs="Calibri Light"/>
          <w:sz w:val="24"/>
          <w:szCs w:val="24"/>
        </w:rPr>
        <w:t>(</w:t>
      </w:r>
      <w:r w:rsidRPr="0019427B">
        <w:rPr>
          <w:rFonts w:ascii="Calibri Light" w:hAnsi="Calibri Light" w:cs="Calibri Light"/>
          <w:sz w:val="24"/>
          <w:szCs w:val="24"/>
        </w:rPr>
        <w:t>School of Humanities, Universiti Sains Malaysia,</w:t>
      </w:r>
      <w:r>
        <w:rPr>
          <w:rFonts w:ascii="Calibri Light" w:hAnsi="Calibri Light" w:cs="Calibri Light"/>
          <w:sz w:val="24"/>
          <w:szCs w:val="24"/>
        </w:rPr>
        <w:t xml:space="preserve"> </w:t>
      </w:r>
      <w:r w:rsidRPr="0019427B">
        <w:rPr>
          <w:rFonts w:ascii="Calibri Light" w:hAnsi="Calibri Light" w:cs="Calibri Light"/>
          <w:sz w:val="24"/>
          <w:szCs w:val="24"/>
        </w:rPr>
        <w:t>11800 USM, Pulau Pinang, Malaysia</w:t>
      </w:r>
      <w:r>
        <w:rPr>
          <w:rFonts w:ascii="Calibri Light" w:hAnsi="Calibri Light" w:cs="Calibri Light"/>
          <w:sz w:val="24"/>
          <w:szCs w:val="24"/>
        </w:rPr>
        <w:t xml:space="preserve">, </w:t>
      </w:r>
      <w:hyperlink r:id="rId10" w:history="1">
        <w:r w:rsidR="00A91729" w:rsidRPr="00AE799E">
          <w:rPr>
            <w:rStyle w:val="Hyperlink"/>
            <w:rFonts w:ascii="Calibri Light" w:hAnsi="Calibri Light" w:cs="Calibri Light"/>
            <w:sz w:val="24"/>
            <w:szCs w:val="24"/>
          </w:rPr>
          <w:t>titelfaisal80@gmail.com</w:t>
        </w:r>
      </w:hyperlink>
      <w:r>
        <w:rPr>
          <w:rFonts w:ascii="Calibri Light" w:hAnsi="Calibri Light" w:cs="Calibri Light"/>
          <w:sz w:val="24"/>
          <w:szCs w:val="24"/>
        </w:rPr>
        <w:t>)</w:t>
      </w:r>
      <w:r w:rsidR="00A91729">
        <w:rPr>
          <w:rFonts w:ascii="Calibri Light" w:hAnsi="Calibri Light" w:cs="Calibri Light"/>
          <w:sz w:val="24"/>
          <w:szCs w:val="24"/>
        </w:rPr>
        <w:t xml:space="preserve"> </w:t>
      </w:r>
    </w:p>
    <w:p w14:paraId="2A338702" w14:textId="5D7DF80C" w:rsidR="00EA2EA0" w:rsidRPr="00540F02" w:rsidRDefault="0019427B" w:rsidP="00EA2EA0">
      <w:pPr>
        <w:rPr>
          <w:rFonts w:ascii="Calibri Light" w:hAnsi="Calibri Light" w:cs="Calibri Light"/>
          <w:color w:val="A6A6A6"/>
          <w:sz w:val="24"/>
          <w:szCs w:val="24"/>
          <w:lang w:val="id-ID"/>
        </w:rPr>
      </w:pPr>
      <w:r>
        <w:rPr>
          <w:rFonts w:ascii="Calibri Light" w:hAnsi="Calibri Light" w:cs="Calibri Light"/>
          <w:sz w:val="24"/>
          <w:szCs w:val="24"/>
          <w:vertAlign w:val="superscript"/>
        </w:rPr>
        <w:t>4</w:t>
      </w:r>
      <w:r w:rsidR="00EA2EA0" w:rsidRPr="00122F5F">
        <w:rPr>
          <w:rFonts w:ascii="Calibri Light" w:hAnsi="Calibri Light" w:cs="Calibri Light"/>
          <w:sz w:val="24"/>
          <w:szCs w:val="24"/>
        </w:rPr>
        <w:t>(</w:t>
      </w:r>
      <w:r w:rsidRPr="0019427B">
        <w:rPr>
          <w:rFonts w:ascii="Calibri Light" w:hAnsi="Calibri Light" w:cs="Calibri Light"/>
          <w:sz w:val="24"/>
          <w:szCs w:val="24"/>
        </w:rPr>
        <w:t>Universiti Sains Islam Malaysia, Nilai, Negeri Sembilan, Malaysia</w:t>
      </w:r>
      <w:r>
        <w:rPr>
          <w:rFonts w:ascii="Calibri Light" w:hAnsi="Calibri Light" w:cs="Calibri Light"/>
          <w:sz w:val="24"/>
          <w:szCs w:val="24"/>
        </w:rPr>
        <w:t xml:space="preserve">, </w:t>
      </w:r>
      <w:hyperlink r:id="rId11" w:history="1">
        <w:r w:rsidR="004C6239" w:rsidRPr="00AE799E">
          <w:rPr>
            <w:rStyle w:val="Hyperlink"/>
            <w:rFonts w:ascii="Calibri Light" w:hAnsi="Calibri Light" w:cs="Calibri Light"/>
            <w:sz w:val="24"/>
            <w:szCs w:val="24"/>
          </w:rPr>
          <w:t>zainora@usim.edu.my</w:t>
        </w:r>
      </w:hyperlink>
      <w:r>
        <w:rPr>
          <w:rFonts w:ascii="Calibri Light" w:hAnsi="Calibri Light" w:cs="Calibri Light"/>
          <w:sz w:val="24"/>
          <w:szCs w:val="24"/>
        </w:rPr>
        <w:t>)</w:t>
      </w:r>
      <w:r w:rsidR="004C6239">
        <w:rPr>
          <w:rFonts w:ascii="Calibri Light" w:hAnsi="Calibri Light" w:cs="Calibri Light"/>
          <w:sz w:val="24"/>
          <w:szCs w:val="24"/>
        </w:rPr>
        <w:t xml:space="preserve"> </w:t>
      </w:r>
    </w:p>
    <w:p w14:paraId="15CF15D8" w14:textId="77777777" w:rsidR="00EA2EA0" w:rsidRDefault="0019427B" w:rsidP="00EA2EA0">
      <w:pPr>
        <w:rPr>
          <w:rFonts w:ascii="Calibri Light" w:hAnsi="Calibri Light" w:cs="Calibri Light"/>
          <w:sz w:val="24"/>
          <w:szCs w:val="24"/>
        </w:rPr>
      </w:pPr>
      <w:r>
        <w:rPr>
          <w:rFonts w:ascii="Calibri Light" w:hAnsi="Calibri Light" w:cs="Calibri Light"/>
          <w:sz w:val="24"/>
          <w:szCs w:val="24"/>
          <w:vertAlign w:val="superscript"/>
        </w:rPr>
        <w:t>5</w:t>
      </w:r>
      <w:r w:rsidR="00EA2EA0" w:rsidRPr="00122F5F">
        <w:rPr>
          <w:rFonts w:ascii="Calibri Light" w:hAnsi="Calibri Light" w:cs="Calibri Light"/>
          <w:sz w:val="24"/>
          <w:szCs w:val="24"/>
        </w:rPr>
        <w:t>(</w:t>
      </w:r>
      <w:r w:rsidRPr="0019427B">
        <w:rPr>
          <w:rFonts w:ascii="Calibri Light" w:hAnsi="Calibri Light" w:cs="Calibri Light"/>
          <w:sz w:val="24"/>
          <w:szCs w:val="24"/>
        </w:rPr>
        <w:t>Universiti Islam Selangor,  Kajang, Selangor, Malaysia</w:t>
      </w:r>
      <w:r>
        <w:rPr>
          <w:rFonts w:ascii="Calibri Light" w:hAnsi="Calibri Light" w:cs="Calibri Light"/>
          <w:sz w:val="24"/>
          <w:szCs w:val="24"/>
        </w:rPr>
        <w:t xml:space="preserve">, </w:t>
      </w:r>
      <w:hyperlink r:id="rId12" w:history="1">
        <w:r w:rsidR="00B23F90" w:rsidRPr="0009638F">
          <w:rPr>
            <w:rStyle w:val="Hyperlink"/>
            <w:rFonts w:ascii="Calibri Light" w:hAnsi="Calibri Light" w:cs="Calibri Light"/>
            <w:sz w:val="24"/>
            <w:szCs w:val="24"/>
          </w:rPr>
          <w:t>norsaleha@uis.edu.my</w:t>
        </w:r>
      </w:hyperlink>
      <w:r>
        <w:rPr>
          <w:rFonts w:ascii="Calibri Light" w:hAnsi="Calibri Light" w:cs="Calibri Light"/>
          <w:sz w:val="24"/>
          <w:szCs w:val="24"/>
        </w:rPr>
        <w:t>)</w:t>
      </w:r>
    </w:p>
    <w:p w14:paraId="23CDFD44" w14:textId="77777777" w:rsidR="00A91729" w:rsidRPr="00A91729" w:rsidRDefault="00A91729" w:rsidP="00A91729">
      <w:pPr>
        <w:rPr>
          <w:rFonts w:ascii="Calibri Light" w:hAnsi="Calibri Light" w:cs="Calibri Light"/>
          <w:sz w:val="24"/>
          <w:szCs w:val="24"/>
        </w:rPr>
      </w:pPr>
      <w:r w:rsidRPr="00A91729">
        <w:rPr>
          <w:rFonts w:ascii="Calibri Light" w:hAnsi="Calibri Light" w:cs="Calibri Light"/>
          <w:sz w:val="24"/>
          <w:szCs w:val="24"/>
          <w:vertAlign w:val="superscript"/>
        </w:rPr>
        <w:t>6</w:t>
      </w:r>
      <w:r w:rsidRPr="00A91729">
        <w:rPr>
          <w:rFonts w:ascii="Calibri Light" w:hAnsi="Calibri Light" w:cs="Calibri Light"/>
          <w:sz w:val="24"/>
          <w:szCs w:val="24"/>
        </w:rPr>
        <w:t xml:space="preserve">(University  Tun Hussein Onn Malaysia, Johor, Malaysia, </w:t>
      </w:r>
      <w:hyperlink r:id="rId13" w:history="1">
        <w:r w:rsidRPr="00A91729">
          <w:rPr>
            <w:rFonts w:ascii="Calibri Light" w:hAnsi="Calibri Light" w:cs="Calibri Light"/>
            <w:color w:val="0000FF"/>
            <w:sz w:val="24"/>
            <w:szCs w:val="24"/>
            <w:u w:val="single"/>
          </w:rPr>
          <w:t>arwansyah@uthm.edu.my</w:t>
        </w:r>
      </w:hyperlink>
      <w:r w:rsidRPr="00A91729">
        <w:rPr>
          <w:rFonts w:ascii="Calibri Light" w:hAnsi="Calibri Light" w:cs="Calibri Light"/>
          <w:sz w:val="24"/>
          <w:szCs w:val="24"/>
        </w:rPr>
        <w:t xml:space="preserve">) </w:t>
      </w:r>
    </w:p>
    <w:p w14:paraId="4485C933" w14:textId="77439045" w:rsidR="00B23F90" w:rsidRDefault="00B23F90" w:rsidP="00EA2EA0">
      <w:pPr>
        <w:rPr>
          <w:rFonts w:ascii="Calibri Light" w:hAnsi="Calibri Light" w:cs="Calibri Light"/>
          <w:sz w:val="24"/>
          <w:szCs w:val="24"/>
        </w:rPr>
      </w:pPr>
      <w:r>
        <w:rPr>
          <w:rFonts w:ascii="Calibri Light" w:hAnsi="Calibri Light" w:cs="Calibri Light"/>
          <w:sz w:val="24"/>
          <w:szCs w:val="24"/>
          <w:vertAlign w:val="superscript"/>
        </w:rPr>
        <w:t>7</w:t>
      </w:r>
      <w:r>
        <w:rPr>
          <w:rFonts w:ascii="Calibri Light" w:hAnsi="Calibri Light" w:cs="Calibri Light"/>
          <w:sz w:val="24"/>
          <w:szCs w:val="24"/>
        </w:rPr>
        <w:t>(STAIN Teungku Dirundeng Meulaboh,</w:t>
      </w:r>
      <w:r w:rsidR="004C6239">
        <w:rPr>
          <w:rFonts w:ascii="Calibri Light" w:hAnsi="Calibri Light" w:cs="Calibri Light"/>
          <w:sz w:val="24"/>
          <w:szCs w:val="24"/>
        </w:rPr>
        <w:t xml:space="preserve"> Aceh, Indonesia, </w:t>
      </w:r>
      <w:r>
        <w:rPr>
          <w:rFonts w:ascii="Calibri Light" w:hAnsi="Calibri Light" w:cs="Calibri Light"/>
          <w:sz w:val="24"/>
          <w:szCs w:val="24"/>
        </w:rPr>
        <w:t xml:space="preserve"> </w:t>
      </w:r>
      <w:hyperlink r:id="rId14" w:history="1">
        <w:r w:rsidR="00A91729" w:rsidRPr="00AE799E">
          <w:rPr>
            <w:rStyle w:val="Hyperlink"/>
            <w:rFonts w:ascii="Calibri Light" w:hAnsi="Calibri Light" w:cs="Calibri Light"/>
            <w:sz w:val="24"/>
            <w:szCs w:val="24"/>
          </w:rPr>
          <w:t>sitinurkhafifahmarisa@staindirundeng.ac.id</w:t>
        </w:r>
      </w:hyperlink>
      <w:r>
        <w:rPr>
          <w:rFonts w:ascii="Calibri Light" w:hAnsi="Calibri Light" w:cs="Calibri Light"/>
          <w:sz w:val="24"/>
          <w:szCs w:val="24"/>
        </w:rPr>
        <w:t>)</w:t>
      </w:r>
    </w:p>
    <w:p w14:paraId="3D3739BE" w14:textId="01FC716B" w:rsidR="00A91729" w:rsidRPr="00A91729" w:rsidRDefault="00A91729" w:rsidP="00EA2EA0">
      <w:pPr>
        <w:rPr>
          <w:rFonts w:ascii="Calibri Light" w:hAnsi="Calibri Light" w:cs="Calibri Light"/>
          <w:sz w:val="24"/>
          <w:szCs w:val="24"/>
          <w:lang w:val="id-ID"/>
        </w:rPr>
      </w:pPr>
      <w:r w:rsidRPr="00A91729">
        <w:rPr>
          <w:rFonts w:ascii="Calibri Light" w:hAnsi="Calibri Light" w:cs="Calibri Light"/>
          <w:sz w:val="24"/>
          <w:szCs w:val="24"/>
          <w:vertAlign w:val="superscript"/>
          <w:lang w:val="id-ID"/>
        </w:rPr>
        <w:t>8</w:t>
      </w:r>
      <w:r w:rsidRPr="00A91729">
        <w:rPr>
          <w:rFonts w:ascii="Calibri Light" w:hAnsi="Calibri Light" w:cs="Calibri Light"/>
          <w:sz w:val="24"/>
          <w:szCs w:val="24"/>
          <w:lang w:val="id-ID"/>
        </w:rPr>
        <w:t>(Universitas Islam Sultan Sharif Ali, Brunei Darussalam</w:t>
      </w:r>
      <w:r>
        <w:rPr>
          <w:rFonts w:ascii="Calibri Light" w:hAnsi="Calibri Light" w:cs="Calibri Light"/>
          <w:sz w:val="24"/>
          <w:szCs w:val="24"/>
          <w:lang w:val="id-ID"/>
        </w:rPr>
        <w:t xml:space="preserve">, </w:t>
      </w:r>
      <w:hyperlink r:id="rId15" w:history="1">
        <w:r w:rsidRPr="00AE799E">
          <w:rPr>
            <w:rStyle w:val="Hyperlink"/>
            <w:rFonts w:ascii="Calibri Light" w:hAnsi="Calibri Light" w:cs="Calibri Light"/>
            <w:sz w:val="24"/>
            <w:szCs w:val="24"/>
            <w:lang w:val="id-ID"/>
          </w:rPr>
          <w:t>zakir.husain@unissa.edu.bn</w:t>
        </w:r>
      </w:hyperlink>
      <w:r>
        <w:rPr>
          <w:rFonts w:ascii="Calibri Light" w:hAnsi="Calibri Light" w:cs="Calibri Light"/>
          <w:sz w:val="24"/>
          <w:szCs w:val="24"/>
          <w:lang w:val="id-ID"/>
        </w:rPr>
        <w:t xml:space="preserve">) </w:t>
      </w:r>
    </w:p>
    <w:p w14:paraId="5B84792D" w14:textId="77777777" w:rsidR="00EA2EA0" w:rsidRPr="00540F02" w:rsidRDefault="00EA2EA0" w:rsidP="00122F5F">
      <w:pPr>
        <w:rPr>
          <w:rFonts w:ascii="Calibri Light" w:hAnsi="Calibri Light" w:cs="Calibri Light"/>
          <w:color w:val="A6A6A6"/>
          <w:sz w:val="24"/>
          <w:szCs w:val="24"/>
          <w:lang w:val="id-ID"/>
        </w:rPr>
      </w:pPr>
    </w:p>
    <w:p w14:paraId="0429906A" w14:textId="77777777"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*corresponding author</w:t>
      </w:r>
    </w:p>
    <w:p w14:paraId="4995D68C" w14:textId="77777777" w:rsidR="00DE1E48" w:rsidRPr="00122F5F" w:rsidRDefault="00DE1E48" w:rsidP="001D7DEE">
      <w:pPr>
        <w:jc w:val="center"/>
        <w:rPr>
          <w:rFonts w:ascii="Calibri Light" w:hAnsi="Calibri Light" w:cs="Calibri Light"/>
          <w:sz w:val="24"/>
          <w:szCs w:val="24"/>
        </w:rPr>
      </w:pPr>
    </w:p>
    <w:p w14:paraId="1454A0DD"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0DABF643"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19130FC1"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0B50276C" w14:textId="77777777" w:rsidR="00863A78" w:rsidRPr="00863A78" w:rsidRDefault="00863A78" w:rsidP="00863A78">
      <w:pPr>
        <w:ind w:right="737"/>
        <w:rPr>
          <w:rFonts w:ascii="Calibri Light" w:hAnsi="Calibri Light" w:cs="Calibri Light"/>
          <w:b/>
          <w:bCs/>
        </w:rPr>
      </w:pPr>
    </w:p>
    <w:p w14:paraId="1D051894" w14:textId="198A3967" w:rsidR="00863A78" w:rsidRPr="00863A78" w:rsidRDefault="005742A6"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6B4A0583" wp14:editId="350EF2ED">
            <wp:extent cx="263525" cy="25527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3525" cy="25527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678C9E09"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4F766956" w14:textId="77777777" w:rsidTr="00540F02">
        <w:tc>
          <w:tcPr>
            <w:tcW w:w="9004" w:type="dxa"/>
            <w:tcBorders>
              <w:left w:val="nil"/>
              <w:right w:val="nil"/>
            </w:tcBorders>
          </w:tcPr>
          <w:p w14:paraId="1897A8EC" w14:textId="77777777" w:rsidR="00863A78" w:rsidRPr="00540F02" w:rsidRDefault="00863A78" w:rsidP="00540F02">
            <w:pPr>
              <w:ind w:right="2"/>
              <w:jc w:val="both"/>
              <w:rPr>
                <w:rFonts w:ascii="Calibri Light" w:hAnsi="Calibri Light" w:cs="Calibri Light"/>
                <w:sz w:val="12"/>
                <w:szCs w:val="12"/>
              </w:rPr>
            </w:pPr>
          </w:p>
          <w:p w14:paraId="0D381D8F"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How to cite this paper: Pilotti, M. &amp; Almubarak.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7" w:history="1">
              <w:r w:rsidRPr="00540F02">
                <w:rPr>
                  <w:rStyle w:val="Hyperlink"/>
                  <w:rFonts w:ascii="Calibri Light" w:hAnsi="Calibri Light" w:cs="Calibri Light"/>
                </w:rPr>
                <w:t>https://doi.org/10.5758/ijls.2022.1</w:t>
              </w:r>
            </w:hyperlink>
          </w:p>
          <w:p w14:paraId="3CD2B6CA" w14:textId="77777777" w:rsidR="00863A78" w:rsidRPr="00540F02" w:rsidRDefault="00863A78" w:rsidP="00540F02">
            <w:pPr>
              <w:ind w:right="2"/>
              <w:jc w:val="both"/>
              <w:rPr>
                <w:rFonts w:ascii="Calibri Light" w:hAnsi="Calibri Light" w:cs="Calibri Light"/>
                <w:color w:val="0462C1"/>
                <w:u w:val="single" w:color="0462C1"/>
              </w:rPr>
            </w:pPr>
          </w:p>
          <w:p w14:paraId="7ABB33ED"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8">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AC41569" w14:textId="77777777" w:rsidR="00863A78" w:rsidRPr="00540F02" w:rsidRDefault="00863A78" w:rsidP="00540F02">
            <w:pPr>
              <w:ind w:right="2"/>
              <w:jc w:val="both"/>
              <w:rPr>
                <w:rFonts w:ascii="Calibri Light" w:hAnsi="Calibri Light" w:cs="Calibri Light"/>
                <w:b/>
                <w:bCs/>
                <w:sz w:val="12"/>
                <w:szCs w:val="12"/>
              </w:rPr>
            </w:pPr>
          </w:p>
        </w:tc>
      </w:tr>
    </w:tbl>
    <w:p w14:paraId="0CB3DC64" w14:textId="77777777" w:rsidR="00863A78" w:rsidRDefault="00863A78" w:rsidP="00863A78">
      <w:pPr>
        <w:ind w:right="737"/>
        <w:rPr>
          <w:rFonts w:ascii="Calibri Light" w:hAnsi="Calibri Light" w:cs="Calibri Light"/>
          <w:b/>
          <w:bCs/>
          <w:sz w:val="24"/>
          <w:szCs w:val="24"/>
        </w:rPr>
      </w:pPr>
    </w:p>
    <w:p w14:paraId="6B1A9B21" w14:textId="77777777" w:rsidR="00A762F0" w:rsidRDefault="00A27B34" w:rsidP="00540F02">
      <w:pPr>
        <w:ind w:right="-1"/>
        <w:jc w:val="both"/>
        <w:rPr>
          <w:rFonts w:ascii="Calibri Light" w:hAnsi="Calibri Light" w:cs="Calibri Light"/>
          <w:sz w:val="24"/>
          <w:szCs w:val="24"/>
          <w:rtl/>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p>
    <w:p w14:paraId="76BE20AB" w14:textId="77777777" w:rsidR="009917BE" w:rsidRPr="009917BE" w:rsidRDefault="009A1E24" w:rsidP="009917BE">
      <w:pPr>
        <w:ind w:right="-1"/>
        <w:jc w:val="both"/>
        <w:rPr>
          <w:rFonts w:ascii="Calibri Light" w:hAnsi="Calibri Light" w:cs="Calibri Light"/>
          <w:i/>
          <w:iCs/>
          <w:noProof/>
          <w:color w:val="000000"/>
          <w:lang w:val="en-ID"/>
        </w:rPr>
      </w:pPr>
      <w:r>
        <w:rPr>
          <w:rFonts w:ascii="Calibri Light" w:hAnsi="Calibri Light" w:cs="Calibri Light"/>
          <w:i/>
          <w:iCs/>
          <w:noProof/>
          <w:color w:val="000000"/>
          <w:sz w:val="24"/>
          <w:szCs w:val="24"/>
          <w:rtl/>
          <w:lang w:val="en-GB"/>
        </w:rPr>
        <w:t xml:space="preserve">  </w:t>
      </w:r>
    </w:p>
    <w:p w14:paraId="76F83EAC" w14:textId="77777777" w:rsidR="00F20576" w:rsidRPr="00F20576" w:rsidRDefault="00F20576" w:rsidP="00F20576">
      <w:pPr>
        <w:ind w:right="-1"/>
        <w:jc w:val="both"/>
        <w:rPr>
          <w:rFonts w:ascii="Calibri Light" w:hAnsi="Calibri Light" w:cs="Calibri Light"/>
          <w:i/>
          <w:iCs/>
          <w:noProof/>
          <w:color w:val="000000"/>
          <w:sz w:val="24"/>
          <w:szCs w:val="24"/>
          <w:lang w:val="en-ID"/>
        </w:rPr>
      </w:pPr>
      <w:r w:rsidRPr="00F20576">
        <w:rPr>
          <w:rFonts w:ascii="Calibri Light" w:hAnsi="Calibri Light" w:cs="Calibri Light"/>
          <w:i/>
          <w:iCs/>
          <w:noProof/>
          <w:color w:val="000000"/>
          <w:sz w:val="24"/>
          <w:szCs w:val="24"/>
          <w:lang w:val="en-ID"/>
        </w:rPr>
        <w:t>This study explores the comparative application of Qur'anic human rights principles in Egypt and Indonesia, focusing on how Islamic teachings are integrated into their modern legal systems amidst distinct cultural, political, and historical contexts. It investigates the balance between universal human rights standards and Islamic jurisprudence, identifying variations in interpretation and implementation of these principles in both nations. The PRISMA framework was employed as the methodological foundation, ensuring a systematic and transparent approach to reviewing legal texts, academic literature, and case studies.</w:t>
      </w:r>
    </w:p>
    <w:p w14:paraId="2C8944BF" w14:textId="77777777" w:rsidR="00F20576" w:rsidRPr="00F20576" w:rsidRDefault="00F20576" w:rsidP="00F20576">
      <w:pPr>
        <w:ind w:right="-1"/>
        <w:jc w:val="both"/>
        <w:rPr>
          <w:rFonts w:ascii="Calibri Light" w:hAnsi="Calibri Light" w:cs="Calibri Light"/>
          <w:i/>
          <w:iCs/>
          <w:noProof/>
          <w:color w:val="000000"/>
          <w:sz w:val="24"/>
          <w:szCs w:val="24"/>
          <w:lang w:val="en-ID"/>
        </w:rPr>
      </w:pPr>
      <w:r w:rsidRPr="00F20576">
        <w:rPr>
          <w:rFonts w:ascii="Calibri Light" w:hAnsi="Calibri Light" w:cs="Calibri Light"/>
          <w:i/>
          <w:iCs/>
          <w:noProof/>
          <w:color w:val="000000"/>
          <w:sz w:val="24"/>
          <w:szCs w:val="24"/>
          <w:lang w:val="en-ID"/>
        </w:rPr>
        <w:t xml:space="preserve">The methodology began with identifying sources relevant to the application of human rights law in the context of Islamic teachings in Egypt and Indonesia. A targeted search was conducted using databases such as Web of Science and Scopus, focusing on articles published between 2014 and 2024. The search terms included phrases like "Islam," "Modern Human Rights," </w:t>
      </w:r>
      <w:r w:rsidRPr="00F20576">
        <w:rPr>
          <w:rFonts w:ascii="Calibri Light" w:hAnsi="Calibri Light" w:cs="Calibri Light"/>
          <w:i/>
          <w:iCs/>
          <w:noProof/>
          <w:color w:val="000000"/>
          <w:sz w:val="24"/>
          <w:szCs w:val="24"/>
          <w:lang w:val="en-ID"/>
        </w:rPr>
        <w:lastRenderedPageBreak/>
        <w:t>"Shari'ah Law," and "Qur'an and Human Rights Law," while applying filters to include only peer-reviewed journal articles in English. Non-English publications, books, theses, conference papers, and materials published before 2014 were excluded to maintain focus and relevance.</w:t>
      </w:r>
    </w:p>
    <w:p w14:paraId="291F1B65" w14:textId="77777777" w:rsidR="00F20576" w:rsidRDefault="00F20576" w:rsidP="00F20576">
      <w:pPr>
        <w:ind w:right="-1"/>
        <w:jc w:val="both"/>
        <w:rPr>
          <w:rFonts w:ascii="Calibri Light" w:hAnsi="Calibri Light" w:cs="Calibri Light"/>
          <w:i/>
          <w:iCs/>
          <w:noProof/>
          <w:color w:val="000000"/>
          <w:sz w:val="24"/>
          <w:szCs w:val="24"/>
          <w:rtl/>
          <w:lang w:val="en-ID"/>
        </w:rPr>
      </w:pPr>
      <w:r w:rsidRPr="00F20576">
        <w:rPr>
          <w:rFonts w:ascii="Calibri Light" w:hAnsi="Calibri Light" w:cs="Calibri Light"/>
          <w:i/>
          <w:iCs/>
          <w:noProof/>
          <w:color w:val="000000"/>
          <w:sz w:val="24"/>
          <w:szCs w:val="24"/>
          <w:lang w:val="en-ID"/>
        </w:rPr>
        <w:t>The inclusion criteria ensured the study analyzed recent, high-quality research on the intersection of Qur'anic principles and international human rights standards. Through this approach, the research identifies patterns, challenges, and innovations in the integration of Islamic values into contemporary legal frameworks, offering insights into how these two nations navigate the complex interplay of religion, culture, and law in addressing modern human rights challenges.</w:t>
      </w:r>
    </w:p>
    <w:p w14:paraId="296ABA86" w14:textId="77777777" w:rsidR="00944018" w:rsidRDefault="00944018" w:rsidP="00F20576">
      <w:pPr>
        <w:ind w:right="-1"/>
        <w:jc w:val="both"/>
        <w:rPr>
          <w:rFonts w:ascii="Calibri Light" w:hAnsi="Calibri Light" w:cs="Calibri Light"/>
          <w:i/>
          <w:iCs/>
          <w:noProof/>
          <w:color w:val="000000"/>
          <w:sz w:val="24"/>
          <w:szCs w:val="24"/>
          <w:rtl/>
          <w:lang w:val="en-ID"/>
        </w:rPr>
      </w:pPr>
    </w:p>
    <w:p w14:paraId="7E826F6E" w14:textId="77777777" w:rsidR="00944018" w:rsidRPr="00944018" w:rsidRDefault="00944018" w:rsidP="00944018">
      <w:pPr>
        <w:ind w:right="-1"/>
        <w:jc w:val="both"/>
        <w:rPr>
          <w:rFonts w:ascii="Calibri Light" w:hAnsi="Calibri Light" w:cs="Calibri Light"/>
          <w:i/>
          <w:iCs/>
          <w:noProof/>
          <w:color w:val="000000"/>
          <w:sz w:val="24"/>
          <w:szCs w:val="24"/>
          <w:lang w:val="en-ID"/>
        </w:rPr>
      </w:pPr>
      <w:r w:rsidRPr="00944018">
        <w:rPr>
          <w:rFonts w:ascii="Calibri Light" w:hAnsi="Calibri Light" w:cs="Calibri Light"/>
          <w:i/>
          <w:iCs/>
          <w:noProof/>
          <w:color w:val="000000"/>
          <w:sz w:val="24"/>
          <w:szCs w:val="24"/>
          <w:lang w:val="en-ID"/>
        </w:rPr>
        <w:t>Penelitian ini mengeksplorasi penerapan prinsip-prinsip hak asasi manusia berdasarkan Al-Qur'an di Mesir dan Indonesia, dengan fokus pada bagaimana ajaran Islam diintegrasikan ke dalam sistem hukum modern di tengah konteks budaya, politik, dan sejarah yang berbeda. Penelitian ini menyelidiki keseimbangan antara standar hak asasi manusia universal dan yurisprudensi Islam, mengidentifikasi variasi dalam interpretasi dan penerapan prinsip-prinsip tersebut di kedua negara. Kerangka PRISMA digunakan sebagai dasar metodologi, memastikan pendekatan yang sistematis dan transparan dalam meninjau teks-teks hukum, literatur akademik, dan studi kasus.</w:t>
      </w:r>
    </w:p>
    <w:p w14:paraId="6CF9DD79" w14:textId="77777777" w:rsidR="00944018" w:rsidRPr="00944018" w:rsidRDefault="00944018" w:rsidP="00944018">
      <w:pPr>
        <w:ind w:right="-1"/>
        <w:jc w:val="both"/>
        <w:rPr>
          <w:rFonts w:ascii="Calibri Light" w:hAnsi="Calibri Light" w:cs="Calibri Light"/>
          <w:i/>
          <w:iCs/>
          <w:noProof/>
          <w:color w:val="000000"/>
          <w:sz w:val="24"/>
          <w:szCs w:val="24"/>
          <w:lang w:val="en-ID"/>
        </w:rPr>
      </w:pPr>
      <w:r w:rsidRPr="00944018">
        <w:rPr>
          <w:rFonts w:ascii="Calibri Light" w:hAnsi="Calibri Light" w:cs="Calibri Light"/>
          <w:i/>
          <w:iCs/>
          <w:noProof/>
          <w:color w:val="000000"/>
          <w:sz w:val="24"/>
          <w:szCs w:val="24"/>
          <w:lang w:val="en-ID"/>
        </w:rPr>
        <w:t>Metodologi dimulai dengan mengidentifikasi sumber-sumber yang relevan dengan penerapan hukum hak asasi manusia dalam konteks ajaran Islam di Mesir dan Indonesia. Pencarian terfokus dilakukan menggunakan basis data seperti Web of Science dan Scopus, dengan menargetkan artikel yang diterbitkan antara tahun 2014 dan 2024. Istilah pencarian mencakup frasa seperti "Islam," "Hak Asasi Manusia Modern," "Hukum Syariah," dan "Al-Qur'an dan Hukum Hak Asasi Manusia," dengan menerapkan filter untuk hanya memasukkan artikel jurnal yang ditinjau sejawat dalam bahasa Inggris. Publikasi non-Inggris, buku, tesis, makalah konferensi, dan materi yang diterbitkan sebelum tahun 2014 dikecualikan untuk menjaga fokus dan relevansi.</w:t>
      </w:r>
    </w:p>
    <w:p w14:paraId="48B25761" w14:textId="77777777" w:rsidR="009A1E24" w:rsidRDefault="00944018" w:rsidP="00944018">
      <w:pPr>
        <w:ind w:right="-1"/>
        <w:jc w:val="both"/>
        <w:rPr>
          <w:rFonts w:ascii="Calibri Light" w:hAnsi="Calibri Light" w:cs="Calibri Light"/>
          <w:i/>
          <w:iCs/>
          <w:noProof/>
          <w:color w:val="000000"/>
          <w:sz w:val="24"/>
          <w:szCs w:val="24"/>
          <w:rtl/>
          <w:lang w:val="en-ID"/>
        </w:rPr>
      </w:pPr>
      <w:r w:rsidRPr="00944018">
        <w:rPr>
          <w:rFonts w:ascii="Calibri Light" w:hAnsi="Calibri Light" w:cs="Calibri Light"/>
          <w:i/>
          <w:iCs/>
          <w:noProof/>
          <w:color w:val="000000"/>
          <w:sz w:val="24"/>
          <w:szCs w:val="24"/>
          <w:lang w:val="en-ID"/>
        </w:rPr>
        <w:t>Kriteria inklusi memastikan penelitian menganalisis penelitian terkini dan berkualitas tinggi tentang persinggungan prinsip-prinsip Al-Qur'an dan standar hak asasi manusia internasional. Melalui pendekatan ini, penelitian ini mengidentifikasi pola, tantangan, dan inovasi dalam integrasi nilai-nilai Islam ke dalam kerangka hukum modern, memberikan wawasan tentang bagaimana kedua negara ini menavigasi interaksi kompleks antara agama, budaya, dan hukum dalam menghadapi tantangan hak asasi manusia masa kini.</w:t>
      </w:r>
    </w:p>
    <w:p w14:paraId="7CCEF7C8" w14:textId="77777777" w:rsidR="00486707" w:rsidRPr="00122F5F" w:rsidRDefault="00486707" w:rsidP="003E7145">
      <w:pPr>
        <w:ind w:right="737"/>
        <w:jc w:val="both"/>
        <w:rPr>
          <w:rFonts w:ascii="Calibri Light" w:hAnsi="Calibri Light" w:cs="Calibri Light"/>
          <w:i/>
          <w:iCs/>
          <w:sz w:val="24"/>
          <w:szCs w:val="24"/>
          <w:lang w:val="id-ID"/>
        </w:rPr>
      </w:pPr>
    </w:p>
    <w:p w14:paraId="2B04A1CD"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003E7145">
        <w:rPr>
          <w:rFonts w:ascii="Calibri Light" w:hAnsi="Calibri Light" w:cs="Calibri Light"/>
          <w:sz w:val="24"/>
          <w:szCs w:val="24"/>
          <w:rtl/>
        </w:rPr>
        <w:t xml:space="preserve"> </w:t>
      </w:r>
      <w:r w:rsidR="003E7145" w:rsidRPr="003E7145">
        <w:rPr>
          <w:rStyle w:val="shorttext"/>
          <w:rFonts w:ascii="Calibri Light" w:hAnsi="Calibri Light" w:cs="Calibri Light"/>
          <w:i/>
          <w:iCs/>
          <w:sz w:val="24"/>
          <w:szCs w:val="24"/>
          <w:lang w:val="en"/>
        </w:rPr>
        <w:t>Human Rights Law, Islamic Jurisprudence, Legal Systems, PRISMA Framework, Islamic Principles.</w:t>
      </w:r>
    </w:p>
    <w:p w14:paraId="6BC00FE9" w14:textId="77777777" w:rsidR="00F1027C" w:rsidRPr="00122F5F" w:rsidRDefault="00F1027C" w:rsidP="0095288D">
      <w:pPr>
        <w:rPr>
          <w:rFonts w:ascii="Calibri Light" w:hAnsi="Calibri Light" w:cs="Calibri Light"/>
          <w:b/>
          <w:bCs/>
          <w:sz w:val="24"/>
          <w:szCs w:val="24"/>
          <w:lang w:val="id-ID"/>
        </w:rPr>
      </w:pPr>
    </w:p>
    <w:p w14:paraId="422F40B3" w14:textId="77777777" w:rsidR="007F5B9D" w:rsidRPr="007F5B9D" w:rsidRDefault="008C45DE" w:rsidP="007F5B9D">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29D1F1F7" w14:textId="06315A41" w:rsidR="007F5B9D" w:rsidRPr="007F5B9D" w:rsidRDefault="007F5B9D" w:rsidP="007F5B9D">
      <w:pPr>
        <w:spacing w:before="120" w:after="120"/>
        <w:ind w:left="426"/>
        <w:jc w:val="both"/>
        <w:rPr>
          <w:rFonts w:ascii="Calibri Light" w:hAnsi="Calibri Light" w:cs="Calibri Light"/>
          <w:bCs/>
          <w:sz w:val="24"/>
          <w:szCs w:val="24"/>
          <w:lang w:val="en-ID"/>
        </w:rPr>
      </w:pPr>
      <w:r w:rsidRPr="007F5B9D">
        <w:rPr>
          <w:rFonts w:ascii="Calibri Light" w:hAnsi="Calibri Light" w:cs="Calibri Light"/>
          <w:bCs/>
          <w:sz w:val="24"/>
          <w:szCs w:val="24"/>
          <w:lang w:val="en-ID"/>
        </w:rPr>
        <w:t>Human rights form the cornerstone of modern global discourse, shaping international law and influencing political, social, and legal systems across diverse societies. This universal framework is designed to uphold the dignity, equality, and justice of all individuals</w:t>
      </w:r>
      <w:r w:rsidR="004B5E72">
        <w:rPr>
          <w:rFonts w:ascii="Calibri Light" w:hAnsi="Calibri Light" w:cs="Calibri Light"/>
          <w:bCs/>
          <w:sz w:val="24"/>
          <w:szCs w:val="24"/>
          <w:lang w:val="en-ID"/>
        </w:rPr>
        <w:fldChar w:fldCharType="begin" w:fldLock="1"/>
      </w:r>
      <w:r w:rsidR="004B5E72">
        <w:rPr>
          <w:rFonts w:ascii="Calibri Light" w:hAnsi="Calibri Light" w:cs="Calibri Light"/>
          <w:bCs/>
          <w:sz w:val="24"/>
          <w:szCs w:val="24"/>
          <w:lang w:val="en-ID"/>
        </w:rPr>
        <w:instrText>ADDIN CSL_CITATION {"citationItems":[{"id":"ITEM-1","itemData":{"author":[{"dropping-particle":"","family":"Susila","given":"Jaka","non-dropping-particle":"","parse-names":false,"suffix":""}],"container-title":"The Indonesian Journal of Legal Thought (IJLETH)","id":"ITEM-1","issue":"01","issued":{"date-parts":[["2021"]]},"page":"43-55","title":"Globalization Of Terrorism And Extra-Judicial Killings: The Paradox Of Human Rights In Indonesia","type":"article-journal","volume":"01"},"uris":["http://www.mendeley.com/documents/?uuid=d534897b-6535-468b-aac5-1536451cac85"]}],"mendeley":{"formattedCitation":"(Susila, 2021)","plainTextFormattedCitation":"(Susila, 2021)","previouslyFormattedCitation":"(Susila, 2021)"},"properties":{"noteIndex":0},"schema":"https://github.com/citation-style-language/schema/raw/master/csl-citation.json"}</w:instrText>
      </w:r>
      <w:r w:rsidR="004B5E72">
        <w:rPr>
          <w:rFonts w:ascii="Calibri Light" w:hAnsi="Calibri Light" w:cs="Calibri Light"/>
          <w:bCs/>
          <w:sz w:val="24"/>
          <w:szCs w:val="24"/>
          <w:lang w:val="en-ID"/>
        </w:rPr>
        <w:fldChar w:fldCharType="separate"/>
      </w:r>
      <w:r w:rsidR="004B5E72" w:rsidRPr="004B5E72">
        <w:rPr>
          <w:rFonts w:ascii="Calibri Light" w:hAnsi="Calibri Light" w:cs="Calibri Light"/>
          <w:bCs/>
          <w:noProof/>
          <w:sz w:val="24"/>
          <w:szCs w:val="24"/>
          <w:lang w:val="en-ID"/>
        </w:rPr>
        <w:t>(Susila, 2021)</w:t>
      </w:r>
      <w:r w:rsidR="004B5E72">
        <w:rPr>
          <w:rFonts w:ascii="Calibri Light" w:hAnsi="Calibri Light" w:cs="Calibri Light"/>
          <w:bCs/>
          <w:sz w:val="24"/>
          <w:szCs w:val="24"/>
          <w:lang w:val="en-ID"/>
        </w:rPr>
        <w:fldChar w:fldCharType="end"/>
      </w:r>
      <w:r w:rsidRPr="007F5B9D">
        <w:rPr>
          <w:rFonts w:ascii="Calibri Light" w:hAnsi="Calibri Light" w:cs="Calibri Light"/>
          <w:bCs/>
          <w:sz w:val="24"/>
          <w:szCs w:val="24"/>
          <w:lang w:val="en-ID"/>
        </w:rPr>
        <w:t xml:space="preserve">. However, in Muslim-majority countries, the integration of these secular, international human rights norms with Islamic teachings derived from the Qur'an and Hadiths (sayings and actions of Prophet Muhammad, PBUH) poses significant challenges. </w:t>
      </w:r>
      <w:r w:rsidRPr="007F5B9D">
        <w:rPr>
          <w:rFonts w:ascii="Calibri Light" w:hAnsi="Calibri Light" w:cs="Calibri Light"/>
          <w:bCs/>
          <w:sz w:val="24"/>
          <w:szCs w:val="24"/>
          <w:lang w:val="en-ID"/>
        </w:rPr>
        <w:lastRenderedPageBreak/>
        <w:t>Islamic principles provide a distinct, faith-based understanding of human dignity, justice, and equality (Fiala-Butora 2022), yet their application within legal systems often requires reconciliation with globally accepted human rights standards.</w:t>
      </w:r>
    </w:p>
    <w:p w14:paraId="763C4986" w14:textId="0B8027FE" w:rsidR="007F5B9D" w:rsidRPr="007F5B9D" w:rsidRDefault="007F5B9D" w:rsidP="007F5B9D">
      <w:pPr>
        <w:spacing w:before="120" w:after="120"/>
        <w:ind w:left="426"/>
        <w:jc w:val="both"/>
        <w:rPr>
          <w:rFonts w:ascii="Calibri Light" w:hAnsi="Calibri Light" w:cs="Calibri Light"/>
          <w:bCs/>
          <w:sz w:val="24"/>
          <w:szCs w:val="24"/>
          <w:lang w:val="en-ID"/>
        </w:rPr>
      </w:pPr>
      <w:r w:rsidRPr="007F5B9D">
        <w:rPr>
          <w:rFonts w:ascii="Calibri Light" w:hAnsi="Calibri Light" w:cs="Calibri Light"/>
          <w:bCs/>
          <w:sz w:val="24"/>
          <w:szCs w:val="24"/>
          <w:lang w:val="en-ID"/>
        </w:rPr>
        <w:t>This study addresses a critical gap in understanding how Islamic principles, particularly those from the Qur'an, are applied within the human rights frameworks of two contrasting contexts: Egypt and Indonesia</w:t>
      </w:r>
      <w:r w:rsidR="004B5E72">
        <w:rPr>
          <w:rFonts w:ascii="Calibri Light" w:hAnsi="Calibri Light" w:cs="Calibri Light"/>
          <w:bCs/>
          <w:sz w:val="24"/>
          <w:szCs w:val="24"/>
          <w:lang w:val="en-ID"/>
        </w:rPr>
        <w:fldChar w:fldCharType="begin" w:fldLock="1"/>
      </w:r>
      <w:r w:rsidR="004B5E72">
        <w:rPr>
          <w:rFonts w:ascii="Calibri Light" w:hAnsi="Calibri Light" w:cs="Calibri Light"/>
          <w:bCs/>
          <w:sz w:val="24"/>
          <w:szCs w:val="24"/>
          <w:lang w:val="en-ID"/>
        </w:rPr>
        <w:instrText>ADDIN CSL_CITATION {"citationItems":[{"id":"ITEM-1","itemData":{"DOI":"10.23917/jurisprudence.v6i2.3012","ISSN":"2549-5615","author":[{"dropping-particle":"","family":"Nurhayati","given":"Nunik","non-dropping-particle":"","parse-names":false,"suffix":""}],"container-title":"Jurnal Jurisprudence","id":"ITEM-1","issue":"2","issued":{"date-parts":[["2017","1","7"]]},"page":"149","title":"Quo Vadis Perlindungan Hak Asasi Manusia Dalam Penyelesaian Pelanggaran HAM Berat Masa Lalu Melalui Jalur Non Yudisial","type":"article-journal","volume":"6"},"uris":["http://www.mendeley.com/documents/?uuid=bdc58f83-dfc0-4f31-9362-d85b20036ce6"]}],"mendeley":{"formattedCitation":"(Nurhayati, 2017)","plainTextFormattedCitation":"(Nurhayati, 2017)","previouslyFormattedCitation":"(Nurhayati, 2017)"},"properties":{"noteIndex":0},"schema":"https://github.com/citation-style-language/schema/raw/master/csl-citation.json"}</w:instrText>
      </w:r>
      <w:r w:rsidR="004B5E72">
        <w:rPr>
          <w:rFonts w:ascii="Calibri Light" w:hAnsi="Calibri Light" w:cs="Calibri Light"/>
          <w:bCs/>
          <w:sz w:val="24"/>
          <w:szCs w:val="24"/>
          <w:lang w:val="en-ID"/>
        </w:rPr>
        <w:fldChar w:fldCharType="separate"/>
      </w:r>
      <w:r w:rsidR="004B5E72" w:rsidRPr="004B5E72">
        <w:rPr>
          <w:rFonts w:ascii="Calibri Light" w:hAnsi="Calibri Light" w:cs="Calibri Light"/>
          <w:bCs/>
          <w:noProof/>
          <w:sz w:val="24"/>
          <w:szCs w:val="24"/>
          <w:lang w:val="en-ID"/>
        </w:rPr>
        <w:t>(Nurhayati, 2017)</w:t>
      </w:r>
      <w:r w:rsidR="004B5E72">
        <w:rPr>
          <w:rFonts w:ascii="Calibri Light" w:hAnsi="Calibri Light" w:cs="Calibri Light"/>
          <w:bCs/>
          <w:sz w:val="24"/>
          <w:szCs w:val="24"/>
          <w:lang w:val="en-ID"/>
        </w:rPr>
        <w:fldChar w:fldCharType="end"/>
      </w:r>
      <w:r w:rsidRPr="007F5B9D">
        <w:rPr>
          <w:rFonts w:ascii="Calibri Light" w:hAnsi="Calibri Light" w:cs="Calibri Light"/>
          <w:bCs/>
          <w:sz w:val="24"/>
          <w:szCs w:val="24"/>
          <w:lang w:val="en-ID"/>
        </w:rPr>
        <w:t>. While both nations ground their human rights discourse in Islamic teachings, their historical, cultural, and political differences result in distinct approaches to integrating religious principles into their legal systems</w:t>
      </w:r>
      <w:r w:rsidR="006514A3">
        <w:rPr>
          <w:rFonts w:ascii="Calibri Light" w:hAnsi="Calibri Light" w:cs="Calibri Light"/>
          <w:bCs/>
          <w:sz w:val="24"/>
          <w:szCs w:val="24"/>
          <w:lang w:val="en-ID"/>
        </w:rPr>
        <w:fldChar w:fldCharType="begin" w:fldLock="1"/>
      </w:r>
      <w:r w:rsidR="004B5E72">
        <w:rPr>
          <w:rFonts w:ascii="Calibri Light" w:hAnsi="Calibri Light" w:cs="Calibri Light"/>
          <w:bCs/>
          <w:sz w:val="24"/>
          <w:szCs w:val="24"/>
          <w:lang w:val="en-ID"/>
        </w:rPr>
        <w:instrText>ADDIN CSL_CITATION {"citationItems":[{"id":"ITEM-1","itemData":{"DOI":"10.1109/WHISPERS61460.2023.10430581","ISBN":"21586276 (ISSN); 979-835039557-0 (ISBN)","abstract":"This study has attempted to explore selected ophiolite terrain of Ladakh Himalayas using recently acquired hyperspectral data from PRISMA mission. All the earlier research works for ophiolites in Indian territory have been based either on field or geochemical approaches. This research, carried out in the framework of the joint ASI - ISRO Earth Observation Working Group (EOWG), has characterized the ophiolite section of Ladakh at Nidar region for lithology based on spectral reflectance feature and mapped the various lithological units. Furthermore, the Nidar ophiolite section dominant primary and altered mineralogy have been investigated for the serpentinization, a prominent process on Mars having potential for biogenic or abiogenic generation of methane. © 2023 IEEE.","author":[{"dropping-particle":"","family":"Chauhan","given":"M","non-dropping-particle":"","parse-names":false,"suffix":""},{"dropping-particle":"","family":"Licciardi","given":"G A","non-dropping-particle":"","parse-names":false,"suffix":""},{"dropping-particle":"","family":"Sacco","given":"P","non-dropping-particle":"","parse-names":false,"suffix":""},{"dropping-particle":"","family":"Tapete","given":"D","non-dropping-particle":"","parse-names":false,"suffix":""}],"container-title":"Workshop on Hyperspectral Image and Signal Processing, Evolution in Remote Sensing","id":"ITEM-1","issued":{"date-parts":[["2023"]]},"language":"English","note":"Export Date: 26 January 2025; Cited By: 0; Conference name: 13th Workshop on Hyperspectral Imaging and Signal Processing: Evolution in Remote Sensing, WHISPERS 2023; Conference date: 31 October 2023 through 2 November 2023; Conference code: 197436","publisher":"IEEE Computer Society","publisher-place":"Indian Institute of Remote Sensing (IIRS), Indian Space Research Organisation (ISRO), Dehradun, India","title":"Prisma Based Study of Nidar Ophiolites as Martian Analogues for Serpentinization","type":"paper-conference"},"uris":["http://www.mendeley.com/documents/?uuid=60d56416-13f7-4a96-8592-928c36096e71"]}],"mendeley":{"formattedCitation":"(Chauhan et al., 2023)","plainTextFormattedCitation":"(Chauhan et al., 2023)","previouslyFormattedCitation":"(Chauhan et al., 2023)"},"properties":{"noteIndex":0},"schema":"https://github.com/citation-style-language/schema/raw/master/csl-citation.json"}</w:instrText>
      </w:r>
      <w:r w:rsidR="006514A3">
        <w:rPr>
          <w:rFonts w:ascii="Calibri Light" w:hAnsi="Calibri Light" w:cs="Calibri Light"/>
          <w:bCs/>
          <w:sz w:val="24"/>
          <w:szCs w:val="24"/>
          <w:lang w:val="en-ID"/>
        </w:rPr>
        <w:fldChar w:fldCharType="separate"/>
      </w:r>
      <w:r w:rsidR="006514A3" w:rsidRPr="006514A3">
        <w:rPr>
          <w:rFonts w:ascii="Calibri Light" w:hAnsi="Calibri Light" w:cs="Calibri Light"/>
          <w:bCs/>
          <w:noProof/>
          <w:sz w:val="24"/>
          <w:szCs w:val="24"/>
          <w:lang w:val="en-ID"/>
        </w:rPr>
        <w:t>(Chauhan et al., 2023)</w:t>
      </w:r>
      <w:r w:rsidR="006514A3">
        <w:rPr>
          <w:rFonts w:ascii="Calibri Light" w:hAnsi="Calibri Light" w:cs="Calibri Light"/>
          <w:bCs/>
          <w:sz w:val="24"/>
          <w:szCs w:val="24"/>
          <w:lang w:val="en-ID"/>
        </w:rPr>
        <w:fldChar w:fldCharType="end"/>
      </w:r>
      <w:r w:rsidRPr="007F5B9D">
        <w:rPr>
          <w:rFonts w:ascii="Calibri Light" w:hAnsi="Calibri Light" w:cs="Calibri Light"/>
          <w:bCs/>
          <w:sz w:val="24"/>
          <w:szCs w:val="24"/>
          <w:lang w:val="en-ID"/>
        </w:rPr>
        <w:t>. Egypt combines Islamic law (Shari'ah) with secular legal traditions, leading to tensions in aligning religious values with human rights (Wahid et al. 2023). In contrast, Indonesia, the world’s largest Muslim-majority country, employs a pluralistic approach that seeks to harmonize Islamic teachings with its diverse religious and cultural composition (Nirwana, Suri, et al. 2024).</w:t>
      </w:r>
    </w:p>
    <w:p w14:paraId="01DD8DBF" w14:textId="72CC72B4" w:rsidR="007F5B9D" w:rsidRPr="007F5B9D" w:rsidRDefault="007F5B9D" w:rsidP="007F5B9D">
      <w:pPr>
        <w:spacing w:before="120" w:after="120"/>
        <w:ind w:left="426"/>
        <w:jc w:val="both"/>
        <w:rPr>
          <w:rFonts w:ascii="Calibri Light" w:hAnsi="Calibri Light" w:cs="Calibri Light"/>
          <w:bCs/>
          <w:sz w:val="24"/>
          <w:szCs w:val="24"/>
          <w:lang w:val="en-ID"/>
        </w:rPr>
      </w:pPr>
      <w:r w:rsidRPr="007F5B9D">
        <w:rPr>
          <w:rFonts w:ascii="Calibri Light" w:hAnsi="Calibri Light" w:cs="Calibri Light"/>
          <w:bCs/>
          <w:sz w:val="24"/>
          <w:szCs w:val="24"/>
          <w:lang w:val="en-ID"/>
        </w:rPr>
        <w:t>The Qur'an and Hadiths provide the foundation for Islamic contributions to human rights, emphasizing justice, equality, and dignity. For instance, Surah Al-Isra (17:70) affirms the inherent dignity of all humans, while Surah Al-Baqarah (2:177) highlights justice and the obligation to support vulnerable communities. Similarly, Prophet Muhammad’s teachings, such as his final sermon, underscore the universal and inclusive nature of human rights</w:t>
      </w:r>
      <w:r w:rsidR="004B5E72">
        <w:rPr>
          <w:rFonts w:ascii="Calibri Light" w:hAnsi="Calibri Light" w:cs="Calibri Light"/>
          <w:bCs/>
          <w:sz w:val="24"/>
          <w:szCs w:val="24"/>
          <w:lang w:val="en-ID"/>
        </w:rPr>
        <w:fldChar w:fldCharType="begin" w:fldLock="1"/>
      </w:r>
      <w:r w:rsidR="004B5E72">
        <w:rPr>
          <w:rFonts w:ascii="Calibri Light" w:hAnsi="Calibri Light" w:cs="Calibri Light"/>
          <w:bCs/>
          <w:sz w:val="24"/>
          <w:szCs w:val="24"/>
          <w:lang w:val="en-ID"/>
        </w:rPr>
        <w:instrText>ADDIN CSL_CITATION {"citationItems":[{"id":"ITEM-1","itemData":{"DOI":"10.69526/birv2i2.35","author":[{"dropping-particle":"","family":"Righayatsyah","given":"Elshadra","non-dropping-particle":"","parse-names":false,"suffix":""},{"dropping-particle":"","family":"Muhyi","given":"Asep Abdul","non-dropping-particle":"","parse-names":false,"suffix":""}],"container-title":"Bulletin of Islamic Research","id":"ITEM-1","issue":"2","issued":{"date-parts":[["2024"]]},"page":"267-288","title":"Islam dan Hak Asasi Manusia Dalam Perspektif Al- Qur ’ an : Kajian Tafsir Tematik","type":"article-journal","volume":"2"},"uris":["http://www.mendeley.com/documents/?uuid=7b391d95-d60b-4db9-90df-ee03e81ab6af"]}],"mendeley":{"formattedCitation":"(Righayatsyah &amp; Muhyi, 2024)","plainTextFormattedCitation":"(Righayatsyah &amp; Muhyi, 2024)","previouslyFormattedCitation":"(Righayatsyah &amp; Muhyi, 2024)"},"properties":{"noteIndex":0},"schema":"https://github.com/citation-style-language/schema/raw/master/csl-citation.json"}</w:instrText>
      </w:r>
      <w:r w:rsidR="004B5E72">
        <w:rPr>
          <w:rFonts w:ascii="Calibri Light" w:hAnsi="Calibri Light" w:cs="Calibri Light"/>
          <w:bCs/>
          <w:sz w:val="24"/>
          <w:szCs w:val="24"/>
          <w:lang w:val="en-ID"/>
        </w:rPr>
        <w:fldChar w:fldCharType="separate"/>
      </w:r>
      <w:r w:rsidR="004B5E72" w:rsidRPr="004B5E72">
        <w:rPr>
          <w:rFonts w:ascii="Calibri Light" w:hAnsi="Calibri Light" w:cs="Calibri Light"/>
          <w:bCs/>
          <w:noProof/>
          <w:sz w:val="24"/>
          <w:szCs w:val="24"/>
          <w:lang w:val="en-ID"/>
        </w:rPr>
        <w:t>(Righayatsyah &amp; Muhyi, 2024)</w:t>
      </w:r>
      <w:r w:rsidR="004B5E72">
        <w:rPr>
          <w:rFonts w:ascii="Calibri Light" w:hAnsi="Calibri Light" w:cs="Calibri Light"/>
          <w:bCs/>
          <w:sz w:val="24"/>
          <w:szCs w:val="24"/>
          <w:lang w:val="en-ID"/>
        </w:rPr>
        <w:fldChar w:fldCharType="end"/>
      </w:r>
      <w:r w:rsidRPr="007F5B9D">
        <w:rPr>
          <w:rFonts w:ascii="Calibri Light" w:hAnsi="Calibri Light" w:cs="Calibri Light"/>
          <w:bCs/>
          <w:sz w:val="24"/>
          <w:szCs w:val="24"/>
          <w:lang w:val="en-ID"/>
        </w:rPr>
        <w:t>. Despite this clarity, contemporary legal systems in Islamic-majority countries often face challenges in interpreting and applying these principles in alignment with international norms</w:t>
      </w:r>
      <w:r w:rsidR="004B5E72">
        <w:rPr>
          <w:rFonts w:ascii="Calibri Light" w:hAnsi="Calibri Light" w:cs="Calibri Light"/>
          <w:bCs/>
          <w:sz w:val="24"/>
          <w:szCs w:val="24"/>
          <w:lang w:val="en-ID"/>
        </w:rPr>
        <w:fldChar w:fldCharType="begin" w:fldLock="1"/>
      </w:r>
      <w:r w:rsidR="004B5E72">
        <w:rPr>
          <w:rFonts w:ascii="Calibri Light" w:hAnsi="Calibri Light" w:cs="Calibri Light"/>
          <w:bCs/>
          <w:sz w:val="24"/>
          <w:szCs w:val="24"/>
          <w:lang w:val="en-ID"/>
        </w:rPr>
        <w:instrText>ADDIN CSL_CITATION {"citationItems":[{"id":"ITEM-1","itemData":{"ISBN":"0812225015","abstract":"Differences Universal Human Rights to Human Rights in Islam raises discussion long enough to bring some of the figures, both from the West and Muslim thought which reveals the argument that human rights in the West with the human rights in Islam is different. This difference is stem from fundamental aspects, for example human rights in Eastern appear when the discrimination is based violence of the rulers against the people in Europe. While in Islam, human rights principle is stated in the Alquran and Hadith. Human Rights is a very important theme in human life. Is unavoidable Human Rights is a fundamental need for a human. The result of this research indicates that is can be divided into two categories: huqûqullah (rights of Allah), and huqûqul 'ibad (human rights). in this case of Hasan al-Banna was one Muslim leader who upholds the value of human rights in every movement to defend Islam. In his book, Majmu'atu Rasa'il has given instructions for Muslims that Islam upholds Human Rights Principles. As according to Al-Banna Human Rights regarding the right to freedom, independence and Rights Equality Rights. Al-Banna also upholds the values of women's rights.","author":[{"dropping-particle":"","family":"Fadhil","given":"Muhammad","non-dropping-particle":"","parse-names":false,"suffix":""}],"container-title":"Jurnal Online Studi Al-Qur'an","id":"ITEM-1","issue":"2","issued":{"date-parts":[["2022"]]},"number-of-pages":"219-234","publisher":"PTIQ Jakarta","title":"Hak Asasi Manusia dalam Perspektif Al-Qur'an (Studi Analisis Tafsir Al-Maraghi)","type":"thesis","volume":"15"},"uris":["http://www.mendeley.com/documents/?uuid=a112fa8a-51e3-4e2b-9c32-0a9e735451ec"]}],"mendeley":{"formattedCitation":"(Fadhil, 2022)","plainTextFormattedCitation":"(Fadhil, 2022)","previouslyFormattedCitation":"(Fadhil, 2022)"},"properties":{"noteIndex":0},"schema":"https://github.com/citation-style-language/schema/raw/master/csl-citation.json"}</w:instrText>
      </w:r>
      <w:r w:rsidR="004B5E72">
        <w:rPr>
          <w:rFonts w:ascii="Calibri Light" w:hAnsi="Calibri Light" w:cs="Calibri Light"/>
          <w:bCs/>
          <w:sz w:val="24"/>
          <w:szCs w:val="24"/>
          <w:lang w:val="en-ID"/>
        </w:rPr>
        <w:fldChar w:fldCharType="separate"/>
      </w:r>
      <w:r w:rsidR="004B5E72" w:rsidRPr="004B5E72">
        <w:rPr>
          <w:rFonts w:ascii="Calibri Light" w:hAnsi="Calibri Light" w:cs="Calibri Light"/>
          <w:bCs/>
          <w:noProof/>
          <w:sz w:val="24"/>
          <w:szCs w:val="24"/>
          <w:lang w:val="en-ID"/>
        </w:rPr>
        <w:t>(Fadhil, 2022)</w:t>
      </w:r>
      <w:r w:rsidR="004B5E72">
        <w:rPr>
          <w:rFonts w:ascii="Calibri Light" w:hAnsi="Calibri Light" w:cs="Calibri Light"/>
          <w:bCs/>
          <w:sz w:val="24"/>
          <w:szCs w:val="24"/>
          <w:lang w:val="en-ID"/>
        </w:rPr>
        <w:fldChar w:fldCharType="end"/>
      </w:r>
      <w:r w:rsidRPr="007F5B9D">
        <w:rPr>
          <w:rFonts w:ascii="Calibri Light" w:hAnsi="Calibri Light" w:cs="Calibri Light"/>
          <w:bCs/>
          <w:sz w:val="24"/>
          <w:szCs w:val="24"/>
          <w:lang w:val="en-ID"/>
        </w:rPr>
        <w:t>. Key issues such as gender equality, freedom of expression, and minority rights remain contentious, reflecting broader tensions between traditional religious values and global human rights standards (Arfan et al. 2024; Nur Hidayah et al. 2023).</w:t>
      </w:r>
    </w:p>
    <w:p w14:paraId="2B9399CD" w14:textId="2EE75F43" w:rsidR="008C45DE" w:rsidRPr="00017625" w:rsidRDefault="007F5B9D" w:rsidP="00017625">
      <w:pPr>
        <w:spacing w:before="120" w:after="120"/>
        <w:ind w:left="426"/>
        <w:jc w:val="both"/>
        <w:rPr>
          <w:rFonts w:ascii="Calibri Light" w:hAnsi="Calibri Light" w:cs="Calibri Light"/>
          <w:bCs/>
          <w:sz w:val="24"/>
          <w:szCs w:val="24"/>
          <w:lang w:val="en-ID"/>
        </w:rPr>
      </w:pPr>
      <w:r w:rsidRPr="007F5B9D">
        <w:rPr>
          <w:rFonts w:ascii="Calibri Light" w:hAnsi="Calibri Light" w:cs="Calibri Light"/>
          <w:bCs/>
          <w:sz w:val="24"/>
          <w:szCs w:val="24"/>
          <w:lang w:val="en-ID"/>
        </w:rPr>
        <w:t>To explore these complexities, this study adopts a qualitative approach guided by the PRISMA framework. By systematically reviewing legal texts, case studies, and scholarly interpretations, it examines how Egypt and Indonesia integrate Qur'anic principles into their human rights frameworks</w:t>
      </w:r>
      <w:r w:rsidR="004B5E72">
        <w:rPr>
          <w:rFonts w:ascii="Calibri Light" w:hAnsi="Calibri Light" w:cs="Calibri Light"/>
          <w:bCs/>
          <w:sz w:val="24"/>
          <w:szCs w:val="24"/>
          <w:lang w:val="en-ID"/>
        </w:rPr>
        <w:fldChar w:fldCharType="begin" w:fldLock="1"/>
      </w:r>
      <w:r w:rsidR="004B5E72">
        <w:rPr>
          <w:rFonts w:ascii="Calibri Light" w:hAnsi="Calibri Light" w:cs="Calibri Light"/>
          <w:bCs/>
          <w:sz w:val="24"/>
          <w:szCs w:val="24"/>
          <w:lang w:val="en-ID"/>
        </w:rPr>
        <w:instrText>ADDIN CSL_CITATION {"citationItems":[{"id":"ITEM-1","itemData":{"DOI":"10.37635/jnalsu.28(3).2021.27-35","ISSN":"19930909 (ISSN)","abstract":"At present, both the international and the regional levels of human rights protection lack an express definition of the positive obligation of states to protect human rights. Similarly, the doctrine lacks a unified opinion regarding this concept. For quite a long time, human rights were considered as such that give rise to so-called negative obligations of states to refrain from human rights violations. However, with the development of international human rights law, it is increasingly recognised that human rights also give rise to positive obligations of the state to take active measures to ensure these rights. Such obligations usually derive from international human rights treaties or from the interpretation of international judicial bodies that monitor the implementation of corresponding international treaties. Therefore, it is crucial for the doctrine and practice of international law in the field of human rights protection to analyse the positive obligations of the state, which are consolidated in international treaties and the practice of international judicial bodies. The purpose of this study is to analyse human rights and positive obligations of the state in the context of regional mechanisms for the protection of human rights. Among the general scientific methods, the study used the analysis and synthesis, as well as deduction, induction, prediction, modeling, analogy and other general scientific methods. A thorough study of the positive obligations of the state would be impossible even without the use of special methods of study and cognition, which include comparative legal, historical and legal, technical, and structural-functional methods. In particular, one of the leading research methods was the comparative legal method, which was used to study the practice of regional mechanisms for the protection of human rights. The study provides an overview of the modern interpretation of positive obligations of states. Specifically, this study focuses on the practice of the European, Inter-American and African Human Rights Courts in the context of applying the state's positive obligations. © 2021, National Academy of Legal Sciences of Ukraine. All rights reserved.","author":[{"dropping-particle":"","family":"Kovalchuk","given":"V B","non-dropping-particle":"","parse-names":false,"suffix":""},{"dropping-particle":"","family":"Zharovska","given":"I M","non-dropping-particle":"","parse-names":false,"suffix":""},{"dropping-particle":"","family":"Gutiv","given":"B I","non-dropping-particle":"","parse-names":false,"suffix":""},{"dropping-particle":"","family":"Melnychenko","given":"B B","non-dropping-particle":"","parse-names":false,"suffix":""},{"dropping-particle":"","family":"Panchuk","given":"I O","non-dropping-particle":"","parse-names":false,"suffix":""}],"container-title":"Journal of the National Academy of Legal Sciences of Ukraine","id":"ITEM-1","issue":"3","issued":{"date-parts":[["2021"]]},"language":"English","page":"27-35","publisher":"National Academy of Legal Sciences of Ukraine","publisher-place":"Department of Theory and Philosophy of Law, Constitutional and International Law Lviv Polytechnic National University, Lviv, Ukraine","title":"Human rights and positive obligations of the state","type":"article-journal","volume":"28"},"uris":["http://www.mendeley.com/documents/?uuid=e28e29a1-f259-42b5-8115-06ab7a529333"]}],"mendeley":{"formattedCitation":"(Kovalchuk et al., 2021)","plainTextFormattedCitation":"(Kovalchuk et al., 2021)","previouslyFormattedCitation":"(Kovalchuk et al., 2021)"},"properties":{"noteIndex":0},"schema":"https://github.com/citation-style-language/schema/raw/master/csl-citation.json"}</w:instrText>
      </w:r>
      <w:r w:rsidR="004B5E72">
        <w:rPr>
          <w:rFonts w:ascii="Calibri Light" w:hAnsi="Calibri Light" w:cs="Calibri Light"/>
          <w:bCs/>
          <w:sz w:val="24"/>
          <w:szCs w:val="24"/>
          <w:lang w:val="en-ID"/>
        </w:rPr>
        <w:fldChar w:fldCharType="separate"/>
      </w:r>
      <w:r w:rsidR="004B5E72" w:rsidRPr="004B5E72">
        <w:rPr>
          <w:rFonts w:ascii="Calibri Light" w:hAnsi="Calibri Light" w:cs="Calibri Light"/>
          <w:bCs/>
          <w:noProof/>
          <w:sz w:val="24"/>
          <w:szCs w:val="24"/>
          <w:lang w:val="en-ID"/>
        </w:rPr>
        <w:t>(Kovalchuk et al., 2021)</w:t>
      </w:r>
      <w:r w:rsidR="004B5E72">
        <w:rPr>
          <w:rFonts w:ascii="Calibri Light" w:hAnsi="Calibri Light" w:cs="Calibri Light"/>
          <w:bCs/>
          <w:sz w:val="24"/>
          <w:szCs w:val="24"/>
          <w:lang w:val="en-ID"/>
        </w:rPr>
        <w:fldChar w:fldCharType="end"/>
      </w:r>
      <w:r w:rsidRPr="007F5B9D">
        <w:rPr>
          <w:rFonts w:ascii="Calibri Light" w:hAnsi="Calibri Light" w:cs="Calibri Light"/>
          <w:bCs/>
          <w:sz w:val="24"/>
          <w:szCs w:val="24"/>
          <w:lang w:val="en-ID"/>
        </w:rPr>
        <w:t>. The research aims to fill a significant gap in the literature, providing insights into the interplay of Islamic principles and human rights in these countries</w:t>
      </w:r>
      <w:r w:rsidR="004B5E72">
        <w:rPr>
          <w:rFonts w:ascii="Calibri Light" w:hAnsi="Calibri Light" w:cs="Calibri Light"/>
          <w:bCs/>
          <w:sz w:val="24"/>
          <w:szCs w:val="24"/>
          <w:lang w:val="en-ID"/>
        </w:rPr>
        <w:fldChar w:fldCharType="begin" w:fldLock="1"/>
      </w:r>
      <w:r w:rsidR="004B5E72">
        <w:rPr>
          <w:rFonts w:ascii="Calibri Light" w:hAnsi="Calibri Light" w:cs="Calibri Light"/>
          <w:bCs/>
          <w:sz w:val="24"/>
          <w:szCs w:val="24"/>
          <w:lang w:val="en-ID"/>
        </w:rPr>
        <w:instrText>ADDIN CSL_CITATION {"citationItems":[{"id":"ITEM-1","itemData":{"DOI":"10.23917/laj.v8i1.1693","ISSN":"2549-8282","abstract":"Penelitian ini bertujuan untuk mengkaji kebijakan Perum Perhutani KPH Saradan dalam mengadopsi kebijakan Pengelolaan Hutan Bersama Masyarakat (PHBM) sebagai kebijakan kehutanan dengan pendekatan baru, yaitu meningkatkan kesejahteraan masyarakat yang tinggal di sekitar hutan dan sekaligus melestarikan hutan. Penelitian ini merupakan penelitian non-doktrinal dengan pendekatan kualitatif, yaitu sesuatu dilihat dari sudut pandang orang yang diteliti (informan). Lokasi penelitian berada di wilayah kerja Perum Perhutani KPH Saradan. Jenis data dalam penelitian ini terdiri dari data primer dan data sekunder. Data primer diperoleh dari wawancara dengan responden yang diambil dengan metode purposive sampling dan dianalisis dengan analisis kualitatif. Berdasarkan hasil penelitian dan diskusi, dapat disimpulkan bahwa kebijakan PHBM memiliki tujuh tujuan, yaitu: perencanaan dan pelaksanaan kegiatan yang lebih fleksibel, peningkatan tanggung jawab Perum Perhutani (KPH Saradan) terhadap keberlanjutan fungsi dan manfaat hutan, peningkatan peran dan akses masyarakat desa hutan (MDH) dan pemangku kepentingan pengelolaan SDH, penyesuaian PHBM dengan pembangunan daerah, peningkatan sinergi dengan Pemerintah, peningkatan usaha produktif sehingga masyarakat mandiri dan mendukung peningkatan Indeks Pembangunan Manusia (IPM). Implementasi kebijakan PHBM dalam konsepnya adalah pengelolaan hutan bersama masyarakat, yaitu prinsip kerjasama, pengelolaan bersama, dan tanggung jawab bersama. Kebijakan dengan pendekatan kesejahteraan ini juga mengambil jalur kesediaan untuk berbagi hasil hutan kayu dan non-kayu dengan masyarakat Desa Hutan (MDH) yang sebelumnya telah dilakukan dan memiliki konsep pertanian di area hutan sehingga hutan dapat dimanfaatkan untuk kesejahteraan tanpa menyebabkan kerusakan hutan. Kata Kunci: Kehutanan, Kebijakan, Saradan, Kesejahteraan This study aims to examine the policies of Perum Perhutani KPH Saradan adopting the Community Forest Management (PHBM) policy as a forestry policy with a new approach, namely increasing the welfare of the people living around the forest and preserving forests on the other hand. This research is a non-doctrinal research with a qualitative approach, that is, something is seen from the point of view of the person being studied (informant). The research location is in the working area of Perum Perhutani KPH Saradan. The type of data in this study consists of primary data and secondary data. Primary data obtained from interviews…","author":[{"dropping-particle":"","family":"Budiono","given":"Arief","non-dropping-particle":"","parse-names":false,"suffix":""},{"dropping-particle":"","family":"M Junaidi","given":"","non-dropping-particle":"","parse-names":false,"suffix":""},{"dropping-particle":"","family":"Rizka","given":"Rizka","non-dropping-particle":"","parse-names":false,"suffix":""},{"dropping-particle":"","family":"Jan Alizea Sybelle","given":"","non-dropping-particle":"","parse-names":false,"suffix":""},{"dropping-particle":"","family":"Samudera","given":"Kiki","non-dropping-particle":"","parse-names":false,"suffix":""},{"dropping-particle":"","family":"Ichsan","given":"Iqbal Muhammad","non-dropping-particle":"","parse-names":false,"suffix":""}],"container-title":"Law and Justice","id":"ITEM-1","issue":"1","issued":{"date-parts":[["2023","12","19"]]},"page":"95-110","title":"Legal Policies on Welfare Approaches in Forest Management in Indonesia: : Policy Study at Perum Perhutani KPH Saradan","type":"article-journal","volume":"8"},"uris":["http://www.mendeley.com/documents/?uuid=476f9239-f763-46f5-a8f5-9d82d816efde"]}],"mendeley":{"formattedCitation":"(Budiono et al., 2023)","plainTextFormattedCitation":"(Budiono et al., 2023)","previouslyFormattedCitation":"(Budiono et al., 2023)"},"properties":{"noteIndex":0},"schema":"https://github.com/citation-style-language/schema/raw/master/csl-citation.json"}</w:instrText>
      </w:r>
      <w:r w:rsidR="004B5E72">
        <w:rPr>
          <w:rFonts w:ascii="Calibri Light" w:hAnsi="Calibri Light" w:cs="Calibri Light"/>
          <w:bCs/>
          <w:sz w:val="24"/>
          <w:szCs w:val="24"/>
          <w:lang w:val="en-ID"/>
        </w:rPr>
        <w:fldChar w:fldCharType="separate"/>
      </w:r>
      <w:r w:rsidR="004B5E72" w:rsidRPr="004B5E72">
        <w:rPr>
          <w:rFonts w:ascii="Calibri Light" w:hAnsi="Calibri Light" w:cs="Calibri Light"/>
          <w:bCs/>
          <w:noProof/>
          <w:sz w:val="24"/>
          <w:szCs w:val="24"/>
          <w:lang w:val="en-ID"/>
        </w:rPr>
        <w:t>(Budiono et al., 2023)</w:t>
      </w:r>
      <w:r w:rsidR="004B5E72">
        <w:rPr>
          <w:rFonts w:ascii="Calibri Light" w:hAnsi="Calibri Light" w:cs="Calibri Light"/>
          <w:bCs/>
          <w:sz w:val="24"/>
          <w:szCs w:val="24"/>
          <w:lang w:val="en-ID"/>
        </w:rPr>
        <w:fldChar w:fldCharType="end"/>
      </w:r>
      <w:r w:rsidRPr="007F5B9D">
        <w:rPr>
          <w:rFonts w:ascii="Calibri Light" w:hAnsi="Calibri Light" w:cs="Calibri Light"/>
          <w:bCs/>
          <w:sz w:val="24"/>
          <w:szCs w:val="24"/>
          <w:lang w:val="en-ID"/>
        </w:rPr>
        <w:t>. This analysis offers valuable contributions for scholars, policymakers, and practitioners engaged in understanding the dynamic relationship between religion and law in Muslim-majority societies.</w:t>
      </w:r>
    </w:p>
    <w:p w14:paraId="588016E7"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44FB8D0F" w14:textId="218D3934" w:rsidR="00672ECC" w:rsidRDefault="00672ECC" w:rsidP="00615265">
      <w:pPr>
        <w:pStyle w:val="NormalWeb"/>
        <w:ind w:left="426"/>
        <w:jc w:val="both"/>
        <w:rPr>
          <w:rFonts w:ascii="Calibri Light" w:hAnsi="Calibri Light" w:cs="Calibri Light"/>
          <w:lang w:val="en-ID" w:eastAsia="en-ID"/>
        </w:rPr>
      </w:pPr>
      <w:r w:rsidRPr="00672ECC">
        <w:rPr>
          <w:rFonts w:ascii="Calibri Light" w:hAnsi="Calibri Light" w:cs="Calibri Light"/>
          <w:lang w:val="en-ID" w:eastAsia="en-ID"/>
        </w:rPr>
        <w:t>The methodology for this study is designed to provide a comprehensive and structured approach to analyzing the integration of Qur'anic principles with human rights law in Egypt and Indonesia. To ensure rigor and transparency, the study uses the PRISMA (Preferred Reporting Items for Systematic Reviews and Meta-Analyses) framework. The PRISMA framework, originally developed for systematic reviews and meta-analyses, is particularly useful in organizing the research process by providing a step-by-step guide to identify, screen, and select relevant sources</w:t>
      </w:r>
      <w:r w:rsidR="004B5E72">
        <w:rPr>
          <w:rFonts w:ascii="Calibri Light" w:hAnsi="Calibri Light" w:cs="Calibri Light"/>
          <w:lang w:val="en-ID" w:eastAsia="en-ID"/>
        </w:rPr>
        <w:fldChar w:fldCharType="begin" w:fldLock="1"/>
      </w:r>
      <w:r w:rsidR="004B5E72">
        <w:rPr>
          <w:rFonts w:ascii="Calibri Light" w:hAnsi="Calibri Light" w:cs="Calibri Light"/>
          <w:lang w:val="en-ID" w:eastAsia="en-ID"/>
        </w:rPr>
        <w:instrText>ADDIN CSL_CITATION {"citationItems":[{"id":"ITEM-1","itemData":{"DOI":"10.23917/mier.v1i1.2674","ISSN":"3025-8839","abstract":"One of the most discussed topics in today’s society is the issue of widows’ proper rights and status. This research paper investigates the rights and status of widows within the framework of Islamic education in the context of Bangladesh using qualitative methods. It included the Qur’an, Hadith, and various forms of research. Islam has given them a detailed discussion of their rights and dignity just like any other woman. Widows often face unique challenges and social stigmatization in various societies, and this study focuses on understanding their rights and status as prescribed by Islamic teachings and the extent to which these teachings are implemented within the realm of Islamic education. Bangladesh government has fixed some allowance for them which is very little. No steps have been taken to increase employment to make them economically prosperous. This paper contributes to the ongoing discourse on women’s rights within an Islamic context and highlights the significance of integrating such discussions within the education system for tangible societal transformation.","author":[{"dropping-particle":"","family":"Mahmudulhassan","given":"M","non-dropping-particle":"","parse-names":false,"suffix":""},{"dropping-particle":"","family":"Waston","given":"W","non-dropping-particle":"","parse-names":false,"suffix":""},{"dropping-particle":"","family":"Nirwana AN","given":"Andri","non-dropping-particle":"","parse-names":false,"suffix":""}],"container-title":"Multicultural Islamic Education Review","id":"ITEM-1","issue":"1","issued":{"date-parts":[["2023","9","23"]]},"page":"01-14","title":"The Rights and Status of Widows in Islam: A Study from the Perspective of Multicultural Islamic Education in the Context of Bangladesh","type":"article-journal","volume":"1"},"uris":["http://www.mendeley.com/documents/?uuid=ce703250-e817-4c50-a1c4-0ad0be358819"]}],"mendeley":{"formattedCitation":"(Mahmudulhassan et al., 2023)","plainTextFormattedCitation":"(Mahmudulhassan et al., 2023)","previouslyFormattedCitation":"(Mahmudulhassan et al., 2023)"},"properties":{"noteIndex":0},"schema":"https://github.com/citation-style-language/schema/raw/master/csl-citation.json"}</w:instrText>
      </w:r>
      <w:r w:rsidR="004B5E72">
        <w:rPr>
          <w:rFonts w:ascii="Calibri Light" w:hAnsi="Calibri Light" w:cs="Calibri Light"/>
          <w:lang w:val="en-ID" w:eastAsia="en-ID"/>
        </w:rPr>
        <w:fldChar w:fldCharType="separate"/>
      </w:r>
      <w:r w:rsidR="004B5E72" w:rsidRPr="004B5E72">
        <w:rPr>
          <w:rFonts w:ascii="Calibri Light" w:hAnsi="Calibri Light" w:cs="Calibri Light"/>
          <w:noProof/>
          <w:lang w:val="en-ID" w:eastAsia="en-ID"/>
        </w:rPr>
        <w:t>(Mahmudulhassan et al., 2023)</w:t>
      </w:r>
      <w:r w:rsidR="004B5E72">
        <w:rPr>
          <w:rFonts w:ascii="Calibri Light" w:hAnsi="Calibri Light" w:cs="Calibri Light"/>
          <w:lang w:val="en-ID" w:eastAsia="en-ID"/>
        </w:rPr>
        <w:fldChar w:fldCharType="end"/>
      </w:r>
      <w:r w:rsidRPr="00672ECC">
        <w:rPr>
          <w:rFonts w:ascii="Calibri Light" w:hAnsi="Calibri Light" w:cs="Calibri Light"/>
          <w:lang w:val="en-ID" w:eastAsia="en-ID"/>
        </w:rPr>
        <w:t xml:space="preserve">. In the context of this study, PRISMA allows for a systematic examination of legal texts, academic articles, case studies, and other pertinent sources, ensuring that the analysis remains objective, comprehensive, and well-documented </w:t>
      </w:r>
      <w:r w:rsidR="00A526EF">
        <w:rPr>
          <w:rFonts w:ascii="Calibri Light" w:hAnsi="Calibri Light" w:cs="Calibri Light"/>
          <w:lang w:val="en-ID" w:eastAsia="en-ID"/>
        </w:rPr>
        <w:fldChar w:fldCharType="begin" w:fldLock="1"/>
      </w:r>
      <w:r w:rsidR="006514A3">
        <w:rPr>
          <w:rFonts w:ascii="Calibri Light" w:hAnsi="Calibri Light" w:cs="Calibri Light"/>
          <w:lang w:val="en-ID" w:eastAsia="en-ID"/>
        </w:rPr>
        <w:instrText>ADDIN CSL_CITATION {"citationItems":[{"id":"ITEM-1","itemData":{"DOI":"10.1111/jola.12415","ISSN":"10551360 (ISSN)","abstract":"This article analyzes institutions as sites for political and social change by looking beyond regimentation and fixedness as the central discursive features of institutionalization. Drawing on research at the European Court of Human Rights—one of the world's most extensive human rights courts—I analyze how human rights actors redeploy normative institutional logics through creative approaches to institutional categories. I argue that lawyers and advocates working within the Court and Convention system naturalize and fix boundaries of law and politics and use that distinction to activate an excess of potential meanings and intertextual connections in legal judgments. This involves using institutional affordances to keep cases open and structure collaborative waiting. These strategies allow people to mutually inhabit open-ended relationships to texts in intentional ways. In so doing, lawyers and activists defer resolving legal judgments—until new coalitions take political power, there are generational shifts in attitudes or shifts in geopolitical power arrangements that render state actors subject to diplomatic pressure. Analyzing how people improvise, learn, and teach others to manage institutional channels and excess opens up the black box of institutionality as a site for social transformation. © 2024 American Anthropological Association.","author":[{"dropping-particle":"","family":"Greenberg","given":"J R","non-dropping-particle":"","parse-names":false,"suffix":""}],"container-title":"Journal of Linguistic Anthropology","id":"ITEM-1","issue":"1","issued":{"date-parts":[["2024"]]},"language":"English","page":"45-65","publisher":"John Wiley and Sons Inc","publisher-place":"University of Illinois at Urbana–Champaign, Urbana, IL, United States","title":"Justice suspended: Rethinking institutions, regimentation, and channels from a human rights law perspective","type":"article-journal","volume":"34"},"uris":["http://www.mendeley.com/documents/?uuid=b61dcee6-2dce-4145-9e80-1dfd2428814d"]}],"mendeley":{"formattedCitation":"(Greenberg, 2024)","plainTextFormattedCitation":"(Greenberg, 2024)","previouslyFormattedCitation":"(Greenberg, 2024)"},"properties":{"noteIndex":0},"schema":"https://github.com/citation-style-language/schema/raw/master/csl-citation.json"}</w:instrText>
      </w:r>
      <w:r w:rsidR="00A526EF">
        <w:rPr>
          <w:rFonts w:ascii="Calibri Light" w:hAnsi="Calibri Light" w:cs="Calibri Light"/>
          <w:lang w:val="en-ID" w:eastAsia="en-ID"/>
        </w:rPr>
        <w:fldChar w:fldCharType="separate"/>
      </w:r>
      <w:r w:rsidR="006514A3" w:rsidRPr="006514A3">
        <w:rPr>
          <w:rFonts w:ascii="Calibri Light" w:hAnsi="Calibri Light" w:cs="Calibri Light"/>
          <w:noProof/>
          <w:lang w:val="en-ID" w:eastAsia="en-ID"/>
        </w:rPr>
        <w:t>(Greenberg, 2024)</w:t>
      </w:r>
      <w:r w:rsidR="00A526EF">
        <w:rPr>
          <w:rFonts w:ascii="Calibri Light" w:hAnsi="Calibri Light" w:cs="Calibri Light"/>
          <w:lang w:val="en-ID" w:eastAsia="en-ID"/>
        </w:rPr>
        <w:fldChar w:fldCharType="end"/>
      </w:r>
      <w:r w:rsidRPr="00672ECC">
        <w:rPr>
          <w:rFonts w:ascii="Calibri Light" w:hAnsi="Calibri Light" w:cs="Calibri Light"/>
          <w:lang w:val="en-ID" w:eastAsia="en-ID"/>
        </w:rPr>
        <w:t>.</w:t>
      </w:r>
    </w:p>
    <w:p w14:paraId="07994504" w14:textId="77777777" w:rsidR="00EA4E48" w:rsidRDefault="00EA4E48" w:rsidP="00615265">
      <w:pPr>
        <w:pStyle w:val="NormalWeb"/>
        <w:ind w:left="426"/>
        <w:jc w:val="both"/>
        <w:rPr>
          <w:rFonts w:ascii="Calibri Light" w:hAnsi="Calibri Light" w:cs="Calibri Light"/>
          <w:lang w:val="en-ID" w:eastAsia="en-ID"/>
        </w:rPr>
      </w:pPr>
    </w:p>
    <w:p w14:paraId="427CE031" w14:textId="77777777" w:rsidR="00B8520B" w:rsidRDefault="00B8520B" w:rsidP="00615265">
      <w:pPr>
        <w:pStyle w:val="NormalWeb"/>
        <w:ind w:left="426"/>
        <w:jc w:val="both"/>
        <w:rPr>
          <w:rFonts w:ascii="Calibri Light" w:hAnsi="Calibri Light" w:cs="Calibri Light"/>
          <w:lang w:val="en-ID" w:eastAsia="en-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769"/>
      </w:tblGrid>
      <w:tr w:rsidR="009B4065" w:rsidRPr="009B4065" w14:paraId="267185B9" w14:textId="77777777" w:rsidTr="00867428">
        <w:tc>
          <w:tcPr>
            <w:tcW w:w="2235" w:type="dxa"/>
          </w:tcPr>
          <w:p w14:paraId="4BB18773" w14:textId="77777777" w:rsidR="009B4065" w:rsidRPr="009B4065" w:rsidRDefault="009B4065" w:rsidP="009B4065">
            <w:pPr>
              <w:pStyle w:val="NormalWeb"/>
              <w:ind w:left="426"/>
              <w:jc w:val="both"/>
              <w:rPr>
                <w:rFonts w:ascii="Calibri Light" w:hAnsi="Calibri Light" w:cs="Calibri Light"/>
                <w:b/>
                <w:bCs/>
                <w:lang w:val="en-ID" w:eastAsia="en-ID"/>
              </w:rPr>
            </w:pPr>
            <w:r w:rsidRPr="009B4065">
              <w:rPr>
                <w:rFonts w:ascii="Calibri Light" w:hAnsi="Calibri Light" w:cs="Calibri Light"/>
                <w:b/>
                <w:bCs/>
                <w:lang w:val="en-ID" w:eastAsia="en-ID"/>
              </w:rPr>
              <w:t>Database</w:t>
            </w:r>
          </w:p>
        </w:tc>
        <w:tc>
          <w:tcPr>
            <w:tcW w:w="6769" w:type="dxa"/>
          </w:tcPr>
          <w:p w14:paraId="74A62F4D" w14:textId="77777777" w:rsidR="009B4065" w:rsidRPr="009B4065" w:rsidRDefault="009B4065" w:rsidP="009B4065">
            <w:pPr>
              <w:pStyle w:val="NormalWeb"/>
              <w:ind w:left="426"/>
              <w:jc w:val="both"/>
              <w:rPr>
                <w:rFonts w:ascii="Calibri Light" w:hAnsi="Calibri Light" w:cs="Calibri Light"/>
                <w:b/>
                <w:bCs/>
                <w:lang w:val="en-ID" w:eastAsia="en-ID"/>
              </w:rPr>
            </w:pPr>
            <w:r w:rsidRPr="009B4065">
              <w:rPr>
                <w:rFonts w:ascii="Calibri Light" w:hAnsi="Calibri Light" w:cs="Calibri Light"/>
                <w:b/>
                <w:bCs/>
                <w:lang w:val="en-ID" w:eastAsia="en-ID"/>
              </w:rPr>
              <w:t>Search String</w:t>
            </w:r>
          </w:p>
        </w:tc>
      </w:tr>
      <w:tr w:rsidR="009B4065" w:rsidRPr="009B4065" w14:paraId="5FC016BF" w14:textId="77777777" w:rsidTr="00867428">
        <w:tc>
          <w:tcPr>
            <w:tcW w:w="2235" w:type="dxa"/>
          </w:tcPr>
          <w:p w14:paraId="6C23E1A5" w14:textId="77777777" w:rsidR="009B4065" w:rsidRPr="009B4065" w:rsidRDefault="009B4065" w:rsidP="009B4065">
            <w:pPr>
              <w:pStyle w:val="NormalWeb"/>
              <w:ind w:left="426"/>
              <w:jc w:val="both"/>
              <w:rPr>
                <w:rFonts w:ascii="Calibri Light" w:hAnsi="Calibri Light" w:cs="Calibri Light"/>
                <w:lang w:val="en-ID" w:eastAsia="en-ID"/>
              </w:rPr>
            </w:pPr>
            <w:bookmarkStart w:id="0" w:name="_Hlk187681282"/>
          </w:p>
          <w:p w14:paraId="3794762C" w14:textId="77777777" w:rsidR="009B4065" w:rsidRPr="009B4065" w:rsidRDefault="009B4065" w:rsidP="009B4065">
            <w:pPr>
              <w:pStyle w:val="NormalWeb"/>
              <w:ind w:left="426"/>
              <w:jc w:val="both"/>
              <w:rPr>
                <w:rFonts w:ascii="Calibri Light" w:hAnsi="Calibri Light" w:cs="Calibri Light"/>
                <w:lang w:val="en-ID" w:eastAsia="en-ID"/>
              </w:rPr>
            </w:pPr>
          </w:p>
          <w:p w14:paraId="558639F1" w14:textId="77777777" w:rsidR="009B4065" w:rsidRPr="009B4065" w:rsidRDefault="009B4065" w:rsidP="009B4065">
            <w:pPr>
              <w:pStyle w:val="NormalWeb"/>
              <w:ind w:left="426"/>
              <w:jc w:val="both"/>
              <w:rPr>
                <w:rFonts w:ascii="Calibri Light" w:hAnsi="Calibri Light" w:cs="Calibri Light"/>
                <w:lang w:val="en-ID" w:eastAsia="en-ID"/>
              </w:rPr>
            </w:pPr>
          </w:p>
          <w:p w14:paraId="1969C917" w14:textId="77777777" w:rsidR="009B4065" w:rsidRPr="009B4065" w:rsidRDefault="009B4065" w:rsidP="009B4065">
            <w:pPr>
              <w:pStyle w:val="NormalWeb"/>
              <w:ind w:left="426"/>
              <w:jc w:val="both"/>
              <w:rPr>
                <w:rFonts w:ascii="Calibri Light" w:hAnsi="Calibri Light" w:cs="Calibri Light"/>
                <w:lang w:val="en-ID" w:eastAsia="en-ID"/>
              </w:rPr>
            </w:pPr>
          </w:p>
          <w:p w14:paraId="0A543879" w14:textId="77777777" w:rsidR="009B4065" w:rsidRPr="009B4065" w:rsidRDefault="009B4065" w:rsidP="009B4065">
            <w:pPr>
              <w:pStyle w:val="NormalWeb"/>
              <w:ind w:left="426"/>
              <w:jc w:val="both"/>
              <w:rPr>
                <w:rFonts w:ascii="Calibri Light" w:hAnsi="Calibri Light" w:cs="Calibri Light"/>
                <w:lang w:val="en-ID" w:eastAsia="en-ID"/>
              </w:rPr>
            </w:pPr>
          </w:p>
          <w:p w14:paraId="5C072783" w14:textId="77777777" w:rsidR="009B4065" w:rsidRPr="009B4065" w:rsidRDefault="009B4065" w:rsidP="009B4065">
            <w:pPr>
              <w:pStyle w:val="NormalWeb"/>
              <w:ind w:left="426"/>
              <w:jc w:val="both"/>
              <w:rPr>
                <w:rFonts w:ascii="Calibri Light" w:hAnsi="Calibri Light" w:cs="Calibri Light"/>
                <w:b/>
                <w:bCs/>
                <w:lang w:val="en-ID" w:eastAsia="en-ID"/>
              </w:rPr>
            </w:pPr>
            <w:bookmarkStart w:id="1" w:name="_Hlk187680962"/>
            <w:r w:rsidRPr="009B4065">
              <w:rPr>
                <w:rFonts w:ascii="Calibri Light" w:hAnsi="Calibri Light" w:cs="Calibri Light"/>
                <w:b/>
                <w:bCs/>
                <w:lang w:val="en-ID" w:eastAsia="en-ID"/>
              </w:rPr>
              <w:t>Scopus</w:t>
            </w:r>
            <w:bookmarkEnd w:id="1"/>
          </w:p>
        </w:tc>
        <w:tc>
          <w:tcPr>
            <w:tcW w:w="6769" w:type="dxa"/>
          </w:tcPr>
          <w:p w14:paraId="1983B737" w14:textId="77777777" w:rsidR="009B4065" w:rsidRPr="009B4065" w:rsidRDefault="009B4065" w:rsidP="009B4065">
            <w:pPr>
              <w:pStyle w:val="NormalWeb"/>
              <w:ind w:left="426"/>
              <w:jc w:val="both"/>
              <w:rPr>
                <w:rFonts w:ascii="Calibri Light" w:hAnsi="Calibri Light" w:cs="Calibri Light"/>
                <w:lang w:eastAsia="en-ID"/>
              </w:rPr>
            </w:pPr>
            <w:bookmarkStart w:id="2" w:name="_Hlk187681368"/>
            <w:bookmarkStart w:id="3" w:name="_Hlk187768655"/>
            <w:r w:rsidRPr="009B4065">
              <w:rPr>
                <w:rFonts w:ascii="Calibri Light" w:hAnsi="Calibri Light" w:cs="Calibri Light"/>
                <w:lang w:eastAsia="en-ID"/>
              </w:rPr>
              <w:t xml:space="preserve">TITLE-ABS-KEY ( "Islam"  AND  "Modern Human Rights" )  </w:t>
            </w:r>
            <w:bookmarkEnd w:id="2"/>
            <w:r w:rsidRPr="009B4065">
              <w:rPr>
                <w:rFonts w:ascii="Calibri Light" w:hAnsi="Calibri Light" w:cs="Calibri Light"/>
                <w:lang w:eastAsia="en-ID"/>
              </w:rPr>
              <w:t>AND  ( LIMIT-TO ( EXACTKEYWORD ,  "Human Rights" )  OR  LIMIT-TO ( EXACTKEYWORD ,  "Sharia Law" )  OR  LIMIT-TO ( EXACTKEYWORD ,  "Islam" )  OR  LIMIT-TO ( EXACTKEYWORD ,  "Islamic Law" )  OR  LIMIT-TO ( EXACTKEYWORD ,  "Religion" )  OR  LIMIT-TO ( EXACTKEYWORD ,  "</w:t>
            </w:r>
            <w:r w:rsidR="00A82EEE">
              <w:t xml:space="preserve"> </w:t>
            </w:r>
            <w:r w:rsidR="00A82EEE" w:rsidRPr="00A82EEE">
              <w:rPr>
                <w:rFonts w:ascii="Calibri Light" w:hAnsi="Calibri Light" w:cs="Calibri Light"/>
                <w:lang w:eastAsia="en-ID"/>
              </w:rPr>
              <w:t>Qur'an</w:t>
            </w:r>
            <w:r w:rsidR="00A82EEE">
              <w:rPr>
                <w:rFonts w:ascii="Calibri Light" w:hAnsi="Calibri Light" w:cs="Calibri Light"/>
                <w:lang w:eastAsia="en-ID"/>
              </w:rPr>
              <w:t>”AND”</w:t>
            </w:r>
            <w:r w:rsidRPr="009B4065">
              <w:rPr>
                <w:rFonts w:ascii="Calibri Light" w:hAnsi="Calibri Light" w:cs="Calibri Light"/>
                <w:lang w:eastAsia="en-ID"/>
              </w:rPr>
              <w:t>Human Rights Law" )  OR  LIMIT-TO ( EXACTKEYWORD ,  "Sharia" ) )  AND  ( LIMIT-TO ( DOCTYPE ,  "ar" ) )  AND  ( LIMIT-TO ( LANGUAGE ,  "English" ) )</w:t>
            </w:r>
          </w:p>
          <w:bookmarkEnd w:id="3"/>
          <w:p w14:paraId="6D187EA9" w14:textId="77777777" w:rsidR="009B4065" w:rsidRPr="009B4065" w:rsidRDefault="009B4065" w:rsidP="009B4065">
            <w:pPr>
              <w:pStyle w:val="NormalWeb"/>
              <w:ind w:left="426"/>
              <w:jc w:val="both"/>
              <w:rPr>
                <w:rFonts w:ascii="Calibri Light" w:hAnsi="Calibri Light" w:cs="Calibri Light"/>
                <w:lang w:eastAsia="en-ID"/>
              </w:rPr>
            </w:pPr>
          </w:p>
        </w:tc>
      </w:tr>
      <w:bookmarkEnd w:id="0"/>
      <w:tr w:rsidR="009B4065" w:rsidRPr="009B4065" w14:paraId="1B70ECBA" w14:textId="77777777" w:rsidTr="00867428">
        <w:tc>
          <w:tcPr>
            <w:tcW w:w="2235" w:type="dxa"/>
          </w:tcPr>
          <w:p w14:paraId="6735993E" w14:textId="77777777" w:rsidR="009B4065" w:rsidRPr="009B4065" w:rsidRDefault="009B4065" w:rsidP="009B4065">
            <w:pPr>
              <w:pStyle w:val="NormalWeb"/>
              <w:ind w:left="426"/>
              <w:jc w:val="both"/>
              <w:rPr>
                <w:rFonts w:ascii="Calibri Light" w:hAnsi="Calibri Light" w:cs="Calibri Light"/>
                <w:lang w:val="en-ID" w:eastAsia="en-ID"/>
              </w:rPr>
            </w:pPr>
          </w:p>
          <w:p w14:paraId="0E44C308" w14:textId="77777777" w:rsidR="009B4065" w:rsidRPr="009B4065" w:rsidRDefault="009B4065" w:rsidP="009B4065">
            <w:pPr>
              <w:pStyle w:val="NormalWeb"/>
              <w:ind w:left="426"/>
              <w:jc w:val="both"/>
              <w:rPr>
                <w:rFonts w:ascii="Calibri Light" w:hAnsi="Calibri Light" w:cs="Calibri Light"/>
                <w:lang w:val="en-ID" w:eastAsia="en-ID"/>
              </w:rPr>
            </w:pPr>
          </w:p>
          <w:p w14:paraId="7EFAC5C5" w14:textId="77777777" w:rsidR="009B4065" w:rsidRPr="009B4065" w:rsidRDefault="009B4065" w:rsidP="009B4065">
            <w:pPr>
              <w:pStyle w:val="NormalWeb"/>
              <w:ind w:left="426"/>
              <w:jc w:val="both"/>
              <w:rPr>
                <w:rFonts w:ascii="Calibri Light" w:hAnsi="Calibri Light" w:cs="Calibri Light"/>
                <w:b/>
                <w:bCs/>
                <w:lang w:val="en-ID" w:eastAsia="en-ID"/>
              </w:rPr>
            </w:pPr>
            <w:bookmarkStart w:id="4" w:name="_Hlk187681023"/>
            <w:r w:rsidRPr="009B4065">
              <w:rPr>
                <w:rFonts w:ascii="Calibri Light" w:hAnsi="Calibri Light" w:cs="Calibri Light"/>
                <w:b/>
                <w:bCs/>
                <w:lang w:val="en-ID" w:eastAsia="en-ID"/>
              </w:rPr>
              <w:t>Web of</w:t>
            </w:r>
            <w:r w:rsidRPr="009B4065">
              <w:rPr>
                <w:rFonts w:ascii="Calibri Light" w:hAnsi="Calibri Light" w:cs="Calibri Light"/>
                <w:b/>
                <w:bCs/>
                <w:rtl/>
                <w:lang w:val="en-ID" w:eastAsia="en-ID"/>
              </w:rPr>
              <w:t xml:space="preserve"> </w:t>
            </w:r>
            <w:r w:rsidRPr="009B4065">
              <w:rPr>
                <w:rFonts w:ascii="Calibri Light" w:hAnsi="Calibri Light" w:cs="Calibri Light"/>
                <w:b/>
                <w:bCs/>
                <w:lang w:val="en-ID" w:eastAsia="en-ID"/>
              </w:rPr>
              <w:t>Science</w:t>
            </w:r>
            <w:bookmarkEnd w:id="4"/>
          </w:p>
        </w:tc>
        <w:tc>
          <w:tcPr>
            <w:tcW w:w="6769" w:type="dxa"/>
          </w:tcPr>
          <w:p w14:paraId="75821BC9" w14:textId="77777777" w:rsidR="009B4065" w:rsidRPr="009B4065" w:rsidRDefault="009B4065" w:rsidP="009B4065">
            <w:pPr>
              <w:pStyle w:val="NormalWeb"/>
              <w:ind w:left="426"/>
              <w:jc w:val="both"/>
              <w:rPr>
                <w:rFonts w:ascii="Calibri Light" w:hAnsi="Calibri Light" w:cs="Calibri Light"/>
                <w:lang w:val="en-ID" w:eastAsia="en-ID"/>
              </w:rPr>
            </w:pPr>
            <w:bookmarkStart w:id="5" w:name="_Hlk187681416"/>
            <w:bookmarkStart w:id="6" w:name="_Hlk187768669"/>
            <w:r w:rsidRPr="009B4065">
              <w:rPr>
                <w:rFonts w:ascii="Calibri Light" w:hAnsi="Calibri Light" w:cs="Calibri Light"/>
                <w:lang w:eastAsia="en-ID"/>
              </w:rPr>
              <w:t>TITLE-ABS-KEY ( "Human Rights"  AND  " Islamic Countries" )  </w:t>
            </w:r>
            <w:bookmarkEnd w:id="5"/>
            <w:r w:rsidRPr="009B4065">
              <w:rPr>
                <w:rFonts w:ascii="Calibri Light" w:hAnsi="Calibri Light" w:cs="Calibri Light"/>
                <w:lang w:eastAsia="en-ID"/>
              </w:rPr>
              <w:t>AND  ( LIMIT-TO ( EXACTKEYWORD ,  "Human Rights" )  OR  LIMIT-TO ( EXACTKEYWORD ,  "Sharia Law" )  OR  LIMIT-TO ( EXACTKEYWORD ,  "Islam" )  OR  LIMIT-TO ( EXACTKEYWORD ,  "Islamic Law" )  OR  LIMIT-TO ( EXACTKEYWORD ,  "Religion" )  OR  LIMIT-TO ( EXACTKEYWORD ,  "</w:t>
            </w:r>
            <w:r w:rsidR="00A82EEE">
              <w:t xml:space="preserve"> </w:t>
            </w:r>
            <w:r w:rsidR="00A82EEE" w:rsidRPr="00A82EEE">
              <w:rPr>
                <w:rFonts w:ascii="Calibri Light" w:hAnsi="Calibri Light" w:cs="Calibri Light"/>
                <w:lang w:eastAsia="en-ID"/>
              </w:rPr>
              <w:t xml:space="preserve">Shari'ah law </w:t>
            </w:r>
            <w:r w:rsidRPr="009B4065">
              <w:rPr>
                <w:rFonts w:ascii="Calibri Light" w:hAnsi="Calibri Light" w:cs="Calibri Light"/>
                <w:lang w:eastAsia="en-ID"/>
              </w:rPr>
              <w:t>" )  OR  LIMIT-TO ( EXACTKEYWORD ,  "Human Rights Law" ) )  AND  ( LIMIT-TO ( DOCTYPE ,  "ar" ) )  AND  ( LIMIT-TO ( LANGUAGE ,  "English" ) ) </w:t>
            </w:r>
            <w:bookmarkEnd w:id="6"/>
          </w:p>
        </w:tc>
      </w:tr>
    </w:tbl>
    <w:p w14:paraId="5636550A" w14:textId="77777777" w:rsidR="007066E4" w:rsidRDefault="007066E4" w:rsidP="007066E4">
      <w:pPr>
        <w:pStyle w:val="NormalWeb"/>
        <w:ind w:left="426"/>
        <w:jc w:val="both"/>
        <w:rPr>
          <w:rFonts w:ascii="Calibri Light" w:hAnsi="Calibri Light" w:cs="Calibri Light"/>
          <w:lang w:val="en-ID" w:eastAsia="en-ID"/>
        </w:rPr>
      </w:pPr>
    </w:p>
    <w:p w14:paraId="7D6946AF" w14:textId="77777777" w:rsidR="009B4065" w:rsidRPr="00672ECC" w:rsidRDefault="007066E4" w:rsidP="00536E55">
      <w:pPr>
        <w:pStyle w:val="NormalWeb"/>
        <w:ind w:left="426"/>
        <w:jc w:val="center"/>
        <w:rPr>
          <w:rFonts w:ascii="Calibri Light" w:hAnsi="Calibri Light" w:cs="Calibri Light"/>
          <w:lang w:val="en-ID" w:eastAsia="en-ID"/>
        </w:rPr>
      </w:pPr>
      <w:r w:rsidRPr="007066E4">
        <w:rPr>
          <w:rFonts w:ascii="Calibri Light" w:hAnsi="Calibri Light" w:cs="Calibri Light"/>
          <w:lang w:val="en-ID" w:eastAsia="en-ID"/>
        </w:rPr>
        <w:t>Table 1</w:t>
      </w:r>
      <w:r w:rsidRPr="007066E4">
        <w:rPr>
          <w:rFonts w:ascii="Calibri Light" w:hAnsi="Calibri Light" w:cs="Calibri Light"/>
          <w:rtl/>
          <w:lang w:val="en-ID" w:eastAsia="en-ID"/>
        </w:rPr>
        <w:t>:</w:t>
      </w:r>
      <w:r w:rsidRPr="007066E4">
        <w:rPr>
          <w:rFonts w:ascii="Calibri Light" w:hAnsi="Calibri Light" w:cs="Calibri Light"/>
          <w:lang w:val="en-ID" w:eastAsia="en-ID"/>
        </w:rPr>
        <w:t>The search string</w:t>
      </w:r>
    </w:p>
    <w:p w14:paraId="4E7A29D6" w14:textId="77777777" w:rsidR="00EA4E48" w:rsidRPr="001F2D87" w:rsidRDefault="00EA4E48" w:rsidP="00EA4E48">
      <w:pPr>
        <w:ind w:left="284"/>
        <w:jc w:val="both"/>
        <w:rPr>
          <w:rFonts w:ascii="Calibri Light" w:hAnsi="Calibri Light" w:cs="Calibri Light"/>
          <w:b/>
          <w:bCs/>
          <w:sz w:val="24"/>
          <w:szCs w:val="24"/>
          <w:rtl/>
        </w:rPr>
      </w:pPr>
    </w:p>
    <w:p w14:paraId="3FA3C2CB" w14:textId="77777777" w:rsidR="00EA4E48" w:rsidRPr="001F2D87" w:rsidRDefault="00EA4E48" w:rsidP="00EA4E48">
      <w:pPr>
        <w:ind w:left="284"/>
        <w:jc w:val="both"/>
        <w:rPr>
          <w:rFonts w:ascii="Calibri Light" w:hAnsi="Calibri Light" w:cs="Calibri Light"/>
          <w:b/>
          <w:bCs/>
          <w:sz w:val="24"/>
          <w:szCs w:val="24"/>
          <w:lang w:val="en-ID"/>
        </w:rPr>
      </w:pPr>
      <w:r>
        <w:rPr>
          <w:noProof/>
        </w:rPr>
        <mc:AlternateContent>
          <mc:Choice Requires="wps">
            <w:drawing>
              <wp:anchor distT="0" distB="0" distL="114300" distR="114300" simplePos="0" relativeHeight="251670528" behindDoc="0" locked="0" layoutInCell="1" allowOverlap="1" wp14:anchorId="31E509E8" wp14:editId="3AB9CA78">
                <wp:simplePos x="0" y="0"/>
                <wp:positionH relativeFrom="column">
                  <wp:posOffset>548640</wp:posOffset>
                </wp:positionH>
                <wp:positionV relativeFrom="paragraph">
                  <wp:posOffset>149860</wp:posOffset>
                </wp:positionV>
                <wp:extent cx="4345305" cy="262890"/>
                <wp:effectExtent l="0" t="0" r="0" b="3810"/>
                <wp:wrapNone/>
                <wp:docPr id="1565128664" name="Flowchart: Alternate Process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45305" cy="262890"/>
                        </a:xfrm>
                        <a:prstGeom prst="flowChartAlternateProcess">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1C496B86" w14:textId="77777777" w:rsidR="00EA4E48" w:rsidRPr="00672ECC" w:rsidRDefault="00EA4E48" w:rsidP="00EA4E48">
                            <w:pPr>
                              <w:jc w:val="center"/>
                              <w:rPr>
                                <w:rFonts w:ascii="Arial" w:hAnsi="Arial" w:cs="Arial"/>
                                <w:b/>
                                <w:color w:val="000000"/>
                              </w:rPr>
                            </w:pPr>
                            <w:r w:rsidRPr="00672ECC">
                              <w:rPr>
                                <w:rFonts w:ascii="Arial" w:hAnsi="Arial" w:cs="Arial"/>
                                <w:b/>
                                <w:bCs/>
                                <w:color w:val="000000"/>
                              </w:rPr>
                              <w:t>Prisma framework</w:t>
                            </w:r>
                          </w:p>
                          <w:p w14:paraId="47AEC307" w14:textId="77777777" w:rsidR="00EA4E48" w:rsidRPr="00672ECC" w:rsidRDefault="00EA4E48" w:rsidP="00EA4E48">
                            <w:pPr>
                              <w:jc w:val="center"/>
                              <w:rPr>
                                <w:rFonts w:ascii="Arial" w:hAnsi="Arial" w:cs="Arial"/>
                                <w:b/>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E509E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40" o:spid="_x0000_s1026" type="#_x0000_t176" style="position:absolute;left:0;text-align:left;margin-left:43.2pt;margin-top:11.8pt;width:342.15pt;height:20.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" fillcolor="#b1cbe9" strokecolor="#5b9bd5" strokeweight=".5pt">
                <v:fill color2="#92b9e4" rotate="t" colors="0 #b1cbe9;.5 #a3c1e5;1 #92b9e4" focus="100%" type="gradient">
                  <o:fill v:ext="view" type="gradientUnscaled"/>
                </v:fill>
                <v:path arrowok="t"/>
                <v:textbox>
                  <w:txbxContent>
                    <w:p w14:paraId="1C496B86" w14:textId="77777777" w:rsidR="00EA4E48" w:rsidRPr="00672ECC" w:rsidRDefault="00EA4E48" w:rsidP="00EA4E48">
                      <w:pPr>
                        <w:jc w:val="center"/>
                        <w:rPr>
                          <w:rFonts w:ascii="Arial" w:hAnsi="Arial" w:cs="Arial"/>
                          <w:b/>
                          <w:color w:val="000000"/>
                        </w:rPr>
                      </w:pPr>
                      <w:r w:rsidRPr="00672ECC">
                        <w:rPr>
                          <w:rFonts w:ascii="Arial" w:hAnsi="Arial" w:cs="Arial"/>
                          <w:b/>
                          <w:bCs/>
                          <w:color w:val="000000"/>
                        </w:rPr>
                        <w:t>Prisma framework</w:t>
                      </w:r>
                    </w:p>
                    <w:p w14:paraId="47AEC307" w14:textId="77777777" w:rsidR="00EA4E48" w:rsidRPr="00672ECC" w:rsidRDefault="00EA4E48" w:rsidP="00EA4E48">
                      <w:pPr>
                        <w:jc w:val="center"/>
                        <w:rPr>
                          <w:rFonts w:ascii="Arial" w:hAnsi="Arial" w:cs="Arial"/>
                          <w:b/>
                          <w:color w:val="000000"/>
                          <w:sz w:val="18"/>
                          <w:szCs w:val="18"/>
                        </w:rPr>
                      </w:pPr>
                    </w:p>
                  </w:txbxContent>
                </v:textbox>
              </v:shape>
            </w:pict>
          </mc:Fallback>
        </mc:AlternateContent>
      </w:r>
    </w:p>
    <w:p w14:paraId="0874CD9A" w14:textId="77777777" w:rsidR="00EA4E48" w:rsidRPr="001F2D87" w:rsidRDefault="00EA4E48" w:rsidP="00EA4E48">
      <w:pPr>
        <w:ind w:left="284"/>
        <w:jc w:val="both"/>
        <w:rPr>
          <w:rFonts w:ascii="Calibri Light" w:hAnsi="Calibri Light" w:cs="Calibri Light"/>
          <w:sz w:val="24"/>
          <w:szCs w:val="24"/>
          <w:lang w:val="en-AU"/>
        </w:rPr>
      </w:pPr>
      <w:bookmarkStart w:id="7" w:name="_Hlk183185577"/>
    </w:p>
    <w:p w14:paraId="040036FC" w14:textId="77777777" w:rsidR="00EA4E48" w:rsidRPr="001F2D87" w:rsidRDefault="00EA4E48" w:rsidP="00EA4E48">
      <w:pPr>
        <w:ind w:left="284"/>
        <w:jc w:val="both"/>
        <w:rPr>
          <w:rFonts w:ascii="Calibri Light" w:hAnsi="Calibri Light" w:cs="Calibri Light"/>
          <w:sz w:val="24"/>
          <w:szCs w:val="24"/>
          <w:lang w:val="en-AU"/>
        </w:rPr>
      </w:pPr>
    </w:p>
    <w:p w14:paraId="174A1134" w14:textId="77777777" w:rsidR="00EA4E48" w:rsidRPr="001F2D87" w:rsidRDefault="00EA4E48" w:rsidP="00EA4E48">
      <w:pPr>
        <w:ind w:left="284"/>
        <w:jc w:val="both"/>
        <w:rPr>
          <w:rFonts w:ascii="Calibri Light" w:hAnsi="Calibri Light" w:cs="Calibri Light"/>
          <w:sz w:val="24"/>
          <w:szCs w:val="24"/>
          <w:lang w:val="en-AU"/>
        </w:rPr>
      </w:pPr>
      <w:r>
        <w:rPr>
          <w:noProof/>
        </w:rPr>
        <mc:AlternateContent>
          <mc:Choice Requires="wps">
            <w:drawing>
              <wp:anchor distT="0" distB="0" distL="114300" distR="114300" simplePos="0" relativeHeight="251659264" behindDoc="0" locked="0" layoutInCell="1" allowOverlap="1" wp14:anchorId="0499387C" wp14:editId="0518AD30">
                <wp:simplePos x="0" y="0"/>
                <wp:positionH relativeFrom="column">
                  <wp:posOffset>575945</wp:posOffset>
                </wp:positionH>
                <wp:positionV relativeFrom="paragraph">
                  <wp:posOffset>124460</wp:posOffset>
                </wp:positionV>
                <wp:extent cx="1878330" cy="1195070"/>
                <wp:effectExtent l="0" t="0" r="7620" b="5080"/>
                <wp:wrapNone/>
                <wp:docPr id="68353667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8330" cy="1195070"/>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167CCB19" w14:textId="77777777" w:rsidR="00EA4E48" w:rsidRPr="00672ECC" w:rsidRDefault="00EA4E48" w:rsidP="00EA4E48">
                            <w:pPr>
                              <w:rPr>
                                <w:color w:val="000000"/>
                              </w:rPr>
                            </w:pPr>
                            <w:r w:rsidRPr="00672ECC">
                              <w:rPr>
                                <w:color w:val="000000"/>
                              </w:rPr>
                              <w:t>Records identified from*:</w:t>
                            </w:r>
                          </w:p>
                          <w:p w14:paraId="4C88329B" w14:textId="77777777" w:rsidR="00EA4E48" w:rsidRPr="00672ECC" w:rsidRDefault="00EA4E48" w:rsidP="00EA4E48">
                            <w:pPr>
                              <w:ind w:left="284"/>
                              <w:rPr>
                                <w:color w:val="000000"/>
                                <w:rtl/>
                              </w:rPr>
                            </w:pPr>
                            <w:r w:rsidRPr="00C90327">
                              <w:t>Scopus</w:t>
                            </w:r>
                            <w:r w:rsidRPr="00672ECC">
                              <w:rPr>
                                <w:color w:val="000000"/>
                              </w:rPr>
                              <w:t xml:space="preserve"> Databases</w:t>
                            </w:r>
                            <w:r w:rsidRPr="00672ECC">
                              <w:rPr>
                                <w:color w:val="000000"/>
                                <w:rtl/>
                              </w:rPr>
                              <w:t xml:space="preserve"> </w:t>
                            </w:r>
                            <w:r w:rsidRPr="00672ECC">
                              <w:rPr>
                                <w:color w:val="000000"/>
                              </w:rPr>
                              <w:t>(n =</w:t>
                            </w:r>
                            <w:r w:rsidRPr="00672ECC">
                              <w:rPr>
                                <w:color w:val="000000"/>
                                <w:rtl/>
                              </w:rPr>
                              <w:t>300</w:t>
                            </w:r>
                            <w:r w:rsidRPr="00672ECC">
                              <w:rPr>
                                <w:color w:val="000000"/>
                              </w:rPr>
                              <w:t xml:space="preserve"> ) </w:t>
                            </w:r>
                          </w:p>
                          <w:p w14:paraId="200A4AD0" w14:textId="77777777" w:rsidR="00EA4E48" w:rsidRPr="00672ECC" w:rsidRDefault="00EA4E48" w:rsidP="00EA4E48">
                            <w:pPr>
                              <w:ind w:left="284"/>
                              <w:rPr>
                                <w:color w:val="000000"/>
                              </w:rPr>
                            </w:pPr>
                            <w:r w:rsidRPr="00672ECC">
                              <w:rPr>
                                <w:color w:val="000000"/>
                              </w:rPr>
                              <w:t>Google Scholar (n =</w:t>
                            </w:r>
                            <w:r w:rsidRPr="00672ECC">
                              <w:rPr>
                                <w:color w:val="000000"/>
                                <w:rtl/>
                              </w:rPr>
                              <w:t>200</w:t>
                            </w:r>
                            <w:r w:rsidRPr="00672ECC">
                              <w:rPr>
                                <w:color w:val="000000"/>
                              </w:rPr>
                              <w:t xml:space="preserve"> )</w:t>
                            </w:r>
                          </w:p>
                          <w:p w14:paraId="45E4D39F" w14:textId="77777777" w:rsidR="00EA4E48" w:rsidRPr="00672ECC" w:rsidRDefault="00EA4E48" w:rsidP="00EA4E48">
                            <w:pPr>
                              <w:ind w:left="284"/>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99387C" id="Rectangle 38" o:spid="_x0000_s1027" style="position:absolute;left:0;text-align:left;margin-left:45.35pt;margin-top:9.8pt;width:147.9pt;height:9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" fillcolor="#b5d5a7" strokecolor="#70ad47" strokeweight=".5pt">
                <v:fill color2="#9cca86" rotate="t" colors="0 #b5d5a7;.5 #aace99;1 #9cca86" focus="100%" type="gradient">
                  <o:fill v:ext="view" type="gradientUnscaled"/>
                </v:fill>
                <v:path arrowok="t"/>
                <v:textbox>
                  <w:txbxContent>
                    <w:p w14:paraId="167CCB19" w14:textId="77777777" w:rsidR="00EA4E48" w:rsidRPr="00672ECC" w:rsidRDefault="00EA4E48" w:rsidP="00EA4E48">
                      <w:pPr>
                        <w:rPr>
                          <w:color w:val="000000"/>
                        </w:rPr>
                      </w:pPr>
                      <w:r w:rsidRPr="00672ECC">
                        <w:rPr>
                          <w:color w:val="000000"/>
                        </w:rPr>
                        <w:t>Records identified from*:</w:t>
                      </w:r>
                    </w:p>
                    <w:p w14:paraId="4C88329B" w14:textId="77777777" w:rsidR="00EA4E48" w:rsidRPr="00672ECC" w:rsidRDefault="00EA4E48" w:rsidP="00EA4E48">
                      <w:pPr>
                        <w:ind w:left="284"/>
                        <w:rPr>
                          <w:color w:val="000000"/>
                          <w:rtl/>
                        </w:rPr>
                      </w:pPr>
                      <w:r w:rsidRPr="00C90327">
                        <w:t>Scopus</w:t>
                      </w:r>
                      <w:r w:rsidRPr="00672ECC">
                        <w:rPr>
                          <w:color w:val="000000"/>
                        </w:rPr>
                        <w:t xml:space="preserve"> Databases</w:t>
                      </w:r>
                      <w:r w:rsidRPr="00672ECC">
                        <w:rPr>
                          <w:color w:val="000000"/>
                          <w:rtl/>
                        </w:rPr>
                        <w:t xml:space="preserve"> </w:t>
                      </w:r>
                      <w:r w:rsidRPr="00672ECC">
                        <w:rPr>
                          <w:color w:val="000000"/>
                        </w:rPr>
                        <w:t>(n =</w:t>
                      </w:r>
                      <w:r w:rsidRPr="00672ECC">
                        <w:rPr>
                          <w:color w:val="000000"/>
                          <w:rtl/>
                        </w:rPr>
                        <w:t>300</w:t>
                      </w:r>
                      <w:r w:rsidRPr="00672ECC">
                        <w:rPr>
                          <w:color w:val="000000"/>
                        </w:rPr>
                        <w:t xml:space="preserve"> ) </w:t>
                      </w:r>
                    </w:p>
                    <w:p w14:paraId="200A4AD0" w14:textId="77777777" w:rsidR="00EA4E48" w:rsidRPr="00672ECC" w:rsidRDefault="00EA4E48" w:rsidP="00EA4E48">
                      <w:pPr>
                        <w:ind w:left="284"/>
                        <w:rPr>
                          <w:color w:val="000000"/>
                        </w:rPr>
                      </w:pPr>
                      <w:r w:rsidRPr="00672ECC">
                        <w:rPr>
                          <w:color w:val="000000"/>
                        </w:rPr>
                        <w:t>Google Scholar (n =</w:t>
                      </w:r>
                      <w:r w:rsidRPr="00672ECC">
                        <w:rPr>
                          <w:color w:val="000000"/>
                          <w:rtl/>
                        </w:rPr>
                        <w:t>200</w:t>
                      </w:r>
                      <w:r w:rsidRPr="00672ECC">
                        <w:rPr>
                          <w:color w:val="000000"/>
                        </w:rPr>
                        <w:t xml:space="preserve"> )</w:t>
                      </w:r>
                    </w:p>
                    <w:p w14:paraId="45E4D39F" w14:textId="77777777" w:rsidR="00EA4E48" w:rsidRPr="00672ECC" w:rsidRDefault="00EA4E48" w:rsidP="00EA4E48">
                      <w:pPr>
                        <w:ind w:left="284"/>
                        <w:rPr>
                          <w:color w:val="000000"/>
                        </w:rPr>
                      </w:pPr>
                    </w:p>
                  </w:txbxContent>
                </v:textbox>
              </v:rect>
            </w:pict>
          </mc:Fallback>
        </mc:AlternateContent>
      </w:r>
      <w:r>
        <w:rPr>
          <w:noProof/>
        </w:rPr>
        <mc:AlternateContent>
          <mc:Choice Requires="wps">
            <w:drawing>
              <wp:anchor distT="0" distB="0" distL="114300" distR="114300" simplePos="0" relativeHeight="251671552" behindDoc="0" locked="0" layoutInCell="1" allowOverlap="1" wp14:anchorId="1EB8D07F" wp14:editId="33236B9C">
                <wp:simplePos x="0" y="0"/>
                <wp:positionH relativeFrom="column">
                  <wp:posOffset>-372745</wp:posOffset>
                </wp:positionH>
                <wp:positionV relativeFrom="paragraph">
                  <wp:posOffset>532130</wp:posOffset>
                </wp:positionV>
                <wp:extent cx="1276985" cy="325120"/>
                <wp:effectExtent l="0" t="317" r="0" b="0"/>
                <wp:wrapNone/>
                <wp:docPr id="1668573591" name="Flowchart: Alternate Process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276985" cy="32512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76974E3B" w14:textId="77777777" w:rsidR="00EA4E48" w:rsidRPr="00672ECC" w:rsidRDefault="00EA4E48" w:rsidP="00EA4E48">
                            <w:pPr>
                              <w:jc w:val="center"/>
                              <w:rPr>
                                <w:rFonts w:ascii="Arial" w:hAnsi="Arial" w:cs="Arial"/>
                                <w:b/>
                                <w:color w:val="000000"/>
                                <w:sz w:val="18"/>
                                <w:szCs w:val="18"/>
                              </w:rPr>
                            </w:pPr>
                            <w:r w:rsidRPr="00672ECC">
                              <w:rPr>
                                <w:rFonts w:ascii="Arial" w:hAnsi="Arial" w:cs="Arial"/>
                                <w:b/>
                                <w:color w:val="000000"/>
                                <w:sz w:val="18"/>
                                <w:szCs w:val="18"/>
                              </w:rPr>
                              <w:t>Identification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B8D07F" id="Flowchart: Alternate Process 36" o:spid="_x0000_s1028" type="#_x0000_t176" style="position:absolute;left:0;text-align:left;margin-left:-29.35pt;margin-top:41.9pt;width:100.55pt;height:25.6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" fillcolor="#9dc3e6" strokecolor="windowText" strokeweight="1pt">
                <v:path arrowok="t"/>
                <v:textbox>
                  <w:txbxContent>
                    <w:p w14:paraId="76974E3B" w14:textId="77777777" w:rsidR="00EA4E48" w:rsidRPr="00672ECC" w:rsidRDefault="00EA4E48" w:rsidP="00EA4E48">
                      <w:pPr>
                        <w:jc w:val="center"/>
                        <w:rPr>
                          <w:rFonts w:ascii="Arial" w:hAnsi="Arial" w:cs="Arial"/>
                          <w:b/>
                          <w:color w:val="000000"/>
                          <w:sz w:val="18"/>
                          <w:szCs w:val="18"/>
                        </w:rPr>
                      </w:pPr>
                      <w:r w:rsidRPr="00672ECC">
                        <w:rPr>
                          <w:rFonts w:ascii="Arial" w:hAnsi="Arial" w:cs="Arial"/>
                          <w:b/>
                          <w:color w:val="000000"/>
                          <w:sz w:val="18"/>
                          <w:szCs w:val="18"/>
                        </w:rPr>
                        <w:t>Identification</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0E4007B" wp14:editId="75F37374">
                <wp:simplePos x="0" y="0"/>
                <wp:positionH relativeFrom="column">
                  <wp:posOffset>3039745</wp:posOffset>
                </wp:positionH>
                <wp:positionV relativeFrom="paragraph">
                  <wp:posOffset>76835</wp:posOffset>
                </wp:positionV>
                <wp:extent cx="1887220" cy="1242695"/>
                <wp:effectExtent l="0" t="0" r="0" b="0"/>
                <wp:wrapNone/>
                <wp:docPr id="117223281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1242695"/>
                        </a:xfrm>
                        <a:prstGeom prst="rect">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14:paraId="25A1149D" w14:textId="77777777" w:rsidR="00EA4E48" w:rsidRPr="00672ECC" w:rsidRDefault="00EA4E48" w:rsidP="00EA4E48">
                            <w:pPr>
                              <w:rPr>
                                <w:color w:val="000000"/>
                              </w:rPr>
                            </w:pPr>
                            <w:r w:rsidRPr="00672ECC">
                              <w:rPr>
                                <w:color w:val="000000"/>
                              </w:rPr>
                              <w:t xml:space="preserve">Records removed </w:t>
                            </w:r>
                            <w:r w:rsidRPr="00672ECC">
                              <w:rPr>
                                <w:i/>
                                <w:iCs/>
                                <w:color w:val="000000"/>
                              </w:rPr>
                              <w:t>before screening</w:t>
                            </w:r>
                            <w:r w:rsidRPr="00672ECC">
                              <w:rPr>
                                <w:color w:val="000000"/>
                              </w:rPr>
                              <w:t>:</w:t>
                            </w:r>
                          </w:p>
                          <w:p w14:paraId="2FA08328" w14:textId="77777777" w:rsidR="00EA4E48" w:rsidRPr="00672ECC" w:rsidRDefault="00EA4E48" w:rsidP="00EA4E48">
                            <w:pPr>
                              <w:ind w:left="284"/>
                              <w:rPr>
                                <w:color w:val="000000"/>
                              </w:rPr>
                            </w:pPr>
                            <w:r w:rsidRPr="00672ECC">
                              <w:rPr>
                                <w:color w:val="000000"/>
                              </w:rPr>
                              <w:t xml:space="preserve">Duplicate records removed  (n = </w:t>
                            </w:r>
                            <w:r w:rsidRPr="00672ECC">
                              <w:rPr>
                                <w:color w:val="000000"/>
                                <w:rtl/>
                              </w:rPr>
                              <w:t>0</w:t>
                            </w:r>
                            <w:r w:rsidRPr="00672ECC">
                              <w:rPr>
                                <w:color w:val="00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4007B" id="Rectangle 34" o:spid="_x0000_s1029" style="position:absolute;left:0;text-align:left;margin-left:239.35pt;margin-top:6.05pt;width:148.6pt;height:9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" fillcolor="#ffdd9c" strokecolor="#ffc000" strokeweight=".5pt">
                <v:fill color2="#ffd479" rotate="t" colors="0 #ffdd9c;.5 #ffd78e;1 #ffd479" focus="100%" type="gradient">
                  <o:fill v:ext="view" type="gradientUnscaled"/>
                </v:fill>
                <v:path arrowok="t"/>
                <v:textbox>
                  <w:txbxContent>
                    <w:p w14:paraId="25A1149D" w14:textId="77777777" w:rsidR="00EA4E48" w:rsidRPr="00672ECC" w:rsidRDefault="00EA4E48" w:rsidP="00EA4E48">
                      <w:pPr>
                        <w:rPr>
                          <w:color w:val="000000"/>
                        </w:rPr>
                      </w:pPr>
                      <w:r w:rsidRPr="00672ECC">
                        <w:rPr>
                          <w:color w:val="000000"/>
                        </w:rPr>
                        <w:t xml:space="preserve">Records removed </w:t>
                      </w:r>
                      <w:r w:rsidRPr="00672ECC">
                        <w:rPr>
                          <w:i/>
                          <w:iCs/>
                          <w:color w:val="000000"/>
                        </w:rPr>
                        <w:t>before screening</w:t>
                      </w:r>
                      <w:r w:rsidRPr="00672ECC">
                        <w:rPr>
                          <w:color w:val="000000"/>
                        </w:rPr>
                        <w:t>:</w:t>
                      </w:r>
                    </w:p>
                    <w:p w14:paraId="2FA08328" w14:textId="77777777" w:rsidR="00EA4E48" w:rsidRPr="00672ECC" w:rsidRDefault="00EA4E48" w:rsidP="00EA4E48">
                      <w:pPr>
                        <w:ind w:left="284"/>
                        <w:rPr>
                          <w:color w:val="000000"/>
                        </w:rPr>
                      </w:pPr>
                      <w:r w:rsidRPr="00672ECC">
                        <w:rPr>
                          <w:color w:val="000000"/>
                        </w:rPr>
                        <w:t xml:space="preserve">Duplicate records removed  (n = </w:t>
                      </w:r>
                      <w:r w:rsidRPr="00672ECC">
                        <w:rPr>
                          <w:color w:val="000000"/>
                          <w:rtl/>
                        </w:rPr>
                        <w:t>0</w:t>
                      </w:r>
                      <w:r w:rsidRPr="00672ECC">
                        <w:rPr>
                          <w:color w:val="000000"/>
                        </w:rPr>
                        <w:t>)</w:t>
                      </w:r>
                    </w:p>
                  </w:txbxContent>
                </v:textbox>
              </v:rect>
            </w:pict>
          </mc:Fallback>
        </mc:AlternateContent>
      </w:r>
    </w:p>
    <w:p w14:paraId="0F82BF73" w14:textId="77777777" w:rsidR="00EA4E48" w:rsidRPr="001F2D87" w:rsidRDefault="00EA4E48" w:rsidP="00EA4E48">
      <w:pPr>
        <w:ind w:left="284"/>
        <w:jc w:val="both"/>
        <w:rPr>
          <w:rFonts w:ascii="Calibri Light" w:hAnsi="Calibri Light" w:cs="Calibri Light"/>
          <w:sz w:val="24"/>
          <w:szCs w:val="24"/>
          <w:lang w:val="en-AU"/>
        </w:rPr>
      </w:pPr>
    </w:p>
    <w:p w14:paraId="25F7642A" w14:textId="77777777" w:rsidR="00EA4E48" w:rsidRPr="001F2D87" w:rsidRDefault="00EA4E48" w:rsidP="00EA4E48">
      <w:pPr>
        <w:ind w:left="284"/>
        <w:jc w:val="both"/>
        <w:rPr>
          <w:rFonts w:ascii="Calibri Light" w:hAnsi="Calibri Light" w:cs="Calibri Light"/>
          <w:sz w:val="24"/>
          <w:szCs w:val="24"/>
          <w:lang w:val="en-AU"/>
        </w:rPr>
      </w:pPr>
    </w:p>
    <w:p w14:paraId="1ECA5A61" w14:textId="77777777" w:rsidR="00EA4E48" w:rsidRPr="001F2D87" w:rsidRDefault="00EA4E48" w:rsidP="00EA4E48">
      <w:pPr>
        <w:ind w:left="284"/>
        <w:jc w:val="both"/>
        <w:rPr>
          <w:rFonts w:ascii="Calibri Light" w:hAnsi="Calibri Light" w:cs="Calibri Light"/>
          <w:sz w:val="24"/>
          <w:szCs w:val="24"/>
          <w:lang w:val="en-AU"/>
        </w:rPr>
      </w:pPr>
    </w:p>
    <w:p w14:paraId="53F9FAC7" w14:textId="77777777" w:rsidR="00EA4E48" w:rsidRPr="001F2D87" w:rsidRDefault="00EA4E48" w:rsidP="00EA4E48">
      <w:pPr>
        <w:ind w:left="284"/>
        <w:jc w:val="both"/>
        <w:rPr>
          <w:rFonts w:ascii="Calibri Light" w:hAnsi="Calibri Light" w:cs="Calibri Light"/>
          <w:sz w:val="24"/>
          <w:szCs w:val="24"/>
          <w:lang w:val="en-AU"/>
        </w:rPr>
      </w:pPr>
      <w:r>
        <w:rPr>
          <w:noProof/>
        </w:rPr>
        <mc:AlternateContent>
          <mc:Choice Requires="wps">
            <w:drawing>
              <wp:anchor distT="4294967295" distB="4294967295" distL="114300" distR="114300" simplePos="0" relativeHeight="251667456" behindDoc="0" locked="0" layoutInCell="1" allowOverlap="1" wp14:anchorId="17A12440" wp14:editId="1BF86F83">
                <wp:simplePos x="0" y="0"/>
                <wp:positionH relativeFrom="column">
                  <wp:posOffset>2454275</wp:posOffset>
                </wp:positionH>
                <wp:positionV relativeFrom="paragraph">
                  <wp:posOffset>9524</wp:posOffset>
                </wp:positionV>
                <wp:extent cx="563245" cy="0"/>
                <wp:effectExtent l="0" t="76200" r="8255" b="76200"/>
                <wp:wrapNone/>
                <wp:docPr id="1737741510"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62C62241" id="_x0000_t32" coordsize="21600,21600" o:spt="32" o:oned="t" path="m,l21600,21600e" filled="f">
                <v:path arrowok="t" fillok="f" o:connecttype="none"/>
                <o:lock v:ext="edit" shapetype="t"/>
              </v:shapetype>
              <v:shape id="Straight Arrow Connector 32" o:spid="_x0000_s1026" type="#_x0000_t32" style="position:absolute;margin-left:193.25pt;margin-top:.75pt;width:44.3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" strokecolor="windowText" strokeweight=".5pt">
                <v:stroke endarrow="block" joinstyle="miter"/>
                <o:lock v:ext="edit" shapetype="f"/>
              </v:shape>
            </w:pict>
          </mc:Fallback>
        </mc:AlternateContent>
      </w:r>
    </w:p>
    <w:p w14:paraId="38167F55" w14:textId="77777777" w:rsidR="00EA4E48" w:rsidRPr="001F2D87" w:rsidRDefault="00EA4E48" w:rsidP="00EA4E48">
      <w:pPr>
        <w:ind w:left="284"/>
        <w:jc w:val="both"/>
        <w:rPr>
          <w:rFonts w:ascii="Calibri Light" w:hAnsi="Calibri Light" w:cs="Calibri Light"/>
          <w:sz w:val="24"/>
          <w:szCs w:val="24"/>
          <w:lang w:val="en-AU"/>
        </w:rPr>
      </w:pPr>
    </w:p>
    <w:p w14:paraId="521FADF4" w14:textId="77777777" w:rsidR="00EA4E48" w:rsidRPr="001F2D87" w:rsidRDefault="00EA4E48" w:rsidP="00EA4E48">
      <w:pPr>
        <w:ind w:left="284"/>
        <w:jc w:val="both"/>
        <w:rPr>
          <w:rFonts w:ascii="Calibri Light" w:hAnsi="Calibri Light" w:cs="Calibri Light"/>
          <w:sz w:val="24"/>
          <w:szCs w:val="24"/>
          <w:lang w:val="en-AU"/>
        </w:rPr>
      </w:pPr>
    </w:p>
    <w:p w14:paraId="24614DD2" w14:textId="77777777" w:rsidR="00EA4E48" w:rsidRPr="001F2D87" w:rsidRDefault="00EA4E48" w:rsidP="00EA4E48">
      <w:pPr>
        <w:ind w:left="284"/>
        <w:jc w:val="both"/>
        <w:rPr>
          <w:rFonts w:ascii="Calibri Light" w:hAnsi="Calibri Light" w:cs="Calibri Light"/>
          <w:sz w:val="24"/>
          <w:szCs w:val="24"/>
          <w:lang w:val="en-AU"/>
        </w:rPr>
      </w:pPr>
      <w:r>
        <w:rPr>
          <w:noProof/>
        </w:rPr>
        <mc:AlternateContent>
          <mc:Choice Requires="wps">
            <w:drawing>
              <wp:anchor distT="0" distB="0" distL="114299" distR="114299" simplePos="0" relativeHeight="251674624" behindDoc="0" locked="0" layoutInCell="1" allowOverlap="1" wp14:anchorId="24DABA46" wp14:editId="7628E66B">
                <wp:simplePos x="0" y="0"/>
                <wp:positionH relativeFrom="column">
                  <wp:posOffset>1400174</wp:posOffset>
                </wp:positionH>
                <wp:positionV relativeFrom="paragraph">
                  <wp:posOffset>128905</wp:posOffset>
                </wp:positionV>
                <wp:extent cx="0" cy="281305"/>
                <wp:effectExtent l="76200" t="0" r="38100" b="42545"/>
                <wp:wrapNone/>
                <wp:docPr id="144587488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29278D" id="Straight Arrow Connector 30" o:spid="_x0000_s1026" type="#_x0000_t32" style="position:absolute;margin-left:110.25pt;margin-top:10.15pt;width:0;height:22.1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" strokecolor="windowText" strokeweight=".5pt">
                <v:stroke endarrow="block" joinstyle="miter"/>
                <o:lock v:ext="edit" shapetype="f"/>
              </v:shape>
            </w:pict>
          </mc:Fallback>
        </mc:AlternateContent>
      </w:r>
    </w:p>
    <w:p w14:paraId="43F34582" w14:textId="77777777" w:rsidR="00EA4E48" w:rsidRPr="001F2D87" w:rsidRDefault="00EA4E48" w:rsidP="00EA4E48">
      <w:pPr>
        <w:ind w:left="284"/>
        <w:jc w:val="both"/>
        <w:rPr>
          <w:rFonts w:ascii="Calibri Light" w:hAnsi="Calibri Light" w:cs="Calibri Light"/>
          <w:sz w:val="24"/>
          <w:szCs w:val="24"/>
          <w:lang w:val="en-AU"/>
        </w:rPr>
      </w:pPr>
    </w:p>
    <w:p w14:paraId="66BE6C5C" w14:textId="77777777" w:rsidR="00EA4E48" w:rsidRPr="001F2D87" w:rsidRDefault="00EA4E48" w:rsidP="00EA4E48">
      <w:pPr>
        <w:ind w:left="284"/>
        <w:jc w:val="both"/>
        <w:rPr>
          <w:rFonts w:ascii="Calibri Light" w:hAnsi="Calibri Light" w:cs="Calibri Light"/>
          <w:sz w:val="24"/>
          <w:szCs w:val="24"/>
          <w:lang w:val="en-AU"/>
        </w:rPr>
      </w:pPr>
      <w:r>
        <w:rPr>
          <w:noProof/>
        </w:rPr>
        <mc:AlternateContent>
          <mc:Choice Requires="wps">
            <w:drawing>
              <wp:anchor distT="4294967295" distB="4294967295" distL="114300" distR="114300" simplePos="0" relativeHeight="251668480" behindDoc="0" locked="0" layoutInCell="1" allowOverlap="1" wp14:anchorId="1A1C92A8" wp14:editId="5532ED34">
                <wp:simplePos x="0" y="0"/>
                <wp:positionH relativeFrom="column">
                  <wp:posOffset>2453640</wp:posOffset>
                </wp:positionH>
                <wp:positionV relativeFrom="paragraph">
                  <wp:posOffset>328294</wp:posOffset>
                </wp:positionV>
                <wp:extent cx="563245" cy="0"/>
                <wp:effectExtent l="0" t="76200" r="8255" b="76200"/>
                <wp:wrapNone/>
                <wp:docPr id="423979591"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728B220" id="Straight Arrow Connector 28" o:spid="_x0000_s1026" type="#_x0000_t32" style="position:absolute;margin-left:193.2pt;margin-top:25.85pt;width:44.3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" strokecolor="windowText" strokeweight=".5pt">
                <v:stroke endarrow="block" joinstyle="miter"/>
                <o:lock v:ext="edit" shapetype="f"/>
              </v:shape>
            </w:pict>
          </mc:Fallback>
        </mc:AlternateContent>
      </w:r>
      <w:r>
        <w:rPr>
          <w:noProof/>
        </w:rPr>
        <mc:AlternateContent>
          <mc:Choice Requires="wps">
            <w:drawing>
              <wp:anchor distT="0" distB="0" distL="114300" distR="114300" simplePos="0" relativeHeight="251661312" behindDoc="0" locked="0" layoutInCell="1" allowOverlap="1" wp14:anchorId="1DC2CA3F" wp14:editId="54D58B02">
                <wp:simplePos x="0" y="0"/>
                <wp:positionH relativeFrom="column">
                  <wp:posOffset>559435</wp:posOffset>
                </wp:positionH>
                <wp:positionV relativeFrom="paragraph">
                  <wp:posOffset>74930</wp:posOffset>
                </wp:positionV>
                <wp:extent cx="1887220" cy="526415"/>
                <wp:effectExtent l="0" t="0" r="0" b="6985"/>
                <wp:wrapNone/>
                <wp:docPr id="42801879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3BD4713E" w14:textId="77777777" w:rsidR="00EA4E48" w:rsidRPr="00672ECC" w:rsidRDefault="00EA4E48" w:rsidP="00EA4E48">
                            <w:pPr>
                              <w:rPr>
                                <w:color w:val="000000"/>
                                <w:szCs w:val="22"/>
                              </w:rPr>
                            </w:pPr>
                            <w:r w:rsidRPr="00672ECC">
                              <w:rPr>
                                <w:color w:val="000000"/>
                                <w:szCs w:val="22"/>
                              </w:rPr>
                              <w:t>Records screened</w:t>
                            </w:r>
                          </w:p>
                          <w:p w14:paraId="60093DF3" w14:textId="77777777" w:rsidR="00EA4E48" w:rsidRPr="00672ECC" w:rsidRDefault="00EA4E48" w:rsidP="00EA4E48">
                            <w:pPr>
                              <w:rPr>
                                <w:color w:val="000000"/>
                                <w:szCs w:val="22"/>
                              </w:rPr>
                            </w:pPr>
                            <w:r w:rsidRPr="00672ECC">
                              <w:rPr>
                                <w:color w:val="000000"/>
                                <w:szCs w:val="22"/>
                              </w:rPr>
                              <w:t>(n =350 )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2CA3F" id="Rectangle 26" o:spid="_x0000_s1030" style="position:absolute;left:0;text-align:left;margin-left:44.05pt;margin-top:5.9pt;width:148.6pt;height:4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" fillcolor="#b5d5a7" strokecolor="#70ad47" strokeweight=".5pt">
                <v:fill color2="#9cca86" rotate="t" colors="0 #b5d5a7;.5 #aace99;1 #9cca86" focus="100%" type="gradient">
                  <o:fill v:ext="view" type="gradientUnscaled"/>
                </v:fill>
                <v:path arrowok="t"/>
                <v:textbox>
                  <w:txbxContent>
                    <w:p w14:paraId="3BD4713E" w14:textId="77777777" w:rsidR="00EA4E48" w:rsidRPr="00672ECC" w:rsidRDefault="00EA4E48" w:rsidP="00EA4E48">
                      <w:pPr>
                        <w:rPr>
                          <w:color w:val="000000"/>
                          <w:szCs w:val="22"/>
                        </w:rPr>
                      </w:pPr>
                      <w:r w:rsidRPr="00672ECC">
                        <w:rPr>
                          <w:color w:val="000000"/>
                          <w:szCs w:val="22"/>
                        </w:rPr>
                        <w:t>Records screened</w:t>
                      </w:r>
                    </w:p>
                    <w:p w14:paraId="60093DF3" w14:textId="77777777" w:rsidR="00EA4E48" w:rsidRPr="00672ECC" w:rsidRDefault="00EA4E48" w:rsidP="00EA4E48">
                      <w:pPr>
                        <w:rPr>
                          <w:color w:val="000000"/>
                          <w:szCs w:val="22"/>
                        </w:rPr>
                      </w:pPr>
                      <w:r w:rsidRPr="00672ECC">
                        <w:rPr>
                          <w:color w:val="000000"/>
                          <w:szCs w:val="22"/>
                        </w:rPr>
                        <w:t>(n =350 )</w:t>
                      </w: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1F42A771" wp14:editId="5B1E5A1D">
                <wp:simplePos x="0" y="0"/>
                <wp:positionH relativeFrom="column">
                  <wp:posOffset>3048000</wp:posOffset>
                </wp:positionH>
                <wp:positionV relativeFrom="paragraph">
                  <wp:posOffset>74930</wp:posOffset>
                </wp:positionV>
                <wp:extent cx="1887220" cy="526415"/>
                <wp:effectExtent l="0" t="0" r="0" b="6985"/>
                <wp:wrapNone/>
                <wp:docPr id="177721973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14:paraId="5D9A78BB" w14:textId="77777777" w:rsidR="00EA4E48" w:rsidRPr="00672ECC" w:rsidRDefault="00EA4E48" w:rsidP="00EA4E48">
                            <w:pPr>
                              <w:rPr>
                                <w:color w:val="000000"/>
                              </w:rPr>
                            </w:pPr>
                            <w:r w:rsidRPr="00672ECC">
                              <w:rPr>
                                <w:color w:val="000000"/>
                              </w:rPr>
                              <w:t>Records excluded</w:t>
                            </w:r>
                          </w:p>
                          <w:p w14:paraId="0A167587" w14:textId="77777777" w:rsidR="00EA4E48" w:rsidRPr="00672ECC" w:rsidRDefault="00EA4E48" w:rsidP="00EA4E48">
                            <w:pPr>
                              <w:rPr>
                                <w:color w:val="000000"/>
                              </w:rPr>
                            </w:pPr>
                            <w:r w:rsidRPr="00672ECC">
                              <w:rPr>
                                <w:color w:val="000000"/>
                              </w:rPr>
                              <w:t>(n =</w:t>
                            </w:r>
                            <w:r w:rsidRPr="00672ECC">
                              <w:rPr>
                                <w:color w:val="000000"/>
                                <w:rtl/>
                              </w:rPr>
                              <w:t>150</w:t>
                            </w:r>
                            <w:r w:rsidRPr="00672ECC">
                              <w:rPr>
                                <w:color w:val="00000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2A771" id="Rectangle 24" o:spid="_x0000_s1031" style="position:absolute;left:0;text-align:left;margin-left:240pt;margin-top:5.9pt;width:148.6pt;height:4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" fillcolor="#ffdd9c" strokecolor="#ffc000" strokeweight=".5pt">
                <v:fill color2="#ffd479" rotate="t" colors="0 #ffdd9c;.5 #ffd78e;1 #ffd479" focus="100%" type="gradient">
                  <o:fill v:ext="view" type="gradientUnscaled"/>
                </v:fill>
                <v:path arrowok="t"/>
                <v:textbox>
                  <w:txbxContent>
                    <w:p w14:paraId="5D9A78BB" w14:textId="77777777" w:rsidR="00EA4E48" w:rsidRPr="00672ECC" w:rsidRDefault="00EA4E48" w:rsidP="00EA4E48">
                      <w:pPr>
                        <w:rPr>
                          <w:color w:val="000000"/>
                        </w:rPr>
                      </w:pPr>
                      <w:r w:rsidRPr="00672ECC">
                        <w:rPr>
                          <w:color w:val="000000"/>
                        </w:rPr>
                        <w:t>Records excluded</w:t>
                      </w:r>
                    </w:p>
                    <w:p w14:paraId="0A167587" w14:textId="77777777" w:rsidR="00EA4E48" w:rsidRPr="00672ECC" w:rsidRDefault="00EA4E48" w:rsidP="00EA4E48">
                      <w:pPr>
                        <w:rPr>
                          <w:color w:val="000000"/>
                        </w:rPr>
                      </w:pPr>
                      <w:r w:rsidRPr="00672ECC">
                        <w:rPr>
                          <w:color w:val="000000"/>
                        </w:rPr>
                        <w:t>(n =</w:t>
                      </w:r>
                      <w:r w:rsidRPr="00672ECC">
                        <w:rPr>
                          <w:color w:val="000000"/>
                          <w:rtl/>
                        </w:rPr>
                        <w:t>150</w:t>
                      </w:r>
                      <w:r w:rsidRPr="00672ECC">
                        <w:rPr>
                          <w:color w:val="000000"/>
                        </w:rPr>
                        <w:t xml:space="preserve"> )</w:t>
                      </w:r>
                    </w:p>
                  </w:txbxContent>
                </v:textbox>
              </v:rect>
            </w:pict>
          </mc:Fallback>
        </mc:AlternateContent>
      </w:r>
    </w:p>
    <w:p w14:paraId="324FE0FC" w14:textId="77777777" w:rsidR="00EA4E48" w:rsidRPr="001F2D87" w:rsidRDefault="00EA4E48" w:rsidP="00EA4E48">
      <w:pPr>
        <w:ind w:left="284"/>
        <w:jc w:val="both"/>
        <w:rPr>
          <w:rFonts w:ascii="Calibri Light" w:hAnsi="Calibri Light" w:cs="Calibri Light"/>
          <w:sz w:val="24"/>
          <w:szCs w:val="24"/>
          <w:lang w:val="en-AU"/>
        </w:rPr>
      </w:pPr>
    </w:p>
    <w:p w14:paraId="3D76FC0A" w14:textId="77777777" w:rsidR="00EA4E48" w:rsidRPr="001F2D87" w:rsidRDefault="00EA4E48" w:rsidP="00EA4E48">
      <w:pPr>
        <w:ind w:left="284"/>
        <w:jc w:val="both"/>
        <w:rPr>
          <w:rFonts w:ascii="Calibri Light" w:hAnsi="Calibri Light" w:cs="Calibri Light"/>
          <w:sz w:val="24"/>
          <w:szCs w:val="24"/>
          <w:lang w:val="en-AU"/>
        </w:rPr>
      </w:pPr>
    </w:p>
    <w:p w14:paraId="18AFD2F8" w14:textId="77777777" w:rsidR="00EA4E48" w:rsidRPr="001F2D87" w:rsidRDefault="00EA4E48" w:rsidP="00EA4E48">
      <w:pPr>
        <w:ind w:left="284"/>
        <w:jc w:val="both"/>
        <w:rPr>
          <w:rFonts w:ascii="Calibri Light" w:hAnsi="Calibri Light" w:cs="Calibri Light"/>
          <w:sz w:val="24"/>
          <w:szCs w:val="24"/>
          <w:lang w:val="en-AU"/>
        </w:rPr>
      </w:pPr>
      <w:r>
        <w:rPr>
          <w:noProof/>
        </w:rPr>
        <mc:AlternateContent>
          <mc:Choice Requires="wps">
            <w:drawing>
              <wp:anchor distT="0" distB="0" distL="114299" distR="114299" simplePos="0" relativeHeight="251675648" behindDoc="0" locked="0" layoutInCell="1" allowOverlap="1" wp14:anchorId="3673EFFD" wp14:editId="18CA9481">
                <wp:simplePos x="0" y="0"/>
                <wp:positionH relativeFrom="column">
                  <wp:posOffset>1400174</wp:posOffset>
                </wp:positionH>
                <wp:positionV relativeFrom="paragraph">
                  <wp:posOffset>99695</wp:posOffset>
                </wp:positionV>
                <wp:extent cx="0" cy="281305"/>
                <wp:effectExtent l="76200" t="0" r="38100" b="42545"/>
                <wp:wrapNone/>
                <wp:docPr id="420426844"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02AB41D" id="Straight Arrow Connector 22" o:spid="_x0000_s1026" type="#_x0000_t32" style="position:absolute;margin-left:110.25pt;margin-top:7.85pt;width:0;height:22.1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" strokecolor="windowText" strokeweight=".5pt">
                <v:stroke endarrow="block" joinstyle="miter"/>
                <o:lock v:ext="edit" shapetype="f"/>
              </v:shape>
            </w:pict>
          </mc:Fallback>
        </mc:AlternateContent>
      </w:r>
    </w:p>
    <w:p w14:paraId="2C3D2493" w14:textId="77777777" w:rsidR="00EA4E48" w:rsidRPr="001F2D87" w:rsidRDefault="00EA4E48" w:rsidP="00EA4E48">
      <w:pPr>
        <w:ind w:left="284"/>
        <w:jc w:val="both"/>
        <w:rPr>
          <w:rFonts w:ascii="Calibri Light" w:hAnsi="Calibri Light" w:cs="Calibri Light"/>
          <w:sz w:val="24"/>
          <w:szCs w:val="24"/>
          <w:lang w:val="en-AU"/>
        </w:rPr>
      </w:pPr>
      <w:r>
        <w:rPr>
          <w:noProof/>
        </w:rPr>
        <mc:AlternateContent>
          <mc:Choice Requires="wps">
            <w:drawing>
              <wp:anchor distT="0" distB="0" distL="114300" distR="114300" simplePos="0" relativeHeight="251664384" behindDoc="0" locked="0" layoutInCell="1" allowOverlap="1" wp14:anchorId="2EAFD94E" wp14:editId="2B3040E8">
                <wp:simplePos x="0" y="0"/>
                <wp:positionH relativeFrom="column">
                  <wp:posOffset>3048000</wp:posOffset>
                </wp:positionH>
                <wp:positionV relativeFrom="paragraph">
                  <wp:posOffset>97790</wp:posOffset>
                </wp:positionV>
                <wp:extent cx="1887220" cy="819150"/>
                <wp:effectExtent l="0" t="0" r="0" b="0"/>
                <wp:wrapNone/>
                <wp:docPr id="119359276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819150"/>
                        </a:xfrm>
                        <a:prstGeom prst="rect">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14:paraId="1AA77C7C" w14:textId="77777777" w:rsidR="00EA4E48" w:rsidRPr="00672ECC" w:rsidRDefault="00EA4E48" w:rsidP="00EA4E48">
                            <w:pPr>
                              <w:rPr>
                                <w:color w:val="000000"/>
                              </w:rPr>
                            </w:pPr>
                            <w:r w:rsidRPr="00672ECC">
                              <w:rPr>
                                <w:color w:val="000000"/>
                              </w:rPr>
                              <w:t>"Qur'an and human rights," "Shari'ah law in Egypt," "Islamic law and human rights in Indonesia," and "Islamic jurisprudence."</w:t>
                            </w:r>
                          </w:p>
                          <w:p w14:paraId="265F5C9E" w14:textId="77777777" w:rsidR="00EA4E48" w:rsidRPr="00672ECC" w:rsidRDefault="00EA4E48" w:rsidP="00EA4E48">
                            <w:pPr>
                              <w:rPr>
                                <w:rFonts w:ascii="Arial" w:hAnsi="Arial" w:cs="Arial"/>
                                <w:color w:val="00000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AFD94E" id="Rectangle 20" o:spid="_x0000_s1032" style="position:absolute;left:0;text-align:left;margin-left:240pt;margin-top:7.7pt;width:148.6pt;height: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" fillcolor="#ffdd9c" strokecolor="#ffc000" strokeweight=".5pt">
                <v:fill color2="#ffd479" rotate="t" colors="0 #ffdd9c;.5 #ffd78e;1 #ffd479" focus="100%" type="gradient">
                  <o:fill v:ext="view" type="gradientUnscaled"/>
                </v:fill>
                <v:path arrowok="t"/>
                <v:textbox>
                  <w:txbxContent>
                    <w:p w14:paraId="1AA77C7C" w14:textId="77777777" w:rsidR="00EA4E48" w:rsidRPr="00672ECC" w:rsidRDefault="00EA4E48" w:rsidP="00EA4E48">
                      <w:pPr>
                        <w:rPr>
                          <w:color w:val="000000"/>
                        </w:rPr>
                      </w:pPr>
                      <w:r w:rsidRPr="00672ECC">
                        <w:rPr>
                          <w:color w:val="000000"/>
                        </w:rPr>
                        <w:t>"Qur'an and human rights," "Shari'ah law in Egypt," "Islamic law and human rights in Indonesia," and "Islamic jurisprudence."</w:t>
                      </w:r>
                    </w:p>
                    <w:p w14:paraId="265F5C9E" w14:textId="77777777" w:rsidR="00EA4E48" w:rsidRPr="00672ECC" w:rsidRDefault="00EA4E48" w:rsidP="00EA4E48">
                      <w:pPr>
                        <w:rPr>
                          <w:rFonts w:ascii="Arial" w:hAnsi="Arial" w:cs="Arial"/>
                          <w:color w:val="000000"/>
                          <w:sz w:val="18"/>
                        </w:rPr>
                      </w:pPr>
                    </w:p>
                  </w:txbxContent>
                </v:textbox>
              </v:rect>
            </w:pict>
          </mc:Fallback>
        </mc:AlternateContent>
      </w:r>
    </w:p>
    <w:p w14:paraId="40B0E2E2" w14:textId="77777777" w:rsidR="00EA4E48" w:rsidRPr="001F2D87" w:rsidRDefault="00EA4E48" w:rsidP="00EA4E48">
      <w:pPr>
        <w:ind w:left="284"/>
        <w:jc w:val="both"/>
        <w:rPr>
          <w:rFonts w:ascii="Calibri Light" w:hAnsi="Calibri Light" w:cs="Calibri Light"/>
          <w:sz w:val="24"/>
          <w:szCs w:val="24"/>
          <w:lang w:val="en-AU"/>
        </w:rPr>
      </w:pPr>
      <w:r>
        <w:rPr>
          <w:noProof/>
        </w:rPr>
        <mc:AlternateContent>
          <mc:Choice Requires="wps">
            <w:drawing>
              <wp:anchor distT="0" distB="0" distL="114300" distR="114300" simplePos="0" relativeHeight="251663360" behindDoc="0" locked="0" layoutInCell="1" allowOverlap="1" wp14:anchorId="7536C744" wp14:editId="51876461">
                <wp:simplePos x="0" y="0"/>
                <wp:positionH relativeFrom="column">
                  <wp:posOffset>560705</wp:posOffset>
                </wp:positionH>
                <wp:positionV relativeFrom="paragraph">
                  <wp:posOffset>47625</wp:posOffset>
                </wp:positionV>
                <wp:extent cx="1887220" cy="526415"/>
                <wp:effectExtent l="0" t="0" r="0" b="6985"/>
                <wp:wrapNone/>
                <wp:docPr id="76164755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3370DC63" w14:textId="77777777" w:rsidR="00EA4E48" w:rsidRPr="00672ECC" w:rsidRDefault="00EA4E48" w:rsidP="00EA4E48">
                            <w:pPr>
                              <w:rPr>
                                <w:color w:val="000000"/>
                                <w:szCs w:val="22"/>
                              </w:rPr>
                            </w:pPr>
                            <w:r w:rsidRPr="00672ECC">
                              <w:rPr>
                                <w:color w:val="000000"/>
                                <w:szCs w:val="22"/>
                              </w:rPr>
                              <w:t>Key terms used in this search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36C744" id="Rectangle 18" o:spid="_x0000_s1033" style="position:absolute;left:0;text-align:left;margin-left:44.15pt;margin-top:3.75pt;width:148.6pt;height:4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" fillcolor="#b5d5a7" strokecolor="#70ad47" strokeweight=".5pt">
                <v:fill color2="#9cca86" rotate="t" colors="0 #b5d5a7;.5 #aace99;1 #9cca86" focus="100%" type="gradient">
                  <o:fill v:ext="view" type="gradientUnscaled"/>
                </v:fill>
                <v:path arrowok="t"/>
                <v:textbox>
                  <w:txbxContent>
                    <w:p w14:paraId="3370DC63" w14:textId="77777777" w:rsidR="00EA4E48" w:rsidRPr="00672ECC" w:rsidRDefault="00EA4E48" w:rsidP="00EA4E48">
                      <w:pPr>
                        <w:rPr>
                          <w:color w:val="000000"/>
                          <w:szCs w:val="22"/>
                        </w:rPr>
                      </w:pPr>
                      <w:r w:rsidRPr="00672ECC">
                        <w:rPr>
                          <w:color w:val="000000"/>
                          <w:szCs w:val="22"/>
                        </w:rPr>
                        <w:t>Key terms used in this search</w:t>
                      </w:r>
                    </w:p>
                  </w:txbxContent>
                </v:textbox>
              </v:rect>
            </w:pict>
          </mc:Fallback>
        </mc:AlternateContent>
      </w:r>
      <w:r>
        <w:rPr>
          <w:noProof/>
        </w:rPr>
        <mc:AlternateContent>
          <mc:Choice Requires="wps">
            <w:drawing>
              <wp:anchor distT="4294967295" distB="4294967295" distL="114300" distR="114300" simplePos="0" relativeHeight="251669504" behindDoc="0" locked="0" layoutInCell="1" allowOverlap="1" wp14:anchorId="5222ADA3" wp14:editId="176C1C3C">
                <wp:simplePos x="0" y="0"/>
                <wp:positionH relativeFrom="column">
                  <wp:posOffset>2463165</wp:posOffset>
                </wp:positionH>
                <wp:positionV relativeFrom="paragraph">
                  <wp:posOffset>320674</wp:posOffset>
                </wp:positionV>
                <wp:extent cx="563245" cy="0"/>
                <wp:effectExtent l="0" t="76200" r="8255" b="76200"/>
                <wp:wrapNone/>
                <wp:docPr id="8307378"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4D910F4" id="Straight Arrow Connector 16" o:spid="_x0000_s1026" type="#_x0000_t32" style="position:absolute;margin-left:193.95pt;margin-top:25.25pt;width:44.3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" strokecolor="windowText" strokeweight=".5pt">
                <v:stroke endarrow="block" joinstyle="miter"/>
                <o:lock v:ext="edit" shapetype="f"/>
              </v:shape>
            </w:pict>
          </mc:Fallback>
        </mc:AlternateContent>
      </w:r>
    </w:p>
    <w:p w14:paraId="5CFCDCE1" w14:textId="77777777" w:rsidR="00EA4E48" w:rsidRPr="001F2D87" w:rsidRDefault="00EA4E48" w:rsidP="00EA4E48">
      <w:pPr>
        <w:ind w:left="284"/>
        <w:jc w:val="both"/>
        <w:rPr>
          <w:rFonts w:ascii="Calibri Light" w:hAnsi="Calibri Light" w:cs="Calibri Light"/>
          <w:sz w:val="24"/>
          <w:szCs w:val="24"/>
          <w:lang w:val="en-AU"/>
        </w:rPr>
      </w:pPr>
    </w:p>
    <w:p w14:paraId="6BB28957" w14:textId="77777777" w:rsidR="00EA4E48" w:rsidRPr="001F2D87" w:rsidRDefault="00EA4E48" w:rsidP="00EA4E48">
      <w:pPr>
        <w:ind w:left="284"/>
        <w:jc w:val="both"/>
        <w:rPr>
          <w:rFonts w:ascii="Calibri Light" w:hAnsi="Calibri Light" w:cs="Calibri Light"/>
          <w:sz w:val="24"/>
          <w:szCs w:val="24"/>
          <w:lang w:val="en-AU"/>
        </w:rPr>
      </w:pPr>
      <w:r>
        <w:rPr>
          <w:noProof/>
        </w:rPr>
        <w:lastRenderedPageBreak/>
        <mc:AlternateContent>
          <mc:Choice Requires="wps">
            <w:drawing>
              <wp:anchor distT="0" distB="0" distL="114300" distR="114300" simplePos="0" relativeHeight="251672576" behindDoc="0" locked="0" layoutInCell="1" allowOverlap="1" wp14:anchorId="2983F15B" wp14:editId="45CEF571">
                <wp:simplePos x="0" y="0"/>
                <wp:positionH relativeFrom="column">
                  <wp:posOffset>-1160780</wp:posOffset>
                </wp:positionH>
                <wp:positionV relativeFrom="paragraph">
                  <wp:posOffset>140335</wp:posOffset>
                </wp:positionV>
                <wp:extent cx="2787650" cy="262890"/>
                <wp:effectExtent l="5080" t="0" r="0" b="0"/>
                <wp:wrapNone/>
                <wp:docPr id="21228196" name="Flowchart: Alternate Process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787650"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0BC38448" w14:textId="77777777" w:rsidR="00EA4E48" w:rsidRPr="00672ECC" w:rsidRDefault="00EA4E48" w:rsidP="00EA4E48">
                            <w:pPr>
                              <w:jc w:val="center"/>
                              <w:rPr>
                                <w:rFonts w:ascii="Arial" w:hAnsi="Arial" w:cs="Arial"/>
                                <w:b/>
                                <w:color w:val="000000"/>
                                <w:sz w:val="18"/>
                                <w:szCs w:val="18"/>
                              </w:rPr>
                            </w:pPr>
                            <w:r w:rsidRPr="00672ECC">
                              <w:rPr>
                                <w:rFonts w:ascii="Arial" w:hAnsi="Arial" w:cs="Arial"/>
                                <w:b/>
                                <w:color w:val="000000"/>
                                <w:sz w:val="18"/>
                                <w:szCs w:val="18"/>
                              </w:rPr>
                              <w:t>Screening</w:t>
                            </w:r>
                          </w:p>
                          <w:p w14:paraId="66B6681D" w14:textId="77777777" w:rsidR="00EA4E48" w:rsidRPr="00672ECC" w:rsidRDefault="00EA4E48" w:rsidP="00EA4E48">
                            <w:pPr>
                              <w:rPr>
                                <w:rFonts w:ascii="Arial" w:hAnsi="Arial" w:cs="Arial"/>
                                <w:b/>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3F15B" id="Flowchart: Alternate Process 14" o:spid="_x0000_s1034" type="#_x0000_t176" style="position:absolute;left:0;text-align:left;margin-left:-91.4pt;margin-top:11.05pt;width:219.5pt;height:20.7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" fillcolor="#9dc3e6" strokecolor="windowText" strokeweight="1pt">
                <v:path arrowok="t"/>
                <v:textbox>
                  <w:txbxContent>
                    <w:p w14:paraId="0BC38448" w14:textId="77777777" w:rsidR="00EA4E48" w:rsidRPr="00672ECC" w:rsidRDefault="00EA4E48" w:rsidP="00EA4E48">
                      <w:pPr>
                        <w:jc w:val="center"/>
                        <w:rPr>
                          <w:rFonts w:ascii="Arial" w:hAnsi="Arial" w:cs="Arial"/>
                          <w:b/>
                          <w:color w:val="000000"/>
                          <w:sz w:val="18"/>
                          <w:szCs w:val="18"/>
                        </w:rPr>
                      </w:pPr>
                      <w:r w:rsidRPr="00672ECC">
                        <w:rPr>
                          <w:rFonts w:ascii="Arial" w:hAnsi="Arial" w:cs="Arial"/>
                          <w:b/>
                          <w:color w:val="000000"/>
                          <w:sz w:val="18"/>
                          <w:szCs w:val="18"/>
                        </w:rPr>
                        <w:t>Screening</w:t>
                      </w:r>
                    </w:p>
                    <w:p w14:paraId="66B6681D" w14:textId="77777777" w:rsidR="00EA4E48" w:rsidRPr="00672ECC" w:rsidRDefault="00EA4E48" w:rsidP="00EA4E48">
                      <w:pPr>
                        <w:rPr>
                          <w:rFonts w:ascii="Arial" w:hAnsi="Arial" w:cs="Arial"/>
                          <w:b/>
                          <w:color w:val="000000"/>
                          <w:sz w:val="18"/>
                          <w:szCs w:val="18"/>
                        </w:rPr>
                      </w:pPr>
                    </w:p>
                  </w:txbxContent>
                </v:textbox>
              </v:shape>
            </w:pict>
          </mc:Fallback>
        </mc:AlternateContent>
      </w:r>
    </w:p>
    <w:p w14:paraId="3B4BB422" w14:textId="77777777" w:rsidR="00EA4E48" w:rsidRPr="001F2D87" w:rsidRDefault="00EA4E48" w:rsidP="00EA4E48">
      <w:pPr>
        <w:ind w:left="284"/>
        <w:jc w:val="both"/>
        <w:rPr>
          <w:rFonts w:ascii="Calibri Light" w:hAnsi="Calibri Light" w:cs="Calibri Light"/>
          <w:sz w:val="24"/>
          <w:szCs w:val="24"/>
          <w:lang w:val="en-AU"/>
        </w:rPr>
      </w:pPr>
      <w:r>
        <w:rPr>
          <w:noProof/>
        </w:rPr>
        <mc:AlternateContent>
          <mc:Choice Requires="wps">
            <w:drawing>
              <wp:anchor distT="0" distB="0" distL="114299" distR="114299" simplePos="0" relativeHeight="251676672" behindDoc="0" locked="0" layoutInCell="1" allowOverlap="1" wp14:anchorId="2FAAD189" wp14:editId="4735344F">
                <wp:simplePos x="0" y="0"/>
                <wp:positionH relativeFrom="column">
                  <wp:posOffset>1409699</wp:posOffset>
                </wp:positionH>
                <wp:positionV relativeFrom="paragraph">
                  <wp:posOffset>56515</wp:posOffset>
                </wp:positionV>
                <wp:extent cx="0" cy="281305"/>
                <wp:effectExtent l="76200" t="0" r="38100" b="42545"/>
                <wp:wrapNone/>
                <wp:docPr id="2038038883"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58F1C25" id="Straight Arrow Connector 12" o:spid="_x0000_s1026" type="#_x0000_t32" style="position:absolute;margin-left:111pt;margin-top:4.45pt;width:0;height:22.1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" strokecolor="windowText" strokeweight=".5pt">
                <v:stroke endarrow="block" joinstyle="miter"/>
                <o:lock v:ext="edit" shapetype="f"/>
              </v:shape>
            </w:pict>
          </mc:Fallback>
        </mc:AlternateContent>
      </w:r>
    </w:p>
    <w:p w14:paraId="624A5AFC" w14:textId="77777777" w:rsidR="00EA4E48" w:rsidRPr="001F2D87" w:rsidRDefault="00EA4E48" w:rsidP="00EA4E48">
      <w:pPr>
        <w:ind w:left="284"/>
        <w:jc w:val="both"/>
        <w:rPr>
          <w:rFonts w:ascii="Calibri Light" w:hAnsi="Calibri Light" w:cs="Calibri Light"/>
          <w:sz w:val="24"/>
          <w:szCs w:val="24"/>
          <w:lang w:val="en-AU"/>
        </w:rPr>
      </w:pPr>
    </w:p>
    <w:p w14:paraId="59915F32" w14:textId="77777777" w:rsidR="00EA4E48" w:rsidRPr="001F2D87" w:rsidRDefault="00EA4E48" w:rsidP="00EA4E48">
      <w:pPr>
        <w:ind w:left="284"/>
        <w:jc w:val="both"/>
        <w:rPr>
          <w:rFonts w:ascii="Calibri Light" w:hAnsi="Calibri Light" w:cs="Calibri Light"/>
          <w:sz w:val="24"/>
          <w:szCs w:val="24"/>
          <w:lang w:val="en-AU"/>
        </w:rPr>
      </w:pPr>
      <w:r>
        <w:rPr>
          <w:noProof/>
        </w:rPr>
        <mc:AlternateContent>
          <mc:Choice Requires="wps">
            <w:drawing>
              <wp:anchor distT="0" distB="0" distL="114300" distR="114300" simplePos="0" relativeHeight="251665408" behindDoc="0" locked="0" layoutInCell="1" allowOverlap="1" wp14:anchorId="5F2495BC" wp14:editId="199141BD">
                <wp:simplePos x="0" y="0"/>
                <wp:positionH relativeFrom="column">
                  <wp:posOffset>561975</wp:posOffset>
                </wp:positionH>
                <wp:positionV relativeFrom="paragraph">
                  <wp:posOffset>13335</wp:posOffset>
                </wp:positionV>
                <wp:extent cx="1887220" cy="526415"/>
                <wp:effectExtent l="0" t="0" r="0" b="6985"/>
                <wp:wrapNone/>
                <wp:docPr id="15111326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7EC515F2" w14:textId="77777777" w:rsidR="00EA4E48" w:rsidRPr="00672ECC" w:rsidRDefault="00EA4E48" w:rsidP="00EA4E48">
                            <w:pPr>
                              <w:rPr>
                                <w:rFonts w:ascii="Arial" w:hAnsi="Arial" w:cs="Arial"/>
                                <w:color w:val="000000"/>
                                <w:sz w:val="18"/>
                              </w:rPr>
                            </w:pPr>
                            <w:r w:rsidRPr="00672ECC">
                              <w:rPr>
                                <w:color w:val="000000"/>
                                <w:szCs w:val="22"/>
                              </w:rPr>
                              <w:t>150 studies passed the eligibility check based on the title and abstract</w:t>
                            </w:r>
                            <w:r w:rsidRPr="00672ECC">
                              <w:rPr>
                                <w:rFonts w:ascii="Arial" w:hAnsi="Arial" w:cs="Arial"/>
                                <w:color w:val="00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2495BC" id="Rectangle 10" o:spid="_x0000_s1035" style="position:absolute;left:0;text-align:left;margin-left:44.25pt;margin-top:1.05pt;width:148.6pt;height:4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" fillcolor="#b5d5a7" strokecolor="#70ad47" strokeweight=".5pt">
                <v:fill color2="#9cca86" rotate="t" colors="0 #b5d5a7;.5 #aace99;1 #9cca86" focus="100%" type="gradient">
                  <o:fill v:ext="view" type="gradientUnscaled"/>
                </v:fill>
                <v:path arrowok="t"/>
                <v:textbox>
                  <w:txbxContent>
                    <w:p w14:paraId="7EC515F2" w14:textId="77777777" w:rsidR="00EA4E48" w:rsidRPr="00672ECC" w:rsidRDefault="00EA4E48" w:rsidP="00EA4E48">
                      <w:pPr>
                        <w:rPr>
                          <w:rFonts w:ascii="Arial" w:hAnsi="Arial" w:cs="Arial"/>
                          <w:color w:val="000000"/>
                          <w:sz w:val="18"/>
                        </w:rPr>
                      </w:pPr>
                      <w:r w:rsidRPr="00672ECC">
                        <w:rPr>
                          <w:color w:val="000000"/>
                          <w:szCs w:val="22"/>
                        </w:rPr>
                        <w:t>150 studies passed the eligibility check based on the title and abstract</w:t>
                      </w:r>
                      <w:r w:rsidRPr="00672ECC">
                        <w:rPr>
                          <w:rFonts w:ascii="Arial" w:hAnsi="Arial" w:cs="Arial"/>
                          <w:color w:val="000000"/>
                          <w:sz w:val="18"/>
                        </w:rPr>
                        <w:t>.</w:t>
                      </w:r>
                    </w:p>
                  </w:txbxContent>
                </v:textbox>
              </v:rect>
            </w:pict>
          </mc:Fallback>
        </mc:AlternateContent>
      </w:r>
    </w:p>
    <w:p w14:paraId="38FDDF5A" w14:textId="77777777" w:rsidR="00EA4E48" w:rsidRPr="001F2D87" w:rsidRDefault="00EA4E48" w:rsidP="00EA4E48">
      <w:pPr>
        <w:ind w:left="284"/>
        <w:jc w:val="both"/>
        <w:rPr>
          <w:rFonts w:ascii="Calibri Light" w:hAnsi="Calibri Light" w:cs="Calibri Light"/>
          <w:sz w:val="24"/>
          <w:szCs w:val="24"/>
          <w:lang w:val="en-AU"/>
        </w:rPr>
      </w:pPr>
    </w:p>
    <w:p w14:paraId="7E6E3F88" w14:textId="77777777" w:rsidR="00EA4E48" w:rsidRPr="001F2D87" w:rsidRDefault="00EA4E48" w:rsidP="00EA4E48">
      <w:pPr>
        <w:ind w:left="284"/>
        <w:jc w:val="both"/>
        <w:rPr>
          <w:rFonts w:ascii="Calibri Light" w:hAnsi="Calibri Light" w:cs="Calibri Light"/>
          <w:sz w:val="24"/>
          <w:szCs w:val="24"/>
          <w:lang w:val="en-AU"/>
        </w:rPr>
      </w:pPr>
    </w:p>
    <w:p w14:paraId="66883B51" w14:textId="77777777" w:rsidR="00EA4E48" w:rsidRPr="001F2D87" w:rsidRDefault="00EA4E48" w:rsidP="00EA4E48">
      <w:pPr>
        <w:ind w:left="284"/>
        <w:jc w:val="both"/>
        <w:rPr>
          <w:rFonts w:ascii="Calibri Light" w:hAnsi="Calibri Light" w:cs="Calibri Light"/>
          <w:sz w:val="24"/>
          <w:szCs w:val="24"/>
          <w:lang w:val="en-AU"/>
        </w:rPr>
      </w:pPr>
      <w:r>
        <w:rPr>
          <w:noProof/>
        </w:rPr>
        <mc:AlternateContent>
          <mc:Choice Requires="wps">
            <w:drawing>
              <wp:anchor distT="0" distB="0" distL="114299" distR="114299" simplePos="0" relativeHeight="251677696" behindDoc="0" locked="0" layoutInCell="1" allowOverlap="1" wp14:anchorId="7493AD79" wp14:editId="6072F58A">
                <wp:simplePos x="0" y="0"/>
                <wp:positionH relativeFrom="column">
                  <wp:posOffset>1400809</wp:posOffset>
                </wp:positionH>
                <wp:positionV relativeFrom="paragraph">
                  <wp:posOffset>29845</wp:posOffset>
                </wp:positionV>
                <wp:extent cx="0" cy="746125"/>
                <wp:effectExtent l="76200" t="0" r="38100" b="34925"/>
                <wp:wrapNone/>
                <wp:docPr id="212579966"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461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D4391E9" id="Straight Arrow Connector 8" o:spid="_x0000_s1026" type="#_x0000_t32" style="position:absolute;margin-left:110.3pt;margin-top:2.35pt;width:0;height:58.75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" strokecolor="windowText" strokeweight=".5pt">
                <v:stroke endarrow="block" joinstyle="miter"/>
                <o:lock v:ext="edit" shapetype="f"/>
              </v:shape>
            </w:pict>
          </mc:Fallback>
        </mc:AlternateContent>
      </w:r>
    </w:p>
    <w:p w14:paraId="13587675" w14:textId="77777777" w:rsidR="00EA4E48" w:rsidRPr="001F2D87" w:rsidRDefault="00EA4E48" w:rsidP="00EA4E48">
      <w:pPr>
        <w:ind w:left="284"/>
        <w:jc w:val="both"/>
        <w:rPr>
          <w:rFonts w:ascii="Calibri Light" w:hAnsi="Calibri Light" w:cs="Calibri Light"/>
          <w:sz w:val="24"/>
          <w:szCs w:val="24"/>
          <w:lang w:val="en-AU"/>
        </w:rPr>
      </w:pPr>
    </w:p>
    <w:p w14:paraId="43C52CC9" w14:textId="77777777" w:rsidR="00EA4E48" w:rsidRPr="001F2D87" w:rsidRDefault="00EA4E48" w:rsidP="00EA4E48">
      <w:pPr>
        <w:ind w:left="284"/>
        <w:jc w:val="both"/>
        <w:rPr>
          <w:rFonts w:ascii="Calibri Light" w:hAnsi="Calibri Light" w:cs="Calibri Light"/>
          <w:sz w:val="24"/>
          <w:szCs w:val="24"/>
          <w:lang w:val="en-AU"/>
        </w:rPr>
      </w:pPr>
    </w:p>
    <w:p w14:paraId="7E540364" w14:textId="77777777" w:rsidR="00EA4E48" w:rsidRPr="001F2D87" w:rsidRDefault="00EA4E48" w:rsidP="00EA4E48">
      <w:pPr>
        <w:ind w:left="284"/>
        <w:jc w:val="both"/>
        <w:rPr>
          <w:rFonts w:ascii="Calibri Light" w:hAnsi="Calibri Light" w:cs="Calibri Light"/>
          <w:sz w:val="24"/>
          <w:szCs w:val="24"/>
          <w:lang w:val="en-AU"/>
        </w:rPr>
      </w:pPr>
    </w:p>
    <w:p w14:paraId="78131480" w14:textId="77777777" w:rsidR="00EA4E48" w:rsidRPr="001F2D87" w:rsidRDefault="00EA4E48" w:rsidP="00EA4E48">
      <w:pPr>
        <w:ind w:left="284"/>
        <w:jc w:val="both"/>
        <w:rPr>
          <w:rFonts w:ascii="Calibri Light" w:hAnsi="Calibri Light" w:cs="Calibri Light"/>
          <w:sz w:val="24"/>
          <w:szCs w:val="24"/>
          <w:lang w:val="en-AU"/>
        </w:rPr>
      </w:pPr>
      <w:r>
        <w:rPr>
          <w:noProof/>
        </w:rPr>
        <mc:AlternateContent>
          <mc:Choice Requires="wps">
            <w:drawing>
              <wp:anchor distT="0" distB="0" distL="114300" distR="114300" simplePos="0" relativeHeight="251666432" behindDoc="0" locked="0" layoutInCell="1" allowOverlap="1" wp14:anchorId="35428F44" wp14:editId="557EFF44">
                <wp:simplePos x="0" y="0"/>
                <wp:positionH relativeFrom="column">
                  <wp:posOffset>540385</wp:posOffset>
                </wp:positionH>
                <wp:positionV relativeFrom="paragraph">
                  <wp:posOffset>110490</wp:posOffset>
                </wp:positionV>
                <wp:extent cx="1887220" cy="723900"/>
                <wp:effectExtent l="0" t="0" r="0" b="0"/>
                <wp:wrapNone/>
                <wp:docPr id="17067589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723900"/>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69E7D6F4" w14:textId="77777777" w:rsidR="00EA4E48" w:rsidRPr="00672ECC" w:rsidRDefault="00EA4E48" w:rsidP="00EA4E48">
                            <w:pPr>
                              <w:rPr>
                                <w:rFonts w:ascii="Arial" w:hAnsi="Arial" w:cs="Arial"/>
                                <w:color w:val="000000"/>
                                <w:sz w:val="18"/>
                              </w:rPr>
                            </w:pPr>
                            <w:r w:rsidRPr="00672ECC">
                              <w:rPr>
                                <w:color w:val="000000"/>
                                <w:szCs w:val="22"/>
                              </w:rPr>
                              <w:t>50 studies were finally included for detailed analysis</w:t>
                            </w:r>
                            <w:r w:rsidRPr="00672ECC">
                              <w:rPr>
                                <w:rFonts w:ascii="Arial" w:hAnsi="Arial" w:cs="Arial"/>
                                <w:color w:val="00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428F44" id="Rectangle 6" o:spid="_x0000_s1036" style="position:absolute;left:0;text-align:left;margin-left:42.55pt;margin-top:8.7pt;width:148.6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" fillcolor="#b5d5a7" strokecolor="#70ad47" strokeweight=".5pt">
                <v:fill color2="#9cca86" rotate="t" colors="0 #b5d5a7;.5 #aace99;1 #9cca86" focus="100%" type="gradient">
                  <o:fill v:ext="view" type="gradientUnscaled"/>
                </v:fill>
                <v:path arrowok="t"/>
                <v:textbox>
                  <w:txbxContent>
                    <w:p w14:paraId="69E7D6F4" w14:textId="77777777" w:rsidR="00EA4E48" w:rsidRPr="00672ECC" w:rsidRDefault="00EA4E48" w:rsidP="00EA4E48">
                      <w:pPr>
                        <w:rPr>
                          <w:rFonts w:ascii="Arial" w:hAnsi="Arial" w:cs="Arial"/>
                          <w:color w:val="000000"/>
                          <w:sz w:val="18"/>
                        </w:rPr>
                      </w:pPr>
                      <w:r w:rsidRPr="00672ECC">
                        <w:rPr>
                          <w:color w:val="000000"/>
                          <w:szCs w:val="22"/>
                        </w:rPr>
                        <w:t>50 studies were finally included for detailed analysis</w:t>
                      </w:r>
                      <w:r w:rsidRPr="00672ECC">
                        <w:rPr>
                          <w:rFonts w:ascii="Arial" w:hAnsi="Arial" w:cs="Arial"/>
                          <w:color w:val="000000"/>
                          <w:sz w:val="18"/>
                        </w:rPr>
                        <w:t>.</w:t>
                      </w:r>
                    </w:p>
                  </w:txbxContent>
                </v:textbox>
              </v:rect>
            </w:pict>
          </mc:Fallback>
        </mc:AlternateContent>
      </w:r>
    </w:p>
    <w:p w14:paraId="0F067866" w14:textId="77777777" w:rsidR="00EA4E48" w:rsidRPr="001F2D87" w:rsidRDefault="00EA4E48" w:rsidP="00EA4E48">
      <w:pPr>
        <w:ind w:left="284"/>
        <w:jc w:val="both"/>
        <w:rPr>
          <w:rFonts w:ascii="Calibri Light" w:hAnsi="Calibri Light" w:cs="Calibri Light"/>
          <w:sz w:val="24"/>
          <w:szCs w:val="24"/>
          <w:lang w:val="en-AU"/>
        </w:rPr>
      </w:pPr>
      <w:r>
        <w:rPr>
          <w:noProof/>
        </w:rPr>
        <mc:AlternateContent>
          <mc:Choice Requires="wps">
            <w:drawing>
              <wp:anchor distT="0" distB="0" distL="114300" distR="114300" simplePos="0" relativeHeight="251673600" behindDoc="0" locked="0" layoutInCell="1" allowOverlap="1" wp14:anchorId="0413AC33" wp14:editId="01C1C180">
                <wp:simplePos x="0" y="0"/>
                <wp:positionH relativeFrom="column">
                  <wp:posOffset>-133350</wp:posOffset>
                </wp:positionH>
                <wp:positionV relativeFrom="paragraph">
                  <wp:posOffset>170815</wp:posOffset>
                </wp:positionV>
                <wp:extent cx="764540" cy="262890"/>
                <wp:effectExtent l="3175" t="0" r="635" b="635"/>
                <wp:wrapNone/>
                <wp:docPr id="151283755" name="Flowchart: Alternate Proces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764540"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7E2E3A29" w14:textId="77777777" w:rsidR="00EA4E48" w:rsidRPr="00672ECC" w:rsidRDefault="00EA4E48" w:rsidP="00EA4E48">
                            <w:pPr>
                              <w:jc w:val="center"/>
                              <w:rPr>
                                <w:rFonts w:ascii="Arial" w:hAnsi="Arial" w:cs="Arial"/>
                                <w:b/>
                                <w:color w:val="000000"/>
                                <w:sz w:val="18"/>
                                <w:szCs w:val="18"/>
                              </w:rPr>
                            </w:pPr>
                            <w:r w:rsidRPr="00672ECC">
                              <w:rPr>
                                <w:rFonts w:ascii="Arial" w:hAnsi="Arial" w:cs="Arial"/>
                                <w:b/>
                                <w:color w:val="000000"/>
                                <w:sz w:val="18"/>
                                <w:szCs w:val="18"/>
                              </w:rPr>
                              <w:t>Included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3AC33" id="Flowchart: Alternate Process 4" o:spid="_x0000_s1037" type="#_x0000_t176" style="position:absolute;left:0;text-align:left;margin-left:-10.5pt;margin-top:13.45pt;width:60.2pt;height:20.7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" fillcolor="#9dc3e6" strokecolor="windowText" strokeweight="1pt">
                <v:path arrowok="t"/>
                <v:textbox>
                  <w:txbxContent>
                    <w:p w14:paraId="7E2E3A29" w14:textId="77777777" w:rsidR="00EA4E48" w:rsidRPr="00672ECC" w:rsidRDefault="00EA4E48" w:rsidP="00EA4E48">
                      <w:pPr>
                        <w:jc w:val="center"/>
                        <w:rPr>
                          <w:rFonts w:ascii="Arial" w:hAnsi="Arial" w:cs="Arial"/>
                          <w:b/>
                          <w:color w:val="000000"/>
                          <w:sz w:val="18"/>
                          <w:szCs w:val="18"/>
                        </w:rPr>
                      </w:pPr>
                      <w:r w:rsidRPr="00672ECC">
                        <w:rPr>
                          <w:rFonts w:ascii="Arial" w:hAnsi="Arial" w:cs="Arial"/>
                          <w:b/>
                          <w:color w:val="000000"/>
                          <w:sz w:val="18"/>
                          <w:szCs w:val="18"/>
                        </w:rPr>
                        <w:t>Included</w:t>
                      </w:r>
                    </w:p>
                  </w:txbxContent>
                </v:textbox>
              </v:shape>
            </w:pict>
          </mc:Fallback>
        </mc:AlternateContent>
      </w:r>
    </w:p>
    <w:bookmarkEnd w:id="7"/>
    <w:p w14:paraId="0645AB50" w14:textId="77777777" w:rsidR="00EA4E48" w:rsidRPr="001F2D87" w:rsidRDefault="00EA4E48" w:rsidP="00EA4E48">
      <w:pPr>
        <w:ind w:left="284"/>
        <w:jc w:val="both"/>
        <w:rPr>
          <w:rFonts w:ascii="Calibri Light" w:hAnsi="Calibri Light" w:cs="Calibri Light"/>
          <w:sz w:val="24"/>
          <w:szCs w:val="24"/>
          <w:rtl/>
        </w:rPr>
      </w:pPr>
    </w:p>
    <w:p w14:paraId="39C9CFC4" w14:textId="77777777" w:rsidR="00EA4E48" w:rsidRPr="001F2D87" w:rsidRDefault="00EA4E48" w:rsidP="00EA4E48">
      <w:pPr>
        <w:ind w:left="284"/>
        <w:jc w:val="both"/>
        <w:rPr>
          <w:rFonts w:ascii="Calibri Light" w:hAnsi="Calibri Light" w:cs="Calibri Light"/>
          <w:sz w:val="24"/>
          <w:szCs w:val="24"/>
          <w:rtl/>
        </w:rPr>
      </w:pPr>
    </w:p>
    <w:p w14:paraId="0E34526C" w14:textId="77777777" w:rsidR="00EA4E48" w:rsidRPr="002E29FD" w:rsidRDefault="00EA4E48" w:rsidP="00EA4E48">
      <w:pPr>
        <w:ind w:left="284"/>
        <w:jc w:val="both"/>
        <w:rPr>
          <w:rFonts w:ascii="Calibri Light" w:hAnsi="Calibri Light" w:cs="Calibri Light"/>
          <w:sz w:val="24"/>
          <w:szCs w:val="24"/>
        </w:rPr>
      </w:pPr>
    </w:p>
    <w:p w14:paraId="084A9FE7" w14:textId="77777777" w:rsidR="00EA4E48" w:rsidRDefault="00EA4E48" w:rsidP="00EA4E48">
      <w:pPr>
        <w:ind w:left="284"/>
        <w:jc w:val="center"/>
        <w:rPr>
          <w:rFonts w:ascii="Calibri Light" w:hAnsi="Calibri Light" w:cs="Calibri Light"/>
          <w:sz w:val="24"/>
          <w:szCs w:val="24"/>
          <w:lang w:val="en-ID"/>
        </w:rPr>
      </w:pPr>
      <w:r w:rsidRPr="001F2D87">
        <w:rPr>
          <w:rFonts w:ascii="Calibri Light" w:hAnsi="Calibri Light" w:cs="Calibri Light"/>
          <w:b/>
          <w:bCs/>
          <w:i/>
          <w:iCs/>
          <w:sz w:val="24"/>
          <w:szCs w:val="24"/>
          <w:lang w:val="en-ID"/>
        </w:rPr>
        <w:t>Fig. 1.</w:t>
      </w:r>
      <w:r w:rsidRPr="001F2D87">
        <w:rPr>
          <w:rFonts w:ascii="Calibri Light" w:hAnsi="Calibri Light" w:cs="Calibri Light"/>
          <w:b/>
          <w:bCs/>
          <w:sz w:val="24"/>
          <w:szCs w:val="24"/>
          <w:lang w:val="en-ID"/>
        </w:rPr>
        <w:t xml:space="preserve"> </w:t>
      </w:r>
      <w:r w:rsidRPr="001F2D87">
        <w:rPr>
          <w:rFonts w:ascii="Calibri Light" w:hAnsi="Calibri Light" w:cs="Calibri Light"/>
          <w:sz w:val="24"/>
          <w:szCs w:val="24"/>
          <w:lang w:val="en-ID"/>
        </w:rPr>
        <w:t>The systematic review process using the PRISMA statement template based on  three phases that are identification, screening and included.</w:t>
      </w:r>
    </w:p>
    <w:p w14:paraId="4AC9908C" w14:textId="1F2F8E64" w:rsidR="00672ECC" w:rsidRDefault="00672ECC" w:rsidP="00B8520B">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The first step in this methodology was the identification of sources related to the application of human rights law in Egypt and Indonesia, specifically in the context of Islamic teachings. This involved a search of academic databases(</w:t>
      </w:r>
      <w:r w:rsidR="009B4065" w:rsidRPr="009B4065">
        <w:rPr>
          <w:rFonts w:ascii="Calibri Light" w:hAnsi="Calibri Light" w:cs="Calibri Light"/>
          <w:sz w:val="24"/>
          <w:szCs w:val="24"/>
          <w:lang w:val="en-ID" w:eastAsia="en-ID"/>
        </w:rPr>
        <w:t>Web of Science</w:t>
      </w:r>
      <w:r w:rsidRPr="00672ECC">
        <w:rPr>
          <w:rFonts w:ascii="Calibri Light" w:hAnsi="Calibri Light" w:cs="Calibri Light"/>
          <w:sz w:val="24"/>
          <w:szCs w:val="24"/>
          <w:lang w:val="en-ID" w:eastAsia="en-ID"/>
        </w:rPr>
        <w:t xml:space="preserve"> and Scopus), legal journals, and relevant books, focusing on sources that address the Qur'an’s teachings on human rights, the role of Shari'ah in contemporary legal systems, and the intersection of Islamic law with international human rights standards. Key terms used in this search included </w:t>
      </w:r>
      <w:r w:rsidR="00B8520B" w:rsidRPr="00B8520B">
        <w:rPr>
          <w:rFonts w:ascii="Calibri Light" w:hAnsi="Calibri Light" w:cs="Calibri Light"/>
          <w:sz w:val="24"/>
          <w:szCs w:val="24"/>
          <w:lang w:val="en-ID" w:eastAsia="en-ID"/>
        </w:rPr>
        <w:t>TITLE-ABS-KEY ( "Islam"  AND  "Modern Human Rights" )  AND  ( LIMIT-TO ( EXACTKEYWORD ,  "Human Rights" )  OR  LIMIT-TO ( EXACTKEYWORD ,  "Sharia Law" )  OR  LIMIT-TO ( EXACTKEYWORD ,  "Islam" )  OR  LIMIT-TO ( EXACTKEYWORD ,  "Islamic Law" )  OR  LIMIT-TO ( EXACTKEYWORD ,  "Religion" )  OR  LIMIT-TO ( EXACTKEYWORD ,  " Qur'an”AND”Human Rights Law" )  OR  LIMIT-TO ( EXACTKEYWORD ,  "Sharia" ) )  AND  ( LIMIT-TO ( DOCTYPE ,  "ar" ) )  AND  ( LIMIT-TO ( LANGUAGE ,  "English" )</w:t>
      </w:r>
      <w:r w:rsidR="00B8520B">
        <w:rPr>
          <w:rFonts w:ascii="Calibri Light" w:hAnsi="Calibri Light" w:cs="Calibri Light"/>
          <w:sz w:val="24"/>
          <w:szCs w:val="24"/>
          <w:lang w:val="en-ID" w:eastAsia="en-ID"/>
        </w:rPr>
        <w:t>.</w:t>
      </w:r>
      <w:r w:rsidR="00B8520B" w:rsidRPr="00B8520B">
        <w:rPr>
          <w:rFonts w:ascii="Calibri Light" w:hAnsi="Calibri Light" w:cs="Calibri Light"/>
          <w:sz w:val="24"/>
          <w:szCs w:val="24"/>
          <w:lang w:val="en-ID" w:eastAsia="en-ID"/>
        </w:rPr>
        <w:t xml:space="preserve"> )</w:t>
      </w:r>
      <w:r w:rsidR="00B8520B" w:rsidRPr="00B8520B">
        <w:rPr>
          <w:rFonts w:ascii="Calibri Light" w:hAnsi="Calibri Light" w:cs="Calibri Light"/>
          <w:sz w:val="24"/>
          <w:szCs w:val="24"/>
          <w:lang w:eastAsia="en-ID"/>
        </w:rPr>
        <w:t xml:space="preserve"> </w:t>
      </w:r>
      <w:r w:rsidR="00B8520B" w:rsidRPr="009B4065">
        <w:rPr>
          <w:rFonts w:ascii="Calibri Light" w:hAnsi="Calibri Light" w:cs="Calibri Light"/>
          <w:sz w:val="24"/>
          <w:szCs w:val="24"/>
          <w:lang w:eastAsia="en-ID"/>
        </w:rPr>
        <w:t>TITLE-ABS-KEY ( "Human Rights"  AND  " Islamic Countries" )  AND  ( LIMIT-TO ( EXACTKEYWORD ,  "Human Rights" )  OR  LIMIT-TO ( EXACTKEYWORD ,  "Sharia Law" )  OR  LIMIT-TO ( EXACTKEYWORD ,  "Islam" )  OR  LIMIT-TO ( EXACTKEYWORD ,  "Islamic Law" )  OR  LIMIT-TO ( EXACTKEYWORD ,  "Religion" )  OR  LIMIT-TO ( EXACTKEYWORD ,  "</w:t>
      </w:r>
      <w:r w:rsidR="00B8520B" w:rsidRPr="00B8520B">
        <w:rPr>
          <w:rFonts w:ascii="Calibri Light" w:hAnsi="Calibri Light" w:cs="Calibri Light"/>
          <w:sz w:val="24"/>
          <w:szCs w:val="24"/>
          <w:lang w:eastAsia="en-ID"/>
        </w:rPr>
        <w:t xml:space="preserve"> Shari'ah law </w:t>
      </w:r>
      <w:r w:rsidR="00B8520B" w:rsidRPr="009B4065">
        <w:rPr>
          <w:rFonts w:ascii="Calibri Light" w:hAnsi="Calibri Light" w:cs="Calibri Light"/>
          <w:sz w:val="24"/>
          <w:szCs w:val="24"/>
          <w:lang w:eastAsia="en-ID"/>
        </w:rPr>
        <w:t>" )  OR  LIMIT-TO ( EXACTKEYWORD ,  "Human Rights Law" ) )  AND  ( LIMIT-TO ( DOCTYPE ,  "ar" ) )  AND  ( LIMIT-TO ( LANGUAGE ,  "English" ) ) </w:t>
      </w:r>
    </w:p>
    <w:p w14:paraId="782F075B" w14:textId="77777777" w:rsidR="00536E55" w:rsidRDefault="00536E55" w:rsidP="00366775">
      <w:pPr>
        <w:autoSpaceDE/>
        <w:autoSpaceDN/>
        <w:spacing w:before="100" w:beforeAutospacing="1" w:after="100" w:afterAutospacing="1"/>
        <w:ind w:left="426"/>
        <w:jc w:val="both"/>
        <w:rPr>
          <w:rFonts w:ascii="Calibri Light" w:hAnsi="Calibri Light" w:cs="Calibri Light"/>
          <w:b/>
          <w:bCs/>
          <w:sz w:val="24"/>
          <w:szCs w:val="24"/>
          <w:lang w:val="en-ID" w:eastAsia="en-ID"/>
        </w:rPr>
      </w:pPr>
    </w:p>
    <w:p w14:paraId="1C5793AC" w14:textId="77777777" w:rsidR="00EA4E48" w:rsidRDefault="00EA4E48" w:rsidP="00366775">
      <w:pPr>
        <w:autoSpaceDE/>
        <w:autoSpaceDN/>
        <w:spacing w:before="100" w:beforeAutospacing="1" w:after="100" w:afterAutospacing="1"/>
        <w:ind w:left="426"/>
        <w:jc w:val="both"/>
        <w:rPr>
          <w:rFonts w:ascii="Calibri Light" w:hAnsi="Calibri Light" w:cs="Calibri Light"/>
          <w:b/>
          <w:bCs/>
          <w:sz w:val="24"/>
          <w:szCs w:val="24"/>
          <w:lang w:val="en-ID" w:eastAsia="en-ID"/>
        </w:rPr>
      </w:pPr>
    </w:p>
    <w:p w14:paraId="42C13D29" w14:textId="77777777" w:rsidR="00EA4E48" w:rsidRDefault="00EA4E48" w:rsidP="00366775">
      <w:pPr>
        <w:autoSpaceDE/>
        <w:autoSpaceDN/>
        <w:spacing w:before="100" w:beforeAutospacing="1" w:after="100" w:afterAutospacing="1"/>
        <w:ind w:left="426"/>
        <w:jc w:val="both"/>
        <w:rPr>
          <w:rFonts w:ascii="Calibri Light" w:hAnsi="Calibri Light" w:cs="Calibri Light"/>
          <w:b/>
          <w:bCs/>
          <w:sz w:val="24"/>
          <w:szCs w:val="24"/>
          <w:lang w:val="en-ID" w:eastAsia="en-ID"/>
        </w:rPr>
      </w:pPr>
    </w:p>
    <w:p w14:paraId="5BE96D6C" w14:textId="77777777" w:rsidR="00EA4E48" w:rsidRDefault="00EA4E48" w:rsidP="00366775">
      <w:pPr>
        <w:autoSpaceDE/>
        <w:autoSpaceDN/>
        <w:spacing w:before="100" w:beforeAutospacing="1" w:after="100" w:afterAutospacing="1"/>
        <w:ind w:left="426"/>
        <w:jc w:val="both"/>
        <w:rPr>
          <w:rFonts w:ascii="Calibri Light" w:hAnsi="Calibri Light" w:cs="Calibri Light"/>
          <w:b/>
          <w:bCs/>
          <w:sz w:val="24"/>
          <w:szCs w:val="24"/>
          <w:lang w:val="en-ID" w:eastAsia="en-ID"/>
        </w:rPr>
      </w:pPr>
    </w:p>
    <w:p w14:paraId="31BB3722" w14:textId="40EA50EA" w:rsidR="00366775" w:rsidRDefault="00366775" w:rsidP="00366775">
      <w:pPr>
        <w:autoSpaceDE/>
        <w:autoSpaceDN/>
        <w:spacing w:before="100" w:beforeAutospacing="1" w:after="100" w:afterAutospacing="1"/>
        <w:ind w:left="426"/>
        <w:jc w:val="both"/>
        <w:rPr>
          <w:rFonts w:ascii="Calibri Light" w:hAnsi="Calibri Light" w:cs="Calibri Light"/>
          <w:b/>
          <w:bCs/>
          <w:sz w:val="24"/>
          <w:szCs w:val="24"/>
          <w:rtl/>
          <w:lang w:val="en-ID" w:eastAsia="en-ID"/>
        </w:rPr>
      </w:pPr>
      <w:r w:rsidRPr="00366775">
        <w:rPr>
          <w:rFonts w:ascii="Calibri Light" w:hAnsi="Calibri Light" w:cs="Calibri Light"/>
          <w:b/>
          <w:bCs/>
          <w:sz w:val="24"/>
          <w:szCs w:val="24"/>
          <w:lang w:val="en-ID" w:eastAsia="en-ID"/>
        </w:rPr>
        <w:lastRenderedPageBreak/>
        <w:t>Inclusion and exclusion criteria:</w:t>
      </w:r>
    </w:p>
    <w:p w14:paraId="763ED8E2" w14:textId="77777777" w:rsidR="006A4FA3" w:rsidRPr="00366775" w:rsidRDefault="006A4FA3" w:rsidP="00366775">
      <w:pPr>
        <w:autoSpaceDE/>
        <w:autoSpaceDN/>
        <w:spacing w:before="100" w:beforeAutospacing="1" w:after="100" w:afterAutospacing="1"/>
        <w:ind w:left="426"/>
        <w:jc w:val="both"/>
        <w:rPr>
          <w:rFonts w:ascii="Calibri Light" w:hAnsi="Calibri Light" w:cs="Calibri Light"/>
          <w:b/>
          <w:bCs/>
          <w:sz w:val="24"/>
          <w:szCs w:val="24"/>
          <w:lang w:val="en-ID" w:eastAsia="en-ID"/>
        </w:rPr>
      </w:pPr>
    </w:p>
    <w:tbl>
      <w:tblPr>
        <w:tblStyle w:val="PlainTable2"/>
        <w:tblW w:w="0" w:type="auto"/>
        <w:tblLook w:val="04A0" w:firstRow="1" w:lastRow="0" w:firstColumn="1" w:lastColumn="0" w:noHBand="0" w:noVBand="1"/>
      </w:tblPr>
      <w:tblGrid>
        <w:gridCol w:w="4318"/>
        <w:gridCol w:w="4603"/>
      </w:tblGrid>
      <w:tr w:rsidR="00F31ECF" w:rsidRPr="00366775" w14:paraId="1C531E7B" w14:textId="77777777" w:rsidTr="00F31ECF">
        <w:trPr>
          <w:cnfStyle w:val="100000000000" w:firstRow="1" w:lastRow="0" w:firstColumn="0" w:lastColumn="0" w:oddVBand="0" w:evenVBand="0" w:oddHBand="0"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4318" w:type="dxa"/>
            <w:tcBorders>
              <w:top w:val="single" w:sz="4" w:space="0" w:color="7F7F7F"/>
            </w:tcBorders>
          </w:tcPr>
          <w:p w14:paraId="64134585" w14:textId="77777777" w:rsidR="00366775" w:rsidRPr="00F31ECF" w:rsidRDefault="00366775" w:rsidP="00F31ECF">
            <w:pPr>
              <w:autoSpaceDE/>
              <w:autoSpaceDN/>
              <w:ind w:left="426"/>
              <w:jc w:val="both"/>
              <w:rPr>
                <w:rFonts w:ascii="Calibri Light" w:hAnsi="Calibri Light" w:cs="Calibri Light"/>
                <w:b w:val="0"/>
                <w:bCs w:val="0"/>
                <w:sz w:val="24"/>
                <w:szCs w:val="24"/>
                <w:lang w:val="en-ID" w:eastAsia="en-ID"/>
              </w:rPr>
            </w:pPr>
            <w:r w:rsidRPr="00366775">
              <w:rPr>
                <w:rFonts w:ascii="Calibri Light" w:hAnsi="Calibri Light" w:cs="Calibri Light"/>
                <w:sz w:val="24"/>
                <w:szCs w:val="24"/>
                <w:lang w:val="en-ID" w:eastAsia="en-ID"/>
              </w:rPr>
              <w:t xml:space="preserve">     INCLUSION CRITERIA</w:t>
            </w:r>
          </w:p>
        </w:tc>
        <w:tc>
          <w:tcPr>
            <w:tcW w:w="4603" w:type="dxa"/>
            <w:tcBorders>
              <w:top w:val="single" w:sz="4" w:space="0" w:color="7F7F7F"/>
            </w:tcBorders>
          </w:tcPr>
          <w:p w14:paraId="525EDD0D" w14:textId="77777777" w:rsidR="00366775" w:rsidRPr="00220E29" w:rsidRDefault="00366775" w:rsidP="00F31ECF">
            <w:pPr>
              <w:autoSpaceDE/>
              <w:autoSpaceDN/>
              <w:spacing w:before="100" w:beforeAutospacing="1" w:after="100" w:afterAutospacing="1"/>
              <w:ind w:left="-350"/>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bCs w:val="0"/>
                <w:sz w:val="24"/>
                <w:szCs w:val="24"/>
                <w:lang w:val="en-ID" w:eastAsia="en-ID"/>
              </w:rPr>
            </w:pPr>
            <w:r w:rsidRPr="00366775">
              <w:rPr>
                <w:rFonts w:ascii="Calibri Light" w:hAnsi="Calibri Light" w:cs="Calibri Light"/>
                <w:sz w:val="24"/>
                <w:szCs w:val="24"/>
                <w:lang w:val="en-ID" w:eastAsia="en-ID"/>
              </w:rPr>
              <w:t>EXCLUSION CRITERIA</w:t>
            </w:r>
          </w:p>
        </w:tc>
      </w:tr>
      <w:tr w:rsidR="00366775" w:rsidRPr="00366775" w14:paraId="5ACE6F8A" w14:textId="77777777" w:rsidTr="00F31ECF">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4318" w:type="dxa"/>
          </w:tcPr>
          <w:p w14:paraId="3BC51798" w14:textId="77777777" w:rsidR="00366775" w:rsidRPr="00366775" w:rsidRDefault="00366775" w:rsidP="00366775">
            <w:pPr>
              <w:autoSpaceDE/>
              <w:autoSpaceDN/>
              <w:spacing w:before="100" w:beforeAutospacing="1" w:after="100" w:afterAutospacing="1"/>
              <w:ind w:left="426"/>
              <w:jc w:val="both"/>
              <w:rPr>
                <w:rFonts w:ascii="Calibri Light" w:hAnsi="Calibri Light" w:cs="Calibri Light"/>
                <w:sz w:val="24"/>
                <w:szCs w:val="24"/>
                <w:lang w:val="en-ID" w:eastAsia="en-ID"/>
              </w:rPr>
            </w:pPr>
            <w:r w:rsidRPr="00366775">
              <w:rPr>
                <w:rFonts w:ascii="Calibri Light" w:hAnsi="Calibri Light" w:cs="Calibri Light"/>
                <w:sz w:val="24"/>
                <w:szCs w:val="24"/>
                <w:lang w:val="en-ID" w:eastAsia="en-ID"/>
              </w:rPr>
              <w:t>Articles from 2014 - 2024</w:t>
            </w:r>
          </w:p>
        </w:tc>
        <w:tc>
          <w:tcPr>
            <w:tcW w:w="4603" w:type="dxa"/>
          </w:tcPr>
          <w:p w14:paraId="132703EE" w14:textId="77777777" w:rsidR="00366775" w:rsidRPr="00366775" w:rsidRDefault="00366775" w:rsidP="00366775">
            <w:pPr>
              <w:autoSpaceDE/>
              <w:autoSpaceDN/>
              <w:spacing w:before="100" w:beforeAutospacing="1" w:after="100" w:afterAutospacing="1"/>
              <w:ind w:left="426"/>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ID" w:eastAsia="en-ID"/>
              </w:rPr>
            </w:pPr>
            <w:r w:rsidRPr="00366775">
              <w:rPr>
                <w:rFonts w:ascii="Calibri Light" w:hAnsi="Calibri Light" w:cs="Calibri Light"/>
                <w:sz w:val="24"/>
                <w:szCs w:val="24"/>
                <w:lang w:val="en-ID" w:eastAsia="en-ID"/>
              </w:rPr>
              <w:t>Any research before 2014 was excluded</w:t>
            </w:r>
          </w:p>
        </w:tc>
      </w:tr>
      <w:tr w:rsidR="00366775" w:rsidRPr="00366775" w14:paraId="1BEA75B1" w14:textId="77777777" w:rsidTr="00F31ECF">
        <w:trPr>
          <w:trHeight w:val="242"/>
        </w:trPr>
        <w:tc>
          <w:tcPr>
            <w:cnfStyle w:val="001000000000" w:firstRow="0" w:lastRow="0" w:firstColumn="1" w:lastColumn="0" w:oddVBand="0" w:evenVBand="0" w:oddHBand="0" w:evenHBand="0" w:firstRowFirstColumn="0" w:firstRowLastColumn="0" w:lastRowFirstColumn="0" w:lastRowLastColumn="0"/>
            <w:tcW w:w="4318" w:type="dxa"/>
          </w:tcPr>
          <w:p w14:paraId="3C99F62C" w14:textId="77777777" w:rsidR="00366775" w:rsidRPr="00366775" w:rsidRDefault="00366775" w:rsidP="00366775">
            <w:pPr>
              <w:autoSpaceDE/>
              <w:autoSpaceDN/>
              <w:spacing w:before="100" w:beforeAutospacing="1" w:after="100" w:afterAutospacing="1"/>
              <w:ind w:left="426"/>
              <w:jc w:val="both"/>
              <w:rPr>
                <w:rFonts w:ascii="Calibri Light" w:hAnsi="Calibri Light" w:cs="Calibri Light"/>
                <w:sz w:val="24"/>
                <w:szCs w:val="24"/>
                <w:lang w:val="en-ID" w:eastAsia="en-ID"/>
              </w:rPr>
            </w:pPr>
            <w:r w:rsidRPr="00366775">
              <w:rPr>
                <w:rFonts w:ascii="Calibri Light" w:hAnsi="Calibri Light" w:cs="Calibri Light"/>
                <w:sz w:val="24"/>
                <w:szCs w:val="24"/>
                <w:lang w:val="en-ID" w:eastAsia="en-ID"/>
              </w:rPr>
              <w:t>Only Articles in English Language</w:t>
            </w:r>
          </w:p>
        </w:tc>
        <w:tc>
          <w:tcPr>
            <w:tcW w:w="4603" w:type="dxa"/>
          </w:tcPr>
          <w:p w14:paraId="7985C52E" w14:textId="77777777" w:rsidR="00366775" w:rsidRPr="00366775" w:rsidRDefault="00366775" w:rsidP="00366775">
            <w:pPr>
              <w:autoSpaceDE/>
              <w:autoSpaceDN/>
              <w:spacing w:before="100" w:beforeAutospacing="1" w:after="100" w:afterAutospacing="1"/>
              <w:ind w:left="426"/>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bCs/>
                <w:sz w:val="24"/>
                <w:szCs w:val="24"/>
                <w:lang w:val="en-ID" w:eastAsia="en-ID"/>
              </w:rPr>
            </w:pPr>
            <w:r w:rsidRPr="00366775">
              <w:rPr>
                <w:rFonts w:ascii="Calibri Light" w:hAnsi="Calibri Light" w:cs="Calibri Light"/>
                <w:sz w:val="24"/>
                <w:szCs w:val="24"/>
                <w:lang w:val="en-ID" w:eastAsia="en-ID"/>
              </w:rPr>
              <w:t>Any other Languages</w:t>
            </w:r>
          </w:p>
        </w:tc>
      </w:tr>
      <w:tr w:rsidR="00366775" w:rsidRPr="00366775" w14:paraId="2BD96890" w14:textId="77777777" w:rsidTr="00F31ECF">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4318" w:type="dxa"/>
          </w:tcPr>
          <w:p w14:paraId="0CB1C412" w14:textId="77777777" w:rsidR="00366775" w:rsidRPr="00366775" w:rsidRDefault="00366775" w:rsidP="00366775">
            <w:pPr>
              <w:autoSpaceDE/>
              <w:autoSpaceDN/>
              <w:spacing w:before="100" w:beforeAutospacing="1" w:after="100" w:afterAutospacing="1"/>
              <w:ind w:left="426"/>
              <w:jc w:val="both"/>
              <w:rPr>
                <w:rFonts w:ascii="Calibri Light" w:hAnsi="Calibri Light" w:cs="Calibri Light"/>
                <w:sz w:val="24"/>
                <w:szCs w:val="24"/>
                <w:lang w:val="en-ID" w:eastAsia="en-ID"/>
              </w:rPr>
            </w:pPr>
            <w:r w:rsidRPr="00366775">
              <w:rPr>
                <w:rFonts w:ascii="Calibri Light" w:hAnsi="Calibri Light" w:cs="Calibri Light"/>
                <w:sz w:val="24"/>
                <w:szCs w:val="24"/>
                <w:lang w:val="en-ID" w:eastAsia="en-ID"/>
              </w:rPr>
              <w:t>Only Articles(Journal)</w:t>
            </w:r>
          </w:p>
        </w:tc>
        <w:tc>
          <w:tcPr>
            <w:tcW w:w="4603" w:type="dxa"/>
          </w:tcPr>
          <w:p w14:paraId="1ABBA5EE" w14:textId="77777777" w:rsidR="00366775" w:rsidRPr="00366775" w:rsidRDefault="00366775" w:rsidP="00366775">
            <w:pPr>
              <w:autoSpaceDE/>
              <w:autoSpaceDN/>
              <w:spacing w:before="100" w:beforeAutospacing="1" w:after="100" w:afterAutospacing="1"/>
              <w:ind w:left="426"/>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ID" w:eastAsia="en-ID"/>
              </w:rPr>
            </w:pPr>
            <w:r w:rsidRPr="00366775">
              <w:rPr>
                <w:rFonts w:ascii="Calibri Light" w:hAnsi="Calibri Light" w:cs="Calibri Light"/>
                <w:sz w:val="24"/>
                <w:szCs w:val="24"/>
                <w:lang w:val="en-ID" w:eastAsia="en-ID"/>
              </w:rPr>
              <w:t>Conference papers, Book, theses</w:t>
            </w:r>
          </w:p>
        </w:tc>
      </w:tr>
    </w:tbl>
    <w:p w14:paraId="4E8D32A1" w14:textId="2E996E21" w:rsidR="00366775" w:rsidRPr="00672ECC" w:rsidRDefault="00366775" w:rsidP="00536E55">
      <w:pPr>
        <w:autoSpaceDE/>
        <w:autoSpaceDN/>
        <w:spacing w:before="100" w:beforeAutospacing="1" w:after="100" w:afterAutospacing="1"/>
        <w:ind w:left="426"/>
        <w:jc w:val="center"/>
        <w:rPr>
          <w:rFonts w:ascii="Calibri Light" w:hAnsi="Calibri Light" w:cs="Calibri Light"/>
          <w:sz w:val="24"/>
          <w:szCs w:val="24"/>
          <w:lang w:val="en-ID" w:eastAsia="en-ID"/>
        </w:rPr>
      </w:pPr>
      <w:r w:rsidRPr="007066E4">
        <w:rPr>
          <w:rFonts w:ascii="Calibri Light" w:hAnsi="Calibri Light" w:cs="Calibri Light"/>
          <w:sz w:val="24"/>
          <w:szCs w:val="24"/>
          <w:lang w:val="en-ID" w:eastAsia="en-ID"/>
        </w:rPr>
        <w:t xml:space="preserve">Table </w:t>
      </w:r>
      <w:r w:rsidR="007066E4" w:rsidRPr="007066E4">
        <w:rPr>
          <w:rFonts w:ascii="Calibri Light" w:hAnsi="Calibri Light" w:cs="Calibri Light"/>
          <w:sz w:val="24"/>
          <w:szCs w:val="24"/>
          <w:lang w:val="en-ID" w:eastAsia="en-ID"/>
        </w:rPr>
        <w:t>2</w:t>
      </w:r>
      <w:r w:rsidRPr="007066E4">
        <w:rPr>
          <w:rFonts w:ascii="Calibri Light" w:hAnsi="Calibri Light" w:cs="Calibri Light"/>
          <w:sz w:val="24"/>
          <w:szCs w:val="24"/>
          <w:lang w:val="en-ID" w:eastAsia="en-ID"/>
        </w:rPr>
        <w:t xml:space="preserve">. </w:t>
      </w:r>
      <w:bookmarkStart w:id="8" w:name="_Hlk183619696"/>
      <w:r w:rsidRPr="007066E4">
        <w:rPr>
          <w:rFonts w:ascii="Calibri Light" w:hAnsi="Calibri Light" w:cs="Calibri Light"/>
          <w:sz w:val="24"/>
          <w:szCs w:val="24"/>
          <w:lang w:val="en-ID" w:eastAsia="en-ID"/>
        </w:rPr>
        <w:t>The inclusion and the exclusion criteria for data screening</w:t>
      </w:r>
      <w:bookmarkEnd w:id="8"/>
    </w:p>
    <w:p w14:paraId="19DC2DEC" w14:textId="6BD6A6C0"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After identifying a broad range of potential sources, the study utilized the PRISMA framework's inclusion and exclusion criteria to filter the materials. The inclusion criteria ensured that only those sources directly related to the intersection of Islamic teachings and human rights law in the context of Egypt and Indonesia were considered</w:t>
      </w:r>
      <w:r w:rsidR="004B5E72">
        <w:rPr>
          <w:rFonts w:ascii="Calibri Light" w:hAnsi="Calibri Light" w:cs="Calibri Light"/>
          <w:sz w:val="24"/>
          <w:szCs w:val="24"/>
          <w:lang w:val="en-ID" w:eastAsia="en-ID"/>
        </w:rPr>
        <w:fldChar w:fldCharType="begin" w:fldLock="1"/>
      </w:r>
      <w:r w:rsidR="004B5E72">
        <w:rPr>
          <w:rFonts w:ascii="Calibri Light" w:hAnsi="Calibri Light" w:cs="Calibri Light"/>
          <w:sz w:val="24"/>
          <w:szCs w:val="24"/>
          <w:lang w:val="en-ID" w:eastAsia="en-ID"/>
        </w:rPr>
        <w:instrText>ADDIN CSL_CITATION {"citationItems":[{"id":"ITEM-1","itemData":{"DOI":"10.23917/profetika.v23i1.16798","ISSN":"2541-4534","abstract":"Poverty is still a serious problem for Muslims. The distribution of zakat on target should be used to solve economic problems, especially poverty. Zakat besides being distributed consumptively can be done in a productive way. Productive Zakat can be used for economic empowerment which is useful for alleviating poverty. This writing aims to examine the thoughts of Islamic leaders who have thoughts about productive zakat which is useful for economic empowerment including Yusuf Qardhawi and Sahal Mahfudh. This research is a library research using a qualitative approach. This study chooses data sources related to the research topic based on the thoughts of Yusuf Qardhawi and Sahal Mahfudh by comparing backgrounds, main ideas, implementers, targets, standard limits, and steps for economic empowerment. The results of this study found that firstly, Yusuf Qardhawi had an idea including dividing economic problems into five categories and developing issues related to zakat management, making a person, society and government as executors of economic empowerment, distributing zakat for mustahiq zakat and the poor, and steps economic empowerment is done by conveying theories to reach the minimum and maximum limits of meeting the needs of the community. Secondly, Sahal Mahfudh has ideas including economic problems and improving zakat management, making a person, community, and government as executors of economic empowerment, zakat distributed to the poor, and empowerment steps carried out with concrete actions and have succeeded in setting minimum and maximum limits of fulfilling needs Public. Third, the similarities and differences in the thoughts of Yusuf Qardhawi and Sahal Mahfudh in economic empowerment through productive zakat. The similarities and differences of thought between the two are in the background, main ideas, implementers, targets, standard boundaries, and steps in economic empowerment.Kemiskinan masih menjadi permasalahan yang serius bagi umat Islam. Pendistribusian zakat yang tepat sasaran seharusnya dapat digunakan untuk memecahkan masalah ekonomi terutama kemiskinan. Zakat selain didistribusikan secara konsumtif dapat dilakukan dengan cara produktif. Zakat produktif dapat digunakan untuk pemberdayaan ekonomi yang berguna untuk mengentaskan kemiskinan. Penulisan ini bertujuan untuk mengkaji pemikiran tokoh Islam yang memiliki pemikiran tentang zakat produktif yang berguna untuk pemberdayaan ekonomi diantaranya adalah Yusuf Qardhawi dan Sahal Mahfu…","author":[{"dropping-particle":"","family":"Yayuli","given":"Yayuli","non-dropping-particle":"","parse-names":false,"suffix":""},{"dropping-particle":"","family":"Athief","given":"Fauzul Hanif Noor","non-dropping-particle":"","parse-names":false,"suffix":""},{"dropping-particle":"","family":"Utari","given":"Dewi Nur","non-dropping-particle":"","parse-names":false,"suffix":""}],"container-title":"Profetika: Jurnal Studi Islam","id":"ITEM-1","issue":"1","issued":{"date-parts":[["2021","12","21"]]},"page":"98-113","title":"STUDI KOMPARATIF PEMIKIRAN YUSUF QARDHAWI DAN SAHAL MAHFUDH TENTANG ZAKAT PRODUKTIF SEBAGAI SARANA PEMBERDAYAAN EKONOMI","type":"article-journal","volume":"23"},"uris":["http://www.mendeley.com/documents/?uuid=df33f627-29b3-4039-9087-191abb13eae7"]}],"mendeley":{"formattedCitation":"(Yayuli et al., 2021)","plainTextFormattedCitation":"(Yayuli et al., 2021)","previouslyFormattedCitation":"(Yayuli et al., 2021)"},"properties":{"noteIndex":0},"schema":"https://github.com/citation-style-language/schema/raw/master/csl-citation.json"}</w:instrText>
      </w:r>
      <w:r w:rsidR="004B5E72">
        <w:rPr>
          <w:rFonts w:ascii="Calibri Light" w:hAnsi="Calibri Light" w:cs="Calibri Light"/>
          <w:sz w:val="24"/>
          <w:szCs w:val="24"/>
          <w:lang w:val="en-ID" w:eastAsia="en-ID"/>
        </w:rPr>
        <w:fldChar w:fldCharType="separate"/>
      </w:r>
      <w:r w:rsidR="004B5E72" w:rsidRPr="004B5E72">
        <w:rPr>
          <w:rFonts w:ascii="Calibri Light" w:hAnsi="Calibri Light" w:cs="Calibri Light"/>
          <w:noProof/>
          <w:sz w:val="24"/>
          <w:szCs w:val="24"/>
          <w:lang w:val="en-ID" w:eastAsia="en-ID"/>
        </w:rPr>
        <w:t>(Yayuli et al., 2021)</w:t>
      </w:r>
      <w:r w:rsidR="004B5E72">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 xml:space="preserve">. The exclusion criteria removed sources that were either too general or not directly relevant to the research question. This step is crucial to narrowing down the focus and ensuring that the study draws from sources that are both specific and reliable </w:t>
      </w:r>
      <w:r w:rsidR="00A526EF">
        <w:rPr>
          <w:rFonts w:ascii="Calibri Light" w:hAnsi="Calibri Light" w:cs="Calibri Light"/>
          <w:sz w:val="24"/>
          <w:szCs w:val="24"/>
          <w:lang w:val="en-ID" w:eastAsia="en-ID"/>
        </w:rPr>
        <w:fldChar w:fldCharType="begin" w:fldLock="1"/>
      </w:r>
      <w:r w:rsidR="006514A3">
        <w:rPr>
          <w:rFonts w:ascii="Calibri Light" w:hAnsi="Calibri Light" w:cs="Calibri Light"/>
          <w:sz w:val="24"/>
          <w:szCs w:val="24"/>
          <w:lang w:val="en-ID" w:eastAsia="en-ID"/>
        </w:rPr>
        <w:instrText>ADDIN CSL_CITATION {"citationItems":[{"id":"ITEM-1","itemData":{"DOI":"10.1080/15570274.2022.2111804","ISSN":"15570274 (ISSN)","abstract":"Despite the normative integration between freedom of religion or belief (FoRB) and women’s rights, the misperception that women’s rights and FoRB are clashing rights persists. This is compounded by the extensive religiously phrased reservations by States upon ratification of international treaties that amplify this misperception that FoRB serves to restrict women’s rights. The correctives to these misperceptions lie in reflecting upon the universality, indivisibility, interdependence and interrelatedness of all human rights norms (see the 1993 Vienna Declaration and Program of Action, article 1.5). They also lie in the realization that FoRB is a right like any other. FoRB is neither a right of “religion” as such nor an instrument for support of religiously phrased reservations and limitations on women’s rights. © 2022 The Author(s). Published by Informa UK Limited, trading as Taylor &amp; Francis Group.","author":[{"dropping-particle":"","family":"Ghanea","given":"N","non-dropping-particle":"","parse-names":false,"suffix":""}],"container-title":"Review of Faith and International Affairs","id":"ITEM-1","issue":"3","issued":{"date-parts":[["2022"]]},"language":"English","page":"4-18","publisher":"Routledge","title":"Piecing the Puzzle—Women and Freedom of Religion or Belief","type":"article-journal","volume":"20"},"uris":["http://www.mendeley.com/documents/?uuid=c0fd8439-ab17-4fa6-a7a4-d537328068eb"]}],"mendeley":{"formattedCitation":"(Ghanea, 2022)","plainTextFormattedCitation":"(Ghanea, 2022)","previouslyFormattedCitation":"(Ghanea, 2022)"},"properties":{"noteIndex":0},"schema":"https://github.com/citation-style-language/schema/raw/master/csl-citation.json"}</w:instrText>
      </w:r>
      <w:r w:rsidR="00A526EF">
        <w:rPr>
          <w:rFonts w:ascii="Calibri Light" w:hAnsi="Calibri Light" w:cs="Calibri Light"/>
          <w:sz w:val="24"/>
          <w:szCs w:val="24"/>
          <w:lang w:val="en-ID" w:eastAsia="en-ID"/>
        </w:rPr>
        <w:fldChar w:fldCharType="separate"/>
      </w:r>
      <w:r w:rsidR="006514A3" w:rsidRPr="006514A3">
        <w:rPr>
          <w:rFonts w:ascii="Calibri Light" w:hAnsi="Calibri Light" w:cs="Calibri Light"/>
          <w:noProof/>
          <w:sz w:val="24"/>
          <w:szCs w:val="24"/>
          <w:lang w:val="en-ID" w:eastAsia="en-ID"/>
        </w:rPr>
        <w:t>(Ghanea, 2022)</w:t>
      </w:r>
      <w:r w:rsidR="00A526EF">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w:t>
      </w:r>
    </w:p>
    <w:p w14:paraId="2EDA6BA3" w14:textId="1590786E"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Following the identification and selection of relevant literature, the study then conducted a detailed analysis of the chosen materials. This analysis involved reviewing legal texts, case law, academic articles, and scholarly interpretations to understand how each country interprets and applies Qur'anic principles related to human rights</w:t>
      </w:r>
      <w:r w:rsidR="004B5E72">
        <w:rPr>
          <w:rFonts w:ascii="Calibri Light" w:hAnsi="Calibri Light" w:cs="Calibri Light"/>
          <w:sz w:val="24"/>
          <w:szCs w:val="24"/>
          <w:lang w:val="en-ID" w:eastAsia="en-ID"/>
        </w:rPr>
        <w:fldChar w:fldCharType="begin" w:fldLock="1"/>
      </w:r>
      <w:r w:rsidR="00F72E3D">
        <w:rPr>
          <w:rFonts w:ascii="Calibri Light" w:hAnsi="Calibri Light" w:cs="Calibri Light"/>
          <w:sz w:val="24"/>
          <w:szCs w:val="24"/>
          <w:lang w:val="en-ID" w:eastAsia="en-ID"/>
        </w:rPr>
        <w:instrText>ADDIN CSL_CITATION {"citationItems":[{"id":"ITEM-1","itemData":{"DOI":"10.69526/bir.v2i4.155","ISSN":"3031-4526","author":[{"dropping-particle":"","family":"Sulaiman","given":"Yahaya","non-dropping-particle":"","parse-names":false,"suffix":""},{"dropping-particle":"","family":"Kaura","given":"Ruqayya Abubakar","non-dropping-particle":"","parse-names":false,"suffix":""},{"dropping-particle":"","family":"Doma","given":"Idris Salamatu","non-dropping-particle":"","parse-names":false,"suffix":""}],"container-title":"Bulletin of Islamic Research","id":"ITEM-1","issue":"4","issued":{"date-parts":[["2024"]]},"page":"591-616","title":"Islam, Neo-Colonialism, And Factors Responsible For Its Roots In The Muslim World","type":"article-journal","volume":"2"},"uris":["http://www.mendeley.com/documents/?uuid=1b3f937f-b35a-4beb-9109-df4d911565b9"]}],"mendeley":{"formattedCitation":"(Sulaiman et al., 2024)","plainTextFormattedCitation":"(Sulaiman et al., 2024)","previouslyFormattedCitation":"(Sulaiman et al., 2024)"},"properties":{"noteIndex":0},"schema":"https://github.com/citation-style-language/schema/raw/master/csl-citation.json"}</w:instrText>
      </w:r>
      <w:r w:rsidR="004B5E72">
        <w:rPr>
          <w:rFonts w:ascii="Calibri Light" w:hAnsi="Calibri Light" w:cs="Calibri Light"/>
          <w:sz w:val="24"/>
          <w:szCs w:val="24"/>
          <w:lang w:val="en-ID" w:eastAsia="en-ID"/>
        </w:rPr>
        <w:fldChar w:fldCharType="separate"/>
      </w:r>
      <w:r w:rsidR="004B5E72" w:rsidRPr="004B5E72">
        <w:rPr>
          <w:rFonts w:ascii="Calibri Light" w:hAnsi="Calibri Light" w:cs="Calibri Light"/>
          <w:noProof/>
          <w:sz w:val="24"/>
          <w:szCs w:val="24"/>
          <w:lang w:val="en-ID" w:eastAsia="en-ID"/>
        </w:rPr>
        <w:t>(Sulaiman et al., 2024)</w:t>
      </w:r>
      <w:r w:rsidR="004B5E72">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 xml:space="preserve">. Special attention was given to the ways in which these interpretations reflect the balance between traditional Islamic jurisprudence and modern human rights standards </w:t>
      </w:r>
      <w:r w:rsidR="00A526EF">
        <w:rPr>
          <w:rFonts w:ascii="Calibri Light" w:hAnsi="Calibri Light" w:cs="Calibri Light"/>
          <w:sz w:val="24"/>
          <w:szCs w:val="24"/>
          <w:lang w:val="en-ID" w:eastAsia="en-ID"/>
        </w:rPr>
        <w:fldChar w:fldCharType="begin" w:fldLock="1"/>
      </w:r>
      <w:r w:rsidR="006514A3">
        <w:rPr>
          <w:rFonts w:ascii="Calibri Light" w:hAnsi="Calibri Light" w:cs="Calibri Light"/>
          <w:sz w:val="24"/>
          <w:szCs w:val="24"/>
          <w:lang w:val="en-ID" w:eastAsia="en-ID"/>
        </w:rPr>
        <w:instrText>ADDIN CSL_CITATION {"citationItems":[{"id":"ITEM-1","itemData":{"DOI":"10.1080/15570274.2022.2111810","ISSN":"15570274 (ISSN)","abstract":"There are strong geographic patterns in how people view religion, national identity, minorities, and key social issues across different regions. These patterns also exhibit themselves in the ways that freedom of religion or belief (FoRB) and gender equality are viewed. This article focuses on gender equality in Central Asia and Russia and analyzes the international human rights treaty monitoring cycles within the United Nations. It also reflects on selected cases in the treaty committees. This article combines legal, human rights perspectives with current social research to identify deficiencies in states’ fulfillment of their positive duties under international law to address the intersections between gender-based discrimination and religion. It employs the concept of intersectional discrimination to analyze these connections. The connection between FoRB and gender equality from the perspective of intersectional discrimination has not been sufficiently researched in relation to Central Asia and Russia. The treaty monitoring documents are a good starting point for this research and give a comprehensive picture of existing legal issues and underlying social problems. © 2022 Institute for Global Engagement.","author":[{"dropping-particle":"","family":"Kiviorg","given":"M","non-dropping-particle":"","parse-names":false,"suffix":""}],"container-title":"Review of Faith and International Affairs","id":"ITEM-1","issue":"3","issued":{"date-parts":[["2022"]]},"language":"English","page":"47-62","publisher":"Routledge","title":"International Obligations and Internal Tensions: Individual Religious Autonomy and Gender Equality in Russia and Central Asia","type":"article-journal","volume":"20"},"uris":["http://www.mendeley.com/documents/?uuid=72493946-443b-45ca-8eaa-a56cc2001f26","http://www.mendeley.com/documents/?uuid=0d589f1e-d329-4033-881f-86dd8256784a"]}],"mendeley":{"formattedCitation":"(Kiviorg, 2022)","plainTextFormattedCitation":"(Kiviorg, 2022)","previouslyFormattedCitation":"(Kiviorg, 2022)"},"properties":{"noteIndex":0},"schema":"https://github.com/citation-style-language/schema/raw/master/csl-citation.json"}</w:instrText>
      </w:r>
      <w:r w:rsidR="00A526EF">
        <w:rPr>
          <w:rFonts w:ascii="Calibri Light" w:hAnsi="Calibri Light" w:cs="Calibri Light"/>
          <w:sz w:val="24"/>
          <w:szCs w:val="24"/>
          <w:lang w:val="en-ID" w:eastAsia="en-ID"/>
        </w:rPr>
        <w:fldChar w:fldCharType="separate"/>
      </w:r>
      <w:r w:rsidR="006514A3" w:rsidRPr="006514A3">
        <w:rPr>
          <w:rFonts w:ascii="Calibri Light" w:hAnsi="Calibri Light" w:cs="Calibri Light"/>
          <w:noProof/>
          <w:sz w:val="24"/>
          <w:szCs w:val="24"/>
          <w:lang w:val="en-ID" w:eastAsia="en-ID"/>
        </w:rPr>
        <w:t>(Kiviorg, 2022)</w:t>
      </w:r>
      <w:r w:rsidR="00A526EF">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w:t>
      </w:r>
    </w:p>
    <w:p w14:paraId="0C6008D6" w14:textId="352B728B"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A key part of the analysis was examining the practical application of these principles within each country's legal system. For Egypt, this involved analyzing constitutional documents, legal codes, and case studies that reflect the country's approach to human rights within the framework of Islamic law</w:t>
      </w:r>
      <w:r w:rsidR="00F72E3D">
        <w:rPr>
          <w:rFonts w:ascii="Calibri Light" w:hAnsi="Calibri Light" w:cs="Calibri Light"/>
          <w:sz w:val="24"/>
          <w:szCs w:val="24"/>
          <w:lang w:val="en-ID" w:eastAsia="en-ID"/>
        </w:rPr>
        <w:fldChar w:fldCharType="begin" w:fldLock="1"/>
      </w:r>
      <w:r w:rsidR="00F72E3D">
        <w:rPr>
          <w:rFonts w:ascii="Calibri Light" w:hAnsi="Calibri Light" w:cs="Calibri Light"/>
          <w:sz w:val="24"/>
          <w:szCs w:val="24"/>
          <w:lang w:val="en-ID" w:eastAsia="en-ID"/>
        </w:rPr>
        <w:instrText>ADDIN CSL_CITATION {"citationItems":[{"id":"ITEM-1","itemData":{"ISBN":"978-150997908-0 (ISBN); 978-150997906-6 (ISBN)","abstract":"The Inter-American Court of Human Rights has the most developed jurisprudence on indigenous rights, yet this case law is understudied. This book addresses this gap by exploring the Court and its cases from both the perspective of international law and the legal protection of indigenous territories. Setting out the network of actors and institutions involved in such litigation, it examines the motivations and constraints in domestic politics affecting international orders (and by extension the impact of the Court). It provides both an important statement on the effectiveness of international tribunals and a fascinating insight into the evolution of indigenous rights. © Gabriela CB Navarro, 2024. All rights reserved.","author":[{"dropping-particle":"","family":"Navarro","given":"G C B","non-dropping-particle":"","parse-names":false,"suffix":""}],"container-title":"The Effectiveness of the Inter-American Court of Human Rights: The Case of Indigenous Territorial Rights","id":"ITEM-1","issued":{"date-parts":[["2025"]]},"language":"English","note":"Export Date: 26 January 2025; Cited By: 0","number-of-pages":"1-240","publisher":"Bloomsbury Publishing Plc.","publisher-place":"Federal University of Minas Gerais, Brazil","title":"The effectiveness of the inter-American court of human rights: The case of indigenous territorial rights","type":"book"},"uris":["http://www.mendeley.com/documents/?uuid=3d3ca5e9-70d3-4f4a-9093-7198fe36ab45"]}],"mendeley":{"formattedCitation":"(Navarro, 2025)","plainTextFormattedCitation":"(Navarro, 2025)","previouslyFormattedCitation":"(Navarro, 2025)"},"properties":{"noteIndex":0},"schema":"https://github.com/citation-style-language/schema/raw/master/csl-citation.json"}</w:instrText>
      </w:r>
      <w:r w:rsidR="00F72E3D">
        <w:rPr>
          <w:rFonts w:ascii="Calibri Light" w:hAnsi="Calibri Light" w:cs="Calibri Light"/>
          <w:sz w:val="24"/>
          <w:szCs w:val="24"/>
          <w:lang w:val="en-ID" w:eastAsia="en-ID"/>
        </w:rPr>
        <w:fldChar w:fldCharType="separate"/>
      </w:r>
      <w:r w:rsidR="00F72E3D" w:rsidRPr="00F72E3D">
        <w:rPr>
          <w:rFonts w:ascii="Calibri Light" w:hAnsi="Calibri Light" w:cs="Calibri Light"/>
          <w:noProof/>
          <w:sz w:val="24"/>
          <w:szCs w:val="24"/>
          <w:lang w:val="en-ID" w:eastAsia="en-ID"/>
        </w:rPr>
        <w:t>(Navarro, 2025)</w:t>
      </w:r>
      <w:r w:rsidR="00F72E3D">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 In Indonesia, the study focused on how Islamic principles are incorporated into the national legal system, especially in regions like Aceh where Shari'ah law is officially implemented</w:t>
      </w:r>
      <w:r w:rsidR="00F72E3D">
        <w:rPr>
          <w:rFonts w:ascii="Calibri Light" w:hAnsi="Calibri Light" w:cs="Calibri Light"/>
          <w:sz w:val="24"/>
          <w:szCs w:val="24"/>
          <w:lang w:val="en-ID" w:eastAsia="en-ID"/>
        </w:rPr>
        <w:fldChar w:fldCharType="begin" w:fldLock="1"/>
      </w:r>
      <w:r w:rsidR="00F72E3D">
        <w:rPr>
          <w:rFonts w:ascii="Calibri Light" w:hAnsi="Calibri Light" w:cs="Calibri Light"/>
          <w:sz w:val="24"/>
          <w:szCs w:val="24"/>
          <w:lang w:val="en-ID" w:eastAsia="en-ID"/>
        </w:rPr>
        <w:instrText>ADDIN CSL_CITATION {"citationItems":[{"id":"ITEM-1","itemData":{"DOI":"10.1080/14754835.2024.2439262","ISSN":"14754835 (ISSN)","abstract":"This article champions the potential for universities to play an enhanced role supporting human rights activism and protection in the context of democratic crisis. The challenges such an agenda faces are significant. In addition to global trends such as democratic backsliding and shrinking civic and political space, universities themselves exhibit “two faces,” as sites of violence and exclusion as well as of more progressive values, and are caught between the pincer movement of privatization and increasing state interference. However, universities often enjoy more autonomy than civil society groups. Drawing on core values such as academic freedom and social justice, and particular qualities—legitimacy, status, access to knowledge, resources, and local and global networks—universities have both the potential and the responsibility to act. The article identifies four roles universities can play in relation to activism and protection: instigators, incubators (of ideas, values, and organizations), collaborators, and protectors. Three forms of protection—of people, values, and knowledge—are interdependent, with activists more likely to feel protected if their values and knowledge are reflected within universities. Ultimately, if universities do not support others, who will be left to defend them when attacks intensify on universities themselves?. © 2025 The Author(s). Published with license by Taylor &amp; Francis Group, LLC.","author":[{"dropping-particle":"","family":"Gready","given":"P","non-dropping-particle":"","parse-names":false,"suffix":""},{"dropping-particle":"","family":"Jackson","given":"E","non-dropping-particle":"","parse-names":false,"suffix":""}],"container-title":"Journal of Human Rights","id":"ITEM-1","issued":{"date-parts":[["2025"]]},"language":"English","note":"Export Date: 26 January 2025; Cited By: 0; Correspondence Address: P. Gready; Centre for Applied Human Rights, University of York, York, United Kingdom; email: paul.gready@york.ac.uk","publisher":"Routledge","publisher-place":"University of York, United Kingdom","title":"Universities unbound: Universities as sites of human rights activism and protection in an era of democratic crisis","type":"article-journal"},"uris":["http://www.mendeley.com/documents/?uuid=1359669e-cb66-402c-b972-92bb5531fe0a"]}],"mendeley":{"formattedCitation":"(Gready &amp; Jackson, 2025)","plainTextFormattedCitation":"(Gready &amp; Jackson, 2025)","previouslyFormattedCitation":"(Gready &amp; Jackson, 2025)"},"properties":{"noteIndex":0},"schema":"https://github.com/citation-style-language/schema/raw/master/csl-citation.json"}</w:instrText>
      </w:r>
      <w:r w:rsidR="00F72E3D">
        <w:rPr>
          <w:rFonts w:ascii="Calibri Light" w:hAnsi="Calibri Light" w:cs="Calibri Light"/>
          <w:sz w:val="24"/>
          <w:szCs w:val="24"/>
          <w:lang w:val="en-ID" w:eastAsia="en-ID"/>
        </w:rPr>
        <w:fldChar w:fldCharType="separate"/>
      </w:r>
      <w:r w:rsidR="00F72E3D" w:rsidRPr="00F72E3D">
        <w:rPr>
          <w:rFonts w:ascii="Calibri Light" w:hAnsi="Calibri Light" w:cs="Calibri Light"/>
          <w:noProof/>
          <w:sz w:val="24"/>
          <w:szCs w:val="24"/>
          <w:lang w:val="en-ID" w:eastAsia="en-ID"/>
        </w:rPr>
        <w:t>(Gready &amp; Jackson, 2025)</w:t>
      </w:r>
      <w:r w:rsidR="00F72E3D">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 xml:space="preserve">. The analysis also considered the role of international human rights standards in shaping domestic legal reforms in both countries </w:t>
      </w:r>
      <w:r w:rsidR="00A526EF">
        <w:rPr>
          <w:rFonts w:ascii="Calibri Light" w:hAnsi="Calibri Light" w:cs="Calibri Light"/>
          <w:sz w:val="24"/>
          <w:szCs w:val="24"/>
          <w:lang w:val="en-ID" w:eastAsia="en-ID"/>
        </w:rPr>
        <w:fldChar w:fldCharType="begin" w:fldLock="1"/>
      </w:r>
      <w:r w:rsidR="006514A3">
        <w:rPr>
          <w:rFonts w:ascii="Calibri Light" w:hAnsi="Calibri Light" w:cs="Calibri Light"/>
          <w:sz w:val="24"/>
          <w:szCs w:val="24"/>
          <w:lang w:val="en-ID" w:eastAsia="en-ID"/>
        </w:rPr>
        <w:instrText>ADDIN CSL_CITATION {"citationItems":[{"id":"ITEM-1","itemData":{"DOI":"10.1111/aman.13737","ISSN":"00027294 (ISSN)","abstract":"Hong Kong LGBT activists contend with an on-the-ground discourse of human rights that constrains their ability to use human rights law as they pursue legal gender recognition that allows trans people to legally change their gender. Mainstream Hongkongers lay claim to an “ordinary” identity in which human rights is central to being a Hongkonger. This use of human rights discourse is not based on human rights law but is used to define “ordinary Hongkongers” in opposition to mainland Chinese people. Thus, some LGBT activists employ humanizing interactions with trans people to reframe ordinariness to include trans Hongkongers, using human rights law only when it is demonstrative of expertise. Other LGBT activists continued use of human rights law in public fora contravenes hegemonic discourses of human rights, and these activists are interpolated as relying on foreign law to force social change in Hong Kong. © 2022 by the American Anthropological Association.","author":[{"dropping-particle":"","family":"Madson","given":"N H","non-dropping-particle":"","parse-names":false,"suffix":""}],"container-title":"American Anthropologist","id":"ITEM-1","issue":"3","issued":{"date-parts":[["2022"]]},"language":"English","page":"504-514","publisher":"John Wiley and Sons Inc","publisher-place":"Human Rights Center, University of Minnesota Law School, Minneapolis, MN, United States","title":"I am an ordinary citizen: Human rights discourse and the limits of human rights law","type":"article-journal","volume":"124"},"uris":["http://www.mendeley.com/documents/?uuid=f9e87010-82bd-498f-a3ea-90b639b6fcb5","http://www.mendeley.com/documents/?uuid=a5a690f8-1418-4f20-bafc-29b1b5454fb9"]}],"mendeley":{"formattedCitation":"(Madson, 2022)","plainTextFormattedCitation":"(Madson, 2022)","previouslyFormattedCitation":"(Madson, 2022)"},"properties":{"noteIndex":0},"schema":"https://github.com/citation-style-language/schema/raw/master/csl-citation.json"}</w:instrText>
      </w:r>
      <w:r w:rsidR="00A526EF">
        <w:rPr>
          <w:rFonts w:ascii="Calibri Light" w:hAnsi="Calibri Light" w:cs="Calibri Light"/>
          <w:sz w:val="24"/>
          <w:szCs w:val="24"/>
          <w:lang w:val="en-ID" w:eastAsia="en-ID"/>
        </w:rPr>
        <w:fldChar w:fldCharType="separate"/>
      </w:r>
      <w:r w:rsidR="006514A3" w:rsidRPr="006514A3">
        <w:rPr>
          <w:rFonts w:ascii="Calibri Light" w:hAnsi="Calibri Light" w:cs="Calibri Light"/>
          <w:noProof/>
          <w:sz w:val="24"/>
          <w:szCs w:val="24"/>
          <w:lang w:val="en-ID" w:eastAsia="en-ID"/>
        </w:rPr>
        <w:t>(Madson, 2022)</w:t>
      </w:r>
      <w:r w:rsidR="00A526EF">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w:t>
      </w:r>
    </w:p>
    <w:p w14:paraId="5B3FAB32" w14:textId="1C4806D3"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To enhance the robustness of the findings, the study utilized a comparative approach, drawing direct comparisons between Egypt and Indonesia based on the application of Qur'anic teachings in their respective legal systems</w:t>
      </w:r>
      <w:r w:rsidR="00F72E3D">
        <w:rPr>
          <w:rFonts w:ascii="Calibri Light" w:hAnsi="Calibri Light" w:cs="Calibri Light"/>
          <w:sz w:val="24"/>
          <w:szCs w:val="24"/>
          <w:lang w:val="en-ID" w:eastAsia="en-ID"/>
        </w:rPr>
        <w:fldChar w:fldCharType="begin" w:fldLock="1"/>
      </w:r>
      <w:r w:rsidR="00F72E3D">
        <w:rPr>
          <w:rFonts w:ascii="Calibri Light" w:hAnsi="Calibri Light" w:cs="Calibri Light"/>
          <w:sz w:val="24"/>
          <w:szCs w:val="24"/>
          <w:lang w:val="en-ID" w:eastAsia="en-ID"/>
        </w:rPr>
        <w:instrText>ADDIN CSL_CITATION {"citationItems":[{"id":"ITEM-1","itemData":{"DOI":"10.1017/bhj.2024.25","ISSN":"20570198 (ISSN)","abstract":"In this paper, I argue that there is an inconsistency between the content of some of the labour-related human rights articulated in documents such as the Universal Declaration of Human Rights and the International Covenant on Economic, Social and Cultural Rights and the obligations ascribed to various actors regarding those rights in the United Nations (UN) Guiding Principles on Business and Human Rights (UNGPs), in particular those ascribed to corporations. Recognizing the inconsistency, I claim, can help us see some of the moral limitations of both familiar public responses to exploitative labour practices and influential philosophical accounts of the wrong of exploitation. In light of these limitations, I argue that there are reasons to accept a more expansive account of the human rights-related obligations of corporations than that found in the UNGPs, and in particular that we should accept that corporations have obligations to actively contribute to lifting people out of poverty. © The Author(s), 2025.","author":[{"dropping-particle":"","family":"Berkey","given":"B","non-dropping-particle":"","parse-names":false,"suffix":""}],"container-title":"Business and Human Rights Journal","id":"ITEM-1","issued":{"date-parts":[["2025"]]},"language":"English","note":"Export Date: 26 January 2025; Cited By: 0; Correspondence Address: B. Berkey; Department of Legal Studies and Business Ethics, The Wharton School, University of Pennsylvania, Philadelphia, 3730 Walnut Street, Suite 600, 19104, United States; email: bberkey@wharton.upenn.edu","publisher":"Cambridge University Press","publisher-place":"Department of Legal Studies and Business Ethics, The Wharton School, University of Pennsylvania, 3730 Walnut Street, Suite 600, Philadelphia, 19104, PA, United States","title":"Exploitation, Human Rights and Corporate Obligations","type":"article-journal"},"uris":["http://www.mendeley.com/documents/?uuid=f93ee8df-2dec-4e14-b536-7d028ea0b3d0"]}],"mendeley":{"formattedCitation":"(Berkey, 2025)","plainTextFormattedCitation":"(Berkey, 2025)","previouslyFormattedCitation":"(Berkey, 2025)"},"properties":{"noteIndex":0},"schema":"https://github.com/citation-style-language/schema/raw/master/csl-citation.json"}</w:instrText>
      </w:r>
      <w:r w:rsidR="00F72E3D">
        <w:rPr>
          <w:rFonts w:ascii="Calibri Light" w:hAnsi="Calibri Light" w:cs="Calibri Light"/>
          <w:sz w:val="24"/>
          <w:szCs w:val="24"/>
          <w:lang w:val="en-ID" w:eastAsia="en-ID"/>
        </w:rPr>
        <w:fldChar w:fldCharType="separate"/>
      </w:r>
      <w:r w:rsidR="00F72E3D" w:rsidRPr="00F72E3D">
        <w:rPr>
          <w:rFonts w:ascii="Calibri Light" w:hAnsi="Calibri Light" w:cs="Calibri Light"/>
          <w:noProof/>
          <w:sz w:val="24"/>
          <w:szCs w:val="24"/>
          <w:lang w:val="en-ID" w:eastAsia="en-ID"/>
        </w:rPr>
        <w:t>(Berkey, 2025)</w:t>
      </w:r>
      <w:r w:rsidR="00F72E3D">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 This comparative framework allowed the research to highlight both the similarities and differences in how these two countries approach human rights law within the context of Islam, offering valuable insights into the challenges and opportunities for reconciling Islamic principles with global human rights norms.</w:t>
      </w:r>
    </w:p>
    <w:p w14:paraId="34977282" w14:textId="77777777" w:rsidR="00F369EC" w:rsidRDefault="00F369EC" w:rsidP="00F369EC">
      <w:pPr>
        <w:spacing w:before="120" w:after="120"/>
        <w:ind w:left="426"/>
        <w:jc w:val="both"/>
        <w:rPr>
          <w:rFonts w:ascii="Calibri Light" w:hAnsi="Calibri Light" w:cs="Calibri Light"/>
          <w:color w:val="FF0000"/>
          <w:sz w:val="24"/>
          <w:szCs w:val="24"/>
          <w:lang w:val="id-ID"/>
        </w:rPr>
      </w:pPr>
    </w:p>
    <w:p w14:paraId="36BFCA12" w14:textId="77777777" w:rsidR="00536E55" w:rsidRPr="00122F5F" w:rsidRDefault="00536E55" w:rsidP="00F369EC">
      <w:pPr>
        <w:spacing w:before="120" w:after="120"/>
        <w:ind w:left="426"/>
        <w:jc w:val="both"/>
        <w:rPr>
          <w:rFonts w:ascii="Calibri Light" w:hAnsi="Calibri Light" w:cs="Calibri Light"/>
          <w:color w:val="FF0000"/>
          <w:sz w:val="24"/>
          <w:szCs w:val="24"/>
          <w:lang w:val="id-ID"/>
        </w:rPr>
      </w:pPr>
    </w:p>
    <w:p w14:paraId="3110BACC"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69DAE838" w14:textId="35A0BA4F" w:rsidR="0007539D" w:rsidRPr="0007539D" w:rsidRDefault="00D26ADD" w:rsidP="0007539D">
      <w:pPr>
        <w:spacing w:before="120" w:after="120"/>
        <w:ind w:left="440" w:right="-1" w:hanging="14"/>
        <w:jc w:val="both"/>
        <w:rPr>
          <w:rFonts w:ascii="Calibri Light" w:hAnsi="Calibri Light" w:cs="Calibri Light"/>
          <w:sz w:val="24"/>
          <w:szCs w:val="24"/>
          <w:lang w:val="en-ID"/>
        </w:rPr>
      </w:pPr>
      <w:r w:rsidRPr="00122F5F">
        <w:rPr>
          <w:rFonts w:ascii="Calibri Light" w:hAnsi="Calibri Light" w:cs="Calibri Light"/>
          <w:sz w:val="24"/>
          <w:szCs w:val="24"/>
        </w:rPr>
        <w:t xml:space="preserve"> </w:t>
      </w:r>
      <w:r w:rsidR="0007539D" w:rsidRPr="0007539D">
        <w:rPr>
          <w:rFonts w:ascii="Calibri Light" w:hAnsi="Calibri Light" w:cs="Calibri Light"/>
          <w:sz w:val="24"/>
          <w:szCs w:val="24"/>
          <w:lang w:val="en-ID"/>
        </w:rPr>
        <w:t>The results and discussion of this study focus on analyzing the integration of Qur'anic principles related to human rights in the legal systems of Egypt and Indonesia, with special emphasis on the ways these principles are interpreted and applied in contemporary settings</w:t>
      </w:r>
      <w:r w:rsidR="00F72E3D">
        <w:rPr>
          <w:rFonts w:ascii="Calibri Light" w:hAnsi="Calibri Light" w:cs="Calibri Light"/>
          <w:sz w:val="24"/>
          <w:szCs w:val="24"/>
          <w:lang w:val="en-ID"/>
        </w:rPr>
        <w:fldChar w:fldCharType="begin" w:fldLock="1"/>
      </w:r>
      <w:r w:rsidR="00F72E3D">
        <w:rPr>
          <w:rFonts w:ascii="Calibri Light" w:hAnsi="Calibri Light" w:cs="Calibri Light"/>
          <w:sz w:val="24"/>
          <w:szCs w:val="24"/>
          <w:lang w:val="en-ID"/>
        </w:rPr>
        <w:instrText>ADDIN CSL_CITATION {"citationItems":[{"id":"ITEM-1","itemData":{"DOI":"10.1080/13642987.2024.2446193","ISSN":"13642987 (ISSN)","abstract":"This contribution discusses and compares human rights-based frameworks or ‘models’ used by authors in literature for assessing AI’s problems. In AI research, human rights assessments have been used as a burgeoning methodology for identifying and giving account of technology’s negative implications. However, there has been little critique of the strenghts and weakness of the formal human rights framework in providing proper account of AI’s problems. This paper attempts to fill this gap. Because AI’application involves diverse interests, scholars have differently identified AI’s implications through a human rights lens. The prominent model focuses on privacy, but there is growing recognition about privacy’s limited role ahead of AI’s ubiquity. Additionally, holistic and selective human rights models are used. This contribution draws on literature review to discuss these models, testing them against theories of pragmatic problem identification. The selective model resonates with pragmatic approaches to problem assessment. However, human rights present inherent limits as a problem assessement framework ahead of (new) AI realities and problems. We suggest that using too formal, closed, and rigid frameworks may impede representing current and new AI issues. Future research shall be geared towards exploring more pragmatic methodologies to AI problem assessement. © 2024 Informa UK Limited, trading as Taylor &amp; Francis Group.","author":[{"dropping-particle":"","family":"Cocito","given":"C","non-dropping-particle":"","parse-names":false,"suffix":""},{"dropping-particle":"","family":"Hert","given":"P","non-dropping-particle":"De","parse-names":false,"suffix":""},{"dropping-particle":"","family":"Marquenie","given":"T","non-dropping-particle":"","parse-names":false,"suffix":""}],"container-title":"International Journal of Human Rights","id":"ITEM-1","issued":{"date-parts":[["2025"]]},"language":"English","note":"Export Date: 26 January 2025; Cited By: 0; Correspondence Address: C. Cocito; Fundamental Rights Research Center, Vrije Universiteit Brussel. iBOF project ‘Future-proofing human rights. Developing thicker forms of accountability’, Brussel, Belgium; email: cristina.cocito@vub.be","publisher":"Routledge","publisher-place":"Fundamental Rights Research Center, Vrije Universiteit Brussel. iBOF project ‘Future-proofing human rights. Developing thicker forms of accountability’, Brussel, Belgium","title":"Do human rights frameworks identify AI’s problems? The limits of a burgeoning methodology for AI problem assessment","type":"article-journal"},"uris":["http://www.mendeley.com/documents/?uuid=58a836dd-014f-4ad2-add2-a7e73b354f9c"]}],"mendeley":{"formattedCitation":"(Cocito et al., 2025)","plainTextFormattedCitation":"(Cocito et al., 2025)","previouslyFormattedCitation":"(Cocito et al., 2025)"},"properties":{"noteIndex":0},"schema":"https://github.com/citation-style-language/schema/raw/master/csl-citation.json"}</w:instrText>
      </w:r>
      <w:r w:rsidR="00F72E3D">
        <w:rPr>
          <w:rFonts w:ascii="Calibri Light" w:hAnsi="Calibri Light" w:cs="Calibri Light"/>
          <w:sz w:val="24"/>
          <w:szCs w:val="24"/>
          <w:lang w:val="en-ID"/>
        </w:rPr>
        <w:fldChar w:fldCharType="separate"/>
      </w:r>
      <w:r w:rsidR="00F72E3D" w:rsidRPr="00F72E3D">
        <w:rPr>
          <w:rFonts w:ascii="Calibri Light" w:hAnsi="Calibri Light" w:cs="Calibri Light"/>
          <w:noProof/>
          <w:sz w:val="24"/>
          <w:szCs w:val="24"/>
          <w:lang w:val="en-ID"/>
        </w:rPr>
        <w:t>(Cocito et al., 2025)</w:t>
      </w:r>
      <w:r w:rsidR="00F72E3D">
        <w:rPr>
          <w:rFonts w:ascii="Calibri Light" w:hAnsi="Calibri Light" w:cs="Calibri Light"/>
          <w:sz w:val="24"/>
          <w:szCs w:val="24"/>
          <w:lang w:val="en-ID"/>
        </w:rPr>
        <w:fldChar w:fldCharType="end"/>
      </w:r>
      <w:r w:rsidR="0007539D" w:rsidRPr="0007539D">
        <w:rPr>
          <w:rFonts w:ascii="Calibri Light" w:hAnsi="Calibri Light" w:cs="Calibri Light"/>
          <w:sz w:val="24"/>
          <w:szCs w:val="24"/>
          <w:lang w:val="en-ID"/>
        </w:rPr>
        <w:t xml:space="preserve">. The comparative analysis reveals important insights into how Islamic teachings are translated into legal practice, highlighting the strengths and limitations of each system in aligning with universal human rights standards </w:t>
      </w:r>
      <w:r w:rsidR="00A526EF">
        <w:rPr>
          <w:rFonts w:ascii="Calibri Light" w:hAnsi="Calibri Light" w:cs="Calibri Light"/>
          <w:sz w:val="24"/>
          <w:szCs w:val="24"/>
          <w:lang w:val="en-ID"/>
        </w:rPr>
        <w:fldChar w:fldCharType="begin" w:fldLock="1"/>
      </w:r>
      <w:r w:rsidR="006514A3">
        <w:rPr>
          <w:rFonts w:ascii="Calibri Light" w:hAnsi="Calibri Light" w:cs="Calibri Light"/>
          <w:sz w:val="24"/>
          <w:szCs w:val="24"/>
          <w:lang w:val="en-ID"/>
        </w:rPr>
        <w:instrText>ADDIN CSL_CITATION {"citationItems":[{"id":"ITEM-1","itemData":{"DOI":"10.15168/2284-4503-3204","ISSN":"22844503 (ISSN)","abstract":"The protection of the rights of persons with disabilities has undergone an extraordinary development in recent decades, culminating in the adoption of the United Nations convention on the rights of persons with disabilities. The latter has become the cornerstone of an ongoing legal and cultural revolution, based on adherence to the so-called human rights model. Moreover, the convention boosted a change in the global system of protection of human rights. Against this background, this contribution argues that some of the provisions of the convention have acquired the value of a source of general international law, thus providing a further interpretive tool for a affirming a higher standard of protection of disability rights. © (2024), (University of Trento). All rights reserved.","author":[{"dropping-particle":"","family":"Favalli","given":"S","non-dropping-particle":"","parse-names":false,"suffix":""}],"container-title":"BioLaw Journal","id":"ITEM-1","issue":"3","issued":{"date-parts":[["2024"]]},"language":"English","page":"351-362","publisher":"University of Trento","publisher-place":"Ricercatrice (tdA) in Diritto Internazionale, Università degli Studi di Milano, Italy","title":"THE ROLE OF THE UNITED NATIONS CONVENTION ON THE RIGHTS OF PERSONS WITH DISABILITIES AND THE HUMAN RIGHTS MODEL","type":"article-journal"},"uris":["http://www.mendeley.com/documents/?uuid=3e837698-57f0-4797-b699-c0f682ca492c","http://www.mendeley.com/documents/?uuid=efa4551e-48a6-4d38-b00c-445ae70d0c03"]}],"mendeley":{"formattedCitation":"(Favalli, 2024)","plainTextFormattedCitation":"(Favalli, 2024)","previouslyFormattedCitation":"(Favalli,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6514A3" w:rsidRPr="006514A3">
        <w:rPr>
          <w:rFonts w:ascii="Calibri Light" w:hAnsi="Calibri Light" w:cs="Calibri Light"/>
          <w:noProof/>
          <w:sz w:val="24"/>
          <w:szCs w:val="24"/>
          <w:lang w:val="en-ID"/>
        </w:rPr>
        <w:t>(Favalli, 2024)</w:t>
      </w:r>
      <w:r w:rsidR="00A526EF">
        <w:rPr>
          <w:rFonts w:ascii="Calibri Light" w:hAnsi="Calibri Light" w:cs="Calibri Light"/>
          <w:sz w:val="24"/>
          <w:szCs w:val="24"/>
          <w:lang w:val="en-ID"/>
        </w:rPr>
        <w:fldChar w:fldCharType="end"/>
      </w:r>
      <w:r w:rsidR="0007539D" w:rsidRPr="0007539D">
        <w:rPr>
          <w:rFonts w:ascii="Calibri Light" w:hAnsi="Calibri Light" w:cs="Calibri Light"/>
          <w:sz w:val="24"/>
          <w:szCs w:val="24"/>
          <w:lang w:val="en-ID"/>
        </w:rPr>
        <w:t>.</w:t>
      </w:r>
    </w:p>
    <w:p w14:paraId="0E0B8A75" w14:textId="77777777" w:rsidR="0007539D" w:rsidRPr="0007539D" w:rsidRDefault="0007539D" w:rsidP="0007539D">
      <w:pPr>
        <w:spacing w:before="120" w:after="120"/>
        <w:ind w:left="440" w:right="-1" w:hanging="14"/>
        <w:jc w:val="both"/>
        <w:rPr>
          <w:rFonts w:ascii="Calibri Light" w:hAnsi="Calibri Light" w:cs="Calibri Light"/>
          <w:b/>
          <w:bCs/>
          <w:sz w:val="24"/>
          <w:szCs w:val="24"/>
          <w:lang w:val="en-ID"/>
        </w:rPr>
      </w:pPr>
      <w:r w:rsidRPr="0007539D">
        <w:rPr>
          <w:rFonts w:ascii="Calibri Light" w:hAnsi="Calibri Light" w:cs="Calibri Light"/>
          <w:b/>
          <w:bCs/>
          <w:sz w:val="24"/>
          <w:szCs w:val="24"/>
          <w:lang w:val="en-ID"/>
        </w:rPr>
        <w:t>Results</w:t>
      </w:r>
    </w:p>
    <w:p w14:paraId="6BCB635F" w14:textId="663FEC9D"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The analysis of the literature reveals significant variations in the interpretation and application of human rights law based on the Qur'an in Egypt and Indonesia. Both countries, while predominantly Muslim, have adopted different approaches to integrating Islamic principles into their national legal frameworks</w:t>
      </w:r>
      <w:r w:rsidR="00FB4ACA">
        <w:rPr>
          <w:rFonts w:ascii="Calibri Light" w:hAnsi="Calibri Light" w:cs="Calibri Light"/>
          <w:sz w:val="24"/>
          <w:szCs w:val="24"/>
          <w:lang w:val="en-ID"/>
        </w:rPr>
        <w:fldChar w:fldCharType="begin" w:fldLock="1"/>
      </w:r>
      <w:r w:rsidR="006514A3">
        <w:rPr>
          <w:rFonts w:ascii="Calibri Light" w:hAnsi="Calibri Light" w:cs="Calibri Light"/>
          <w:sz w:val="24"/>
          <w:szCs w:val="24"/>
          <w:lang w:val="en-ID"/>
        </w:rPr>
        <w:instrText>ADDIN CSL_CITATION {"citationItems":[{"id":"ITEM-1","itemData":{"DOI":"10.47172/2965-730X.SDGsReview.v4.n00.pe01721","ISSN":"2965-730X","abstract":"Objective: The fact in salt production by traditional coastal communities is a lack of understanding of the halal standards for salt production formulated by the Ulama Consultative Council in the Aceh region. Supposedly, Muslim salt farmers already have basic knowledge about halal salt production standards under Islamic sharia rules. This article, therefore, describes the salt processing process that conforms to halal production standards, including the main raw materials, workers, facilities, production processes, product packaging, and product distribution under Islamic law. Method: The data used in this study were observations of Lancang coastal salt (coastal salt fields), interviews with the head of LPPOM MPU and secretaries, the head of the Banda Aceh Maritime Affairs and Fisheries Service, 241 coastal salt farmers, and three staff supporting salt farmers. Data were also obtained through a focus group discussion attended by all elements involved in the Acehnese halal salt production. Results: The results of this study highlighted that four standards had been met: raw material standards, worker standards, packaging standards, and distribution standards. Meanwhile, two standards have not been fulfilled: the standard for processing and the standard for the facilities used. Both have not met halal standards according to the guidelines of the Ulama Consultative Council in Aceh. SDGs Review | São Paulo (SP) | VOL. 4 | e01594 | pag: 01-47 | Jan-Dec | 2024. Contribution: this research helps improve the quality of salt produced by traditional farmers in Aceh by introducing and guiding them to comply with the halal standards set by LPPOM MPU Aceh. Education and awareness-raising among farmers about the importance of halal production are key points, where they are taught how to apply halal principles at every stage of the salt-making process. With a better understanding of these standards, farmers can not only improve the quality of their products but also obtain halal certification, which in turn increases the market value and consumer trust in the salt they produce. Furthermore, this research positively impacts the local economy by opening up broader market opportunities for traditional salt farmers. Halal certification allows them to sell their products to a larger market segment, including consumers who prioritize halal products, thus increasing the income and well-being of the farmers. Additionally, this research emphasizes the importance of preserving t…","author":[{"dropping-particle":"","family":"Nirwana","given":"Andri","non-dropping-particle":"","parse-names":false,"suffix":""},{"dropping-particle":"","family":"Arfan","given":"Fahmi","non-dropping-particle":"","parse-names":false,"suffix":""},{"dropping-particle":"","family":"Muthoifin","given":"","non-dropping-particle":"","parse-names":false,"suffix":""},{"dropping-particle":"","family":"Daud","given":"Zainora","non-dropping-particle":"","parse-names":false,"suffix":""},{"dropping-particle":"","family":"Amin","given":"Saifuddin","non-dropping-particle":"","parse-names":false,"suffix":""},{"dropping-particle":"","family":"Hidayat","given":"Syamsul","non-dropping-particle":"","parse-names":false,"suffix":""},{"dropping-particle":"","family":"Marshal","given":"Fahmi Dolles","non-dropping-particle":"","parse-names":false,"suffix":""}],"container-title":"Journal of Lifestyle and SDGs Review","id":"ITEM-1","issue":"2","issued":{"date-parts":[["2024","8","12"]]},"page":"e01721","title":"The Role of Traditional Salt Production in Achieving Halal Standards of the Ulamaconsultative Council: Implications for Sustainable Development Goals","type":"article-journal","volume":"4"},"uris":["http://www.mendeley.com/documents/?uuid=b64009f9-1156-4ec8-975d-6963dcdb86dc"]}],"mendeley":{"formattedCitation":"(Nirwana et al., 2024)","plainTextFormattedCitation":"(Nirwana et al., 2024)","previouslyFormattedCitation":"(Nirwana et al., 2024)"},"properties":{"noteIndex":0},"schema":"https://github.com/citation-style-language/schema/raw/master/csl-citation.json"}</w:instrText>
      </w:r>
      <w:r w:rsidR="00FB4ACA">
        <w:rPr>
          <w:rFonts w:ascii="Calibri Light" w:hAnsi="Calibri Light" w:cs="Calibri Light"/>
          <w:sz w:val="24"/>
          <w:szCs w:val="24"/>
          <w:lang w:val="en-ID"/>
        </w:rPr>
        <w:fldChar w:fldCharType="separate"/>
      </w:r>
      <w:r w:rsidR="006514A3" w:rsidRPr="006514A3">
        <w:rPr>
          <w:rFonts w:ascii="Calibri Light" w:hAnsi="Calibri Light" w:cs="Calibri Light"/>
          <w:noProof/>
          <w:sz w:val="24"/>
          <w:szCs w:val="24"/>
          <w:lang w:val="en-ID"/>
        </w:rPr>
        <w:t>(Nirwana et al., 2024)</w:t>
      </w:r>
      <w:r w:rsidR="00FB4ACA">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xml:space="preserve">. In Egypt, the legal system operates with a combination of Shari'ah law and secular legal norms, whereas Indonesia, while also incorporating Shari'ah principles in some regions, maintains a more pluralistic approach to governance and law </w:t>
      </w:r>
      <w:r w:rsidR="00A526EF">
        <w:rPr>
          <w:rFonts w:ascii="Calibri Light" w:hAnsi="Calibri Light" w:cs="Calibri Light"/>
          <w:sz w:val="24"/>
          <w:szCs w:val="24"/>
          <w:lang w:val="en-ID"/>
        </w:rPr>
        <w:fldChar w:fldCharType="begin" w:fldLock="1"/>
      </w:r>
      <w:r w:rsidR="006514A3">
        <w:rPr>
          <w:rFonts w:ascii="Calibri Light" w:hAnsi="Calibri Light" w:cs="Calibri Light"/>
          <w:sz w:val="24"/>
          <w:szCs w:val="24"/>
          <w:lang w:val="en-ID"/>
        </w:rPr>
        <w:instrText>ADDIN CSL_CITATION {"citationItems":[{"id":"ITEM-1","itemData":{"DOI":"10.1017/S2045381722000168","ISSN":"20453817 (ISSN)","abstract":"'Practical' approaches to human rights hold that analysis of legal human rights must attend to the practice(s) of international human rights law and that the nature and justification of international human rights is best determined by attending to their role(s) in international human rights law's system of normative practices, not analogous moral rights outside it. These core tenets plausibly explain the apparent normativity of international human rights law despite controversies about the status of many 'rights' in the 'International Bill of Rights'. Yet plausible practical approaches require clear and compelling accounts of which practices qualify as human rights practices. Most existing accounts view 'responses' to claims made in the name of the international legal community as key to the identification of human rights. Activities by domestic governments and non-governmental actors qualify as relevant practices. While understandable, these 'responsive' accounts of practice create more problems than they solve. This work accordingly promotes a largely unexplored account on which 'human rights practices' are strictly defined by international legal doctrine. This 'doctrinal' account of practice is most likely to maintain practical approaches to human rights' potential benefits without generating an unduly expansive rights register or adopting strong theoretical commitments about the nature of law. © The Author(s), 2022. Published by Cambridge University Press.","author":[{"dropping-particle":"","family":"Silva","given":"M","non-dropping-particle":"Da","parse-names":false,"suffix":""}],"container-title":"Global Constitutionalism","id":"ITEM-1","issue":"1","issued":{"date-parts":[["2023"]]},"language":"English","page":"106-132","publisher":"Cambridge University Press","publisher-place":"School of Law, University of Southampton, Southampton, United Kingdom","title":"Legal doctrine as human rights 'practice'","type":"article-journal","volume":"12"},"uris":["http://www.mendeley.com/documents/?uuid=884741a9-98db-4ce0-a56c-33519d0e9e12"]}],"mendeley":{"formattedCitation":"(Da Silva, 2023)","plainTextFormattedCitation":"(Da Silva, 2023)","previouslyFormattedCitation":"(Da Silva, 2023)"},"properties":{"noteIndex":0},"schema":"https://github.com/citation-style-language/schema/raw/master/csl-citation.json"}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6514A3" w:rsidRPr="006514A3">
        <w:rPr>
          <w:rFonts w:ascii="Calibri Light" w:hAnsi="Calibri Light" w:cs="Calibri Light"/>
          <w:noProof/>
          <w:sz w:val="24"/>
          <w:szCs w:val="24"/>
          <w:lang w:val="en-ID"/>
        </w:rPr>
        <w:t>(Da Silva, 2023)</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74B02E8B" w14:textId="109AF2EB"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In Egypt, the role of Shari'ah in law is significant, with the country’s Constitution recognizing Islam as the state religion and Shari'ah as the main source of legislation. The influence of Islamic principles in shaping the legal system is especially evident in family law, inheritance, and criminal law</w:t>
      </w:r>
      <w:r w:rsidR="00F72E3D">
        <w:rPr>
          <w:rFonts w:ascii="Calibri Light" w:hAnsi="Calibri Light" w:cs="Calibri Light"/>
          <w:sz w:val="24"/>
          <w:szCs w:val="24"/>
          <w:lang w:val="en-ID"/>
        </w:rPr>
        <w:fldChar w:fldCharType="begin" w:fldLock="1"/>
      </w:r>
      <w:r w:rsidR="008759AC">
        <w:rPr>
          <w:rFonts w:ascii="Calibri Light" w:hAnsi="Calibri Light" w:cs="Calibri Light"/>
          <w:sz w:val="24"/>
          <w:szCs w:val="24"/>
          <w:lang w:val="en-ID"/>
        </w:rPr>
        <w:instrText>ADDIN CSL_CITATION {"citationItems":[{"id":"ITEM-1","itemData":{"DOI":"10.4324/9781032628974","ISBN":"978-103262897-4 (ISBN); 978-103261214-0 (ISBN)","abstract":"This book offers a comprehensive and nuanced examination of the right to an adequate standard of living in Sub-Saharan Africa (SSA), shedding light on the multifaceted challenges, opportunities, and imperatives for action. The right to an adequate standard of living is a fundamental human right, essential for the dignity and well-being of all individuals. Yet, in SSA, the realisation of this right remains a complex and elusive goal, with millions of people facing poverty, inequality, and limited access to basic services. Through a series of in-depth chapters, the book explores the various dimensions of the right to an adequate standard of living, from the pervasive impacts of poverty and inequality to the critical importance of access to healthcare, education, housing, and justice. Drawing on a rich array of case studies, data, and expert analysis, the work provides a compelling and evidence-based assessment of the current state of affairs in SSA, highlighting the urgent need for comprehensive and context-specific approaches to advancing this fundamental right. Providing a roadmap for promoting sustainable and inclusive development, reducing poverty and inequality, and ensuring access to basic services for all, the volume offers a set of actionable recommendations for policymakers, practitioners, and researchers working in the areas of Human Rights Law, Development Law and, in particular, those focused on the United Nations Sustainable Development Goals. At the same time, it identifies key areas for further research and investigation, underscoring the importance of ongoing knowledge generation and exchange in support of evidence-based policy and practice. © 2025 Augustine Edobor Arimoro. All rights reserved.","author":[{"dropping-particle":"","family":"Arimoro","given":"A E","non-dropping-particle":"","parse-names":false,"suffix":""}],"container-title":"Human Rights and Standard of Living in Sub-Saharan Africa: Challenges and Prospects","id":"ITEM-1","issued":{"date-parts":[["2025"]]},"language":"English","note":"Export Date: 26 January 2025; Cited By: 0","number-of-pages":"1-262","publisher":"Taylor and Francis","publisher-place":"School of Law, University of West London, United Kingdom","title":"Human rights and standard of living in Sub-Saharan Africa: Challenges and prospects","type":"book"},"uris":["http://www.mendeley.com/documents/?uuid=968a057e-906d-4d53-9b18-25dfe0237c63"]}],"mendeley":{"formattedCitation":"(Arimoro, 2025)","plainTextFormattedCitation":"(Arimoro, 2025)","previouslyFormattedCitation":"(Arimoro, 2025)"},"properties":{"noteIndex":0},"schema":"https://github.com/citation-style-language/schema/raw/master/csl-citation.json"}</w:instrText>
      </w:r>
      <w:r w:rsidR="00F72E3D">
        <w:rPr>
          <w:rFonts w:ascii="Calibri Light" w:hAnsi="Calibri Light" w:cs="Calibri Light"/>
          <w:sz w:val="24"/>
          <w:szCs w:val="24"/>
          <w:lang w:val="en-ID"/>
        </w:rPr>
        <w:fldChar w:fldCharType="separate"/>
      </w:r>
      <w:r w:rsidR="00F72E3D" w:rsidRPr="00F72E3D">
        <w:rPr>
          <w:rFonts w:ascii="Calibri Light" w:hAnsi="Calibri Light" w:cs="Calibri Light"/>
          <w:noProof/>
          <w:sz w:val="24"/>
          <w:szCs w:val="24"/>
          <w:lang w:val="en-ID"/>
        </w:rPr>
        <w:t>(Arimoro, 2025)</w:t>
      </w:r>
      <w:r w:rsidR="00F72E3D">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However, the practical application of human rights based on the Qur'an in Egypt has been marked by tension, particularly in the areas of gender equality and freedom of expression</w:t>
      </w:r>
      <w:r w:rsidR="00FB4ACA">
        <w:rPr>
          <w:rFonts w:ascii="Calibri Light" w:hAnsi="Calibri Light" w:cs="Calibri Light"/>
          <w:sz w:val="24"/>
          <w:szCs w:val="24"/>
          <w:lang w:val="en-ID"/>
        </w:rPr>
        <w:fldChar w:fldCharType="begin" w:fldLock="1"/>
      </w:r>
      <w:r w:rsidR="006514A3">
        <w:rPr>
          <w:rFonts w:ascii="Calibri Light" w:hAnsi="Calibri Light" w:cs="Calibri Light"/>
          <w:sz w:val="24"/>
          <w:szCs w:val="24"/>
          <w:lang w:val="en-ID"/>
        </w:rPr>
        <w:instrText>ADDIN CSL_CITATION {"citationItems":[{"id":"ITEM-1","itemData":{"DOI":"10.47172/2965-730X.SDGsReview.v5.n02.pe02988","ISSN":"2965-730X","abstract":"Objectives: Humans are called homo sapiens (Latin word); He is a wise, knowledgeable, civilized (cultured) human. The main purpose of the article is to find and understand the reasons for lifelong education (why humans are educated), in relation to sustainable development goals (SDGs). Theoretical Framework: The main role model for humans (uswatun hasanah) is the Prophet Muhammad, based on the Quran and al-Hadith (Q. al-Ahzaab 33:21). Islamic epistemology is an epistemology based on Islamic teachings, with the Quran and al-Hadith as the main sources and standards of Islamic truth. It does not base it on objects (world matter) as Western epistemology does but bases it on \"The Subject of Everything\", namely the Creator and Ruler of world matter, namely Allah Almighty and the Creator of the universe. “Surely Allah will exalt the believers among you and those who are given some degree of knowledge. And Allah knows what you do.\" (the Quran of Mujaadilah's chapter 58, verse 11) The passage explains how God will elevate those who seek knowledge several times higher than those who do not. This sign indicates that it is with the knowledge that man can become nobler, not with his wealth let alone his fate. The aphorisms of the Arabs it is also described about learning; It means: \"Demand knowledge from the cradle (baby) to the grave.\" The obligation to study throughout our lives starts from our birth until the end of our lives. Lifelong education is also a process of being open to new ideas, skills, decisions, or behaviors and providing opportunities at all ages and in a variety of contexts: at work, at home, and leisure. Method: Method of Data (information, knowledge) colletion is Bayani method. Bayani is a method of thinking that emphasizes the authority of texts (propositions) directly or indirectly and is justified by reason. The data analysis method in this study is mainly qualitative analysis. Qualitative analysis is carried out by describing information, namely relevant verses of the Quran, then analyzing it by understanding the content of the verse in depth, connecting the verse with real examples, evaluating it, and finally concluding it. Results and Discussion: The problem that will be discussed in this paper is, \"What are the reasons that humans need education\"? Explanation of these reasons is in the Islamic epistemology perspective, i.e. using Bayani Epistemology. Bayani is a method of thinking that emphasizes the authority of texts (propositions in th…","author":[{"dropping-particle":"","family":"Sholeh","given":"Muhammad Muhtar Arifin","non-dropping-particle":"","parse-names":false,"suffix":""},{"dropping-particle":"","family":"Waston","given":"","non-dropping-particle":"","parse-names":false,"suffix":""},{"dropping-particle":"","family":"Nirwana","given":"Andri","non-dropping-particle":"","parse-names":false,"suffix":""},{"dropping-particle":"","family":"Mahmudulhassan","given":"M.","non-dropping-particle":"","parse-names":false,"suffix":""}],"container-title":"Journal of Lifestyle and SDGs Review","id":"ITEM-1","issue":"2","issued":{"date-parts":[["2024","11","8"]]},"page":"e02988","title":"The Reasons of Lifelong Education for the Sustainable Development Goals (SDGs): The Islamic Epistemology Perspective","type":"article-journal","volume":"5"},"uris":["http://www.mendeley.com/documents/?uuid=75b03a69-0708-47e2-b12c-15d92c8a957b"]}],"mendeley":{"formattedCitation":"(Sholeh et al., 2024)","plainTextFormattedCitation":"(Sholeh et al., 2024)","previouslyFormattedCitation":"(Sholeh et al., 2024)"},"properties":{"noteIndex":0},"schema":"https://github.com/citation-style-language/schema/raw/master/csl-citation.json"}</w:instrText>
      </w:r>
      <w:r w:rsidR="00FB4ACA">
        <w:rPr>
          <w:rFonts w:ascii="Calibri Light" w:hAnsi="Calibri Light" w:cs="Calibri Light"/>
          <w:sz w:val="24"/>
          <w:szCs w:val="24"/>
          <w:lang w:val="en-ID"/>
        </w:rPr>
        <w:fldChar w:fldCharType="separate"/>
      </w:r>
      <w:r w:rsidR="006514A3" w:rsidRPr="006514A3">
        <w:rPr>
          <w:rFonts w:ascii="Calibri Light" w:hAnsi="Calibri Light" w:cs="Calibri Light"/>
          <w:noProof/>
          <w:sz w:val="24"/>
          <w:szCs w:val="24"/>
          <w:lang w:val="en-ID"/>
        </w:rPr>
        <w:t>(Sholeh et al., 2024)</w:t>
      </w:r>
      <w:r w:rsidR="00FB4ACA">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xml:space="preserve">. For instance, while the Qur'an emphasizes the equality of all humans, the implementation of gender equality has been slow, and women's rights continue to be a contentious issue, especially in the political and social spheres </w:t>
      </w:r>
      <w:r w:rsidR="00A526EF">
        <w:rPr>
          <w:rFonts w:ascii="Calibri Light" w:hAnsi="Calibri Light" w:cs="Calibri Light"/>
          <w:sz w:val="24"/>
          <w:szCs w:val="24"/>
          <w:lang w:val="en-ID"/>
        </w:rPr>
        <w:fldChar w:fldCharType="begin" w:fldLock="1"/>
      </w:r>
      <w:r w:rsidR="006514A3">
        <w:rPr>
          <w:rFonts w:ascii="Calibri Light" w:hAnsi="Calibri Light" w:cs="Calibri Light"/>
          <w:sz w:val="24"/>
          <w:szCs w:val="24"/>
          <w:lang w:val="en-ID"/>
        </w:rPr>
        <w:instrText>ADDIN CSL_CITATION {"citationItems":[{"id":"ITEM-1","itemData":{"DOI":"10.1093/jhuman/huad058","ISSN":"17579619 (ISSN)","abstract":"This article is a conversation between the authors on areas of complementarity between these two mechanisms, gaps, and potential avenues for enhanced mutual cooperation between the two.  © 2023 The Author(s).","author":[{"dropping-particle":"","family":"Steinerte","given":"E","non-dropping-particle":"","parse-names":false,"suffix":""},{"dropping-particle":"","family":"Ploton","given":"V","non-dropping-particle":"","parse-names":false,"suffix":""}],"container-title":"Journal of Human Rights Practice","id":"ITEM-1","issue":"3","issued":{"date-parts":[["2023"]]},"language":"English","page":"784-793","publisher":"Oxford University Press","publisher-place":"Riga, Latvia","title":"Treaty Bodies and Special Procedures: Can They Work Better Together?","type":"article-journal","volume":"15"},"uris":["http://www.mendeley.com/documents/?uuid=c82870d7-a975-434b-aa78-e0c2bda10d7d","http://www.mendeley.com/documents/?uuid=48bbf096-5edc-456c-b2f9-e86adbe0bd79"]}],"mendeley":{"formattedCitation":"(Steinerte &amp; Ploton, 2023)","plainTextFormattedCitation":"(Steinerte &amp; Ploton, 2023)","previouslyFormattedCitation":"(Steinerte &amp; Ploton, 2023)"},"properties":{"noteIndex":0},"schema":"https://github.com/citation-style-language/schema/raw/master/csl-citation.json"}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6514A3" w:rsidRPr="006514A3">
        <w:rPr>
          <w:rFonts w:ascii="Calibri Light" w:hAnsi="Calibri Light" w:cs="Calibri Light"/>
          <w:noProof/>
          <w:sz w:val="24"/>
          <w:szCs w:val="24"/>
          <w:lang w:val="en-ID"/>
        </w:rPr>
        <w:t>(Steinerte &amp; Ploton, 2023)</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25F66E3A" w14:textId="2BBA1C56"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 xml:space="preserve">One example of the Qur'anic emphasis on justice is the verse, "O mankind, indeed We have created you from male and female and made you peoples and tribes that you may know one another. Indeed, the most noble of you in the sight of Allah is the most righteous of you" (Qur'an 49:13). While this verse affirms the equality of all human beings, the interpretation and application of these principles in Egyptian law often remain conservative, particularly when it comes to women's rights and personal freedoms </w:t>
      </w:r>
      <w:r w:rsidR="00A526EF">
        <w:rPr>
          <w:rFonts w:ascii="Calibri Light" w:hAnsi="Calibri Light" w:cs="Calibri Light"/>
          <w:sz w:val="24"/>
          <w:szCs w:val="24"/>
          <w:lang w:val="en-ID"/>
        </w:rPr>
        <w:fldChar w:fldCharType="begin" w:fldLock="1"/>
      </w:r>
      <w:r w:rsidR="006514A3">
        <w:rPr>
          <w:rFonts w:ascii="Calibri Light" w:hAnsi="Calibri Light" w:cs="Calibri Light"/>
          <w:sz w:val="24"/>
          <w:szCs w:val="24"/>
          <w:lang w:val="en-ID"/>
        </w:rPr>
        <w:instrText>ADDIN CSL_CITATION {"citationItems":[{"id":"ITEM-1","itemData":{"DOI":"10.1093/jhuman/huad020","ISSN":"17579619 (ISSN)","abstract":"States are increasingly developing and deploying large scale surveillance and AI-enabled analytical capabilities. What is uncertain, however, is the impact this surveillance will have. Will it result in a chilling effect whereby individuals modify their behaviour due to the fear of the consequences that may follow? Understanding any such effect is essential: if surveillance activities interfere with the processes by which individuals develop their identity, or undermine democratic processes, the consequences may be almost imperceptible in the short term but profound over the long term. Currently, surveillance-related chilling effects are not well understood, meaning that insufficient weight is given to their potentially society-wide impacts. This article seeks to help redress this balance. Drawing on empirical research in Zimbabwe and Uganda it highlights how State surveillance has chilled behaviour, with significant implications for rights essential to individual development and democratic functioning, specifically the rights to freedom of expression and to freedom of assembly. Importantly, this qualitative research identifies a pattern of common themes or consequences associated with surveillance in general, allowing us to move beyond hypothetical or individual experiences, and providing a greater understanding of the nuances of surveillance-related effects that can help inform decision-making surrounding large scale digital surveillance. © The Author(s) 2023.","author":[{"dropping-particle":"","family":"Murray","given":"D","non-dropping-particle":"","parse-names":false,"suffix":""},{"dropping-particle":"","family":"Fussey","given":"P","non-dropping-particle":"","parse-names":false,"suffix":""},{"dropping-particle":"","family":"Hove","given":"K","non-dropping-particle":"","parse-names":false,"suffix":""},{"dropping-particle":"","family":"Wakabi","given":"W","non-dropping-particle":"","parse-names":false,"suffix":""},{"dropping-particle":"","family":"Kimumwe","given":"P","non-dropping-particle":"","parse-names":false,"suffix":""},{"dropping-particle":"","family":"Saki","given":"O","non-dropping-particle":"","parse-names":false,"suffix":""},{"dropping-particle":"","family":"Stevens","given":"A","non-dropping-particle":"","parse-names":false,"suffix":""}],"container-title":"Journal of Human Rights Practice","id":"ITEM-1","issue":"1","issued":{"date-parts":[["2024"]]},"language":"English","page":"397-412","publisher":"Oxford University Press","publisher-place":"University Of Essex, Colchester, United Kingdom","title":"The Chilling Effects of Surveillance and Human Rights: Insights from Qualitative Research in Uganda and Zimbabwe","type":"article-journal","volume":"16"},"uris":["http://www.mendeley.com/documents/?uuid=c17aef73-33a0-4889-977a-89bb24d3ea8d"]}],"mendeley":{"formattedCitation":"(Murray et al., 2024)","plainTextFormattedCitation":"(Murray et al., 2024)","previouslyFormattedCitation":"(Murray et al.,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6514A3" w:rsidRPr="006514A3">
        <w:rPr>
          <w:rFonts w:ascii="Calibri Light" w:hAnsi="Calibri Light" w:cs="Calibri Light"/>
          <w:noProof/>
          <w:sz w:val="24"/>
          <w:szCs w:val="24"/>
          <w:lang w:val="en-ID"/>
        </w:rPr>
        <w:t>(Murray et al.,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79EF77EA" w14:textId="2DA689B3"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 xml:space="preserve">In contrast, Indonesia adopts a more flexible approach, especially in the way it integrates Shari'ah with democratic governance. The Indonesian Constitution guarantees the protection of human rights for all citizens, regardless of their religion, and the legal system reflects a balance between Islamic teachings and international human rights standards </w:t>
      </w:r>
      <w:r w:rsidR="00A526EF">
        <w:rPr>
          <w:rFonts w:ascii="Calibri Light" w:hAnsi="Calibri Light" w:cs="Calibri Light"/>
          <w:sz w:val="24"/>
          <w:szCs w:val="24"/>
          <w:lang w:val="en-ID"/>
        </w:rPr>
        <w:fldChar w:fldCharType="begin" w:fldLock="1"/>
      </w:r>
      <w:r w:rsidR="006514A3">
        <w:rPr>
          <w:rFonts w:ascii="Calibri Light" w:hAnsi="Calibri Light" w:cs="Calibri Light"/>
          <w:sz w:val="24"/>
          <w:szCs w:val="24"/>
          <w:lang w:val="en-ID"/>
        </w:rPr>
        <w:instrText>ADDIN CSL_CITATION {"citationItems":[{"id":"ITEM-1","itemData":{"DOI":"10.24042/adalah.v21i1.21251","ISSN":"08541272 (ISSN)","abstract":"The debates on the application of Islamic criminal law in various Muslim-majority countries are still ongoing. This is because these countries still adhere to a positive legal system. This phenomenon has spread to many things including implementing the punishment of cutting off the hands of corruptors as is the punishment for thieves in the provisions of Islamic criminal law. One of the obstacles, in this case, is due to differences of opinion on the use of the term \"thief\" to be applied to \"corruptor\". This article aims to analyze the punishment provisions for thieves as regulated in Surah al-Maidah verse 38 to be applied to perpetrators of corruption. This article is the result of qualitative research with a linguistic approach. The primary data source in this study is the Qur'an, whereas, the secondary data sources are articles, books, and other relevant documents. Data were collected through a literature study method which was then processed, analyzed, and concluded. This study found that the crime of corruption, seen from a linguistic perspective, has the same meaning as thievery; the perpetrator, therefore, can be sentenced to the same punishment (cutting off the hand). The punishment here is the most severe type that can be imposed on perpetrators of corruption, considering that the impact it causes is heavier and wider than the impact that arises in the crime of thievery. Certainly, this punishment is applied if it has met all the elements and legal requirements and is applied in a very strict manner. © 2024, Universitas Islam Negeri Raden Intan Lampung. All rights reserved.","author":[{"dropping-particle":"","family":"Helmina","given":"H","non-dropping-particle":"","parse-names":false,"suffix":""},{"dropping-particle":"","family":"Harun","given":"H","non-dropping-particle":"","parse-names":false,"suffix":""},{"dropping-particle":"","family":"Witro","given":"D","non-dropping-particle":"","parse-names":false,"suffix":""},{"dropping-particle":"","family":"Ardi","given":"M Z","non-dropping-particle":"","parse-names":false,"suffix":""},{"dropping-particle":"","family":"Busni","given":"D","non-dropping-particle":"","parse-names":false,"suffix":""}],"container-title":"Al-'Adalah","id":"ITEM-1","issue":"1","issued":{"date-parts":[["2024"]]},"language":"English","page":"25-52","publisher":"Universitas Islam Negeri Raden Intan Lampung","publisher-place":"Institut Agama Islam Negeri Kerinci, Indonesia","title":"Compromising and Repositioning the Meaning of Corruptors as Thieves in Applying the Provisions of Shara’ into the Modern Era Context","type":"article-journal","volume":"21"},"uris":["http://www.mendeley.com/documents/?uuid=44b9e491-7575-40de-be37-370559cce91e","http://www.mendeley.com/documents/?uuid=77c4f74a-8d66-47a5-a99a-2796971dc1bf"]}],"mendeley":{"formattedCitation":"(Helmina et al., 2024)","plainTextFormattedCitation":"(Helmina et al., 2024)","previouslyFormattedCitation":"(Helmina et al.,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6514A3" w:rsidRPr="006514A3">
        <w:rPr>
          <w:rFonts w:ascii="Calibri Light" w:hAnsi="Calibri Light" w:cs="Calibri Light"/>
          <w:noProof/>
          <w:sz w:val="24"/>
          <w:szCs w:val="24"/>
          <w:lang w:val="en-ID"/>
        </w:rPr>
        <w:t>(Helmina et al.,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In regions such as Aceh, where Shari'ah law is formally applied, human rights issues, particularly concerning women’s rights and religious freedoms, often come to the forefront</w:t>
      </w:r>
      <w:r w:rsidR="008759AC">
        <w:rPr>
          <w:rFonts w:ascii="Calibri Light" w:hAnsi="Calibri Light" w:cs="Calibri Light"/>
          <w:sz w:val="24"/>
          <w:szCs w:val="24"/>
          <w:lang w:val="en-ID"/>
        </w:rPr>
        <w:fldChar w:fldCharType="begin" w:fldLock="1"/>
      </w:r>
      <w:r w:rsidR="008759AC">
        <w:rPr>
          <w:rFonts w:ascii="Calibri Light" w:hAnsi="Calibri Light" w:cs="Calibri Light"/>
          <w:sz w:val="24"/>
          <w:szCs w:val="24"/>
          <w:lang w:val="en-ID"/>
        </w:rPr>
        <w:instrText>ADDIN CSL_CITATION {"citationItems":[{"id":"ITEM-1","itemData":{"DOI":"10.1017/S2045381724000170","ISSN":"20453817 (ISSN)","abstract":"The European Court of Human Rights has long been cast as a defender of democracy in Europe. Yet, this idea has not always been at the core of the Court's perception in the literature or indeed aligned with its jurisprudence which are often viewed in more Dworkinian terms. We suggest that there are good reasons, however, to take this idea more seriously in line with some of the early discussions on the function of the Convention. We argue that a good way to flesh out this idea is by drawing on the recent discussion on comparative representation reinforcement, sometimes labelled comparative political process theory, which builds on earlier work by US constitutional theorist John Hart Ely. Such an - expanded and updated - Elyian approach, we believe, has much to offer not just for domestic constitutional courts around the globe, but also for a supranational human rights court such as the ECtHR. We spell out what this might mean for the Court's jurisprudence with reference to a few key areas of jurisprudence and the protection of minority rights in particular and sketch some implications for when to exercise restraint and when to intervene in a robust manner.  © The Author(s), 2025. Published by Cambridge University Press.","author":[{"dropping-particle":"","family":"Hailbronner","given":"M","non-dropping-particle":"","parse-names":false,"suffix":""},{"dropping-particle":"","family":"Kujus","given":"L","non-dropping-particle":"","parse-names":false,"suffix":""}],"container-title":"Global Constitutionalism","id":"ITEM-1","issued":{"date-parts":[["2025"]]},"language":"English","note":"Export Date: 26 January 2025; Cited By: 0; Correspondence Address: M. Hailbronner; German and International Public Law and Comparative Law, University of Münster, Germany; email: hailbronner@uni-muenster.de","publisher":"Cambridge University Press","publisher-place":"German and International Public Law and Comparative Law, University of Münster, Germany","title":"Representation Reinforcement in the European Court of Human Rights","type":"article-journal"},"uris":["http://www.mendeley.com/documents/?uuid=3674159d-8fcd-4ecf-9fdf-a695e89ce07d"]}],"mendeley":{"formattedCitation":"(Hailbronner &amp; Kujus, 2025)","plainTextFormattedCitation":"(Hailbronner &amp; Kujus, 2025)","previouslyFormattedCitation":"(Hailbronner &amp; Kujus, 2025)"},"properties":{"noteIndex":0},"schema":"https://github.com/citation-style-language/schema/raw/master/csl-citation.json"}</w:instrText>
      </w:r>
      <w:r w:rsidR="008759AC">
        <w:rPr>
          <w:rFonts w:ascii="Calibri Light" w:hAnsi="Calibri Light" w:cs="Calibri Light"/>
          <w:sz w:val="24"/>
          <w:szCs w:val="24"/>
          <w:lang w:val="en-ID"/>
        </w:rPr>
        <w:fldChar w:fldCharType="separate"/>
      </w:r>
      <w:r w:rsidR="008759AC" w:rsidRPr="008759AC">
        <w:rPr>
          <w:rFonts w:ascii="Calibri Light" w:hAnsi="Calibri Light" w:cs="Calibri Light"/>
          <w:noProof/>
          <w:sz w:val="24"/>
          <w:szCs w:val="24"/>
          <w:lang w:val="en-ID"/>
        </w:rPr>
        <w:t>(Hailbronner &amp; Kujus, 2025)</w:t>
      </w:r>
      <w:r w:rsidR="008759AC">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xml:space="preserve">. However, the Indonesian government’s commitment to pluralism and democracy provides a more inclusive platform for </w:t>
      </w:r>
      <w:r w:rsidRPr="0007539D">
        <w:rPr>
          <w:rFonts w:ascii="Calibri Light" w:hAnsi="Calibri Light" w:cs="Calibri Light"/>
          <w:sz w:val="24"/>
          <w:szCs w:val="24"/>
          <w:lang w:val="en-ID"/>
        </w:rPr>
        <w:lastRenderedPageBreak/>
        <w:t xml:space="preserve">addressing these issues, allowing for legal reforms that promote both Islamic values and human rights </w:t>
      </w:r>
      <w:r w:rsidR="00A526EF">
        <w:rPr>
          <w:rFonts w:ascii="Calibri Light" w:hAnsi="Calibri Light" w:cs="Calibri Light"/>
          <w:sz w:val="24"/>
          <w:szCs w:val="24"/>
          <w:lang w:val="en-ID"/>
        </w:rPr>
        <w:fldChar w:fldCharType="begin" w:fldLock="1"/>
      </w:r>
      <w:r w:rsidR="006514A3">
        <w:rPr>
          <w:rFonts w:ascii="Calibri Light" w:hAnsi="Calibri Light" w:cs="Calibri Light"/>
          <w:sz w:val="24"/>
          <w:szCs w:val="24"/>
          <w:lang w:val="en-ID"/>
        </w:rPr>
        <w:instrText>ADDIN CSL_CITATION {"citationItems":[{"id":"ITEM-1","itemData":{"DOI":"10.1017/jlr.2024.10","ISSN":"07480814 (ISSN)","abstract":"Of all the principles in classical Jewish law that stand out from a comparative legal perspective perhaps none is more notable than the ban on self-incrimination in criminal procedures. Contrary to the most basic evidentiary assumptions of other ancient legal systems, this principle differs fundamentally from the right to remain silent that is part of both early modern and modern legal systems. Only rabbinic jurisprudence incorporates an outright exclusion of criminal confessions. Despite receiving much scholarly attention over the centuries, this principle's fundamental justification relating to the rule of law and the public pursuit of justice has gone unnoticed. This article explores this salient jurisprudential perspective, and sheds new light on this principle by contrasting the Jewish legal approach with the primary modes of criminal adjudication that were adopted in the West. What emerges from this comparative analysis is that this seemingly anomalous principle actually reveals much about the core commitments and values of Jewish law. These, in turn, have substantial implications for certain contemporary legal practices and dilemmas.  © The Author(s), 2024.","author":[{"dropping-particle":"","family":"Flatto","given":"D C","non-dropping-particle":"","parse-names":false,"suffix":""}],"container-title":"Journal of Law and Religion","id":"ITEM-1","issue":"2","issued":{"date-parts":[["2024"]]},"language":"English","page":"173-191","publisher":"Cambridge University Press","publisher-place":"Hebrew University, Jerusalem, Israel","title":"Evidently Not: Why Confessions Are Excluded in Jewish Criminal Jurisprudence","type":"article-journal","volume":"39"},"uris":["http://www.mendeley.com/documents/?uuid=1d3c8d7d-1a19-498b-bf3b-69a4a160f1b8","http://www.mendeley.com/documents/?uuid=becfc400-7957-4a4c-83fc-b2e1a77c1523"]}],"mendeley":{"formattedCitation":"(Flatto, 2024)","plainTextFormattedCitation":"(Flatto, 2024)","previouslyFormattedCitation":"(Flatto,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6514A3" w:rsidRPr="006514A3">
        <w:rPr>
          <w:rFonts w:ascii="Calibri Light" w:hAnsi="Calibri Light" w:cs="Calibri Light"/>
          <w:noProof/>
          <w:sz w:val="24"/>
          <w:szCs w:val="24"/>
          <w:lang w:val="en-ID"/>
        </w:rPr>
        <w:t>(Flatto,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72D84BD5" w14:textId="49D4A00C" w:rsid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 xml:space="preserve">Indonesia’s approach is reflected in the following Qur'anic verse: "And if you judge, judge between them with justice. Indeed, Allah loves those who act justly" (Qur'an 5:42). This verse underscores the importance of justice, a value that resonates strongly within Indonesia's legal system, particularly as it strives to maintain a balance between Shari'ah and human rights principles </w:t>
      </w:r>
      <w:r w:rsidR="00A526EF">
        <w:rPr>
          <w:rFonts w:ascii="Calibri Light" w:hAnsi="Calibri Light" w:cs="Calibri Light"/>
          <w:sz w:val="24"/>
          <w:szCs w:val="24"/>
          <w:lang w:val="en-ID"/>
        </w:rPr>
        <w:fldChar w:fldCharType="begin" w:fldLock="1"/>
      </w:r>
      <w:r w:rsidR="006514A3">
        <w:rPr>
          <w:rFonts w:ascii="Calibri Light" w:hAnsi="Calibri Light" w:cs="Calibri Light"/>
          <w:sz w:val="24"/>
          <w:szCs w:val="24"/>
          <w:lang w:val="en-ID"/>
        </w:rPr>
        <w:instrText>ADDIN CSL_CITATION {"citationItems":[{"id":"ITEM-1","itemData":{"DOI":"10.1177/0306624X241254691","ISSN":"0306624X (ISSN)","abstract":"Living in recovery housing can improve addiction recovery and desistance outcomes. This study examined whether retention in recovery housing and types of discharge outcomes (completed, “neutral,” and “negative” outcomes) differed for clients with recent criminal legal system (CLS) involvement. Using data from 101 recovery residences certified by the Virginia Association of Recovery Residences based on 1,978 individuals completing the REC-CAP assessment, competing risk analyses (cumulative incidence function, restricted mean survival time, and restricted mean time lost) followed by the marginalization of effects were implemented to examine program outcomes at final discharge. Residents with recent CLS involvement were more likely to be discharged for positive reasons (successful completion of their goals) and premature/negative reasons (e.g., disciplinary releases) than for neutral reasons. Findings indicate that retention for 6–18 months is essential to establish and maintain positive discharge outcomes, and interventions should be developed to enhance retention in recovery residents with recent justice involvement. © The Author(s) 2024.","author":[{"dropping-particle":"","family":"Sondhi","given":"A","non-dropping-particle":"","parse-names":false,"suffix":""},{"dropping-particle":"","family":"Bunaciu","given":"A","non-dropping-particle":"","parse-names":false,"suffix":""},{"dropping-particle":"","family":"Best","given":"D","non-dropping-particle":"","parse-names":false,"suffix":""},{"dropping-particle":"","family":"Hennessy","given":"E A","non-dropping-particle":"","parse-names":false,"suffix":""},{"dropping-particle":"","family":"Best","given":"J","non-dropping-particle":"","parse-names":false,"suffix":""},{"dropping-particle":"","family":"Leidi","given":"A","non-dropping-particle":"","parse-names":false,"suffix":""},{"dropping-particle":"","family":"Grimes","given":"A","non-dropping-particle":"","parse-names":false,"suffix":""},{"dropping-particle":"","family":"Conner","given":"M","non-dropping-particle":"","parse-names":false,"suffix":""},{"dropping-particle":"","family":"DeTriquet","given":"R","non-dropping-particle":"","parse-names":false,"suffix":""},{"dropping-particle":"","family":"White","given":"W","non-dropping-particle":"","parse-names":false,"suffix":""}],"container-title":"International Journal of Offender Therapy and Comparative Criminology","id":"ITEM-1","issue":"15","issued":{"date-parts":[["2024"]]},"language":"English","page":"1579-1597","publisher":"SAGE Publications Inc.","publisher-place":"Therapeutic Solutions (Addictions) Ltd., London, United Kingdom","title":"Modeling Recovery Housing Retention and Program Outcomes by Justice Involvement among Residents in Virginia, USA: An Observational Study","type":"article-journal","volume":"68"},"uris":["http://www.mendeley.com/documents/?uuid=cbb025a7-1252-46f3-b341-ec3f507411ae"]}],"mendeley":{"formattedCitation":"(Sondhi et al., 2024)","plainTextFormattedCitation":"(Sondhi et al., 2024)","previouslyFormattedCitation":"(Sondhi et al.,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6514A3" w:rsidRPr="006514A3">
        <w:rPr>
          <w:rFonts w:ascii="Calibri Light" w:hAnsi="Calibri Light" w:cs="Calibri Light"/>
          <w:noProof/>
          <w:sz w:val="24"/>
          <w:szCs w:val="24"/>
          <w:lang w:val="en-ID"/>
        </w:rPr>
        <w:t>(Sondhi et al.,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tbl>
      <w:tblPr>
        <w:tblStyle w:val="TableGrid"/>
        <w:tblW w:w="8793" w:type="dxa"/>
        <w:tblLayout w:type="fixed"/>
        <w:tblLook w:val="03E0" w:firstRow="1" w:lastRow="1" w:firstColumn="1" w:lastColumn="1" w:noHBand="1" w:noVBand="0"/>
      </w:tblPr>
      <w:tblGrid>
        <w:gridCol w:w="2308"/>
        <w:gridCol w:w="3852"/>
        <w:gridCol w:w="929"/>
        <w:gridCol w:w="1704"/>
      </w:tblGrid>
      <w:tr w:rsidR="007B135B" w:rsidRPr="00A64A27" w14:paraId="6284B02C" w14:textId="77777777" w:rsidTr="00775180">
        <w:trPr>
          <w:trHeight w:val="594"/>
        </w:trPr>
        <w:tc>
          <w:tcPr>
            <w:tcW w:w="2308" w:type="dxa"/>
          </w:tcPr>
          <w:p w14:paraId="6EE22615" w14:textId="77777777" w:rsidR="007B135B" w:rsidRPr="00775180" w:rsidRDefault="007B135B" w:rsidP="008759AC">
            <w:pPr>
              <w:autoSpaceDE/>
              <w:autoSpaceDN/>
              <w:jc w:val="center"/>
              <w:rPr>
                <w:rFonts w:ascii="Calibri Light" w:hAnsi="Calibri Light" w:cs="Calibri Light"/>
                <w:b/>
                <w:bCs/>
                <w:color w:val="000000" w:themeColor="text1"/>
                <w:sz w:val="24"/>
                <w:szCs w:val="24"/>
                <w:lang w:val="en-ID" w:eastAsia="en-US"/>
              </w:rPr>
            </w:pPr>
            <w:r w:rsidRPr="00775180">
              <w:rPr>
                <w:rFonts w:ascii="Calibri Light" w:hAnsi="Calibri Light" w:cs="Calibri Light"/>
                <w:b/>
                <w:bCs/>
                <w:color w:val="000000" w:themeColor="text1"/>
                <w:sz w:val="24"/>
                <w:szCs w:val="24"/>
                <w:lang w:val="en-ID" w:eastAsia="en-US"/>
              </w:rPr>
              <w:t>Source/Journal</w:t>
            </w:r>
          </w:p>
        </w:tc>
        <w:tc>
          <w:tcPr>
            <w:tcW w:w="3852" w:type="dxa"/>
          </w:tcPr>
          <w:p w14:paraId="74DBEFA2" w14:textId="77777777" w:rsidR="007B135B" w:rsidRPr="00775180" w:rsidRDefault="007B135B" w:rsidP="008759AC">
            <w:pPr>
              <w:autoSpaceDE/>
              <w:autoSpaceDN/>
              <w:jc w:val="center"/>
              <w:rPr>
                <w:rFonts w:ascii="Calibri Light" w:hAnsi="Calibri Light" w:cs="Calibri Light"/>
                <w:b/>
                <w:bCs/>
                <w:color w:val="000000" w:themeColor="text1"/>
                <w:sz w:val="24"/>
                <w:szCs w:val="24"/>
                <w:lang w:val="en-ID" w:eastAsia="en-US"/>
              </w:rPr>
            </w:pPr>
            <w:r w:rsidRPr="00775180">
              <w:rPr>
                <w:rFonts w:ascii="Calibri Light" w:hAnsi="Calibri Light" w:cs="Calibri Light"/>
                <w:b/>
                <w:bCs/>
                <w:color w:val="000000" w:themeColor="text1"/>
                <w:sz w:val="24"/>
                <w:szCs w:val="24"/>
                <w:lang w:val="en-ID" w:eastAsia="en-US"/>
              </w:rPr>
              <w:t>The most cited article</w:t>
            </w:r>
          </w:p>
        </w:tc>
        <w:tc>
          <w:tcPr>
            <w:tcW w:w="929" w:type="dxa"/>
          </w:tcPr>
          <w:p w14:paraId="34850B5E" w14:textId="77777777" w:rsidR="007B135B" w:rsidRPr="00775180" w:rsidRDefault="007B135B" w:rsidP="008759AC">
            <w:pPr>
              <w:autoSpaceDE/>
              <w:autoSpaceDN/>
              <w:jc w:val="center"/>
              <w:rPr>
                <w:rFonts w:ascii="Calibri Light" w:hAnsi="Calibri Light" w:cs="Calibri Light"/>
                <w:b/>
                <w:bCs/>
                <w:color w:val="000000" w:themeColor="text1"/>
                <w:sz w:val="24"/>
                <w:szCs w:val="24"/>
                <w:lang w:val="en-ID" w:eastAsia="en-US"/>
              </w:rPr>
            </w:pPr>
            <w:r w:rsidRPr="00775180">
              <w:rPr>
                <w:rFonts w:ascii="Calibri Light" w:hAnsi="Calibri Light" w:cs="Calibri Light"/>
                <w:b/>
                <w:bCs/>
                <w:color w:val="000000" w:themeColor="text1"/>
                <w:sz w:val="24"/>
                <w:szCs w:val="24"/>
                <w:lang w:val="en-ID" w:eastAsia="en-US"/>
              </w:rPr>
              <w:t>Times</w:t>
            </w:r>
          </w:p>
          <w:p w14:paraId="6F11F62E" w14:textId="77777777" w:rsidR="007B135B" w:rsidRPr="00775180" w:rsidRDefault="007B135B" w:rsidP="008759AC">
            <w:pPr>
              <w:autoSpaceDE/>
              <w:autoSpaceDN/>
              <w:jc w:val="center"/>
              <w:rPr>
                <w:rFonts w:ascii="Calibri Light" w:hAnsi="Calibri Light" w:cs="Calibri Light"/>
                <w:b/>
                <w:bCs/>
                <w:color w:val="000000" w:themeColor="text1"/>
                <w:sz w:val="24"/>
                <w:szCs w:val="24"/>
                <w:lang w:val="en-ID" w:eastAsia="en-US"/>
              </w:rPr>
            </w:pPr>
            <w:r w:rsidRPr="00775180">
              <w:rPr>
                <w:rFonts w:ascii="Calibri Light" w:hAnsi="Calibri Light" w:cs="Calibri Light"/>
                <w:b/>
                <w:bCs/>
                <w:color w:val="000000" w:themeColor="text1"/>
                <w:sz w:val="24"/>
                <w:szCs w:val="24"/>
                <w:lang w:val="en-ID" w:eastAsia="en-US"/>
              </w:rPr>
              <w:t>cited</w:t>
            </w:r>
          </w:p>
        </w:tc>
        <w:tc>
          <w:tcPr>
            <w:tcW w:w="1704" w:type="dxa"/>
          </w:tcPr>
          <w:p w14:paraId="1F1E252B" w14:textId="77777777" w:rsidR="007B135B" w:rsidRPr="00775180" w:rsidRDefault="007B135B" w:rsidP="008759AC">
            <w:pPr>
              <w:autoSpaceDE/>
              <w:autoSpaceDN/>
              <w:jc w:val="center"/>
              <w:rPr>
                <w:rFonts w:ascii="Calibri Light" w:hAnsi="Calibri Light" w:cs="Calibri Light"/>
                <w:b/>
                <w:bCs/>
                <w:color w:val="000000" w:themeColor="text1"/>
                <w:sz w:val="24"/>
                <w:szCs w:val="24"/>
                <w:lang w:val="en-ID" w:eastAsia="en-US"/>
              </w:rPr>
            </w:pPr>
            <w:r w:rsidRPr="00775180">
              <w:rPr>
                <w:rFonts w:ascii="Calibri Light" w:hAnsi="Calibri Light" w:cs="Calibri Light"/>
                <w:b/>
                <w:bCs/>
                <w:color w:val="000000" w:themeColor="text1"/>
                <w:lang w:val="en-ID" w:eastAsia="en-US"/>
              </w:rPr>
              <w:t>Authors</w:t>
            </w:r>
          </w:p>
        </w:tc>
      </w:tr>
      <w:tr w:rsidR="007B135B" w:rsidRPr="00A64A27" w14:paraId="160BA3CB" w14:textId="77777777" w:rsidTr="00775180">
        <w:trPr>
          <w:trHeight w:val="1381"/>
        </w:trPr>
        <w:tc>
          <w:tcPr>
            <w:tcW w:w="2308" w:type="dxa"/>
          </w:tcPr>
          <w:p w14:paraId="176761C0" w14:textId="77777777" w:rsidR="007B135B" w:rsidRPr="00775180" w:rsidRDefault="007B135B" w:rsidP="008759AC">
            <w:pPr>
              <w:autoSpaceDE/>
              <w:autoSpaceDN/>
              <w:jc w:val="center"/>
              <w:rPr>
                <w:rFonts w:ascii="Calibri Light" w:hAnsi="Calibri Light" w:cs="Calibri Light"/>
                <w:b/>
                <w:bCs/>
                <w:sz w:val="24"/>
                <w:szCs w:val="24"/>
                <w:lang w:val="en-ID" w:eastAsia="en-US"/>
              </w:rPr>
            </w:pPr>
            <w:r w:rsidRPr="00775180">
              <w:rPr>
                <w:rFonts w:ascii="Calibri Light" w:hAnsi="Calibri Light" w:cs="Calibri Light"/>
                <w:b/>
                <w:bCs/>
                <w:lang w:val="en-ID" w:eastAsia="en-US"/>
              </w:rPr>
              <w:t>Muslim World Journal of Human Rights</w:t>
            </w:r>
          </w:p>
        </w:tc>
        <w:tc>
          <w:tcPr>
            <w:tcW w:w="3852" w:type="dxa"/>
          </w:tcPr>
          <w:p w14:paraId="741DCD73" w14:textId="77777777" w:rsidR="007B135B" w:rsidRPr="004573CA" w:rsidRDefault="007B135B" w:rsidP="008759AC">
            <w:pPr>
              <w:autoSpaceDE/>
              <w:autoSpaceDN/>
              <w:jc w:val="center"/>
              <w:rPr>
                <w:rFonts w:ascii="Calibri Light" w:hAnsi="Calibri Light" w:cs="Calibri Light"/>
                <w:sz w:val="24"/>
                <w:szCs w:val="24"/>
                <w:lang w:val="en-ID" w:eastAsia="en-US"/>
              </w:rPr>
            </w:pPr>
            <w:r w:rsidRPr="00A64A27">
              <w:rPr>
                <w:rFonts w:ascii="Calibri Light" w:hAnsi="Calibri Light" w:cs="Calibri Light"/>
                <w:lang w:val="en-ID" w:eastAsia="en-US"/>
              </w:rPr>
              <w:t>Prioritizing Religious Freedoms: Islam, Pakistan, and the Human Rights Discourse</w:t>
            </w:r>
          </w:p>
        </w:tc>
        <w:tc>
          <w:tcPr>
            <w:tcW w:w="929" w:type="dxa"/>
          </w:tcPr>
          <w:p w14:paraId="365FB8A7" w14:textId="77777777" w:rsidR="007B135B" w:rsidRPr="004573CA" w:rsidRDefault="007B135B" w:rsidP="008759AC">
            <w:pPr>
              <w:autoSpaceDE/>
              <w:autoSpaceDN/>
              <w:jc w:val="center"/>
              <w:rPr>
                <w:rFonts w:ascii="Calibri Light" w:hAnsi="Calibri Light" w:cs="Calibri Light"/>
                <w:sz w:val="24"/>
                <w:szCs w:val="24"/>
                <w:lang w:val="en-ID" w:eastAsia="en-US"/>
              </w:rPr>
            </w:pPr>
          </w:p>
          <w:p w14:paraId="113BAC86" w14:textId="77777777" w:rsidR="007B135B" w:rsidRPr="004573CA" w:rsidRDefault="007B135B" w:rsidP="008759AC">
            <w:pPr>
              <w:autoSpaceDE/>
              <w:autoSpaceDN/>
              <w:jc w:val="center"/>
              <w:rPr>
                <w:rFonts w:ascii="Calibri Light" w:hAnsi="Calibri Light" w:cs="Calibri Light"/>
                <w:sz w:val="24"/>
                <w:szCs w:val="24"/>
                <w:lang w:val="en-ID" w:eastAsia="en-US"/>
              </w:rPr>
            </w:pPr>
            <w:r w:rsidRPr="00A64A27">
              <w:rPr>
                <w:rFonts w:ascii="Calibri Light" w:hAnsi="Calibri Light" w:cs="Calibri Light"/>
                <w:lang w:val="en-ID" w:eastAsia="en-US"/>
              </w:rPr>
              <w:t>17</w:t>
            </w:r>
          </w:p>
        </w:tc>
        <w:tc>
          <w:tcPr>
            <w:tcW w:w="1704" w:type="dxa"/>
          </w:tcPr>
          <w:p w14:paraId="39563997" w14:textId="77777777" w:rsidR="007B135B" w:rsidRPr="004573CA" w:rsidRDefault="007B135B" w:rsidP="008759AC">
            <w:pPr>
              <w:autoSpaceDE/>
              <w:autoSpaceDN/>
              <w:jc w:val="center"/>
              <w:rPr>
                <w:rFonts w:ascii="Calibri Light" w:hAnsi="Calibri Light" w:cs="Calibri Light"/>
                <w:sz w:val="24"/>
                <w:szCs w:val="24"/>
                <w:lang w:val="en-ID" w:eastAsia="en-US"/>
              </w:rPr>
            </w:pPr>
          </w:p>
          <w:p w14:paraId="3BEC3670" w14:textId="77777777" w:rsidR="007B135B" w:rsidRPr="00A64A27" w:rsidRDefault="007B135B" w:rsidP="008759AC">
            <w:pPr>
              <w:autoSpaceDE/>
              <w:autoSpaceDN/>
              <w:jc w:val="center"/>
              <w:rPr>
                <w:rFonts w:ascii="Calibri Light" w:hAnsi="Calibri Light" w:cs="Calibri Light"/>
                <w:color w:val="2E2E2E"/>
                <w:lang w:val="en-ID" w:eastAsia="en-ID"/>
              </w:rPr>
            </w:pPr>
            <w:r w:rsidRPr="00A64A27">
              <w:rPr>
                <w:rStyle w:val="typography-modulelvnit"/>
                <w:rFonts w:ascii="Calibri Light" w:hAnsi="Calibri Light" w:cs="Calibri Light"/>
                <w:color w:val="2E2E2E"/>
              </w:rPr>
              <w:t>Sajjad, M.W.</w:t>
            </w:r>
          </w:p>
          <w:p w14:paraId="6FF145B2" w14:textId="77777777" w:rsidR="007B135B" w:rsidRPr="004573CA" w:rsidRDefault="007B135B" w:rsidP="008759AC">
            <w:pPr>
              <w:autoSpaceDE/>
              <w:autoSpaceDN/>
              <w:jc w:val="center"/>
              <w:rPr>
                <w:rFonts w:ascii="Calibri Light" w:hAnsi="Calibri Light" w:cs="Calibri Light"/>
                <w:sz w:val="24"/>
                <w:szCs w:val="24"/>
                <w:lang w:val="en-ID" w:eastAsia="en-US"/>
              </w:rPr>
            </w:pPr>
          </w:p>
        </w:tc>
      </w:tr>
      <w:tr w:rsidR="007B135B" w:rsidRPr="00A64A27" w14:paraId="449B8810" w14:textId="77777777" w:rsidTr="00775180">
        <w:trPr>
          <w:trHeight w:val="1049"/>
        </w:trPr>
        <w:tc>
          <w:tcPr>
            <w:tcW w:w="2308" w:type="dxa"/>
          </w:tcPr>
          <w:p w14:paraId="57976C66" w14:textId="77777777" w:rsidR="007B135B" w:rsidRPr="00A64A27" w:rsidRDefault="007B135B" w:rsidP="008759AC">
            <w:pPr>
              <w:autoSpaceDE/>
              <w:autoSpaceDN/>
              <w:jc w:val="center"/>
              <w:rPr>
                <w:rFonts w:ascii="Calibri Light" w:hAnsi="Calibri Light" w:cs="Calibri Light"/>
                <w:b/>
                <w:bCs/>
                <w:lang w:val="en-ID" w:eastAsia="en-US"/>
              </w:rPr>
            </w:pPr>
            <w:r w:rsidRPr="00A64A27">
              <w:rPr>
                <w:rFonts w:ascii="Calibri Light" w:hAnsi="Calibri Light" w:cs="Calibri Light"/>
                <w:b/>
                <w:bCs/>
                <w:lang w:val="en-ID" w:eastAsia="en-US"/>
              </w:rPr>
              <w:tab/>
            </w:r>
          </w:p>
          <w:p w14:paraId="67267419" w14:textId="77777777" w:rsidR="007B135B" w:rsidRPr="00A64A27" w:rsidRDefault="007B135B" w:rsidP="008759AC">
            <w:pPr>
              <w:autoSpaceDE/>
              <w:autoSpaceDN/>
              <w:jc w:val="center"/>
              <w:rPr>
                <w:rFonts w:ascii="Calibri Light" w:hAnsi="Calibri Light" w:cs="Calibri Light"/>
                <w:b/>
                <w:bCs/>
                <w:lang w:val="en-ID" w:eastAsia="en-US"/>
              </w:rPr>
            </w:pPr>
            <w:r w:rsidRPr="00A64A27">
              <w:rPr>
                <w:rFonts w:ascii="Calibri Light" w:hAnsi="Calibri Light" w:cs="Calibri Light"/>
                <w:b/>
                <w:bCs/>
                <w:lang w:val="en-ID" w:eastAsia="en-US"/>
              </w:rPr>
              <w:tab/>
            </w:r>
          </w:p>
          <w:p w14:paraId="4940C444" w14:textId="77777777" w:rsidR="007B135B" w:rsidRPr="00A64A27" w:rsidRDefault="007B135B" w:rsidP="008759AC">
            <w:pPr>
              <w:autoSpaceDE/>
              <w:autoSpaceDN/>
              <w:jc w:val="center"/>
              <w:rPr>
                <w:rFonts w:ascii="Calibri Light" w:hAnsi="Calibri Light" w:cs="Calibri Light"/>
                <w:b/>
                <w:bCs/>
                <w:lang w:val="en-ID" w:eastAsia="en-US"/>
              </w:rPr>
            </w:pPr>
            <w:r w:rsidRPr="00A64A27">
              <w:rPr>
                <w:rFonts w:ascii="Calibri Light" w:hAnsi="Calibri Light" w:cs="Calibri Light"/>
                <w:b/>
                <w:bCs/>
                <w:lang w:val="en-ID" w:eastAsia="en-US"/>
              </w:rPr>
              <w:t>Griffith Law Review</w:t>
            </w:r>
          </w:p>
          <w:p w14:paraId="54B62EBB" w14:textId="77777777" w:rsidR="007B135B" w:rsidRPr="004573CA" w:rsidRDefault="007B135B" w:rsidP="008759AC">
            <w:pPr>
              <w:autoSpaceDE/>
              <w:autoSpaceDN/>
              <w:jc w:val="center"/>
              <w:rPr>
                <w:rFonts w:ascii="Calibri Light" w:hAnsi="Calibri Light" w:cs="Calibri Light"/>
                <w:b/>
                <w:bCs/>
                <w:sz w:val="24"/>
                <w:szCs w:val="24"/>
                <w:lang w:val="en-ID" w:eastAsia="en-US"/>
              </w:rPr>
            </w:pPr>
          </w:p>
        </w:tc>
        <w:tc>
          <w:tcPr>
            <w:tcW w:w="3852" w:type="dxa"/>
          </w:tcPr>
          <w:p w14:paraId="6C2BA774" w14:textId="77777777" w:rsidR="007B135B" w:rsidRPr="004573CA" w:rsidRDefault="007B135B" w:rsidP="008759AC">
            <w:pPr>
              <w:autoSpaceDE/>
              <w:autoSpaceDN/>
              <w:jc w:val="center"/>
              <w:rPr>
                <w:rFonts w:ascii="Calibri Light" w:hAnsi="Calibri Light" w:cs="Calibri Light"/>
                <w:sz w:val="24"/>
                <w:szCs w:val="24"/>
                <w:lang w:val="en-ID" w:eastAsia="en-US"/>
              </w:rPr>
            </w:pPr>
            <w:r w:rsidRPr="00A64A27">
              <w:rPr>
                <w:rFonts w:ascii="Calibri Light" w:hAnsi="Calibri Light" w:cs="Calibri Light"/>
                <w:lang w:val="en-ID" w:eastAsia="en-US"/>
              </w:rPr>
              <w:t>Islam, the monarchy and criminal law in Brunei: the Syariah Penal Code Order, 2013</w:t>
            </w:r>
          </w:p>
        </w:tc>
        <w:tc>
          <w:tcPr>
            <w:tcW w:w="929" w:type="dxa"/>
          </w:tcPr>
          <w:p w14:paraId="61C40014" w14:textId="77777777" w:rsidR="007B135B" w:rsidRPr="004573CA" w:rsidRDefault="007B135B" w:rsidP="008759AC">
            <w:pPr>
              <w:autoSpaceDE/>
              <w:autoSpaceDN/>
              <w:jc w:val="center"/>
              <w:rPr>
                <w:rFonts w:ascii="Calibri Light" w:hAnsi="Calibri Light" w:cs="Calibri Light"/>
                <w:sz w:val="24"/>
                <w:szCs w:val="24"/>
                <w:lang w:val="en-ID" w:eastAsia="en-US"/>
              </w:rPr>
            </w:pPr>
            <w:r w:rsidRPr="00A64A27">
              <w:rPr>
                <w:rFonts w:ascii="Calibri Light" w:hAnsi="Calibri Light" w:cs="Calibri Light"/>
                <w:lang w:val="en-ID" w:eastAsia="en-US"/>
              </w:rPr>
              <w:t>15</w:t>
            </w:r>
          </w:p>
        </w:tc>
        <w:tc>
          <w:tcPr>
            <w:tcW w:w="1704" w:type="dxa"/>
          </w:tcPr>
          <w:p w14:paraId="3743F1AF" w14:textId="77777777" w:rsidR="007B135B" w:rsidRPr="004573CA" w:rsidRDefault="007B135B" w:rsidP="008759AC">
            <w:pPr>
              <w:autoSpaceDE/>
              <w:autoSpaceDN/>
              <w:jc w:val="center"/>
              <w:rPr>
                <w:rFonts w:ascii="Calibri Light" w:hAnsi="Calibri Light" w:cs="Calibri Light"/>
                <w:sz w:val="24"/>
                <w:szCs w:val="24"/>
                <w:lang w:val="en-ID" w:eastAsia="en-US"/>
              </w:rPr>
            </w:pPr>
            <w:r w:rsidRPr="004573CA">
              <w:rPr>
                <w:rFonts w:ascii="Calibri Light" w:hAnsi="Calibri Light" w:cs="Calibri Light"/>
                <w:sz w:val="24"/>
                <w:szCs w:val="24"/>
                <w:lang w:val="en-ID" w:eastAsia="en-US"/>
              </w:rPr>
              <w:t>John Wiley &amp; Sons</w:t>
            </w:r>
          </w:p>
        </w:tc>
      </w:tr>
      <w:tr w:rsidR="007B135B" w:rsidRPr="00A64A27" w14:paraId="5D5E01EC" w14:textId="77777777" w:rsidTr="00775180">
        <w:trPr>
          <w:trHeight w:val="994"/>
        </w:trPr>
        <w:tc>
          <w:tcPr>
            <w:tcW w:w="2308" w:type="dxa"/>
          </w:tcPr>
          <w:p w14:paraId="1DBF9E37" w14:textId="77777777" w:rsidR="007B135B" w:rsidRPr="00A64A27" w:rsidRDefault="007B135B" w:rsidP="008759AC">
            <w:pPr>
              <w:autoSpaceDE/>
              <w:autoSpaceDN/>
              <w:jc w:val="center"/>
              <w:rPr>
                <w:rFonts w:ascii="Calibri Light" w:hAnsi="Calibri Light" w:cs="Calibri Light"/>
                <w:b/>
                <w:bCs/>
                <w:lang w:val="en-ID" w:eastAsia="en-US"/>
              </w:rPr>
            </w:pPr>
            <w:r w:rsidRPr="00A64A27">
              <w:rPr>
                <w:rFonts w:ascii="Calibri Light" w:hAnsi="Calibri Light" w:cs="Calibri Light"/>
                <w:b/>
                <w:bCs/>
                <w:lang w:val="en-ID" w:eastAsia="en-US"/>
              </w:rPr>
              <w:tab/>
            </w:r>
          </w:p>
          <w:p w14:paraId="5B2553A2" w14:textId="77777777" w:rsidR="007B135B" w:rsidRDefault="007B135B" w:rsidP="008759AC">
            <w:pPr>
              <w:autoSpaceDE/>
              <w:autoSpaceDN/>
              <w:jc w:val="center"/>
              <w:rPr>
                <w:rFonts w:ascii="Calibri Light" w:hAnsi="Calibri Light" w:cs="Calibri Light"/>
                <w:b/>
                <w:bCs/>
                <w:lang w:val="en-ID" w:eastAsia="en-US"/>
              </w:rPr>
            </w:pPr>
            <w:r w:rsidRPr="00A64A27">
              <w:rPr>
                <w:rFonts w:ascii="Calibri Light" w:hAnsi="Calibri Light" w:cs="Calibri Light"/>
                <w:b/>
                <w:bCs/>
                <w:lang w:val="en-ID" w:eastAsia="en-US"/>
              </w:rPr>
              <w:t>Pertanika Journal of Social Sciences and Humanities</w:t>
            </w:r>
          </w:p>
          <w:p w14:paraId="42065BC6" w14:textId="77777777" w:rsidR="00A64A27" w:rsidRPr="004573CA" w:rsidRDefault="00A64A27" w:rsidP="008759AC">
            <w:pPr>
              <w:autoSpaceDE/>
              <w:autoSpaceDN/>
              <w:jc w:val="center"/>
              <w:rPr>
                <w:rFonts w:ascii="Calibri Light" w:hAnsi="Calibri Light" w:cs="Calibri Light"/>
                <w:b/>
                <w:bCs/>
                <w:sz w:val="24"/>
                <w:szCs w:val="24"/>
                <w:lang w:val="en-ID" w:eastAsia="en-US"/>
              </w:rPr>
            </w:pPr>
          </w:p>
        </w:tc>
        <w:tc>
          <w:tcPr>
            <w:tcW w:w="3852" w:type="dxa"/>
          </w:tcPr>
          <w:p w14:paraId="08FB8051" w14:textId="77777777" w:rsidR="00A43298" w:rsidRPr="00A64A27" w:rsidRDefault="00A43298" w:rsidP="008759AC">
            <w:pPr>
              <w:autoSpaceDE/>
              <w:autoSpaceDN/>
              <w:jc w:val="center"/>
              <w:rPr>
                <w:rFonts w:ascii="Calibri Light" w:hAnsi="Calibri Light" w:cs="Calibri Light"/>
                <w:lang w:val="en-ID" w:eastAsia="en-US"/>
              </w:rPr>
            </w:pPr>
            <w:r w:rsidRPr="00A64A27">
              <w:rPr>
                <w:rFonts w:ascii="Calibri Light" w:hAnsi="Calibri Light" w:cs="Calibri Light"/>
                <w:lang w:val="en-ID" w:eastAsia="en-US"/>
              </w:rPr>
              <w:tab/>
            </w:r>
          </w:p>
          <w:p w14:paraId="33765E8C" w14:textId="77777777" w:rsidR="007B135B" w:rsidRPr="004573CA" w:rsidRDefault="00A43298" w:rsidP="008759AC">
            <w:pPr>
              <w:autoSpaceDE/>
              <w:autoSpaceDN/>
              <w:jc w:val="center"/>
              <w:rPr>
                <w:rFonts w:ascii="Calibri Light" w:hAnsi="Calibri Light" w:cs="Calibri Light"/>
                <w:sz w:val="24"/>
                <w:szCs w:val="24"/>
                <w:lang w:val="en-ID" w:eastAsia="en-US"/>
              </w:rPr>
            </w:pPr>
            <w:r w:rsidRPr="00A64A27">
              <w:rPr>
                <w:rFonts w:ascii="Calibri Light" w:hAnsi="Calibri Light" w:cs="Calibri Light"/>
                <w:lang w:val="en-ID" w:eastAsia="en-US"/>
              </w:rPr>
              <w:t>Human rights lesson from selected Malay proverbs</w:t>
            </w:r>
          </w:p>
        </w:tc>
        <w:tc>
          <w:tcPr>
            <w:tcW w:w="929" w:type="dxa"/>
          </w:tcPr>
          <w:p w14:paraId="5F15E066" w14:textId="77777777" w:rsidR="007B135B" w:rsidRPr="004573CA" w:rsidRDefault="00994209" w:rsidP="008759AC">
            <w:pPr>
              <w:autoSpaceDE/>
              <w:autoSpaceDN/>
              <w:jc w:val="center"/>
              <w:rPr>
                <w:rFonts w:ascii="Calibri Light" w:hAnsi="Calibri Light" w:cs="Calibri Light"/>
                <w:sz w:val="24"/>
                <w:szCs w:val="24"/>
                <w:lang w:val="en-ID" w:eastAsia="en-US"/>
              </w:rPr>
            </w:pPr>
            <w:r w:rsidRPr="00A64A27">
              <w:rPr>
                <w:rFonts w:ascii="Calibri Light" w:hAnsi="Calibri Light" w:cs="Calibri Light"/>
                <w:lang w:val="en-ID" w:eastAsia="en-US"/>
              </w:rPr>
              <w:t>1</w:t>
            </w:r>
            <w:r w:rsidR="007B135B" w:rsidRPr="004573CA">
              <w:rPr>
                <w:rFonts w:ascii="Calibri Light" w:hAnsi="Calibri Light" w:cs="Calibri Light"/>
                <w:sz w:val="24"/>
                <w:szCs w:val="24"/>
                <w:lang w:val="en-ID" w:eastAsia="en-US"/>
              </w:rPr>
              <w:t>30</w:t>
            </w:r>
          </w:p>
        </w:tc>
        <w:tc>
          <w:tcPr>
            <w:tcW w:w="1704" w:type="dxa"/>
          </w:tcPr>
          <w:p w14:paraId="654E8417" w14:textId="77777777" w:rsidR="00994209" w:rsidRPr="00A64A27" w:rsidRDefault="00994209" w:rsidP="008759AC">
            <w:pPr>
              <w:autoSpaceDE/>
              <w:autoSpaceDN/>
              <w:jc w:val="center"/>
              <w:rPr>
                <w:rFonts w:ascii="Calibri Light" w:hAnsi="Calibri Light" w:cs="Calibri Light"/>
                <w:lang w:val="en-ID" w:eastAsia="en-US"/>
              </w:rPr>
            </w:pPr>
            <w:r w:rsidRPr="00A64A27">
              <w:rPr>
                <w:rFonts w:ascii="Calibri Light" w:hAnsi="Calibri Light" w:cs="Calibri Light"/>
                <w:lang w:val="en-ID" w:eastAsia="en-US"/>
              </w:rPr>
              <w:tab/>
            </w:r>
          </w:p>
          <w:p w14:paraId="102E5ACC" w14:textId="77777777" w:rsidR="007B135B" w:rsidRPr="004573CA" w:rsidRDefault="00994209" w:rsidP="008759AC">
            <w:pPr>
              <w:autoSpaceDE/>
              <w:autoSpaceDN/>
              <w:jc w:val="center"/>
              <w:rPr>
                <w:rFonts w:ascii="Calibri Light" w:hAnsi="Calibri Light" w:cs="Calibri Light"/>
                <w:sz w:val="24"/>
                <w:szCs w:val="24"/>
                <w:lang w:val="en-ID" w:eastAsia="en-US"/>
              </w:rPr>
            </w:pPr>
            <w:r w:rsidRPr="00A64A27">
              <w:rPr>
                <w:rFonts w:ascii="Calibri Light" w:hAnsi="Calibri Light" w:cs="Calibri Light"/>
                <w:lang w:val="en-ID" w:eastAsia="en-US"/>
              </w:rPr>
              <w:t>Musa, M.F.</w:t>
            </w:r>
          </w:p>
        </w:tc>
      </w:tr>
      <w:tr w:rsidR="007B135B" w:rsidRPr="00A64A27" w14:paraId="2899BB28" w14:textId="77777777" w:rsidTr="00775180">
        <w:trPr>
          <w:trHeight w:val="787"/>
        </w:trPr>
        <w:tc>
          <w:tcPr>
            <w:tcW w:w="2308" w:type="dxa"/>
          </w:tcPr>
          <w:p w14:paraId="7A7CB550" w14:textId="77777777" w:rsidR="00A43298" w:rsidRPr="00A64A27" w:rsidRDefault="00A43298" w:rsidP="008759AC">
            <w:pPr>
              <w:autoSpaceDE/>
              <w:autoSpaceDN/>
              <w:jc w:val="center"/>
              <w:rPr>
                <w:rFonts w:ascii="Calibri Light" w:hAnsi="Calibri Light" w:cs="Calibri Light"/>
                <w:b/>
                <w:bCs/>
                <w:lang w:val="en-ID" w:eastAsia="en-US"/>
              </w:rPr>
            </w:pPr>
            <w:r w:rsidRPr="00A64A27">
              <w:rPr>
                <w:rFonts w:ascii="Calibri Light" w:hAnsi="Calibri Light" w:cs="Calibri Light"/>
                <w:b/>
                <w:bCs/>
                <w:lang w:val="en-ID" w:eastAsia="en-US"/>
              </w:rPr>
              <w:t>International Journal of Children's Rights</w:t>
            </w:r>
          </w:p>
          <w:p w14:paraId="1D44C490" w14:textId="77777777" w:rsidR="007B135B" w:rsidRPr="004573CA" w:rsidRDefault="007B135B" w:rsidP="008759AC">
            <w:pPr>
              <w:autoSpaceDE/>
              <w:autoSpaceDN/>
              <w:jc w:val="center"/>
              <w:rPr>
                <w:rFonts w:ascii="Calibri Light" w:hAnsi="Calibri Light" w:cs="Calibri Light"/>
                <w:b/>
                <w:bCs/>
                <w:sz w:val="24"/>
                <w:szCs w:val="24"/>
                <w:lang w:val="en-ID" w:eastAsia="en-US"/>
              </w:rPr>
            </w:pPr>
          </w:p>
        </w:tc>
        <w:tc>
          <w:tcPr>
            <w:tcW w:w="3852" w:type="dxa"/>
          </w:tcPr>
          <w:p w14:paraId="72357D95" w14:textId="77777777" w:rsidR="007B135B" w:rsidRPr="004573CA" w:rsidRDefault="00A43298" w:rsidP="008759AC">
            <w:pPr>
              <w:autoSpaceDE/>
              <w:autoSpaceDN/>
              <w:jc w:val="center"/>
              <w:rPr>
                <w:rFonts w:ascii="Calibri Light" w:hAnsi="Calibri Light" w:cs="Calibri Light"/>
                <w:sz w:val="24"/>
                <w:szCs w:val="24"/>
                <w:lang w:val="en-ID" w:eastAsia="en-US"/>
              </w:rPr>
            </w:pPr>
            <w:r w:rsidRPr="00A64A27">
              <w:rPr>
                <w:rFonts w:ascii="Calibri Light" w:hAnsi="Calibri Light" w:cs="Calibri Light"/>
                <w:lang w:val="en-ID" w:eastAsia="en-US"/>
              </w:rPr>
              <w:t>On the Talibé Phenomenon: A Look into the Complex Nature of Forced Child Begging in Senegal</w:t>
            </w:r>
          </w:p>
        </w:tc>
        <w:tc>
          <w:tcPr>
            <w:tcW w:w="929" w:type="dxa"/>
          </w:tcPr>
          <w:p w14:paraId="091FC2F4" w14:textId="77777777" w:rsidR="007B135B" w:rsidRPr="004573CA" w:rsidRDefault="007B135B" w:rsidP="008759AC">
            <w:pPr>
              <w:autoSpaceDE/>
              <w:autoSpaceDN/>
              <w:jc w:val="center"/>
              <w:rPr>
                <w:rFonts w:ascii="Calibri Light" w:hAnsi="Calibri Light" w:cs="Calibri Light"/>
                <w:sz w:val="24"/>
                <w:szCs w:val="24"/>
                <w:lang w:val="en-ID" w:eastAsia="en-US"/>
              </w:rPr>
            </w:pPr>
            <w:r w:rsidRPr="004573CA">
              <w:rPr>
                <w:rFonts w:ascii="Calibri Light" w:hAnsi="Calibri Light" w:cs="Calibri Light"/>
                <w:sz w:val="24"/>
                <w:szCs w:val="24"/>
                <w:lang w:val="en-ID" w:eastAsia="en-US"/>
              </w:rPr>
              <w:t>7</w:t>
            </w:r>
          </w:p>
        </w:tc>
        <w:tc>
          <w:tcPr>
            <w:tcW w:w="1704" w:type="dxa"/>
          </w:tcPr>
          <w:p w14:paraId="2286CE01" w14:textId="77777777" w:rsidR="007B135B" w:rsidRPr="004573CA" w:rsidRDefault="00994209" w:rsidP="008759AC">
            <w:pPr>
              <w:autoSpaceDE/>
              <w:autoSpaceDN/>
              <w:jc w:val="center"/>
              <w:rPr>
                <w:rFonts w:ascii="Calibri Light" w:hAnsi="Calibri Light" w:cs="Calibri Light"/>
                <w:sz w:val="24"/>
                <w:szCs w:val="24"/>
                <w:lang w:val="en-ID" w:eastAsia="en-US"/>
              </w:rPr>
            </w:pPr>
            <w:r w:rsidRPr="00A64A27">
              <w:rPr>
                <w:rFonts w:ascii="Calibri Light" w:hAnsi="Calibri Light" w:cs="Calibri Light"/>
                <w:lang w:val="en-ID" w:eastAsia="en-US"/>
              </w:rPr>
              <w:t>Zoumanigui, A.K.</w:t>
            </w:r>
          </w:p>
        </w:tc>
      </w:tr>
      <w:tr w:rsidR="007B135B" w:rsidRPr="00A64A27" w14:paraId="49A43B90" w14:textId="77777777" w:rsidTr="00775180">
        <w:trPr>
          <w:trHeight w:val="746"/>
        </w:trPr>
        <w:tc>
          <w:tcPr>
            <w:tcW w:w="2308" w:type="dxa"/>
          </w:tcPr>
          <w:p w14:paraId="2CADA940" w14:textId="77777777" w:rsidR="00A43298" w:rsidRPr="00A64A27" w:rsidRDefault="00A43298" w:rsidP="008759AC">
            <w:pPr>
              <w:autoSpaceDE/>
              <w:autoSpaceDN/>
              <w:jc w:val="center"/>
              <w:rPr>
                <w:rFonts w:ascii="Calibri Light" w:hAnsi="Calibri Light" w:cs="Calibri Light"/>
                <w:b/>
                <w:bCs/>
                <w:lang w:val="en-ID" w:eastAsia="en-US"/>
              </w:rPr>
            </w:pPr>
            <w:r w:rsidRPr="00A64A27">
              <w:rPr>
                <w:rFonts w:ascii="Calibri Light" w:hAnsi="Calibri Light" w:cs="Calibri Light"/>
                <w:b/>
                <w:bCs/>
                <w:lang w:val="en-ID" w:eastAsia="en-US"/>
              </w:rPr>
              <w:t>Welt des Islams</w:t>
            </w:r>
          </w:p>
          <w:p w14:paraId="1D42CD2D" w14:textId="77777777" w:rsidR="007B135B" w:rsidRPr="004573CA" w:rsidRDefault="007B135B" w:rsidP="008759AC">
            <w:pPr>
              <w:autoSpaceDE/>
              <w:autoSpaceDN/>
              <w:jc w:val="center"/>
              <w:rPr>
                <w:rFonts w:ascii="Calibri Light" w:hAnsi="Calibri Light" w:cs="Calibri Light"/>
                <w:b/>
                <w:bCs/>
                <w:sz w:val="24"/>
                <w:szCs w:val="24"/>
                <w:lang w:val="en-ID" w:eastAsia="en-US"/>
              </w:rPr>
            </w:pPr>
          </w:p>
        </w:tc>
        <w:tc>
          <w:tcPr>
            <w:tcW w:w="3852" w:type="dxa"/>
          </w:tcPr>
          <w:p w14:paraId="26C5F16B" w14:textId="77777777" w:rsidR="007B135B" w:rsidRPr="004573CA" w:rsidRDefault="00A43298" w:rsidP="008759AC">
            <w:pPr>
              <w:autoSpaceDE/>
              <w:autoSpaceDN/>
              <w:jc w:val="center"/>
              <w:rPr>
                <w:rFonts w:ascii="Calibri Light" w:hAnsi="Calibri Light" w:cs="Calibri Light"/>
                <w:sz w:val="24"/>
                <w:szCs w:val="24"/>
                <w:lang w:val="en-ID" w:eastAsia="en-US"/>
              </w:rPr>
            </w:pPr>
            <w:r w:rsidRPr="00A64A27">
              <w:rPr>
                <w:rFonts w:ascii="Calibri Light" w:hAnsi="Calibri Light" w:cs="Calibri Light"/>
                <w:lang w:val="en-ID" w:eastAsia="en-US"/>
              </w:rPr>
              <w:t>Human rights and new jurisprudence in Mohsen Kadivar's advocacy of new-thinker Islam</w:t>
            </w:r>
          </w:p>
        </w:tc>
        <w:tc>
          <w:tcPr>
            <w:tcW w:w="929" w:type="dxa"/>
          </w:tcPr>
          <w:p w14:paraId="12CB66F2" w14:textId="77777777" w:rsidR="007B135B" w:rsidRPr="004573CA" w:rsidRDefault="00994209" w:rsidP="008759AC">
            <w:pPr>
              <w:autoSpaceDE/>
              <w:autoSpaceDN/>
              <w:jc w:val="center"/>
              <w:rPr>
                <w:rFonts w:ascii="Calibri Light" w:hAnsi="Calibri Light" w:cs="Calibri Light"/>
                <w:sz w:val="24"/>
                <w:szCs w:val="24"/>
                <w:lang w:val="en-ID" w:eastAsia="en-US"/>
              </w:rPr>
            </w:pPr>
            <w:r w:rsidRPr="00A64A27">
              <w:rPr>
                <w:rFonts w:ascii="Calibri Light" w:hAnsi="Calibri Light" w:cs="Calibri Light"/>
                <w:lang w:val="en-ID" w:eastAsia="en-US"/>
              </w:rPr>
              <w:t>1</w:t>
            </w:r>
            <w:r w:rsidR="007B135B" w:rsidRPr="004573CA">
              <w:rPr>
                <w:rFonts w:ascii="Calibri Light" w:hAnsi="Calibri Light" w:cs="Calibri Light"/>
                <w:sz w:val="24"/>
                <w:szCs w:val="24"/>
                <w:lang w:val="en-ID" w:eastAsia="en-US"/>
              </w:rPr>
              <w:t>22</w:t>
            </w:r>
          </w:p>
        </w:tc>
        <w:tc>
          <w:tcPr>
            <w:tcW w:w="1704" w:type="dxa"/>
          </w:tcPr>
          <w:p w14:paraId="203919EC" w14:textId="77777777" w:rsidR="007B135B" w:rsidRPr="004573CA" w:rsidRDefault="00994209" w:rsidP="008759AC">
            <w:pPr>
              <w:autoSpaceDE/>
              <w:autoSpaceDN/>
              <w:jc w:val="center"/>
              <w:rPr>
                <w:rFonts w:ascii="Calibri Light" w:hAnsi="Calibri Light" w:cs="Calibri Light"/>
                <w:sz w:val="24"/>
                <w:szCs w:val="24"/>
                <w:lang w:val="en-ID" w:eastAsia="en-US"/>
              </w:rPr>
            </w:pPr>
            <w:r w:rsidRPr="00A64A27">
              <w:rPr>
                <w:rFonts w:ascii="Calibri Light" w:hAnsi="Calibri Light" w:cs="Calibri Light"/>
                <w:lang w:val="en-ID" w:eastAsia="en-US"/>
              </w:rPr>
              <w:t>Matsunaga, Y.</w:t>
            </w:r>
          </w:p>
        </w:tc>
      </w:tr>
    </w:tbl>
    <w:p w14:paraId="3C8DF26F" w14:textId="77777777" w:rsidR="004573CA" w:rsidRPr="0007539D" w:rsidRDefault="00A64A27" w:rsidP="00017625">
      <w:pPr>
        <w:spacing w:before="120" w:after="120"/>
        <w:ind w:left="426" w:right="-1" w:firstLine="141"/>
        <w:jc w:val="both"/>
        <w:rPr>
          <w:rFonts w:ascii="Calibri Light" w:hAnsi="Calibri Light" w:cs="Calibri Light"/>
          <w:sz w:val="24"/>
          <w:szCs w:val="24"/>
          <w:lang w:val="en-ID"/>
        </w:rPr>
      </w:pPr>
      <w:r w:rsidRPr="00A64A27">
        <w:rPr>
          <w:rFonts w:ascii="Calibri Light" w:hAnsi="Calibri Light" w:cs="Calibri Light"/>
          <w:sz w:val="24"/>
          <w:szCs w:val="24"/>
          <w:lang w:val="en-ID"/>
        </w:rPr>
        <w:t xml:space="preserve">Table </w:t>
      </w:r>
      <w:r w:rsidR="00017625">
        <w:rPr>
          <w:rFonts w:ascii="Calibri Light" w:hAnsi="Calibri Light" w:cs="Calibri Light"/>
          <w:sz w:val="24"/>
          <w:szCs w:val="24"/>
          <w:lang w:val="en-ID"/>
        </w:rPr>
        <w:t>3</w:t>
      </w:r>
      <w:r w:rsidRPr="00A64A27">
        <w:rPr>
          <w:rFonts w:ascii="Calibri Light" w:hAnsi="Calibri Light" w:cs="Calibri Light"/>
          <w:sz w:val="24"/>
          <w:szCs w:val="24"/>
          <w:lang w:val="en-ID"/>
        </w:rPr>
        <w:t>. Summary of the most relevant journals</w:t>
      </w:r>
    </w:p>
    <w:p w14:paraId="2C9A4E1D" w14:textId="5ECA312A"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In both countries, the role of ijtihad, or independent legal reasoning, is pivotal in shaping the application of Shari'ah law in modern society. In Egypt, ijtihad has been used sparingly, and many conservative interpretations of Shari'ah continue to dominate</w:t>
      </w:r>
      <w:r w:rsidR="00FB4ACA">
        <w:rPr>
          <w:rFonts w:ascii="Calibri Light" w:hAnsi="Calibri Light" w:cs="Calibri Light"/>
          <w:sz w:val="24"/>
          <w:szCs w:val="24"/>
          <w:lang w:val="en-ID"/>
        </w:rPr>
        <w:fldChar w:fldCharType="begin" w:fldLock="1"/>
      </w:r>
      <w:r w:rsidR="006514A3">
        <w:rPr>
          <w:rFonts w:ascii="Calibri Light" w:hAnsi="Calibri Light" w:cs="Calibri Light"/>
          <w:sz w:val="24"/>
          <w:szCs w:val="24"/>
          <w:lang w:val="en-ID"/>
        </w:rPr>
        <w:instrText>ADDIN CSL_CITATION {"citationItems":[{"id":"ITEM-1","itemData":{"DOI":"10.31893/multirev.2025002","ISSN":"25953982","abstract":"The mapping of Quranic Parenting research development and direction on publications indexed by the Scopus database is aimed to be determined in this study. Bibliometric analysis techniques were utilized to explore all Scopus-indexed publications on Quranic Parenting from 2004 to 2023. The data obtained were analyzed using Exel and R/R-Studio, with VOS-viewer employed for visual analysis of keyword co-occurrences and document citations. Twenty-nine publications meeting the established function, subject, and criteria were identified by the author. However, it should be noted that this study is limited to metadata from Scopus-indexed publications, and other national and international databases were not considered. A concise overview of the literature accessible to researchers in the field of Islamic Psychology is provided by this study, along with recommendations for future research.","author":[{"dropping-particle":"","family":"An","given":"Andri Nirwana","non-dropping-particle":"","parse-names":false,"suffix":""},{"dropping-particle":"","family":"Amir","given":"Abdul Muiz","non-dropping-particle":"","parse-names":false,"suffix":""},{"dropping-particle":"Bin","family":"Husain","given":"Muhammad Zakir","non-dropping-particle":"","parse-names":false,"suffix":""},{"dropping-particle":"","family":"Ismail","given":"Faisal Husen","non-dropping-particle":"","parse-names":false,"suffix":""},{"dropping-particle":"Bin","family":"Sahimi","given":"Mohd Shafiq","non-dropping-particle":"","parse-names":false,"suffix":""},{"dropping-particle":"","family":"Fansuri","given":"Fuad","non-dropping-particle":"","parse-names":false,"suffix":""},{"dropping-particle":"","family":"Amri","given":"Muhammad","non-dropping-particle":"","parse-names":false,"suffix":""},{"dropping-particle":"","family":"Arfan","given":"Fahmi","non-dropping-particle":"","parse-names":false,"suffix":""},{"dropping-particle":"","family":"Rhain","given":"Ainur","non-dropping-particle":"","parse-names":false,"suffix":""}],"container-title":"Multidisciplinary Reviews","id":"ITEM-1","issue":"1","issued":{"date-parts":[["2025"]]},"page":"1-12","title":"Millennial era Islamic parenting studies: A bibliometric analysis utilizing the Scopus database","type":"article-journal","volume":"8"},"uris":["http://www.mendeley.com/documents/?uuid=7106c8ac-e65f-4ea7-b14b-75dad91b147b"]}],"mendeley":{"formattedCitation":"(An et al., 2025)","plainTextFormattedCitation":"(An et al., 2025)","previouslyFormattedCitation":"(An et al., 2025)"},"properties":{"noteIndex":0},"schema":"https://github.com/citation-style-language/schema/raw/master/csl-citation.json"}</w:instrText>
      </w:r>
      <w:r w:rsidR="00FB4ACA">
        <w:rPr>
          <w:rFonts w:ascii="Calibri Light" w:hAnsi="Calibri Light" w:cs="Calibri Light"/>
          <w:sz w:val="24"/>
          <w:szCs w:val="24"/>
          <w:lang w:val="en-ID"/>
        </w:rPr>
        <w:fldChar w:fldCharType="separate"/>
      </w:r>
      <w:r w:rsidR="006514A3" w:rsidRPr="006514A3">
        <w:rPr>
          <w:rFonts w:ascii="Calibri Light" w:hAnsi="Calibri Light" w:cs="Calibri Light"/>
          <w:noProof/>
          <w:sz w:val="24"/>
          <w:szCs w:val="24"/>
          <w:lang w:val="en-ID"/>
        </w:rPr>
        <w:t>(An et al., 2025)</w:t>
      </w:r>
      <w:r w:rsidR="00FB4ACA">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xml:space="preserve">. In Indonesia, however, ijtihad has played a more significant role in the evolution of human rights law, allowing for a reinterpretation of Islamic texts in line with contemporary human rights standards </w:t>
      </w:r>
      <w:r w:rsidR="00A526EF">
        <w:rPr>
          <w:rFonts w:ascii="Calibri Light" w:hAnsi="Calibri Light" w:cs="Calibri Light"/>
          <w:sz w:val="24"/>
          <w:szCs w:val="24"/>
          <w:lang w:val="en-ID"/>
        </w:rPr>
        <w:fldChar w:fldCharType="begin" w:fldLock="1"/>
      </w:r>
      <w:r w:rsidR="006514A3">
        <w:rPr>
          <w:rFonts w:ascii="Calibri Light" w:hAnsi="Calibri Light" w:cs="Calibri Light"/>
          <w:sz w:val="24"/>
          <w:szCs w:val="24"/>
          <w:lang w:val="en-ID"/>
        </w:rPr>
        <w:instrText>ADDIN CSL_CITATION {"citationItems":[{"id":"ITEM-1","itemData":{"DOI":"10.33102/mjsl.vol12no1.491","ISSN":"19857454 (ISSN)","abstract":"In criminal litigation, evidence plays a very significant role in ensuring that justice is delivered. Nevertheless, justice cannot be achieved without the correct application of standard of proof. Failure to apply the correct standard of proof could result in miscarriage of justice. This paper examines the concept of standard of proof from the Islamic and common law perspectives. It also analyses the similarities and differences in the application of standard of proof under both legal systems. This study is a doctrinal research and utilises qualitative methods. The primary and secondary data are gathered using the documentation method obtained from library, legal statutes and reported cases. The gathered data are then further analysed using content analysis method. Findings of this study show that there are similarities and differences in the concept of standard of proof in criminal cases under both legal systems. In spite of the similarities, several applications under the common law should not be referred or utilised in litigating Syariah criminal cases. This paper suggests that the standard of proof under Islamic law is to be harmonised with the common law in the prosecution of criminal cases in the Syariah courts. The research conducted contributes towards the knowledge in distinguishing between the Islamic and common law principles particularly for countries that practise Islamic criminal law. © The authors (2024).","author":[{"dropping-particle":"","family":"Saifuddin","given":"S","non-dropping-particle":"","parse-names":false,"suffix":""},{"dropping-particle":"","family":"Ali Tajuddin","given":"H H","non-dropping-particle":"","parse-names":false,"suffix":""},{"dropping-particle":"","family":"Yahya","given":"M A","non-dropping-particle":"","parse-names":false,"suffix":""},{"dropping-particle":"","family":"Abd Rahman","given":"M R","non-dropping-particle":"","parse-names":false,"suffix":""},{"dropping-particle":"","family":"Hashim","given":"F Y","non-dropping-particle":"","parse-names":false,"suffix":""}],"container-title":"Malaysian Journal of Syariah and Law","id":"ITEM-1","issue":"1","issued":{"date-parts":[["2024"]]},"language":"English","page":"11-22","publisher":"Faculty of Syariah and Law, Islamic Science University of Malaysia (USIM)","publisher-place":"Pusat Kajian Undang-Undang Malaysia &amp; Perbandingan, Universiti Kebangsaan Malaysia, Selangor, Bangi, Malaysia","title":"EXAMINING THE APPLICATION OF STANDARD OF PROOF IN CRIMINAL CASES: A COMPARATIVE ANALYSIS OF ISLAMIC LAW AND COMMON LAW IN MALAYSIA","type":"article-journal","volume":"12"},"uris":["http://www.mendeley.com/documents/?uuid=0e38bab5-0eaf-497a-a061-e2ca46ce9861"]}],"mendeley":{"formattedCitation":"(Saifuddin et al., 2024)","plainTextFormattedCitation":"(Saifuddin et al., 2024)","previouslyFormattedCitation":"(Saifuddin et al.,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6514A3" w:rsidRPr="006514A3">
        <w:rPr>
          <w:rFonts w:ascii="Calibri Light" w:hAnsi="Calibri Light" w:cs="Calibri Light"/>
          <w:noProof/>
          <w:sz w:val="24"/>
          <w:szCs w:val="24"/>
          <w:lang w:val="en-ID"/>
        </w:rPr>
        <w:t>(Saifuddin et al.,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36B37472" w14:textId="77777777" w:rsidR="0007539D" w:rsidRPr="00017625" w:rsidRDefault="0007539D" w:rsidP="0007539D">
      <w:pPr>
        <w:spacing w:before="120" w:after="120"/>
        <w:ind w:left="440" w:right="-1" w:hanging="14"/>
        <w:jc w:val="both"/>
        <w:rPr>
          <w:rFonts w:ascii="Calibri Light" w:hAnsi="Calibri Light" w:cs="Calibri Light"/>
          <w:b/>
          <w:bCs/>
          <w:sz w:val="24"/>
          <w:szCs w:val="24"/>
          <w:lang w:val="en-ID"/>
        </w:rPr>
      </w:pPr>
      <w:r w:rsidRPr="00017625">
        <w:rPr>
          <w:rFonts w:ascii="Calibri Light" w:hAnsi="Calibri Light" w:cs="Calibri Light"/>
          <w:sz w:val="24"/>
          <w:szCs w:val="24"/>
          <w:lang w:val="en-ID"/>
        </w:rPr>
        <w:t xml:space="preserve">Table </w:t>
      </w:r>
      <w:r w:rsidR="00017625" w:rsidRPr="00017625">
        <w:rPr>
          <w:rFonts w:ascii="Calibri Light" w:hAnsi="Calibri Light" w:cs="Calibri Light"/>
          <w:sz w:val="24"/>
          <w:szCs w:val="24"/>
          <w:lang w:val="en-ID"/>
        </w:rPr>
        <w:t>4</w:t>
      </w:r>
      <w:r w:rsidRPr="00017625">
        <w:rPr>
          <w:rFonts w:ascii="Calibri Light" w:hAnsi="Calibri Light" w:cs="Calibri Light"/>
          <w:b/>
          <w:bCs/>
          <w:sz w:val="24"/>
          <w:szCs w:val="24"/>
          <w:lang w:val="en-ID"/>
        </w:rPr>
        <w:t xml:space="preserve">: </w:t>
      </w:r>
      <w:r w:rsidRPr="00017625">
        <w:rPr>
          <w:rFonts w:ascii="Calibri Light" w:hAnsi="Calibri Light" w:cs="Calibri Light"/>
          <w:sz w:val="24"/>
          <w:szCs w:val="24"/>
          <w:lang w:val="en-ID"/>
        </w:rPr>
        <w:t>Summarizes the key findings regarding the application of Qur'anic principles in the human rights laws of Egypt and Indonesia.</w:t>
      </w:r>
    </w:p>
    <w:tbl>
      <w:tblPr>
        <w:tblStyle w:val="PlainTable2"/>
        <w:tblW w:w="0" w:type="auto"/>
        <w:tblLook w:val="04A0" w:firstRow="1" w:lastRow="0" w:firstColumn="1" w:lastColumn="0" w:noHBand="0" w:noVBand="1"/>
      </w:tblPr>
      <w:tblGrid>
        <w:gridCol w:w="2199"/>
        <w:gridCol w:w="3219"/>
        <w:gridCol w:w="3653"/>
      </w:tblGrid>
      <w:tr w:rsidR="00A877F4" w14:paraId="5DA57CEB" w14:textId="77777777" w:rsidTr="000176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7F7F7F"/>
            </w:tcBorders>
            <w:hideMark/>
          </w:tcPr>
          <w:p w14:paraId="1D86FEF3" w14:textId="77777777" w:rsidR="0007539D" w:rsidRDefault="0007539D">
            <w:pPr>
              <w:spacing w:before="120" w:after="120"/>
              <w:ind w:left="440" w:right="-1" w:hanging="14"/>
              <w:jc w:val="both"/>
              <w:rPr>
                <w:rFonts w:ascii="Calibri Light" w:hAnsi="Calibri Light" w:cs="Calibri Light"/>
                <w:b w:val="0"/>
                <w:bCs w:val="0"/>
                <w:sz w:val="24"/>
                <w:szCs w:val="24"/>
                <w:lang w:val="en-ID"/>
              </w:rPr>
            </w:pPr>
            <w:r>
              <w:rPr>
                <w:rFonts w:ascii="Calibri Light" w:hAnsi="Calibri Light" w:cs="Calibri Light"/>
                <w:b w:val="0"/>
                <w:bCs w:val="0"/>
                <w:sz w:val="24"/>
                <w:szCs w:val="24"/>
                <w:lang w:val="en-ID"/>
              </w:rPr>
              <w:t>Aspect</w:t>
            </w:r>
          </w:p>
        </w:tc>
        <w:tc>
          <w:tcPr>
            <w:tcW w:w="0" w:type="auto"/>
            <w:tcBorders>
              <w:top w:val="single" w:sz="4" w:space="0" w:color="7F7F7F"/>
            </w:tcBorders>
            <w:hideMark/>
          </w:tcPr>
          <w:p w14:paraId="5EEF7955" w14:textId="77777777" w:rsidR="0007539D" w:rsidRDefault="0007539D">
            <w:pPr>
              <w:spacing w:before="120" w:after="120"/>
              <w:ind w:left="440" w:right="-1" w:hanging="14"/>
              <w:jc w:val="both"/>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bCs w:val="0"/>
                <w:sz w:val="24"/>
                <w:szCs w:val="24"/>
                <w:lang w:val="en-ID"/>
              </w:rPr>
            </w:pPr>
            <w:r>
              <w:rPr>
                <w:rFonts w:ascii="Calibri Light" w:hAnsi="Calibri Light" w:cs="Calibri Light"/>
                <w:b w:val="0"/>
                <w:bCs w:val="0"/>
                <w:sz w:val="24"/>
                <w:szCs w:val="24"/>
                <w:rtl/>
              </w:rPr>
              <w:t xml:space="preserve">     </w:t>
            </w:r>
            <w:r>
              <w:rPr>
                <w:rFonts w:ascii="Calibri Light" w:hAnsi="Calibri Light" w:cs="Calibri Light"/>
                <w:b w:val="0"/>
                <w:bCs w:val="0"/>
                <w:sz w:val="24"/>
                <w:szCs w:val="24"/>
                <w:lang w:val="en-ID"/>
              </w:rPr>
              <w:t>Egypt</w:t>
            </w:r>
          </w:p>
        </w:tc>
        <w:tc>
          <w:tcPr>
            <w:tcW w:w="0" w:type="auto"/>
            <w:tcBorders>
              <w:top w:val="single" w:sz="4" w:space="0" w:color="7F7F7F"/>
            </w:tcBorders>
            <w:hideMark/>
          </w:tcPr>
          <w:p w14:paraId="240E8F8B" w14:textId="77777777" w:rsidR="0007539D" w:rsidRDefault="0007539D">
            <w:pPr>
              <w:spacing w:before="120" w:after="120"/>
              <w:ind w:left="440" w:right="-1" w:hanging="14"/>
              <w:jc w:val="both"/>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bCs w:val="0"/>
                <w:sz w:val="24"/>
                <w:szCs w:val="24"/>
                <w:lang w:val="en-ID"/>
              </w:rPr>
            </w:pPr>
            <w:r>
              <w:rPr>
                <w:rFonts w:ascii="Calibri Light" w:hAnsi="Calibri Light" w:cs="Calibri Light"/>
                <w:b w:val="0"/>
                <w:bCs w:val="0"/>
                <w:sz w:val="24"/>
                <w:szCs w:val="24"/>
                <w:rtl/>
              </w:rPr>
              <w:t xml:space="preserve">     </w:t>
            </w:r>
            <w:r>
              <w:rPr>
                <w:rFonts w:ascii="Calibri Light" w:hAnsi="Calibri Light" w:cs="Calibri Light"/>
                <w:b w:val="0"/>
                <w:bCs w:val="0"/>
                <w:sz w:val="24"/>
                <w:szCs w:val="24"/>
                <w:lang w:val="en-ID"/>
              </w:rPr>
              <w:t>Indonesia</w:t>
            </w:r>
          </w:p>
        </w:tc>
      </w:tr>
      <w:tr w:rsidR="00A877F4" w14:paraId="08DDC295" w14:textId="77777777" w:rsidTr="000176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0B630C5" w14:textId="77777777" w:rsidR="0007539D" w:rsidRDefault="0007539D">
            <w:pPr>
              <w:spacing w:before="120" w:after="120"/>
              <w:ind w:left="440" w:right="-1" w:hanging="14"/>
              <w:jc w:val="both"/>
              <w:rPr>
                <w:rFonts w:ascii="Calibri Light" w:hAnsi="Calibri Light" w:cs="Calibri Light"/>
                <w:b w:val="0"/>
                <w:bCs w:val="0"/>
                <w:sz w:val="24"/>
                <w:szCs w:val="24"/>
                <w:lang w:val="en-ID"/>
              </w:rPr>
            </w:pPr>
            <w:r>
              <w:rPr>
                <w:rFonts w:ascii="Calibri Light" w:hAnsi="Calibri Light" w:cs="Calibri Light"/>
                <w:b w:val="0"/>
                <w:bCs w:val="0"/>
                <w:sz w:val="24"/>
                <w:szCs w:val="24"/>
                <w:lang w:val="en-ID"/>
              </w:rPr>
              <w:t>Constitutional Framework</w:t>
            </w:r>
          </w:p>
        </w:tc>
        <w:tc>
          <w:tcPr>
            <w:tcW w:w="0" w:type="auto"/>
            <w:hideMark/>
          </w:tcPr>
          <w:p w14:paraId="5879B089" w14:textId="77777777" w:rsidR="0007539D" w:rsidRDefault="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ID"/>
              </w:rPr>
            </w:pPr>
            <w:r>
              <w:rPr>
                <w:rFonts w:ascii="Calibri Light" w:hAnsi="Calibri Light" w:cs="Calibri Light"/>
                <w:sz w:val="24"/>
                <w:szCs w:val="24"/>
                <w:lang w:val="en-ID"/>
              </w:rPr>
              <w:t>Shari'ah recognized as a source of law. Secular law also plays a role.</w:t>
            </w:r>
          </w:p>
        </w:tc>
        <w:tc>
          <w:tcPr>
            <w:tcW w:w="0" w:type="auto"/>
            <w:hideMark/>
          </w:tcPr>
          <w:p w14:paraId="4F764FBC" w14:textId="77777777" w:rsidR="0007539D" w:rsidRDefault="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ID"/>
              </w:rPr>
            </w:pPr>
            <w:r>
              <w:rPr>
                <w:rFonts w:ascii="Calibri Light" w:hAnsi="Calibri Light" w:cs="Calibri Light"/>
                <w:sz w:val="24"/>
                <w:szCs w:val="24"/>
                <w:lang w:val="en-ID"/>
              </w:rPr>
              <w:t>Constitution guarantees human rights for all. Shari'ah implemented regionally.</w:t>
            </w:r>
          </w:p>
        </w:tc>
      </w:tr>
      <w:tr w:rsidR="00A877F4" w14:paraId="53DF89C4" w14:textId="77777777" w:rsidTr="00017625">
        <w:tc>
          <w:tcPr>
            <w:cnfStyle w:val="001000000000" w:firstRow="0" w:lastRow="0" w:firstColumn="1" w:lastColumn="0" w:oddVBand="0" w:evenVBand="0" w:oddHBand="0" w:evenHBand="0" w:firstRowFirstColumn="0" w:firstRowLastColumn="0" w:lastRowFirstColumn="0" w:lastRowLastColumn="0"/>
            <w:tcW w:w="0" w:type="auto"/>
            <w:hideMark/>
          </w:tcPr>
          <w:p w14:paraId="3E7E7518" w14:textId="77777777" w:rsidR="0007539D" w:rsidRDefault="0007539D">
            <w:pPr>
              <w:spacing w:before="120" w:after="120"/>
              <w:ind w:left="440" w:right="-1" w:hanging="14"/>
              <w:jc w:val="both"/>
              <w:rPr>
                <w:rFonts w:ascii="Calibri Light" w:hAnsi="Calibri Light" w:cs="Calibri Light"/>
                <w:b w:val="0"/>
                <w:bCs w:val="0"/>
                <w:sz w:val="24"/>
                <w:szCs w:val="24"/>
                <w:lang w:val="en-ID"/>
              </w:rPr>
            </w:pPr>
            <w:r>
              <w:rPr>
                <w:rFonts w:ascii="Calibri Light" w:hAnsi="Calibri Light" w:cs="Calibri Light"/>
                <w:b w:val="0"/>
                <w:bCs w:val="0"/>
                <w:sz w:val="24"/>
                <w:szCs w:val="24"/>
                <w:lang w:val="en-ID"/>
              </w:rPr>
              <w:lastRenderedPageBreak/>
              <w:t>Women's Rights</w:t>
            </w:r>
          </w:p>
        </w:tc>
        <w:tc>
          <w:tcPr>
            <w:tcW w:w="0" w:type="auto"/>
            <w:hideMark/>
          </w:tcPr>
          <w:p w14:paraId="145EDE95" w14:textId="77777777" w:rsidR="0007539D" w:rsidRDefault="0007539D">
            <w:pPr>
              <w:spacing w:before="120" w:after="120"/>
              <w:ind w:left="440"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ID"/>
              </w:rPr>
            </w:pPr>
            <w:r>
              <w:rPr>
                <w:rFonts w:ascii="Calibri Light" w:hAnsi="Calibri Light" w:cs="Calibri Light"/>
                <w:sz w:val="24"/>
                <w:szCs w:val="24"/>
                <w:lang w:val="en-ID"/>
              </w:rPr>
              <w:t>Gender equality is often contested; women face limitations in certain legal areas.</w:t>
            </w:r>
          </w:p>
        </w:tc>
        <w:tc>
          <w:tcPr>
            <w:tcW w:w="0" w:type="auto"/>
            <w:hideMark/>
          </w:tcPr>
          <w:p w14:paraId="168DAAD6" w14:textId="77777777" w:rsidR="0007539D" w:rsidRDefault="0007539D">
            <w:pPr>
              <w:spacing w:before="120" w:after="120"/>
              <w:ind w:left="440"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ID"/>
              </w:rPr>
            </w:pPr>
            <w:r>
              <w:rPr>
                <w:rFonts w:ascii="Calibri Light" w:hAnsi="Calibri Light" w:cs="Calibri Light"/>
                <w:sz w:val="24"/>
                <w:szCs w:val="24"/>
                <w:lang w:val="en-ID"/>
              </w:rPr>
              <w:t>More progressive in terms of women's rights, especially in urban areas, but still issues in Shari'ah-applying regions.</w:t>
            </w:r>
          </w:p>
        </w:tc>
      </w:tr>
      <w:tr w:rsidR="00A877F4" w14:paraId="2D95D5F7" w14:textId="77777777" w:rsidTr="000176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1B4FC9E" w14:textId="77777777" w:rsidR="0007539D" w:rsidRDefault="0007539D">
            <w:pPr>
              <w:spacing w:before="120" w:after="120"/>
              <w:ind w:left="440" w:right="-1" w:hanging="14"/>
              <w:jc w:val="both"/>
              <w:rPr>
                <w:rFonts w:ascii="Calibri Light" w:hAnsi="Calibri Light" w:cs="Calibri Light"/>
                <w:b w:val="0"/>
                <w:bCs w:val="0"/>
                <w:sz w:val="24"/>
                <w:szCs w:val="24"/>
                <w:lang w:val="en-ID"/>
              </w:rPr>
            </w:pPr>
            <w:r>
              <w:rPr>
                <w:rFonts w:ascii="Calibri Light" w:hAnsi="Calibri Light" w:cs="Calibri Light"/>
                <w:b w:val="0"/>
                <w:bCs w:val="0"/>
                <w:sz w:val="24"/>
                <w:szCs w:val="24"/>
                <w:lang w:val="en-ID"/>
              </w:rPr>
              <w:t>Freedom of Expression</w:t>
            </w:r>
          </w:p>
        </w:tc>
        <w:tc>
          <w:tcPr>
            <w:tcW w:w="0" w:type="auto"/>
            <w:hideMark/>
          </w:tcPr>
          <w:p w14:paraId="574C2020" w14:textId="77777777" w:rsidR="0007539D" w:rsidRDefault="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ID"/>
              </w:rPr>
            </w:pPr>
            <w:r>
              <w:rPr>
                <w:rFonts w:ascii="Calibri Light" w:hAnsi="Calibri Light" w:cs="Calibri Light"/>
                <w:sz w:val="24"/>
                <w:szCs w:val="24"/>
                <w:lang w:val="en-ID"/>
              </w:rPr>
              <w:t>Restricted in certain contexts due to conservative interpretations of Islam.</w:t>
            </w:r>
          </w:p>
        </w:tc>
        <w:tc>
          <w:tcPr>
            <w:tcW w:w="0" w:type="auto"/>
            <w:hideMark/>
          </w:tcPr>
          <w:p w14:paraId="1E794697" w14:textId="77777777" w:rsidR="0007539D" w:rsidRDefault="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ID"/>
              </w:rPr>
            </w:pPr>
            <w:r>
              <w:rPr>
                <w:rFonts w:ascii="Calibri Light" w:hAnsi="Calibri Light" w:cs="Calibri Light"/>
                <w:sz w:val="24"/>
                <w:szCs w:val="24"/>
                <w:lang w:val="en-ID"/>
              </w:rPr>
              <w:t>Greater freedom, although challenges exist in conservative regions like Aceh.</w:t>
            </w:r>
          </w:p>
        </w:tc>
      </w:tr>
      <w:tr w:rsidR="00A877F4" w14:paraId="4E8493C5" w14:textId="77777777" w:rsidTr="00017625">
        <w:tc>
          <w:tcPr>
            <w:cnfStyle w:val="001000000000" w:firstRow="0" w:lastRow="0" w:firstColumn="1" w:lastColumn="0" w:oddVBand="0" w:evenVBand="0" w:oddHBand="0" w:evenHBand="0" w:firstRowFirstColumn="0" w:firstRowLastColumn="0" w:lastRowFirstColumn="0" w:lastRowLastColumn="0"/>
            <w:tcW w:w="0" w:type="auto"/>
            <w:hideMark/>
          </w:tcPr>
          <w:p w14:paraId="683E26AA" w14:textId="77777777" w:rsidR="0007539D" w:rsidRDefault="0007539D">
            <w:pPr>
              <w:spacing w:before="120" w:after="120"/>
              <w:ind w:left="440" w:right="-1" w:hanging="14"/>
              <w:jc w:val="both"/>
              <w:rPr>
                <w:rFonts w:ascii="Calibri Light" w:hAnsi="Calibri Light" w:cs="Calibri Light"/>
                <w:b w:val="0"/>
                <w:bCs w:val="0"/>
                <w:sz w:val="24"/>
                <w:szCs w:val="24"/>
                <w:lang w:val="en-ID"/>
              </w:rPr>
            </w:pPr>
            <w:r>
              <w:rPr>
                <w:rFonts w:ascii="Calibri Light" w:hAnsi="Calibri Light" w:cs="Calibri Light"/>
                <w:b w:val="0"/>
                <w:bCs w:val="0"/>
                <w:sz w:val="24"/>
                <w:szCs w:val="24"/>
                <w:lang w:val="en-ID"/>
              </w:rPr>
              <w:t>Religious Freedom</w:t>
            </w:r>
          </w:p>
        </w:tc>
        <w:tc>
          <w:tcPr>
            <w:tcW w:w="0" w:type="auto"/>
            <w:hideMark/>
          </w:tcPr>
          <w:p w14:paraId="335E41F8" w14:textId="77777777" w:rsidR="0007539D" w:rsidRDefault="0007539D">
            <w:pPr>
              <w:spacing w:before="120" w:after="120"/>
              <w:ind w:left="440"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ID"/>
              </w:rPr>
            </w:pPr>
            <w:r>
              <w:rPr>
                <w:rFonts w:ascii="Calibri Light" w:hAnsi="Calibri Light" w:cs="Calibri Light"/>
                <w:sz w:val="24"/>
                <w:szCs w:val="24"/>
                <w:lang w:val="en-ID"/>
              </w:rPr>
              <w:t>Religious minorities have limited rights; state religion is Islam.</w:t>
            </w:r>
          </w:p>
        </w:tc>
        <w:tc>
          <w:tcPr>
            <w:tcW w:w="0" w:type="auto"/>
            <w:hideMark/>
          </w:tcPr>
          <w:p w14:paraId="42158463" w14:textId="77777777" w:rsidR="0007539D" w:rsidRDefault="0007539D">
            <w:pPr>
              <w:spacing w:before="120" w:after="120"/>
              <w:ind w:left="440"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ID"/>
              </w:rPr>
            </w:pPr>
            <w:r>
              <w:rPr>
                <w:rFonts w:ascii="Calibri Light" w:hAnsi="Calibri Light" w:cs="Calibri Light"/>
                <w:sz w:val="24"/>
                <w:szCs w:val="24"/>
                <w:lang w:val="en-ID"/>
              </w:rPr>
              <w:t>Stronger religious pluralism, though there are tensions in Shari'ah-implemented areas.</w:t>
            </w:r>
          </w:p>
        </w:tc>
      </w:tr>
      <w:tr w:rsidR="00A877F4" w14:paraId="3ED1E310" w14:textId="77777777" w:rsidTr="000176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F25C32F" w14:textId="77777777" w:rsidR="0007539D" w:rsidRDefault="0007539D">
            <w:pPr>
              <w:spacing w:before="120" w:after="120"/>
              <w:ind w:left="440" w:right="-1" w:hanging="14"/>
              <w:jc w:val="both"/>
              <w:rPr>
                <w:rFonts w:ascii="Calibri Light" w:hAnsi="Calibri Light" w:cs="Calibri Light"/>
                <w:b w:val="0"/>
                <w:bCs w:val="0"/>
                <w:sz w:val="24"/>
                <w:szCs w:val="24"/>
                <w:lang w:val="en-ID"/>
              </w:rPr>
            </w:pPr>
            <w:r>
              <w:rPr>
                <w:rFonts w:ascii="Calibri Light" w:hAnsi="Calibri Light" w:cs="Calibri Light"/>
                <w:b w:val="0"/>
                <w:bCs w:val="0"/>
                <w:sz w:val="24"/>
                <w:szCs w:val="24"/>
                <w:lang w:val="en-ID"/>
              </w:rPr>
              <w:t>Role of Ijtihad</w:t>
            </w:r>
          </w:p>
        </w:tc>
        <w:tc>
          <w:tcPr>
            <w:tcW w:w="0" w:type="auto"/>
            <w:hideMark/>
          </w:tcPr>
          <w:p w14:paraId="76BDBB03" w14:textId="77777777" w:rsidR="0007539D" w:rsidRDefault="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ID"/>
              </w:rPr>
            </w:pPr>
            <w:r>
              <w:rPr>
                <w:rFonts w:ascii="Calibri Light" w:hAnsi="Calibri Light" w:cs="Calibri Light"/>
                <w:sz w:val="24"/>
                <w:szCs w:val="24"/>
                <w:lang w:val="en-ID"/>
              </w:rPr>
              <w:t>Ijtihad is used sparingly, and traditional interpretations dominate.</w:t>
            </w:r>
          </w:p>
        </w:tc>
        <w:tc>
          <w:tcPr>
            <w:tcW w:w="0" w:type="auto"/>
            <w:hideMark/>
          </w:tcPr>
          <w:p w14:paraId="67BC533B" w14:textId="77777777" w:rsidR="0007539D" w:rsidRDefault="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ID"/>
              </w:rPr>
            </w:pPr>
            <w:r>
              <w:rPr>
                <w:rFonts w:ascii="Calibri Light" w:hAnsi="Calibri Light" w:cs="Calibri Light"/>
                <w:sz w:val="24"/>
                <w:szCs w:val="24"/>
                <w:lang w:val="en-ID"/>
              </w:rPr>
              <w:t>Ijtihad plays a significant role in adapting Islamic principles to modern human rights norms.</w:t>
            </w:r>
          </w:p>
        </w:tc>
      </w:tr>
    </w:tbl>
    <w:p w14:paraId="1500B47B" w14:textId="77777777" w:rsidR="002E29FD" w:rsidRDefault="002E29FD" w:rsidP="002E29FD">
      <w:pPr>
        <w:jc w:val="both"/>
        <w:rPr>
          <w:rFonts w:ascii="Calibri Light" w:hAnsi="Calibri Light" w:cs="Calibri Light"/>
          <w:color w:val="FF0000"/>
          <w:sz w:val="24"/>
          <w:szCs w:val="24"/>
          <w:rtl/>
        </w:rPr>
      </w:pPr>
      <w:r>
        <w:rPr>
          <w:rFonts w:ascii="Calibri Light" w:hAnsi="Calibri Light" w:cs="Calibri Light"/>
          <w:color w:val="FF0000"/>
          <w:sz w:val="24"/>
          <w:szCs w:val="24"/>
          <w:rtl/>
        </w:rPr>
        <w:t xml:space="preserve"> </w:t>
      </w:r>
      <w:r>
        <w:rPr>
          <w:rFonts w:ascii="Calibri Light" w:hAnsi="Calibri Light" w:cs="Calibri Light"/>
          <w:color w:val="FF0000"/>
          <w:sz w:val="24"/>
          <w:szCs w:val="24"/>
          <w:rtl/>
        </w:rPr>
        <w:tab/>
      </w:r>
    </w:p>
    <w:p w14:paraId="7B165EE5" w14:textId="77777777" w:rsidR="00EA4E48" w:rsidRDefault="00EA4E48" w:rsidP="002E29FD">
      <w:pPr>
        <w:jc w:val="both"/>
        <w:rPr>
          <w:rFonts w:ascii="Calibri Light" w:hAnsi="Calibri Light" w:cs="Calibri Light"/>
          <w:b/>
          <w:bCs/>
          <w:sz w:val="24"/>
          <w:szCs w:val="24"/>
        </w:rPr>
      </w:pPr>
    </w:p>
    <w:p w14:paraId="4AE673D6" w14:textId="77777777" w:rsidR="00EA4E48" w:rsidRDefault="00EA4E48" w:rsidP="002E29FD">
      <w:pPr>
        <w:jc w:val="both"/>
        <w:rPr>
          <w:rFonts w:ascii="Calibri Light" w:hAnsi="Calibri Light" w:cs="Calibri Light"/>
          <w:b/>
          <w:bCs/>
          <w:sz w:val="24"/>
          <w:szCs w:val="24"/>
        </w:rPr>
      </w:pPr>
    </w:p>
    <w:p w14:paraId="63283B91" w14:textId="77777777" w:rsidR="00EA4E48" w:rsidRDefault="00EA4E48" w:rsidP="002E29FD">
      <w:pPr>
        <w:jc w:val="both"/>
        <w:rPr>
          <w:rFonts w:ascii="Calibri Light" w:hAnsi="Calibri Light" w:cs="Calibri Light"/>
          <w:b/>
          <w:bCs/>
          <w:sz w:val="24"/>
          <w:szCs w:val="24"/>
        </w:rPr>
      </w:pPr>
    </w:p>
    <w:p w14:paraId="30319E0F" w14:textId="77777777" w:rsidR="00EA4E48" w:rsidRDefault="00EA4E48" w:rsidP="002E29FD">
      <w:pPr>
        <w:jc w:val="both"/>
        <w:rPr>
          <w:rFonts w:ascii="Calibri Light" w:hAnsi="Calibri Light" w:cs="Calibri Light"/>
          <w:b/>
          <w:bCs/>
          <w:sz w:val="24"/>
          <w:szCs w:val="24"/>
        </w:rPr>
      </w:pPr>
    </w:p>
    <w:p w14:paraId="07D0EC77" w14:textId="77777777" w:rsidR="00EA4E48" w:rsidRDefault="00EA4E48" w:rsidP="002E29FD">
      <w:pPr>
        <w:jc w:val="both"/>
        <w:rPr>
          <w:rFonts w:ascii="Calibri Light" w:hAnsi="Calibri Light" w:cs="Calibri Light"/>
          <w:b/>
          <w:bCs/>
          <w:sz w:val="24"/>
          <w:szCs w:val="24"/>
        </w:rPr>
      </w:pPr>
    </w:p>
    <w:p w14:paraId="7139367E" w14:textId="77777777" w:rsidR="00EA4E48" w:rsidRDefault="00EA4E48" w:rsidP="002E29FD">
      <w:pPr>
        <w:jc w:val="both"/>
        <w:rPr>
          <w:rFonts w:ascii="Calibri Light" w:hAnsi="Calibri Light" w:cs="Calibri Light"/>
          <w:b/>
          <w:bCs/>
          <w:sz w:val="24"/>
          <w:szCs w:val="24"/>
        </w:rPr>
      </w:pPr>
    </w:p>
    <w:p w14:paraId="1EF36030" w14:textId="77777777" w:rsidR="00EA4E48" w:rsidRDefault="00EA4E48" w:rsidP="002E29FD">
      <w:pPr>
        <w:jc w:val="both"/>
        <w:rPr>
          <w:rFonts w:ascii="Calibri Light" w:hAnsi="Calibri Light" w:cs="Calibri Light"/>
          <w:b/>
          <w:bCs/>
          <w:sz w:val="24"/>
          <w:szCs w:val="24"/>
        </w:rPr>
      </w:pPr>
    </w:p>
    <w:p w14:paraId="04570739" w14:textId="77777777" w:rsidR="00EA4E48" w:rsidRDefault="00EA4E48" w:rsidP="002E29FD">
      <w:pPr>
        <w:jc w:val="both"/>
        <w:rPr>
          <w:rFonts w:ascii="Calibri Light" w:hAnsi="Calibri Light" w:cs="Calibri Light"/>
          <w:b/>
          <w:bCs/>
          <w:sz w:val="24"/>
          <w:szCs w:val="24"/>
        </w:rPr>
      </w:pPr>
    </w:p>
    <w:p w14:paraId="7800BE74" w14:textId="77777777" w:rsidR="00EA4E48" w:rsidRDefault="00EA4E48" w:rsidP="002E29FD">
      <w:pPr>
        <w:jc w:val="both"/>
        <w:rPr>
          <w:rFonts w:ascii="Calibri Light" w:hAnsi="Calibri Light" w:cs="Calibri Light"/>
          <w:b/>
          <w:bCs/>
          <w:sz w:val="24"/>
          <w:szCs w:val="24"/>
        </w:rPr>
      </w:pPr>
    </w:p>
    <w:p w14:paraId="7D995493" w14:textId="77777777" w:rsidR="00EA4E48" w:rsidRDefault="00EA4E48" w:rsidP="002E29FD">
      <w:pPr>
        <w:jc w:val="both"/>
        <w:rPr>
          <w:rFonts w:ascii="Calibri Light" w:hAnsi="Calibri Light" w:cs="Calibri Light"/>
          <w:b/>
          <w:bCs/>
          <w:sz w:val="24"/>
          <w:szCs w:val="24"/>
        </w:rPr>
      </w:pPr>
    </w:p>
    <w:p w14:paraId="276B1E54" w14:textId="77777777" w:rsidR="00EA4E48" w:rsidRDefault="00EA4E48" w:rsidP="002E29FD">
      <w:pPr>
        <w:jc w:val="both"/>
        <w:rPr>
          <w:rFonts w:ascii="Calibri Light" w:hAnsi="Calibri Light" w:cs="Calibri Light"/>
          <w:b/>
          <w:bCs/>
          <w:sz w:val="24"/>
          <w:szCs w:val="24"/>
        </w:rPr>
      </w:pPr>
    </w:p>
    <w:p w14:paraId="229AC55B" w14:textId="77777777" w:rsidR="00EA4E48" w:rsidRDefault="00EA4E48" w:rsidP="002E29FD">
      <w:pPr>
        <w:jc w:val="both"/>
        <w:rPr>
          <w:rFonts w:ascii="Calibri Light" w:hAnsi="Calibri Light" w:cs="Calibri Light"/>
          <w:b/>
          <w:bCs/>
          <w:sz w:val="24"/>
          <w:szCs w:val="24"/>
        </w:rPr>
      </w:pPr>
    </w:p>
    <w:p w14:paraId="490CE62E" w14:textId="77777777" w:rsidR="00EA4E48" w:rsidRDefault="00EA4E48" w:rsidP="002E29FD">
      <w:pPr>
        <w:jc w:val="both"/>
        <w:rPr>
          <w:rFonts w:ascii="Calibri Light" w:hAnsi="Calibri Light" w:cs="Calibri Light"/>
          <w:b/>
          <w:bCs/>
          <w:sz w:val="24"/>
          <w:szCs w:val="24"/>
        </w:rPr>
      </w:pPr>
    </w:p>
    <w:p w14:paraId="599618B9" w14:textId="77777777" w:rsidR="00EA4E48" w:rsidRDefault="00EA4E48" w:rsidP="002E29FD">
      <w:pPr>
        <w:jc w:val="both"/>
        <w:rPr>
          <w:rFonts w:ascii="Calibri Light" w:hAnsi="Calibri Light" w:cs="Calibri Light"/>
          <w:b/>
          <w:bCs/>
          <w:sz w:val="24"/>
          <w:szCs w:val="24"/>
        </w:rPr>
      </w:pPr>
    </w:p>
    <w:p w14:paraId="0E0F12F2" w14:textId="77777777" w:rsidR="00EA4E48" w:rsidRDefault="00EA4E48" w:rsidP="002E29FD">
      <w:pPr>
        <w:jc w:val="both"/>
        <w:rPr>
          <w:rFonts w:ascii="Calibri Light" w:hAnsi="Calibri Light" w:cs="Calibri Light"/>
          <w:b/>
          <w:bCs/>
          <w:sz w:val="24"/>
          <w:szCs w:val="24"/>
        </w:rPr>
      </w:pPr>
    </w:p>
    <w:p w14:paraId="5C2F82A6" w14:textId="77777777" w:rsidR="00EA4E48" w:rsidRDefault="00EA4E48" w:rsidP="002E29FD">
      <w:pPr>
        <w:jc w:val="both"/>
        <w:rPr>
          <w:rFonts w:ascii="Calibri Light" w:hAnsi="Calibri Light" w:cs="Calibri Light"/>
          <w:b/>
          <w:bCs/>
          <w:sz w:val="24"/>
          <w:szCs w:val="24"/>
        </w:rPr>
      </w:pPr>
    </w:p>
    <w:p w14:paraId="06676190" w14:textId="77777777" w:rsidR="00EA4E48" w:rsidRDefault="00EA4E48" w:rsidP="002E29FD">
      <w:pPr>
        <w:jc w:val="both"/>
        <w:rPr>
          <w:rFonts w:ascii="Calibri Light" w:hAnsi="Calibri Light" w:cs="Calibri Light"/>
          <w:b/>
          <w:bCs/>
          <w:sz w:val="24"/>
          <w:szCs w:val="24"/>
        </w:rPr>
      </w:pPr>
    </w:p>
    <w:p w14:paraId="44A959CC" w14:textId="77777777" w:rsidR="00EA4E48" w:rsidRDefault="00EA4E48" w:rsidP="002E29FD">
      <w:pPr>
        <w:jc w:val="both"/>
        <w:rPr>
          <w:rFonts w:ascii="Calibri Light" w:hAnsi="Calibri Light" w:cs="Calibri Light"/>
          <w:b/>
          <w:bCs/>
          <w:sz w:val="24"/>
          <w:szCs w:val="24"/>
        </w:rPr>
      </w:pPr>
    </w:p>
    <w:p w14:paraId="43DDEC6E" w14:textId="77777777" w:rsidR="00EA4E48" w:rsidRDefault="00EA4E48" w:rsidP="002E29FD">
      <w:pPr>
        <w:jc w:val="both"/>
        <w:rPr>
          <w:rFonts w:ascii="Calibri Light" w:hAnsi="Calibri Light" w:cs="Calibri Light"/>
          <w:b/>
          <w:bCs/>
          <w:sz w:val="24"/>
          <w:szCs w:val="24"/>
        </w:rPr>
      </w:pPr>
    </w:p>
    <w:p w14:paraId="047B70AF" w14:textId="77777777" w:rsidR="00EA4E48" w:rsidRDefault="00EA4E48" w:rsidP="002E29FD">
      <w:pPr>
        <w:jc w:val="both"/>
        <w:rPr>
          <w:rFonts w:ascii="Calibri Light" w:hAnsi="Calibri Light" w:cs="Calibri Light"/>
          <w:b/>
          <w:bCs/>
          <w:sz w:val="24"/>
          <w:szCs w:val="24"/>
        </w:rPr>
      </w:pPr>
    </w:p>
    <w:p w14:paraId="73C866BD" w14:textId="77777777" w:rsidR="00EA4E48" w:rsidRDefault="00EA4E48" w:rsidP="002E29FD">
      <w:pPr>
        <w:jc w:val="both"/>
        <w:rPr>
          <w:rFonts w:ascii="Calibri Light" w:hAnsi="Calibri Light" w:cs="Calibri Light"/>
          <w:b/>
          <w:bCs/>
          <w:sz w:val="24"/>
          <w:szCs w:val="24"/>
        </w:rPr>
      </w:pPr>
    </w:p>
    <w:p w14:paraId="11420D31" w14:textId="77777777" w:rsidR="00EA4E48" w:rsidRDefault="00EA4E48" w:rsidP="002E29FD">
      <w:pPr>
        <w:jc w:val="both"/>
        <w:rPr>
          <w:rFonts w:ascii="Calibri Light" w:hAnsi="Calibri Light" w:cs="Calibri Light"/>
          <w:b/>
          <w:bCs/>
          <w:sz w:val="24"/>
          <w:szCs w:val="24"/>
        </w:rPr>
      </w:pPr>
    </w:p>
    <w:p w14:paraId="6D5A1644" w14:textId="77777777" w:rsidR="00EA4E48" w:rsidRDefault="00EA4E48" w:rsidP="002E29FD">
      <w:pPr>
        <w:jc w:val="both"/>
        <w:rPr>
          <w:rFonts w:ascii="Calibri Light" w:hAnsi="Calibri Light" w:cs="Calibri Light"/>
          <w:b/>
          <w:bCs/>
          <w:sz w:val="24"/>
          <w:szCs w:val="24"/>
        </w:rPr>
      </w:pPr>
    </w:p>
    <w:p w14:paraId="298A8511" w14:textId="77777777" w:rsidR="00EA4E48" w:rsidRDefault="00EA4E48" w:rsidP="002E29FD">
      <w:pPr>
        <w:jc w:val="both"/>
        <w:rPr>
          <w:rFonts w:ascii="Calibri Light" w:hAnsi="Calibri Light" w:cs="Calibri Light"/>
          <w:b/>
          <w:bCs/>
          <w:sz w:val="24"/>
          <w:szCs w:val="24"/>
        </w:rPr>
      </w:pPr>
    </w:p>
    <w:p w14:paraId="5078C2C7" w14:textId="77777777" w:rsidR="00EA4E48" w:rsidRDefault="00EA4E48" w:rsidP="002E29FD">
      <w:pPr>
        <w:jc w:val="both"/>
        <w:rPr>
          <w:rFonts w:ascii="Calibri Light" w:hAnsi="Calibri Light" w:cs="Calibri Light"/>
          <w:b/>
          <w:bCs/>
          <w:sz w:val="24"/>
          <w:szCs w:val="24"/>
        </w:rPr>
      </w:pPr>
    </w:p>
    <w:p w14:paraId="6543FF94" w14:textId="77777777" w:rsidR="00EA4E48" w:rsidRDefault="00EA4E48" w:rsidP="002E29FD">
      <w:pPr>
        <w:jc w:val="both"/>
        <w:rPr>
          <w:rFonts w:ascii="Calibri Light" w:hAnsi="Calibri Light" w:cs="Calibri Light"/>
          <w:b/>
          <w:bCs/>
          <w:sz w:val="24"/>
          <w:szCs w:val="24"/>
        </w:rPr>
      </w:pPr>
    </w:p>
    <w:p w14:paraId="247EC097" w14:textId="77777777" w:rsidR="00EA4E48" w:rsidRDefault="00EA4E48" w:rsidP="002E29FD">
      <w:pPr>
        <w:jc w:val="both"/>
        <w:rPr>
          <w:rFonts w:ascii="Calibri Light" w:hAnsi="Calibri Light" w:cs="Calibri Light"/>
          <w:b/>
          <w:bCs/>
          <w:sz w:val="24"/>
          <w:szCs w:val="24"/>
        </w:rPr>
      </w:pPr>
    </w:p>
    <w:p w14:paraId="57189A17" w14:textId="2EE1A8A6" w:rsidR="002E29FD" w:rsidRDefault="002E29FD" w:rsidP="002E29FD">
      <w:pPr>
        <w:jc w:val="both"/>
        <w:rPr>
          <w:rFonts w:ascii="Calibri Light" w:hAnsi="Calibri Light" w:cs="Calibri Light"/>
          <w:b/>
          <w:bCs/>
          <w:sz w:val="24"/>
          <w:szCs w:val="24"/>
        </w:rPr>
      </w:pPr>
      <w:r w:rsidRPr="002E29FD">
        <w:rPr>
          <w:rFonts w:ascii="Calibri Light" w:hAnsi="Calibri Light" w:cs="Calibri Light"/>
          <w:b/>
          <w:bCs/>
          <w:sz w:val="24"/>
          <w:szCs w:val="24"/>
        </w:rPr>
        <w:lastRenderedPageBreak/>
        <w:t>Discussion</w:t>
      </w:r>
    </w:p>
    <w:p w14:paraId="532D1484" w14:textId="77777777" w:rsidR="008759AC" w:rsidRPr="002E29FD" w:rsidRDefault="008759AC" w:rsidP="002E29FD">
      <w:pPr>
        <w:jc w:val="both"/>
        <w:rPr>
          <w:rFonts w:ascii="Calibri Light" w:hAnsi="Calibri Light" w:cs="Calibri Light"/>
          <w:b/>
          <w:bCs/>
          <w:sz w:val="24"/>
          <w:szCs w:val="24"/>
        </w:rPr>
      </w:pPr>
    </w:p>
    <w:p w14:paraId="3FFBF740" w14:textId="77777777" w:rsidR="008759AC" w:rsidRPr="008759AC" w:rsidRDefault="008759AC" w:rsidP="008759AC">
      <w:pPr>
        <w:jc w:val="both"/>
        <w:rPr>
          <w:rFonts w:ascii="Calibri Light" w:eastAsia="MS Mincho" w:hAnsi="Calibri Light" w:cs="Calibri Light"/>
          <w:sz w:val="24"/>
          <w:szCs w:val="24"/>
          <w:lang w:eastAsia="en-US"/>
        </w:rPr>
      </w:pPr>
      <w:r w:rsidRPr="008759AC">
        <w:rPr>
          <w:rFonts w:ascii="Calibri Light" w:eastAsia="MS Mincho" w:hAnsi="Calibri Light" w:cs="Calibri Light"/>
          <w:sz w:val="24"/>
          <w:szCs w:val="24"/>
          <w:lang w:eastAsia="en-US"/>
        </w:rPr>
        <w:t>The findings of this study provide an in-depth understanding of how the Qur'an’s teachings on justice, equality, and human dignity are interpreted and applied in the legal systems of Egypt and Indonesia. Both countries reflect the complexities of balancing traditional Islamic values with modern human rights frameworks.</w:t>
      </w:r>
    </w:p>
    <w:p w14:paraId="09890C5D" w14:textId="7191237E" w:rsidR="007F2213" w:rsidRPr="007F2213" w:rsidRDefault="007F2213" w:rsidP="007F2213">
      <w:pPr>
        <w:autoSpaceDE/>
        <w:autoSpaceDN/>
        <w:spacing w:after="200" w:line="276" w:lineRule="auto"/>
        <w:jc w:val="both"/>
        <w:rPr>
          <w:rFonts w:ascii="Calibri Light" w:eastAsia="MS Mincho" w:hAnsi="Calibri Light" w:cs="Calibri Light"/>
          <w:sz w:val="24"/>
          <w:szCs w:val="24"/>
          <w:lang w:eastAsia="en-US"/>
        </w:rPr>
      </w:pPr>
      <w:r w:rsidRPr="007F2213">
        <w:rPr>
          <w:rFonts w:ascii="Calibri Light" w:eastAsia="MS Mincho" w:hAnsi="Calibri Light" w:cs="Calibri Light"/>
          <w:sz w:val="24"/>
          <w:szCs w:val="24"/>
          <w:lang w:eastAsia="en-US"/>
        </w:rPr>
        <w:t>In Egypt, while the Qur'an’s principles of justice and equality are clearly articulated, the application of these values is limited by conservative interpretations of Shari'ah law. Gender equality, for instance, remains an area of contention</w:t>
      </w:r>
      <w:r w:rsidR="008759AC">
        <w:rPr>
          <w:rFonts w:ascii="Calibri Light" w:eastAsia="MS Mincho" w:hAnsi="Calibri Light" w:cs="Calibri Light"/>
          <w:sz w:val="24"/>
          <w:szCs w:val="24"/>
          <w:lang w:eastAsia="en-US"/>
        </w:rPr>
        <w:fldChar w:fldCharType="begin" w:fldLock="1"/>
      </w:r>
      <w:r w:rsidR="008759AC">
        <w:rPr>
          <w:rFonts w:ascii="Calibri Light" w:eastAsia="MS Mincho" w:hAnsi="Calibri Light" w:cs="Calibri Light"/>
          <w:sz w:val="24"/>
          <w:szCs w:val="24"/>
          <w:lang w:eastAsia="en-US"/>
        </w:rPr>
        <w:instrText>ADDIN CSL_CITATION {"citationItems":[{"id":"ITEM-1","itemData":{"ISBN":"978-150998249-3 (ISBN); 978-150998247-9 (ISBN)","abstract":"This book makes a new and original contribution to the old debate about differences between socio-economic and civil and political rights, which has engaged human rights discourse over several decades. Although scholars and practitioners now agree that these categories are more alike than originally assumed, they continue to delineate them based on the alleged difference between immediate and progressive realisation. The book asks whether this differentiation is still valid by exploring the historical and theoretical background, the text of relevant UN human rights treaties, and the practice of the UN human rights committees. By so doing, it shows that the standards of realisation converge more than diverge and that this last remaining distinction should be abandoned. Human rights lawyers, advocates, practitioners and policy makers will find this book invaluable as it brings much needed clarification to this key question. © Tobias Wirthle, 2025. All rights reserved.","author":[{"dropping-particle":"","family":"Wirthle","given":"T","non-dropping-particle":"","parse-names":false,"suffix":""}],"container-title":"Immediate and Progressive Realisation in International Human Rights Law","id":"ITEM-1","issued":{"date-parts":[["2025"]]},"language":"English","note":"Export Date: 26 January 2025; Cited By: 0","number-of-pages":"1-282","publisher":"Bloomsbury Publishing Plc.","publisher-place":"Münster University, Germany","title":"Immediate and progressive realisation in international human rights law","type":"book"},"uris":["http://www.mendeley.com/documents/?uuid=73f51c95-1dd0-4652-9996-22bc0d0dee59"]}],"mendeley":{"formattedCitation":"(Wirthle, 2025)","plainTextFormattedCitation":"(Wirthle, 2025)","previouslyFormattedCitation":"(Wirthle, 2025)"},"properties":{"noteIndex":0},"schema":"https://github.com/citation-style-language/schema/raw/master/csl-citation.json"}</w:instrText>
      </w:r>
      <w:r w:rsidR="008759AC">
        <w:rPr>
          <w:rFonts w:ascii="Calibri Light" w:eastAsia="MS Mincho" w:hAnsi="Calibri Light" w:cs="Calibri Light"/>
          <w:sz w:val="24"/>
          <w:szCs w:val="24"/>
          <w:lang w:eastAsia="en-US"/>
        </w:rPr>
        <w:fldChar w:fldCharType="separate"/>
      </w:r>
      <w:r w:rsidR="008759AC" w:rsidRPr="008759AC">
        <w:rPr>
          <w:rFonts w:ascii="Calibri Light" w:eastAsia="MS Mincho" w:hAnsi="Calibri Light" w:cs="Calibri Light"/>
          <w:noProof/>
          <w:sz w:val="24"/>
          <w:szCs w:val="24"/>
          <w:lang w:eastAsia="en-US"/>
        </w:rPr>
        <w:t>(Wirthle, 2025)</w:t>
      </w:r>
      <w:r w:rsidR="008759AC">
        <w:rPr>
          <w:rFonts w:ascii="Calibri Light" w:eastAsia="MS Mincho" w:hAnsi="Calibri Light" w:cs="Calibri Light"/>
          <w:sz w:val="24"/>
          <w:szCs w:val="24"/>
          <w:lang w:eastAsia="en-US"/>
        </w:rPr>
        <w:fldChar w:fldCharType="end"/>
      </w:r>
      <w:r w:rsidRPr="007F2213">
        <w:rPr>
          <w:rFonts w:ascii="Calibri Light" w:eastAsia="MS Mincho" w:hAnsi="Calibri Light" w:cs="Calibri Light"/>
          <w:sz w:val="24"/>
          <w:szCs w:val="24"/>
          <w:lang w:eastAsia="en-US"/>
        </w:rPr>
        <w:t>. Despite the Qur'anic assertion that men and women are equal in the sight of Allah, Egyptian law often places women in a subordinate role, particularly in the areas of inheritance, marriage, and divorce(Ardiansyah, Waston, et al. 2024). The Qur'an clearly states that "For men is a share of what the parents and close relatives leave, and for women is a share of what the parents and close relatives leave" (Qur'an 4:7), yet the inheritance laws in Egypt continue to reflect gender inequality in practice. This highlights a gap between the Qur'anic principle of equality and its practical application in the legal system.</w:t>
      </w:r>
    </w:p>
    <w:p w14:paraId="69AC0D92" w14:textId="3EC7BC90" w:rsidR="007F2213" w:rsidRPr="007F2213" w:rsidRDefault="007F2213" w:rsidP="007F2213">
      <w:pPr>
        <w:autoSpaceDE/>
        <w:autoSpaceDN/>
        <w:spacing w:after="200" w:line="276" w:lineRule="auto"/>
        <w:jc w:val="both"/>
        <w:rPr>
          <w:rFonts w:ascii="Calibri Light" w:eastAsia="MS Mincho" w:hAnsi="Calibri Light" w:cs="Calibri Light"/>
          <w:sz w:val="24"/>
          <w:szCs w:val="24"/>
          <w:lang w:eastAsia="en-US"/>
        </w:rPr>
      </w:pPr>
      <w:r w:rsidRPr="007F2213">
        <w:rPr>
          <w:rFonts w:ascii="Calibri Light" w:eastAsia="MS Mincho" w:hAnsi="Calibri Light" w:cs="Calibri Light"/>
          <w:sz w:val="24"/>
          <w:szCs w:val="24"/>
          <w:lang w:eastAsia="en-US"/>
        </w:rPr>
        <w:t>Indonesia, on the other hand, demonstrates a more inclusive approach to human rights. While regions such as Aceh have faced criticism for their strict implementation of Shari'ah law, the broader Indonesian legal system allows for a wider interpretation of human rights</w:t>
      </w:r>
      <w:r w:rsidR="008759AC">
        <w:rPr>
          <w:rFonts w:ascii="Calibri Light" w:eastAsia="MS Mincho" w:hAnsi="Calibri Light" w:cs="Calibri Light"/>
          <w:sz w:val="24"/>
          <w:szCs w:val="24"/>
          <w:lang w:eastAsia="en-US"/>
        </w:rPr>
        <w:fldChar w:fldCharType="begin" w:fldLock="1"/>
      </w:r>
      <w:r w:rsidR="008759AC">
        <w:rPr>
          <w:rFonts w:ascii="Calibri Light" w:eastAsia="MS Mincho" w:hAnsi="Calibri Light" w:cs="Calibri Light"/>
          <w:sz w:val="24"/>
          <w:szCs w:val="24"/>
          <w:lang w:eastAsia="en-US"/>
        </w:rPr>
        <w:instrText>ADDIN CSL_CITATION {"citationItems":[{"id":"ITEM-1","itemData":{"DOI":"10.1007/s41134-024-00361-9","ISSN":"23651792 (ISSN)","abstract":"Human rights and Intellectual Property Rights (IPRs) have developed independently. Human rights are inalienable rights associated with human dignity while IPRs are the rights with the goal of promoting innovations and the interests of select communities to further economic and technological growth. The economic and personal interests of the individual have received prime attention under the international intellectual property law. Economic growth is given priority over human rights in the international criteria for IPRs in global trade. Whereas, it has a significant impact on the implementation of human rights for both individuals and communities, including the rights to adequate food, health, environment, and education. IPRs are gravely at odds with human rights, even though a connection between the two rights can be found in General Comment No. 17 on Article 15(1)(c) of the International Covenant on Economic, Social, and Cultural Rights (ICESCR) and Article 27 of the Universal Declaration of Human Rights (UDHR). According to the UDHR, intellectual property is a human right in and of itself, but its enforcement often infringes other human rights. In light of the above perspective, the authors explore the interrelationship between IPRs and human rights and also analyze the evolving IPRs, in different fields of its application, causing adversarial impacts on several other human rights. © The Author(s), under exclusive licence to Springer Nature Switzerland AG 2025.","author":[{"dropping-particle":"","family":"Pandey","given":"A","non-dropping-particle":"","parse-names":false,"suffix":""},{"dropping-particle":"","family":"Mishra","given":"A","non-dropping-particle":"","parse-names":false,"suffix":""}],"container-title":"Journal of Human Rights and Social Work","id":"ITEM-1","issued":{"date-parts":[["2025"]]},"language":"English","note":"Export Date: 26 January 2025; Cited By: 0; Correspondence Address: A. Pandey; School of Law, Christ University, Bangalore, Karnataka, India; email: ananya.pandey@res.christuniversity.in","publisher":"Springer Science and Business Media B.V.","publisher-place":"School of Law, Christ University, Karnataka, Bangalore, India","title":"Conflict and Coexistence of Human Rights: An Exploratory Study with Reference to Intellectual Property Rights","type":"article-journal"},"uris":["http://www.mendeley.com/documents/?uuid=8099a9d7-b89b-4cbf-b4b9-be6d5874968e"]}],"mendeley":{"formattedCitation":"(Pandey &amp; Mishra, 2025)","plainTextFormattedCitation":"(Pandey &amp; Mishra, 2025)","previouslyFormattedCitation":"(Pandey &amp; Mishra, 2025)"},"properties":{"noteIndex":0},"schema":"https://github.com/citation-style-language/schema/raw/master/csl-citation.json"}</w:instrText>
      </w:r>
      <w:r w:rsidR="008759AC">
        <w:rPr>
          <w:rFonts w:ascii="Calibri Light" w:eastAsia="MS Mincho" w:hAnsi="Calibri Light" w:cs="Calibri Light"/>
          <w:sz w:val="24"/>
          <w:szCs w:val="24"/>
          <w:lang w:eastAsia="en-US"/>
        </w:rPr>
        <w:fldChar w:fldCharType="separate"/>
      </w:r>
      <w:r w:rsidR="008759AC" w:rsidRPr="008759AC">
        <w:rPr>
          <w:rFonts w:ascii="Calibri Light" w:eastAsia="MS Mincho" w:hAnsi="Calibri Light" w:cs="Calibri Light"/>
          <w:noProof/>
          <w:sz w:val="24"/>
          <w:szCs w:val="24"/>
          <w:lang w:eastAsia="en-US"/>
        </w:rPr>
        <w:t>(Pandey &amp; Mishra, 2025)</w:t>
      </w:r>
      <w:r w:rsidR="008759AC">
        <w:rPr>
          <w:rFonts w:ascii="Calibri Light" w:eastAsia="MS Mincho" w:hAnsi="Calibri Light" w:cs="Calibri Light"/>
          <w:sz w:val="24"/>
          <w:szCs w:val="24"/>
          <w:lang w:eastAsia="en-US"/>
        </w:rPr>
        <w:fldChar w:fldCharType="end"/>
      </w:r>
      <w:r w:rsidRPr="007F2213">
        <w:rPr>
          <w:rFonts w:ascii="Calibri Light" w:eastAsia="MS Mincho" w:hAnsi="Calibri Light" w:cs="Calibri Light"/>
          <w:sz w:val="24"/>
          <w:szCs w:val="24"/>
          <w:lang w:eastAsia="en-US"/>
        </w:rPr>
        <w:t>. The country’s pluralistic society has allowed for a legal framework that incorporates Islamic values while respecting international human rights standards(AN, ., et al. 2024). This is particularly evident in the protection of religious freedoms, where Indonesia has a strong tradition of religious tolerance that is not as readily observed in Egypt(Ali et al. 2025).</w:t>
      </w:r>
    </w:p>
    <w:p w14:paraId="08918650" w14:textId="77777777" w:rsidR="007F2213" w:rsidRPr="007F2213" w:rsidRDefault="007F2213" w:rsidP="007F2213">
      <w:pPr>
        <w:autoSpaceDE/>
        <w:autoSpaceDN/>
        <w:spacing w:after="200" w:line="276" w:lineRule="auto"/>
        <w:jc w:val="both"/>
        <w:rPr>
          <w:rFonts w:ascii="Calibri Light" w:eastAsia="MS Mincho" w:hAnsi="Calibri Light" w:cs="Calibri Light"/>
          <w:sz w:val="24"/>
          <w:szCs w:val="24"/>
          <w:lang w:eastAsia="en-US"/>
        </w:rPr>
      </w:pPr>
      <w:r w:rsidRPr="007F2213">
        <w:rPr>
          <w:rFonts w:ascii="Calibri Light" w:eastAsia="MS Mincho" w:hAnsi="Calibri Light" w:cs="Calibri Light"/>
          <w:sz w:val="24"/>
          <w:szCs w:val="24"/>
          <w:lang w:eastAsia="en-US"/>
        </w:rPr>
        <w:t>The role of ijtihad in Indonesia has also allowed for a more progressive and evolving interpretation of Islamic law. Scholars in Indonesia have embraced the concept of ijtihad to address contemporary human rights issues, such as gender equality and religious freedom(AN, Mahmudulhassan, et al. 2024). By adapting traditional interpretations to modern realities, ijtihad has become an essential tool for aligning Islamic principles with international human rights norms.</w:t>
      </w:r>
    </w:p>
    <w:p w14:paraId="51DA7098" w14:textId="380E8DC2" w:rsidR="007F2213" w:rsidRPr="007F2213" w:rsidRDefault="007F2213" w:rsidP="007F2213">
      <w:pPr>
        <w:autoSpaceDE/>
        <w:autoSpaceDN/>
        <w:spacing w:after="200" w:line="276" w:lineRule="auto"/>
        <w:jc w:val="both"/>
        <w:rPr>
          <w:rFonts w:ascii="Calibri Light" w:eastAsia="MS Mincho" w:hAnsi="Calibri Light" w:cs="Calibri Light"/>
          <w:sz w:val="24"/>
          <w:szCs w:val="24"/>
          <w:lang w:eastAsia="en-US"/>
        </w:rPr>
      </w:pPr>
      <w:r w:rsidRPr="007F2213">
        <w:rPr>
          <w:rFonts w:ascii="Calibri Light" w:eastAsia="MS Mincho" w:hAnsi="Calibri Light" w:cs="Calibri Light"/>
          <w:sz w:val="24"/>
          <w:szCs w:val="24"/>
          <w:lang w:eastAsia="en-US"/>
        </w:rPr>
        <w:t>Despite these differences, both countries face similar challenges in reconciling traditional Islamic teachings with modern legal norms. The tension between maintaining the integrity of Islamic law and adhering to global human rights standards remains a key issue in both Egypt and Indonesia(Nurul Hidayah, Rasyid, and Windarto 2024). This is particularly true in areas such as gender equality, freedom of expression, and religious freedom</w:t>
      </w:r>
      <w:r w:rsidR="008759AC">
        <w:rPr>
          <w:rFonts w:ascii="Calibri Light" w:eastAsia="MS Mincho" w:hAnsi="Calibri Light" w:cs="Calibri Light"/>
          <w:sz w:val="24"/>
          <w:szCs w:val="24"/>
          <w:lang w:eastAsia="en-US"/>
        </w:rPr>
        <w:fldChar w:fldCharType="begin" w:fldLock="1"/>
      </w:r>
      <w:r w:rsidR="008759AC">
        <w:rPr>
          <w:rFonts w:ascii="Calibri Light" w:eastAsia="MS Mincho" w:hAnsi="Calibri Light" w:cs="Calibri Light"/>
          <w:sz w:val="24"/>
          <w:szCs w:val="24"/>
          <w:lang w:eastAsia="en-US"/>
        </w:rPr>
        <w:instrText>ADDIN CSL_CITATION {"citationItems":[{"id":"ITEM-1","itemData":{"ISSN":"21504113 (ISSN)","abstract":"In view of the United Nations' goal to achieve universal health coverage (UHC) by 2030, this paper investigates MakueniCare, the highly successful UHC program in Makueni County, Kenya, to reveal the spirit of human rights underlying it. Drawing on international, Kenyan, and Makueni County law and policy, as well as 30 interviews with government and civil society leaders in health care policy and programming at the national and county levels, we examine the human rights law and principles that underlie the adoption and implementation of MakueniCare. We first set out key human rights principles grounded in the International Covenant on Economic, Social and Cultural Rights and the 2010 Kenyan Constitution, and then describe the research design and methodology of the project. Then, we analyze the data collected to highlight the various ways in which the adoption and implementation of MakueniCare were influenced by human rights, particularly the right to health. We conclude with thoughts on how MakueniCare could be further improved from a human rights perspective. Copyright © 2024 Kamau and MacNaughton.","author":[{"dropping-particle":"","family":"Kamau","given":"E","non-dropping-particle":"","parse-names":false,"suffix":""},{"dropping-particle":"","family":"MacNaughton","given":"G","non-dropping-particle":"","parse-names":false,"suffix":""}],"container-title":"Health and human rights","id":"ITEM-1","issue":"2","issued":{"date-parts":[["2024"]]},"language":"English","note":"Export Date: 26 January 2025; Cited By: 0","page":"25-37","publisher-place":"Research manager at the Institute for Community Inclusion at the University of Massachusetts Boston, United States","title":"The Spirit of Human Rights: Universal Health Coverage in Makueni County, Kenya","type":"article-journal","volume":"26"},"uris":["http://www.mendeley.com/documents/?uuid=1e2e931d-bdfc-4f1f-9013-268f64fd8cd0"]}],"mendeley":{"formattedCitation":"(Kamau &amp; MacNaughton, 2024)","plainTextFormattedCitation":"(Kamau &amp; MacNaughton, 2024)"},"properties":{"noteIndex":0},"schema":"https://github.com/citation-style-language/schema/raw/master/csl-citation.json"}</w:instrText>
      </w:r>
      <w:r w:rsidR="008759AC">
        <w:rPr>
          <w:rFonts w:ascii="Calibri Light" w:eastAsia="MS Mincho" w:hAnsi="Calibri Light" w:cs="Calibri Light"/>
          <w:sz w:val="24"/>
          <w:szCs w:val="24"/>
          <w:lang w:eastAsia="en-US"/>
        </w:rPr>
        <w:fldChar w:fldCharType="separate"/>
      </w:r>
      <w:r w:rsidR="008759AC" w:rsidRPr="008759AC">
        <w:rPr>
          <w:rFonts w:ascii="Calibri Light" w:eastAsia="MS Mincho" w:hAnsi="Calibri Light" w:cs="Calibri Light"/>
          <w:noProof/>
          <w:sz w:val="24"/>
          <w:szCs w:val="24"/>
          <w:lang w:eastAsia="en-US"/>
        </w:rPr>
        <w:t>(Kamau &amp; MacNaughton, 2024)</w:t>
      </w:r>
      <w:r w:rsidR="008759AC">
        <w:rPr>
          <w:rFonts w:ascii="Calibri Light" w:eastAsia="MS Mincho" w:hAnsi="Calibri Light" w:cs="Calibri Light"/>
          <w:sz w:val="24"/>
          <w:szCs w:val="24"/>
          <w:lang w:eastAsia="en-US"/>
        </w:rPr>
        <w:fldChar w:fldCharType="end"/>
      </w:r>
      <w:r w:rsidRPr="007F2213">
        <w:rPr>
          <w:rFonts w:ascii="Calibri Light" w:eastAsia="MS Mincho" w:hAnsi="Calibri Light" w:cs="Calibri Light"/>
          <w:sz w:val="24"/>
          <w:szCs w:val="24"/>
          <w:lang w:eastAsia="en-US"/>
        </w:rPr>
        <w:t>. Both countries must navigate the delicate balance between honoring Islamic teachings and ensuring the protection of fundamental human rights.</w:t>
      </w:r>
    </w:p>
    <w:p w14:paraId="78079FC3" w14:textId="277D6009" w:rsidR="00E17217" w:rsidRDefault="007F2213" w:rsidP="00E17217">
      <w:pPr>
        <w:autoSpaceDE/>
        <w:autoSpaceDN/>
        <w:spacing w:after="200" w:line="276" w:lineRule="auto"/>
        <w:jc w:val="both"/>
        <w:rPr>
          <w:rFonts w:ascii="Calibri Light" w:eastAsia="MS Mincho" w:hAnsi="Calibri Light" w:cs="Calibri Light"/>
          <w:sz w:val="24"/>
          <w:szCs w:val="24"/>
          <w:rtl/>
          <w:lang w:eastAsia="en-US"/>
        </w:rPr>
      </w:pPr>
      <w:r w:rsidRPr="007F2213">
        <w:rPr>
          <w:rFonts w:ascii="Calibri Light" w:eastAsia="MS Mincho" w:hAnsi="Calibri Light" w:cs="Calibri Light"/>
          <w:sz w:val="24"/>
          <w:szCs w:val="24"/>
          <w:lang w:eastAsia="en-US"/>
        </w:rPr>
        <w:t xml:space="preserve">The study highlights the diverse ways in which Islamic law and Qur'anic principles are applied in the legal systems of Egypt and Indonesia. While both countries incorporate Shari'ah </w:t>
      </w:r>
      <w:r w:rsidRPr="007F2213">
        <w:rPr>
          <w:rFonts w:ascii="Calibri Light" w:eastAsia="MS Mincho" w:hAnsi="Calibri Light" w:cs="Calibri Light"/>
          <w:sz w:val="24"/>
          <w:szCs w:val="24"/>
          <w:lang w:eastAsia="en-US"/>
        </w:rPr>
        <w:lastRenderedPageBreak/>
        <w:t>principles into their legal frameworks, the extent to which these principles are aligned with international human rights standards varies significantly</w:t>
      </w:r>
      <w:r w:rsidR="00536E55">
        <w:rPr>
          <w:rFonts w:ascii="Calibri Light" w:eastAsia="MS Mincho" w:hAnsi="Calibri Light" w:cs="Calibri Light"/>
          <w:sz w:val="24"/>
          <w:szCs w:val="24"/>
          <w:lang w:eastAsia="en-US"/>
        </w:rPr>
        <w:fldChar w:fldCharType="begin" w:fldLock="1"/>
      </w:r>
      <w:r w:rsidR="006514A3">
        <w:rPr>
          <w:rFonts w:ascii="Calibri Light" w:eastAsia="MS Mincho" w:hAnsi="Calibri Light" w:cs="Calibri Light"/>
          <w:sz w:val="24"/>
          <w:szCs w:val="24"/>
          <w:lang w:eastAsia="en-US"/>
        </w:rPr>
        <w:instrText>ADDIN CSL_CITATION {"citationItems":[{"id":"ITEM-1","itemData":{"DOI":"10.23917/qist.v4i1.6698","ISSN":"2828-2779","abstract":"This article will examine a variety of topics within QS. al-Nāzi'āt (79), such as the sura's word choices and linguistic characteristics, its structure and literary forms, its place in the Qur'an chronologically, its similarities to other suras from the same period of revelation in terms of phraseology, theme, and formality, its intertextual connections to some earlier traditions, and an analysis of any possible later redactional intervention. This article argues the sura's intratextual connections among its verses make it evident that all of its sections and subsections are interwoven with one another, proven by the tripartite structure that it has, the main theme of the sura, rhyme changes, and the occurrences of some unique phrases that mark the transition between sub-sections. Furthermore, QS. al-Nāzi'āt's intertextual links to previous traditions may have helped the first audience in the context of the sura's revelation better understand its core lessons, given their familiarity with ancient Arabic and Judeo-Christian literature. Finally, it is unlikely that verse 33 should be a later redactional intervention (as Angelika Neuwirth has contended) because some intratextual analysis of the sura reveals the opposite.","author":[{"dropping-particle":"","family":"Ahmad","given":"Hamdi Putra","non-dropping-particle":"","parse-names":false,"suffix":""}],"container-title":"QiST: Journal of Quran and Tafseer Studies","id":"ITEM-1","issue":"1","issued":{"date-parts":[["2025","1","6"]]},"page":"41-58","title":"Thematic and Structural Unity of Q 79 (al-Nazi'at): An Intratextual and Intertextual Analysis","type":"article-journal","volume":"4"},"uris":["http://www.mendeley.com/documents/?uuid=92188daa-9864-47e4-bda2-a66c9a2091cf"]}],"mendeley":{"formattedCitation":"(Ahmad, 2025)","plainTextFormattedCitation":"(Ahmad, 2025)","previouslyFormattedCitation":"(Ahmad, 2025)"},"properties":{"noteIndex":0},"schema":"https://github.com/citation-style-language/schema/raw/master/csl-citation.json"}</w:instrText>
      </w:r>
      <w:r w:rsidR="00536E55">
        <w:rPr>
          <w:rFonts w:ascii="Calibri Light" w:eastAsia="MS Mincho" w:hAnsi="Calibri Light" w:cs="Calibri Light"/>
          <w:sz w:val="24"/>
          <w:szCs w:val="24"/>
          <w:lang w:eastAsia="en-US"/>
        </w:rPr>
        <w:fldChar w:fldCharType="separate"/>
      </w:r>
      <w:r w:rsidR="006514A3" w:rsidRPr="006514A3">
        <w:rPr>
          <w:rFonts w:ascii="Calibri Light" w:eastAsia="MS Mincho" w:hAnsi="Calibri Light" w:cs="Calibri Light"/>
          <w:noProof/>
          <w:sz w:val="24"/>
          <w:szCs w:val="24"/>
          <w:lang w:eastAsia="en-US"/>
        </w:rPr>
        <w:t>(Ahmad, 2025)</w:t>
      </w:r>
      <w:r w:rsidR="00536E55">
        <w:rPr>
          <w:rFonts w:ascii="Calibri Light" w:eastAsia="MS Mincho" w:hAnsi="Calibri Light" w:cs="Calibri Light"/>
          <w:sz w:val="24"/>
          <w:szCs w:val="24"/>
          <w:lang w:eastAsia="en-US"/>
        </w:rPr>
        <w:fldChar w:fldCharType="end"/>
      </w:r>
      <w:r w:rsidRPr="007F2213">
        <w:rPr>
          <w:rFonts w:ascii="Calibri Light" w:eastAsia="MS Mincho" w:hAnsi="Calibri Light" w:cs="Calibri Light"/>
          <w:sz w:val="24"/>
          <w:szCs w:val="24"/>
          <w:lang w:eastAsia="en-US"/>
        </w:rPr>
        <w:t>. The role of ijtihad, the interpretation of Qur'anic verses, and the broader socio-political context play a crucial role in shaping the human rights landscape in each country</w:t>
      </w:r>
      <w:r w:rsidR="00536E55">
        <w:rPr>
          <w:rFonts w:ascii="Calibri Light" w:eastAsia="MS Mincho" w:hAnsi="Calibri Light" w:cs="Calibri Light"/>
          <w:sz w:val="24"/>
          <w:szCs w:val="24"/>
          <w:lang w:eastAsia="en-US"/>
        </w:rPr>
        <w:fldChar w:fldCharType="begin" w:fldLock="1"/>
      </w:r>
      <w:r w:rsidR="006514A3">
        <w:rPr>
          <w:rFonts w:ascii="Calibri Light" w:eastAsia="MS Mincho" w:hAnsi="Calibri Light" w:cs="Calibri Light"/>
          <w:sz w:val="24"/>
          <w:szCs w:val="24"/>
          <w:lang w:eastAsia="en-US"/>
        </w:rPr>
        <w:instrText>ADDIN CSL_CITATION {"citationItems":[{"id":"ITEM-1","itemData":{"DOI":"10.23917/qist.v4i1.7866","ISSN":"2828-2779","abstract":"The holy book of the Quran has an informative and performative function. The informative function refers to the purpose of conveying the message or information of the Qur'an text itself. While the performative function refers to how the Qur'an can create emotional, spiritual, and aesthetic impacts that go beyond simply reading texts. Qur'an calligraphy includes two functions at once, namely when people use calligraphy as a means of conveying revelation and expression of Islamic art, for example Qur'an calligraphy which decorates many mosques around the community. The Iska Grand Mosque in Sukoharjo is known as one of the mosques decorated with Qur'an calligraphy, beautifying every corner of the building. This situation provides an opportunity for the community around the mosque to explore the meaning implied in the art of Qur'an calligraphy. This study centers on how the community responds to and accepts the existence of Qur'an calligraphy in the mosque. The purpose of this investigation is to find out the responses or views of readers and calligraphy connoisseurs at the Iska Mayang Sukoharjo Grand Mosque. This study adopts a qualitative method through a descriptive approach to reveal data in depth (Living Qur'an) which is supported by various literature sources. The findings of this study reveal that calligraphy contributes to linking the interpretation of the content of Qur'anic verses with aesthetic elements, as well as providing an overview of how people judge and enjoy the art of calligraphy at the Iska Grand Mosque. The calligraphy written is a type of khat tsulus in the form of verse writing from Surah Al-Baqarah verse 255, verses 43-44, and Al-Mu'minun verses 1-4.","author":[{"dropping-particle":"","family":"Siyamto","given":"Muhammad Rasyid Ridlo","non-dropping-particle":"","parse-names":false,"suffix":""},{"dropping-particle":"","family":"Rhain","given":"Ainur","non-dropping-particle":"","parse-names":false,"suffix":""},{"dropping-particle":"","family":"Ilham","given":"Muhammad","non-dropping-particle":"","parse-names":false,"suffix":""},{"dropping-particle":"","family":"Wakit","given":"Saipul","non-dropping-particle":"","parse-names":false,"suffix":""}],"container-title":"QiST: Journal of Quran and Tafseer Studies","id":"ITEM-1","issue":"1","issued":{"date-parts":[["2024","12","16"]]},"page":"23-40","title":"Public Reception of Qur'an Calligraphy at the Iska Mayang Grand Mosque in Sukoharjo","type":"article-journal","volume":"4"},"uris":["http://www.mendeley.com/documents/?uuid=49177175-0ed3-472b-b5c1-1895b919317f"]}],"mendeley":{"formattedCitation":"(Siyamto et al., 2024)","plainTextFormattedCitation":"(Siyamto et al., 2024)","previouslyFormattedCitation":"(Siyamto et al., 2024)"},"properties":{"noteIndex":0},"schema":"https://github.com/citation-style-language/schema/raw/master/csl-citation.json"}</w:instrText>
      </w:r>
      <w:r w:rsidR="00536E55">
        <w:rPr>
          <w:rFonts w:ascii="Calibri Light" w:eastAsia="MS Mincho" w:hAnsi="Calibri Light" w:cs="Calibri Light"/>
          <w:sz w:val="24"/>
          <w:szCs w:val="24"/>
          <w:lang w:eastAsia="en-US"/>
        </w:rPr>
        <w:fldChar w:fldCharType="separate"/>
      </w:r>
      <w:r w:rsidR="006514A3" w:rsidRPr="006514A3">
        <w:rPr>
          <w:rFonts w:ascii="Calibri Light" w:eastAsia="MS Mincho" w:hAnsi="Calibri Light" w:cs="Calibri Light"/>
          <w:noProof/>
          <w:sz w:val="24"/>
          <w:szCs w:val="24"/>
          <w:lang w:eastAsia="en-US"/>
        </w:rPr>
        <w:t>(Siyamto et al., 2024)</w:t>
      </w:r>
      <w:r w:rsidR="00536E55">
        <w:rPr>
          <w:rFonts w:ascii="Calibri Light" w:eastAsia="MS Mincho" w:hAnsi="Calibri Light" w:cs="Calibri Light"/>
          <w:sz w:val="24"/>
          <w:szCs w:val="24"/>
          <w:lang w:eastAsia="en-US"/>
        </w:rPr>
        <w:fldChar w:fldCharType="end"/>
      </w:r>
      <w:r w:rsidRPr="007F2213">
        <w:rPr>
          <w:rFonts w:ascii="Calibri Light" w:eastAsia="MS Mincho" w:hAnsi="Calibri Light" w:cs="Calibri Light"/>
          <w:sz w:val="24"/>
          <w:szCs w:val="24"/>
          <w:lang w:eastAsia="en-US"/>
        </w:rPr>
        <w:t>. This study underscores the importance of reinterpreting traditional Islamic principles in a way that promotes both justice and human dignity in modern legal systems.</w:t>
      </w:r>
    </w:p>
    <w:p w14:paraId="47E40524" w14:textId="4FF1047B" w:rsidR="00E17217" w:rsidRPr="00E17217" w:rsidRDefault="00E17217" w:rsidP="00E17217">
      <w:pPr>
        <w:autoSpaceDE/>
        <w:autoSpaceDN/>
        <w:spacing w:after="200" w:line="276" w:lineRule="auto"/>
        <w:jc w:val="both"/>
        <w:rPr>
          <w:sz w:val="24"/>
          <w:szCs w:val="24"/>
          <w:lang w:val="en-ID" w:eastAsia="en-ID"/>
        </w:rPr>
      </w:pPr>
      <w:r w:rsidRPr="00E17217">
        <w:rPr>
          <w:rFonts w:ascii="Calibri Light" w:eastAsia="MS Mincho" w:hAnsi="Calibri Light" w:cs="Calibri Light"/>
          <w:sz w:val="24"/>
          <w:szCs w:val="24"/>
          <w:lang w:val="en-ID" w:eastAsia="en-US"/>
        </w:rPr>
        <w:t>This study makes a significant contribution to the research field by offering a comparative analysis of the application of human rights principles derived from the Qur'an within the legal systems of Egypt and Indonesia. It provides an in-depth perspective on how Qur'anic values are interpreted and applied differently in these two Muslim-majority countries, highlighting the cultural, political, and historical factors that shape these legal practices</w:t>
      </w:r>
      <w:r w:rsidR="00536E55">
        <w:rPr>
          <w:rFonts w:ascii="Calibri Light" w:eastAsia="MS Mincho" w:hAnsi="Calibri Light" w:cs="Calibri Light"/>
          <w:sz w:val="24"/>
          <w:szCs w:val="24"/>
          <w:lang w:val="en-ID" w:eastAsia="en-US"/>
        </w:rPr>
        <w:fldChar w:fldCharType="begin" w:fldLock="1"/>
      </w:r>
      <w:r w:rsidR="006514A3">
        <w:rPr>
          <w:rFonts w:ascii="Calibri Light" w:eastAsia="MS Mincho" w:hAnsi="Calibri Light" w:cs="Calibri Light"/>
          <w:sz w:val="24"/>
          <w:szCs w:val="24"/>
          <w:lang w:val="en-ID" w:eastAsia="en-US"/>
        </w:rPr>
        <w:instrText>ADDIN CSL_CITATION {"citationItems":[{"id":"ITEM-1","itemData":{"DOI":"10.23917/qist.v4i1.6948","ISSN":"2828-2779","abstract":"This research article delves into the intricate dynamics of polygamy in Islam, emphasizing its potential as a support system among co-wives. Traditionally viewed with controversy, especially in Western societies, this study challenges such perceptions by highlighting how polygamous arrangements can foster mutual support, shared responsibilities, and companionship. By examining these relationships through religious, cultural, and social lenses, the study reveals how polygamy can empower women within the framework of Islamic teachings, transforming traditional familial roles and enhancing their agency. Women's choices to enter polygamous marriages often reflect a complex interplay of factors, combining strategic decision-making for financial or social stability with deeply rooted religious motivations and commitments. The research utilizes diverse narratives from a global Facebook group, allowing for a comprehensive exploration of polygamy's dynamics and benefits. This perspective underscores polygamy's role as a supportive alliance among women, contributing significantly to broader discussions on gender dynamics and marital structures within both Islamic and global contexts.","author":[{"dropping-particle":"","family":"Sereikaite Motiejune","given":"Gintare","non-dropping-particle":"","parse-names":false,"suffix":""}],"container-title":"QiST: Journal of Quran and Tafseer Studies","id":"ITEM-1","issue":"1","issued":{"date-parts":[["2025","1","6"]]},"page":"59-74","title":"Polygamy in Islam: A Study on Its Religious Justifications and Empowerment of Women Within Islamic Teachings","type":"article-journal","volume":"4"},"uris":["http://www.mendeley.com/documents/?uuid=255b3ba4-41b1-41be-871e-760336f5ab5b"]}],"mendeley":{"formattedCitation":"(Sereikaite Motiejune, 2025)","plainTextFormattedCitation":"(Sereikaite Motiejune, 2025)","previouslyFormattedCitation":"(Sereikaite Motiejune, 2025)"},"properties":{"noteIndex":0},"schema":"https://github.com/citation-style-language/schema/raw/master/csl-citation.json"}</w:instrText>
      </w:r>
      <w:r w:rsidR="00536E55">
        <w:rPr>
          <w:rFonts w:ascii="Calibri Light" w:eastAsia="MS Mincho" w:hAnsi="Calibri Light" w:cs="Calibri Light"/>
          <w:sz w:val="24"/>
          <w:szCs w:val="24"/>
          <w:lang w:val="en-ID" w:eastAsia="en-US"/>
        </w:rPr>
        <w:fldChar w:fldCharType="separate"/>
      </w:r>
      <w:r w:rsidR="006514A3" w:rsidRPr="006514A3">
        <w:rPr>
          <w:rFonts w:ascii="Calibri Light" w:eastAsia="MS Mincho" w:hAnsi="Calibri Light" w:cs="Calibri Light"/>
          <w:noProof/>
          <w:sz w:val="24"/>
          <w:szCs w:val="24"/>
          <w:lang w:val="en-ID" w:eastAsia="en-US"/>
        </w:rPr>
        <w:t>(Sereikaite Motiejune, 2025)</w:t>
      </w:r>
      <w:r w:rsidR="00536E55">
        <w:rPr>
          <w:rFonts w:ascii="Calibri Light" w:eastAsia="MS Mincho" w:hAnsi="Calibri Light" w:cs="Calibri Light"/>
          <w:sz w:val="24"/>
          <w:szCs w:val="24"/>
          <w:lang w:val="en-ID" w:eastAsia="en-US"/>
        </w:rPr>
        <w:fldChar w:fldCharType="end"/>
      </w:r>
      <w:r w:rsidRPr="00E17217">
        <w:rPr>
          <w:rFonts w:ascii="Calibri Light" w:eastAsia="MS Mincho" w:hAnsi="Calibri Light" w:cs="Calibri Light"/>
          <w:sz w:val="24"/>
          <w:szCs w:val="24"/>
          <w:lang w:val="en-ID" w:eastAsia="en-US"/>
        </w:rPr>
        <w:t>. This analysis demonstrates the varied legal dynamics even among nations that share a common Islamic heritage.</w:t>
      </w:r>
    </w:p>
    <w:p w14:paraId="11A607FA" w14:textId="3367875D" w:rsidR="00E17217" w:rsidRPr="00E17217" w:rsidRDefault="00E17217" w:rsidP="00E17217">
      <w:pPr>
        <w:autoSpaceDE/>
        <w:autoSpaceDN/>
        <w:spacing w:after="200" w:line="276" w:lineRule="auto"/>
        <w:jc w:val="both"/>
        <w:rPr>
          <w:rFonts w:ascii="Calibri Light" w:eastAsia="MS Mincho" w:hAnsi="Calibri Light" w:cs="Calibri Light"/>
          <w:sz w:val="24"/>
          <w:szCs w:val="24"/>
          <w:lang w:val="en-ID" w:eastAsia="en-US"/>
        </w:rPr>
      </w:pPr>
      <w:r w:rsidRPr="00E17217">
        <w:rPr>
          <w:rFonts w:ascii="Calibri Light" w:eastAsia="MS Mincho" w:hAnsi="Calibri Light" w:cs="Calibri Light"/>
          <w:sz w:val="24"/>
          <w:szCs w:val="24"/>
          <w:lang w:val="en-ID" w:eastAsia="en-US"/>
        </w:rPr>
        <w:t>The study stands out for its use of the PRISMA framework, typically employed in systematic literature reviews. This methodological approach adds a high level of transparency and rigor to the research process</w:t>
      </w:r>
      <w:r w:rsidR="00536E55">
        <w:rPr>
          <w:rFonts w:ascii="Calibri Light" w:eastAsia="MS Mincho" w:hAnsi="Calibri Light" w:cs="Calibri Light"/>
          <w:sz w:val="24"/>
          <w:szCs w:val="24"/>
          <w:lang w:val="en-ID" w:eastAsia="en-US"/>
        </w:rPr>
        <w:fldChar w:fldCharType="begin" w:fldLock="1"/>
      </w:r>
      <w:r w:rsidR="006514A3">
        <w:rPr>
          <w:rFonts w:ascii="Calibri Light" w:eastAsia="MS Mincho" w:hAnsi="Calibri Light" w:cs="Calibri Light"/>
          <w:sz w:val="24"/>
          <w:szCs w:val="24"/>
          <w:lang w:val="en-ID" w:eastAsia="en-US"/>
        </w:rPr>
        <w:instrText>ADDIN CSL_CITATION {"citationItems":[{"id":"ITEM-1","itemData":{"DOI":"10.23917/qist.v4i1.7360","ISSN":"2828-2779","abstract":"This study aims to conduct a bibliometric analysis of research intersecting the Sustainable Development Goals (SDGs) and Maqasid Shariah Tafsir, with a focus on using VOSviewer software to visualize research patterns and trends. The analysis spans the last decade, exploring publication trends over time, influential journals, prolific authors, and the most productive countries and institutions in this field. The results show a significant growth in research integrating Maqasid Shariah principles, focusing on the preservation of religion, life, intellect, lineage, and wealth, with the 17 SDGs, such as poverty eradication, quality education, and environmental sustainability. The analysis also highlights key research keywords and emerging themes, such as ethical governance, social justice, and economic sustainability. Using VOSviewer helps create visual maps of research networks, providing insights into relationships between authors, institutions, and keywords. The analysis reveals the prominent role of specific countries and institutions that support research in this area, emphasizing the importance of interdisciplinary collaboration in advancing this discourse. The study provides a foundation for understanding the relationship between Shariah principles and the SDGs, opening avenues for future research aimed at enhancing the use of Islamic values to address global sustainability challenges. The findings assist policymakers and researchers in identifying research gaps and collaboration opportunities for greater impact.","author":[{"dropping-particle":"","family":"Elbanna","given":"Mariam","non-dropping-particle":"","parse-names":false,"suffix":""},{"dropping-particle":"","family":"Wadi","given":"Munshid Falih","non-dropping-particle":"","parse-names":false,"suffix":""},{"dropping-particle":"","family":"Radiamoda","given":"Anwar M.","non-dropping-particle":"","parse-names":false,"suffix":""},{"dropping-particle":"","family":"Matsuyama","given":"Yohei","non-dropping-particle":"","parse-names":false,"suffix":""},{"dropping-particle":"Bin","family":"Ishak","given":"Mohamad Haeqal","non-dropping-particle":"","parse-names":false,"suffix":""}],"container-title":"QiST: Journal of Quran and Tafseer Studies","id":"ITEM-1","issue":"1","issued":{"date-parts":[["2025","1","3"]]},"page":"1-22","title":"A Bibliometric Analysis of Sustainable Development Goals (SDGs) Through the Lens of Maqasid Shariah Tafsir","type":"article-journal","volume":"4"},"uris":["http://www.mendeley.com/documents/?uuid=5d45d04b-ef53-4cc6-aa04-714c22ac3343"]}],"mendeley":{"formattedCitation":"(Elbanna et al., 2025)","plainTextFormattedCitation":"(Elbanna et al., 2025)","previouslyFormattedCitation":"(Elbanna et al., 2025)"},"properties":{"noteIndex":0},"schema":"https://github.com/citation-style-language/schema/raw/master/csl-citation.json"}</w:instrText>
      </w:r>
      <w:r w:rsidR="00536E55">
        <w:rPr>
          <w:rFonts w:ascii="Calibri Light" w:eastAsia="MS Mincho" w:hAnsi="Calibri Light" w:cs="Calibri Light"/>
          <w:sz w:val="24"/>
          <w:szCs w:val="24"/>
          <w:lang w:val="en-ID" w:eastAsia="en-US"/>
        </w:rPr>
        <w:fldChar w:fldCharType="separate"/>
      </w:r>
      <w:r w:rsidR="006514A3" w:rsidRPr="006514A3">
        <w:rPr>
          <w:rFonts w:ascii="Calibri Light" w:eastAsia="MS Mincho" w:hAnsi="Calibri Light" w:cs="Calibri Light"/>
          <w:noProof/>
          <w:sz w:val="24"/>
          <w:szCs w:val="24"/>
          <w:lang w:val="en-ID" w:eastAsia="en-US"/>
        </w:rPr>
        <w:t>(Elbanna et al., 2025)</w:t>
      </w:r>
      <w:r w:rsidR="00536E55">
        <w:rPr>
          <w:rFonts w:ascii="Calibri Light" w:eastAsia="MS Mincho" w:hAnsi="Calibri Light" w:cs="Calibri Light"/>
          <w:sz w:val="24"/>
          <w:szCs w:val="24"/>
          <w:lang w:val="en-ID" w:eastAsia="en-US"/>
        </w:rPr>
        <w:fldChar w:fldCharType="end"/>
      </w:r>
      <w:r w:rsidRPr="00E17217">
        <w:rPr>
          <w:rFonts w:ascii="Calibri Light" w:eastAsia="MS Mincho" w:hAnsi="Calibri Light" w:cs="Calibri Light"/>
          <w:sz w:val="24"/>
          <w:szCs w:val="24"/>
          <w:lang w:val="en-ID" w:eastAsia="en-US"/>
        </w:rPr>
        <w:t>. The innovative use of PRISMA demonstrates how advanced analytical frameworks can enhance the reliability of research and provide a comprehensive and clear understanding of the intersection between religion, law, and human rights</w:t>
      </w:r>
      <w:r w:rsidR="00536E55">
        <w:rPr>
          <w:rFonts w:ascii="Calibri Light" w:eastAsia="MS Mincho" w:hAnsi="Calibri Light" w:cs="Calibri Light"/>
          <w:sz w:val="24"/>
          <w:szCs w:val="24"/>
          <w:lang w:val="en-ID" w:eastAsia="en-US"/>
        </w:rPr>
        <w:fldChar w:fldCharType="begin" w:fldLock="1"/>
      </w:r>
      <w:r w:rsidR="006514A3">
        <w:rPr>
          <w:rFonts w:ascii="Calibri Light" w:eastAsia="MS Mincho" w:hAnsi="Calibri Light" w:cs="Calibri Light"/>
          <w:sz w:val="24"/>
          <w:szCs w:val="24"/>
          <w:lang w:val="en-ID" w:eastAsia="en-US"/>
        </w:rPr>
        <w:instrText>ADDIN CSL_CITATION {"citationItems":[{"id":"ITEM-1","itemData":{"DOI":"10.23917/qist.v4i1.7322","ISSN":"2828-2779","abstract":"Technological advancements are increasingly shaping daily life. This includes the dissemination of information, with Muslims utilizing technology for Islamic da'wah, particularly Qur'anic interpretation (Tafsīr). While traditionally accessed through physical prints, Tafsīr is now readily available on websites. This study analyzes the sources, methods, and patterns of interpretation employed by http://muslimah.or.id. Employing a qualitative research method with a descriptive-qualitative approach, the study reveals several key features of the website's Tafsīr approach. Interpretations focus on individual letters, specific themes, and contemporary Muslim women's issues. Authors cite reference sources, and interpretations are diverse, reflecting at least four distinct methods. The website incorporates both traditional (bi al-Maʼthūr) and rational (bi al-Ra'y) methods, drawing from classical Tafsīr works like Jalalain, at-Ṭabarī, and Ibn Kathīr. Notably, the website utilizes thematic (Mawḍūʻī) and comparative (Muqāran) approaches. The website prioritizes socio-literary (Adabī ijtimāʻī) aspects, focusing on linguistic, literary, and socio-cultural contexts. However, the inconsistent nature of interpretations due to the website's multiple contributors presents a potential challenge.","author":[{"dropping-particle":"","family":"Rahmawati","given":"Dewi","non-dropping-particle":"","parse-names":false,"suffix":""},{"dropping-particle":"","family":"Abouzeid","given":"Mohamed Sharei","non-dropping-particle":"","parse-names":false,"suffix":""},{"dropping-particle":"","family":"Nirwana AN","given":"Andri","non-dropping-particle":"","parse-names":false,"suffix":""},{"dropping-particle":"","family":"Hidayat","given":"Syamsul","non-dropping-particle":"","parse-names":false,"suffix":""},{"dropping-particle":"","family":"Rhain","given":"Ainur","non-dropping-particle":"","parse-names":false,"suffix":""}],"container-title":"QiST: Journal of Quran and Tafseer Studies","id":"ITEM-1","issue":"1","issued":{"date-parts":[["2025","1","13"]]},"page":"75-90","title":"Investigating Online Quran Interpretation: Methods and Sources on Muslimah.or.id and its Contribution to Online Islamic Discourse","type":"article-journal","volume":"4"},"uris":["http://www.mendeley.com/documents/?uuid=143b2435-1231-460c-975b-99c97e4afc6a"]}],"mendeley":{"formattedCitation":"(Rahmawati et al., 2025)","plainTextFormattedCitation":"(Rahmawati et al., 2025)","previouslyFormattedCitation":"(Rahmawati et al., 2025)"},"properties":{"noteIndex":0},"schema":"https://github.com/citation-style-language/schema/raw/master/csl-citation.json"}</w:instrText>
      </w:r>
      <w:r w:rsidR="00536E55">
        <w:rPr>
          <w:rFonts w:ascii="Calibri Light" w:eastAsia="MS Mincho" w:hAnsi="Calibri Light" w:cs="Calibri Light"/>
          <w:sz w:val="24"/>
          <w:szCs w:val="24"/>
          <w:lang w:val="en-ID" w:eastAsia="en-US"/>
        </w:rPr>
        <w:fldChar w:fldCharType="separate"/>
      </w:r>
      <w:r w:rsidR="006514A3" w:rsidRPr="006514A3">
        <w:rPr>
          <w:rFonts w:ascii="Calibri Light" w:eastAsia="MS Mincho" w:hAnsi="Calibri Light" w:cs="Calibri Light"/>
          <w:noProof/>
          <w:sz w:val="24"/>
          <w:szCs w:val="24"/>
          <w:lang w:val="en-ID" w:eastAsia="en-US"/>
        </w:rPr>
        <w:t>(Rahmawati et al., 2025)</w:t>
      </w:r>
      <w:r w:rsidR="00536E55">
        <w:rPr>
          <w:rFonts w:ascii="Calibri Light" w:eastAsia="MS Mincho" w:hAnsi="Calibri Light" w:cs="Calibri Light"/>
          <w:sz w:val="24"/>
          <w:szCs w:val="24"/>
          <w:lang w:val="en-ID" w:eastAsia="en-US"/>
        </w:rPr>
        <w:fldChar w:fldCharType="end"/>
      </w:r>
      <w:r w:rsidRPr="00E17217">
        <w:rPr>
          <w:rFonts w:ascii="Calibri Light" w:eastAsia="MS Mincho" w:hAnsi="Calibri Light" w:cs="Calibri Light"/>
          <w:sz w:val="24"/>
          <w:szCs w:val="24"/>
          <w:lang w:val="en-ID" w:eastAsia="en-US"/>
        </w:rPr>
        <w:t>. Furthermore, this approach supports its applicability to similar studies, enhancing its practical utility.</w:t>
      </w:r>
    </w:p>
    <w:p w14:paraId="298CC9C1" w14:textId="73F660A3" w:rsidR="00E17217" w:rsidRPr="00E17217" w:rsidRDefault="00E17217" w:rsidP="00E17217">
      <w:pPr>
        <w:autoSpaceDE/>
        <w:autoSpaceDN/>
        <w:spacing w:after="200" w:line="276" w:lineRule="auto"/>
        <w:jc w:val="both"/>
        <w:rPr>
          <w:rFonts w:ascii="Calibri Light" w:eastAsia="MS Mincho" w:hAnsi="Calibri Light" w:cs="Calibri Light"/>
          <w:sz w:val="24"/>
          <w:szCs w:val="24"/>
          <w:lang w:val="en-ID" w:eastAsia="en-US"/>
        </w:rPr>
      </w:pPr>
      <w:r w:rsidRPr="00E17217">
        <w:rPr>
          <w:rFonts w:ascii="Calibri Light" w:eastAsia="MS Mincho" w:hAnsi="Calibri Light" w:cs="Calibri Light"/>
          <w:sz w:val="24"/>
          <w:szCs w:val="24"/>
          <w:lang w:val="en-ID" w:eastAsia="en-US"/>
        </w:rPr>
        <w:t>The study also examines the challenges of balancing universal human rights standards with the specificities derived from Islamic jurisprudence. It highlights contentious issues such as gender equality, freedom of expression, and religious pluralism, identifying areas of harmony and divergence between Islamic values and global standards</w:t>
      </w:r>
      <w:r w:rsidR="00536E55">
        <w:rPr>
          <w:rFonts w:ascii="Calibri Light" w:eastAsia="MS Mincho" w:hAnsi="Calibri Light" w:cs="Calibri Light"/>
          <w:sz w:val="24"/>
          <w:szCs w:val="24"/>
          <w:lang w:val="en-ID" w:eastAsia="en-US"/>
        </w:rPr>
        <w:fldChar w:fldCharType="begin" w:fldLock="1"/>
      </w:r>
      <w:r w:rsidR="006514A3">
        <w:rPr>
          <w:rFonts w:ascii="Calibri Light" w:eastAsia="MS Mincho" w:hAnsi="Calibri Light" w:cs="Calibri Light"/>
          <w:sz w:val="24"/>
          <w:szCs w:val="24"/>
          <w:lang w:val="en-ID" w:eastAsia="en-US"/>
        </w:rPr>
        <w:instrText>ADDIN CSL_CITATION {"citationItems":[{"id":"ITEM-1","itemData":{"DOI":"10.23917/qist.v4i1.7954","ISSN":"2828-2779","abstract":"So far, there are still differences in interpretation and implementation in various places about women's worship in mosques. This study aims to explain and show the reading of Jasser Auda's system theory in legal verses related to women and mosques. The method used in this study uses the library research method by collecting information and data from Jasser Auda's books and website, previous research results, and various journal articles related to the problem being researched. As a result, the reading of system theory in legal verses about women and mosques through the six features offered, namely. The cognitive element in understanding legal verses related to women and mosques, in Auda's view there are dozens of verses in the Qur'an related to mosques whose content motivates Muslims, both men and women, to often go to mosques to get religious guidance, nur/divine light and knowledge. The element of wholeness (Al-Kulliyyah) Audah in determining the legal provisions about women and mosques is comprehensive, by exploring all verses related to mosques and followed by explanations from the Hadiths of the Prophet. Third, the element of openness (Opennes/al-Infitahiyyah. is carried out by Audah by displaying various opinions about the permissibility or prohibition of visiting the mosque with their respective arguments. Openness in the context of women and mosques also emphasizes that the relevant laws must take into account social and technological conditions.","author":[{"dropping-particle":"","family":"Shofaussamawati","given":"S","non-dropping-particle":"","parse-names":false,"suffix":""},{"dropping-particle":"","family":"Nikmah","given":"Alfi","non-dropping-particle":"","parse-names":false,"suffix":""},{"dropping-particle":"","family":"Azkiya","given":"Muhammad Azka","non-dropping-particle":"","parse-names":false,"suffix":""}],"container-title":"QiST: Journal of Quran and Tafseer Studies","id":"ITEM-1","issue":"1","issued":{"date-parts":[["2025","1","17"]]},"page":"91-108","title":"Reading of Jasser Auda's System Theory in the Law Verse on Women and Mosques","type":"article-journal","volume":"4"},"uris":["http://www.mendeley.com/documents/?uuid=fef1a990-269c-4c57-a81a-ed101b4aea8b"]}],"mendeley":{"formattedCitation":"(Shofaussamawati et al., 2025)","plainTextFormattedCitation":"(Shofaussamawati et al., 2025)","previouslyFormattedCitation":"(Shofaussamawati et al., 2025)"},"properties":{"noteIndex":0},"schema":"https://github.com/citation-style-language/schema/raw/master/csl-citation.json"}</w:instrText>
      </w:r>
      <w:r w:rsidR="00536E55">
        <w:rPr>
          <w:rFonts w:ascii="Calibri Light" w:eastAsia="MS Mincho" w:hAnsi="Calibri Light" w:cs="Calibri Light"/>
          <w:sz w:val="24"/>
          <w:szCs w:val="24"/>
          <w:lang w:val="en-ID" w:eastAsia="en-US"/>
        </w:rPr>
        <w:fldChar w:fldCharType="separate"/>
      </w:r>
      <w:r w:rsidR="006514A3" w:rsidRPr="006514A3">
        <w:rPr>
          <w:rFonts w:ascii="Calibri Light" w:eastAsia="MS Mincho" w:hAnsi="Calibri Light" w:cs="Calibri Light"/>
          <w:noProof/>
          <w:sz w:val="24"/>
          <w:szCs w:val="24"/>
          <w:lang w:val="en-ID" w:eastAsia="en-US"/>
        </w:rPr>
        <w:t>(Shofaussamawati et al., 2025)</w:t>
      </w:r>
      <w:r w:rsidR="00536E55">
        <w:rPr>
          <w:rFonts w:ascii="Calibri Light" w:eastAsia="MS Mincho" w:hAnsi="Calibri Light" w:cs="Calibri Light"/>
          <w:sz w:val="24"/>
          <w:szCs w:val="24"/>
          <w:lang w:val="en-ID" w:eastAsia="en-US"/>
        </w:rPr>
        <w:fldChar w:fldCharType="end"/>
      </w:r>
      <w:r w:rsidRPr="00E17217">
        <w:rPr>
          <w:rFonts w:ascii="Calibri Light" w:eastAsia="MS Mincho" w:hAnsi="Calibri Light" w:cs="Calibri Light"/>
          <w:sz w:val="24"/>
          <w:szCs w:val="24"/>
          <w:lang w:val="en-ID" w:eastAsia="en-US"/>
        </w:rPr>
        <w:t>. This analysis offers valuable insights for policymakers and scholars interested in understanding how Islamic law interacts with modern legal systems.</w:t>
      </w:r>
    </w:p>
    <w:p w14:paraId="1924B2FA" w14:textId="2646B10F" w:rsidR="00E17217" w:rsidRPr="00E17217" w:rsidRDefault="00E17217" w:rsidP="00E17217">
      <w:pPr>
        <w:autoSpaceDE/>
        <w:autoSpaceDN/>
        <w:spacing w:after="200" w:line="276" w:lineRule="auto"/>
        <w:jc w:val="both"/>
        <w:rPr>
          <w:rFonts w:ascii="Calibri Light" w:eastAsia="MS Mincho" w:hAnsi="Calibri Light" w:cs="Calibri Light"/>
          <w:sz w:val="24"/>
          <w:szCs w:val="24"/>
          <w:lang w:val="en-ID" w:eastAsia="en-US"/>
        </w:rPr>
      </w:pPr>
      <w:r w:rsidRPr="00E17217">
        <w:rPr>
          <w:rFonts w:ascii="Calibri Light" w:eastAsia="MS Mincho" w:hAnsi="Calibri Light" w:cs="Calibri Light"/>
          <w:sz w:val="24"/>
          <w:szCs w:val="24"/>
          <w:lang w:val="en-ID" w:eastAsia="en-US"/>
        </w:rPr>
        <w:t xml:space="preserve">Additionally, the research emphasizes the role </w:t>
      </w:r>
      <w:r w:rsidRPr="00536E55">
        <w:rPr>
          <w:rFonts w:ascii="Calibri Light" w:eastAsia="MS Mincho" w:hAnsi="Calibri Light" w:cs="Calibri Light"/>
          <w:sz w:val="24"/>
          <w:szCs w:val="24"/>
          <w:lang w:val="en-ID" w:eastAsia="en-US"/>
        </w:rPr>
        <w:t>of ijtihad (independent reasoning) in interpreting Islamic texts to align with contemporary contexts, particularly in Indonesia. Ijtihad is identified as a key tool for modernizing Islamic law and adapting it to global human rights norms</w:t>
      </w:r>
      <w:r w:rsidR="00536E55">
        <w:rPr>
          <w:rFonts w:ascii="Calibri Light" w:eastAsia="MS Mincho" w:hAnsi="Calibri Light" w:cs="Calibri Light"/>
          <w:sz w:val="24"/>
          <w:szCs w:val="24"/>
          <w:lang w:val="en-ID" w:eastAsia="en-US"/>
        </w:rPr>
        <w:fldChar w:fldCharType="begin" w:fldLock="1"/>
      </w:r>
      <w:r w:rsidR="006514A3">
        <w:rPr>
          <w:rFonts w:ascii="Calibri Light" w:eastAsia="MS Mincho" w:hAnsi="Calibri Light" w:cs="Calibri Light"/>
          <w:sz w:val="24"/>
          <w:szCs w:val="24"/>
          <w:lang w:val="en-ID" w:eastAsia="en-US"/>
        </w:rPr>
        <w:instrText>ADDIN CSL_CITATION {"citationItems":[{"id":"ITEM-1","itemData":{"DOI":"10.23917/qist.v4i1.7321","ISSN":"2828-2779","abstract":"The Quran contains the concept of balanced nutrition in several of its verses, including in Surah Al-Baqarah 168, Surah Al-A'raf verse 31 and Surah Abasa verse 24. The interpretation of Surah Abasa verse 24 and its relation to nutrition there are still differences among scholars of interpretation. This research uses a qualitative approach, this type of research is descriptive analytical. The term linguistics refers to the science that studies language and analyzes it scientifically. The reinterpretation theory used in this research is Abdullah Saeed's theory. The word nazara and its derivations have a dominant meaning related to the activity of the five senses, namely vision. However, not only limited to physical observation, this seeing activity also involves the heart and mind, which makes it more than just ordinary observation. The word tha'am and its various derivatives are mentioned 48 times in the Quran, and cover various aspects related to food, including the type, method of consumption, and its role in daily life. In this study, researchers want to provide a reinterpretation of the 2 words so that the meaning of the verse becomes an order to humans to pay attention to the nutritional content of their food. The order that humans pay more attention to their food patterns and portions so as to avoid various diseases due to unbalanced nutrition.","author":[{"dropping-particle":"","family":"Hanifah","given":"Annisa Nur","non-dropping-particle":"","parse-names":false,"suffix":""},{"dropping-particle":"Al","family":"Sowaidi","given":"Belqes","non-dropping-particle":"","parse-names":false,"suffix":""},{"dropping-particle":"","family":"Nirwana AN","given":"Andri","non-dropping-particle":"","parse-names":false,"suffix":""}],"container-title":"QiST: Journal of Quran and Tafseer Studies","id":"ITEM-1","issue":"1","issued":{"date-parts":[["2025","1","17"]]},"page":"109-124","title":"Reinterpretation of the Words Falyanzur and Tha'am in Qs 'Abasa Verse 24 to Build Public Nutrition Awareness","type":"article-journal","volume":"4"},"uris":["http://www.mendeley.com/documents/?uuid=ee68f196-8ec4-4fdd-8e9a-d5ee74c7adb2"]}],"mendeley":{"formattedCitation":"(Hanifah et al., 2025)","plainTextFormattedCitation":"(Hanifah et al., 2025)","previouslyFormattedCitation":"(Hanifah et al., 2025)"},"properties":{"noteIndex":0},"schema":"https://github.com/citation-style-language/schema/raw/master/csl-citation.json"}</w:instrText>
      </w:r>
      <w:r w:rsidR="00536E55">
        <w:rPr>
          <w:rFonts w:ascii="Calibri Light" w:eastAsia="MS Mincho" w:hAnsi="Calibri Light" w:cs="Calibri Light"/>
          <w:sz w:val="24"/>
          <w:szCs w:val="24"/>
          <w:lang w:val="en-ID" w:eastAsia="en-US"/>
        </w:rPr>
        <w:fldChar w:fldCharType="separate"/>
      </w:r>
      <w:r w:rsidR="006514A3" w:rsidRPr="006514A3">
        <w:rPr>
          <w:rFonts w:ascii="Calibri Light" w:eastAsia="MS Mincho" w:hAnsi="Calibri Light" w:cs="Calibri Light"/>
          <w:noProof/>
          <w:sz w:val="24"/>
          <w:szCs w:val="24"/>
          <w:lang w:val="en-ID" w:eastAsia="en-US"/>
        </w:rPr>
        <w:t>(Hanifah et al., 2025)</w:t>
      </w:r>
      <w:r w:rsidR="00536E55">
        <w:rPr>
          <w:rFonts w:ascii="Calibri Light" w:eastAsia="MS Mincho" w:hAnsi="Calibri Light" w:cs="Calibri Light"/>
          <w:sz w:val="24"/>
          <w:szCs w:val="24"/>
          <w:lang w:val="en-ID" w:eastAsia="en-US"/>
        </w:rPr>
        <w:fldChar w:fldCharType="end"/>
      </w:r>
      <w:r w:rsidRPr="00536E55">
        <w:rPr>
          <w:rFonts w:ascii="Calibri Light" w:eastAsia="MS Mincho" w:hAnsi="Calibri Light" w:cs="Calibri Light"/>
          <w:sz w:val="24"/>
          <w:szCs w:val="24"/>
          <w:lang w:val="en-ID" w:eastAsia="en-US"/>
        </w:rPr>
        <w:t>. The study provides practical examples from Indonesia, where ijtihad contributes to creating a more inclusive and open legal system compared to the traditional interpretations</w:t>
      </w:r>
      <w:r w:rsidRPr="00E17217">
        <w:rPr>
          <w:rFonts w:ascii="Calibri Light" w:eastAsia="MS Mincho" w:hAnsi="Calibri Light" w:cs="Calibri Light"/>
          <w:sz w:val="24"/>
          <w:szCs w:val="24"/>
          <w:lang w:val="en-ID" w:eastAsia="en-US"/>
        </w:rPr>
        <w:t xml:space="preserve"> that continue to dominate in Egypt.</w:t>
      </w:r>
    </w:p>
    <w:p w14:paraId="6DAA2268" w14:textId="045DC08E" w:rsidR="00E17217" w:rsidRPr="00C44781" w:rsidRDefault="00C44781" w:rsidP="00C44781">
      <w:pPr>
        <w:autoSpaceDE/>
        <w:autoSpaceDN/>
        <w:spacing w:after="200" w:line="276" w:lineRule="auto"/>
        <w:jc w:val="both"/>
        <w:rPr>
          <w:rFonts w:ascii="Calibri Light" w:eastAsia="MS Mincho" w:hAnsi="Calibri Light" w:cs="Calibri Light"/>
          <w:sz w:val="24"/>
          <w:szCs w:val="24"/>
          <w:rtl/>
          <w:lang w:val="en-ID" w:eastAsia="en-US"/>
        </w:rPr>
      </w:pPr>
      <w:r>
        <w:rPr>
          <w:rFonts w:ascii="Calibri Light" w:eastAsia="MS Mincho" w:hAnsi="Calibri Light" w:cs="Calibri Light"/>
          <w:sz w:val="24"/>
          <w:szCs w:val="24"/>
          <w:lang w:val="en-ID" w:eastAsia="en-US"/>
        </w:rPr>
        <w:t>T</w:t>
      </w:r>
      <w:r w:rsidR="00E17217" w:rsidRPr="00E17217">
        <w:rPr>
          <w:rFonts w:ascii="Calibri Light" w:eastAsia="MS Mincho" w:hAnsi="Calibri Light" w:cs="Calibri Light"/>
          <w:sz w:val="24"/>
          <w:szCs w:val="24"/>
          <w:lang w:val="en-ID" w:eastAsia="en-US"/>
        </w:rPr>
        <w:t xml:space="preserve">his study underscores the importance of revisiting traditional interpretations of Qur'anic texts to better promote justice, human dignity, and equality within modern legal systems. The findings highlight opportunities to develop middle-ground solutions that reconcile Islamic </w:t>
      </w:r>
      <w:r w:rsidR="00E17217" w:rsidRPr="00E17217">
        <w:rPr>
          <w:rFonts w:ascii="Calibri Light" w:eastAsia="MS Mincho" w:hAnsi="Calibri Light" w:cs="Calibri Light"/>
          <w:sz w:val="24"/>
          <w:szCs w:val="24"/>
          <w:lang w:val="en-ID" w:eastAsia="en-US"/>
        </w:rPr>
        <w:lastRenderedPageBreak/>
        <w:t>values with global human rights standards, while offering recommendations to foster legal reform that benefits all citizens.</w:t>
      </w:r>
    </w:p>
    <w:p w14:paraId="5D5458E0" w14:textId="77777777" w:rsidR="00741058" w:rsidRPr="002003B1"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07E2652A" w14:textId="77777777" w:rsidR="002003B1" w:rsidRPr="00540F02" w:rsidRDefault="002003B1" w:rsidP="002003B1">
      <w:pPr>
        <w:autoSpaceDE/>
        <w:autoSpaceDN/>
        <w:spacing w:line="240" w:lineRule="atLeast"/>
        <w:ind w:left="426"/>
        <w:rPr>
          <w:rFonts w:ascii="Calibri Light" w:hAnsi="Calibri Light" w:cs="Calibri Light"/>
          <w:b/>
          <w:color w:val="A6A6A6"/>
          <w:sz w:val="24"/>
          <w:szCs w:val="24"/>
        </w:rPr>
      </w:pPr>
    </w:p>
    <w:p w14:paraId="134FC34B" w14:textId="77777777" w:rsidR="002003B1" w:rsidRPr="002003B1" w:rsidRDefault="002003B1" w:rsidP="002003B1">
      <w:pPr>
        <w:spacing w:line="276" w:lineRule="auto"/>
        <w:jc w:val="both"/>
        <w:rPr>
          <w:rFonts w:ascii="Calibri Light" w:hAnsi="Calibri Light" w:cs="Calibri Light"/>
          <w:sz w:val="24"/>
          <w:szCs w:val="24"/>
        </w:rPr>
      </w:pPr>
      <w:r w:rsidRPr="002003B1">
        <w:rPr>
          <w:rFonts w:ascii="Calibri Light" w:hAnsi="Calibri Light" w:cs="Calibri Light"/>
          <w:sz w:val="24"/>
          <w:szCs w:val="24"/>
        </w:rPr>
        <w:t>This study highlights the complexities of integrating Islamic principles into contemporary human rights frameworks. While Egypt emphasizes traditional interpretations, Indonesia’s pluralism offers a progressive model. Practical implications suggest the need for evolving interpretations to balance religious values with global norms. Future research should expand on these findings.</w:t>
      </w:r>
    </w:p>
    <w:p w14:paraId="7603CF36" w14:textId="77777777" w:rsidR="002003B1" w:rsidRPr="002003B1" w:rsidRDefault="002003B1" w:rsidP="002003B1">
      <w:pPr>
        <w:spacing w:line="276" w:lineRule="auto"/>
        <w:jc w:val="both"/>
        <w:rPr>
          <w:rFonts w:ascii="Calibri Light" w:hAnsi="Calibri Light" w:cs="Calibri Light"/>
          <w:sz w:val="24"/>
          <w:szCs w:val="24"/>
        </w:rPr>
      </w:pPr>
      <w:r w:rsidRPr="002003B1">
        <w:rPr>
          <w:rFonts w:ascii="Calibri Light" w:hAnsi="Calibri Light" w:cs="Calibri Light"/>
          <w:sz w:val="24"/>
          <w:szCs w:val="24"/>
        </w:rPr>
        <w:t>A This study provides a comparative analysis of the integration of Qur'anic principles into the human rights legal frameworks of Egypt and Indonesia. The findings reveal significant differences in how both countries interpret and implement these principles, despite sharing a common Islamic heritage. In Egypt, the application of Qur'anic teachings within the legal system often faces challenges due to conservative interpretations, particularly concerning gender equality, freedom of expression, and religious freedoms. While the Qur'an advocates for equality and justice, these values are sometimes limited by traditional legal frameworks.On the other hand, Indonesia presents a more flexible approach, balancing Islamic principles with modern democratic values. The country's pluralistic society and its emphasis on human rights allow for a broader interpretation of Qur'anic principles, particularly in areas such as gender equality and freedom of religion. The role of ijtihad in Indonesia has been crucial in adapting Islamic law to contemporary human rights standards, ensuring a more inclusive legal system.</w:t>
      </w:r>
    </w:p>
    <w:p w14:paraId="0B3148F3" w14:textId="77777777" w:rsidR="002003B1" w:rsidRPr="002003B1" w:rsidRDefault="002003B1" w:rsidP="002003B1">
      <w:pPr>
        <w:spacing w:line="276" w:lineRule="auto"/>
        <w:jc w:val="both"/>
        <w:rPr>
          <w:rFonts w:ascii="Calibri Light" w:hAnsi="Calibri Light" w:cs="Calibri Light"/>
          <w:sz w:val="24"/>
          <w:szCs w:val="24"/>
        </w:rPr>
      </w:pPr>
      <w:r w:rsidRPr="002003B1">
        <w:rPr>
          <w:rFonts w:ascii="Calibri Light" w:hAnsi="Calibri Light" w:cs="Calibri Light"/>
          <w:sz w:val="24"/>
          <w:szCs w:val="24"/>
        </w:rPr>
        <w:t>Ultimately, both countries illustrate the complexities of reconciling Islamic teachings with global human rights norms. This study underscores the importance of revisiting traditional interpretations of the Qur'an to better align with contemporary values of justice, equality, and human dignity, ensuring that human rights are respected for all citizens.</w:t>
      </w:r>
    </w:p>
    <w:p w14:paraId="2B98BE3C" w14:textId="77777777" w:rsidR="00741058" w:rsidRPr="00122F5F" w:rsidRDefault="006E466B" w:rsidP="00C44781">
      <w:pPr>
        <w:pStyle w:val="ListParagraph"/>
        <w:tabs>
          <w:tab w:val="left" w:pos="3900"/>
        </w:tabs>
        <w:spacing w:before="120" w:after="120" w:line="240" w:lineRule="auto"/>
        <w:ind w:left="0" w:right="-1"/>
        <w:contextualSpacing w:val="0"/>
        <w:jc w:val="both"/>
        <w:rPr>
          <w:rFonts w:ascii="Calibri Light" w:hAnsi="Calibri Light" w:cs="Calibri Light"/>
          <w:noProof w:val="0"/>
          <w:color w:val="FF0000"/>
          <w:sz w:val="23"/>
          <w:rtl/>
        </w:rPr>
      </w:pPr>
      <w:r>
        <w:rPr>
          <w:rFonts w:ascii="Calibri Light" w:hAnsi="Calibri Light" w:cs="Calibri Light"/>
          <w:color w:val="FF0000"/>
          <w:sz w:val="23"/>
        </w:rPr>
        <w:tab/>
      </w:r>
    </w:p>
    <w:p w14:paraId="1DC6C091" w14:textId="77777777"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p>
    <w:p w14:paraId="6CD63A10" w14:textId="4B01ED56" w:rsidR="00E810D4" w:rsidRDefault="00E810D4" w:rsidP="00ED1805">
      <w:pPr>
        <w:pStyle w:val="ListParagraph"/>
        <w:spacing w:before="120" w:after="120"/>
        <w:ind w:left="440" w:right="-1" w:hanging="14"/>
        <w:jc w:val="both"/>
        <w:rPr>
          <w:rFonts w:ascii="Calibri Light" w:hAnsi="Calibri Light" w:cs="Calibri Light"/>
          <w:sz w:val="24"/>
          <w:szCs w:val="22"/>
          <w:lang w:val="en-ID"/>
        </w:rPr>
      </w:pPr>
      <w:r w:rsidRPr="00E810D4">
        <w:rPr>
          <w:sz w:val="24"/>
          <w:szCs w:val="24"/>
          <w:lang w:val="en-ID" w:eastAsia="en-ID"/>
        </w:rPr>
        <w:t xml:space="preserve"> </w:t>
      </w:r>
      <w:r w:rsidRPr="00ED1805">
        <w:rPr>
          <w:rFonts w:ascii="Calibri Light" w:hAnsi="Calibri Light" w:cs="Calibri Light"/>
          <w:sz w:val="24"/>
          <w:szCs w:val="22"/>
          <w:lang w:val="en-ID"/>
        </w:rPr>
        <w:t>The author</w:t>
      </w:r>
      <w:r w:rsidR="001E4CF7">
        <w:rPr>
          <w:rFonts w:ascii="Calibri Light" w:hAnsi="Calibri Light" w:cs="Calibri Light"/>
          <w:sz w:val="24"/>
          <w:szCs w:val="22"/>
          <w:lang w:val="en-ID"/>
        </w:rPr>
        <w:t>s</w:t>
      </w:r>
      <w:r w:rsidRPr="00ED1805">
        <w:rPr>
          <w:rFonts w:ascii="Calibri Light" w:hAnsi="Calibri Light" w:cs="Calibri Light"/>
          <w:sz w:val="24"/>
          <w:szCs w:val="22"/>
          <w:lang w:val="en-ID"/>
        </w:rPr>
        <w:t xml:space="preserve"> would like to thank the editors and anonymous reviewers for their assistance</w:t>
      </w:r>
      <w:r w:rsidR="00A526EF">
        <w:rPr>
          <w:rFonts w:ascii="Calibri Light" w:hAnsi="Calibri Light" w:cs="Calibri Light"/>
          <w:sz w:val="24"/>
          <w:szCs w:val="22"/>
          <w:lang w:val="en-ID"/>
        </w:rPr>
        <w:t xml:space="preserve"> </w:t>
      </w:r>
      <w:r w:rsidRPr="00ED1805">
        <w:rPr>
          <w:rFonts w:ascii="Calibri Light" w:hAnsi="Calibri Light" w:cs="Calibri Light"/>
          <w:sz w:val="24"/>
          <w:szCs w:val="22"/>
          <w:lang w:val="en-ID"/>
        </w:rPr>
        <w:t>in</w:t>
      </w:r>
      <w:r w:rsidR="00ED1805">
        <w:rPr>
          <w:rFonts w:ascii="Calibri Light" w:hAnsi="Calibri Light" w:cs="Calibri Light"/>
          <w:sz w:val="24"/>
          <w:szCs w:val="22"/>
          <w:lang w:val="en-ID"/>
        </w:rPr>
        <w:t xml:space="preserve"> </w:t>
      </w:r>
      <w:r w:rsidRPr="00ED1805">
        <w:rPr>
          <w:rFonts w:ascii="Calibri Light" w:hAnsi="Calibri Light" w:cs="Calibri Light"/>
          <w:sz w:val="24"/>
          <w:szCs w:val="22"/>
          <w:lang w:val="en-ID"/>
        </w:rPr>
        <w:t>improving the quality of the research documents.</w:t>
      </w:r>
      <w:r w:rsidR="001E4CF7" w:rsidRPr="001E4CF7">
        <w:t xml:space="preserve"> </w:t>
      </w:r>
      <w:r w:rsidR="001E4CF7" w:rsidRPr="001E4CF7">
        <w:rPr>
          <w:rFonts w:ascii="Calibri Light" w:hAnsi="Calibri Light" w:cs="Calibri Light"/>
          <w:sz w:val="24"/>
          <w:szCs w:val="22"/>
          <w:lang w:val="en-ID"/>
        </w:rPr>
        <w:t>We   would   like   to   express   our   gratitude   to   the Scientific   Publicatio</w:t>
      </w:r>
      <w:r w:rsidR="001E4CF7">
        <w:rPr>
          <w:rFonts w:ascii="Calibri Light" w:hAnsi="Calibri Light" w:cs="Calibri Light"/>
          <w:sz w:val="24"/>
          <w:szCs w:val="22"/>
          <w:lang w:val="en-ID"/>
        </w:rPr>
        <w:t>n</w:t>
      </w:r>
      <w:r w:rsidR="001E4CF7" w:rsidRPr="001E4CF7">
        <w:rPr>
          <w:rFonts w:ascii="Calibri Light" w:hAnsi="Calibri Light" w:cs="Calibri Light"/>
          <w:sz w:val="24"/>
          <w:szCs w:val="22"/>
          <w:lang w:val="en-ID"/>
        </w:rPr>
        <w:t xml:space="preserve"> Development Institute</w:t>
      </w:r>
      <w:r w:rsidR="001E4CF7">
        <w:rPr>
          <w:rFonts w:ascii="Calibri Light" w:hAnsi="Calibri Light" w:cs="Calibri Light"/>
          <w:sz w:val="24"/>
          <w:szCs w:val="22"/>
          <w:lang w:val="en-ID"/>
        </w:rPr>
        <w:t xml:space="preserve"> </w:t>
      </w:r>
      <w:r w:rsidR="001E4CF7" w:rsidRPr="001E4CF7">
        <w:rPr>
          <w:rFonts w:ascii="Calibri Light" w:hAnsi="Calibri Light" w:cs="Calibri Light"/>
          <w:sz w:val="24"/>
          <w:szCs w:val="22"/>
          <w:lang w:val="en-ID"/>
        </w:rPr>
        <w:t>(LPPI)   of   Universitas Muhammadiyah Surakarta,</w:t>
      </w:r>
      <w:r w:rsidR="002D6A94">
        <w:rPr>
          <w:rFonts w:ascii="Calibri Light" w:hAnsi="Calibri Light" w:cs="Calibri Light"/>
          <w:sz w:val="24"/>
          <w:szCs w:val="22"/>
          <w:lang w:val="en-ID"/>
        </w:rPr>
        <w:t xml:space="preserve"> Tanta University, </w:t>
      </w:r>
      <w:r w:rsidR="002D6A94" w:rsidRPr="002D6A94">
        <w:rPr>
          <w:rFonts w:ascii="Calibri Light" w:hAnsi="Calibri Light" w:cs="Calibri Light"/>
          <w:sz w:val="24"/>
          <w:szCs w:val="22"/>
          <w:lang w:val="en-ID"/>
        </w:rPr>
        <w:t>Universiti Sains Malaysia</w:t>
      </w:r>
      <w:r w:rsidR="002D6A94">
        <w:rPr>
          <w:rFonts w:ascii="Calibri Light" w:hAnsi="Calibri Light" w:cs="Calibri Light"/>
          <w:sz w:val="24"/>
          <w:szCs w:val="22"/>
          <w:lang w:val="en-ID"/>
        </w:rPr>
        <w:t>,</w:t>
      </w:r>
      <w:r w:rsidR="002D6A94" w:rsidRPr="002D6A94">
        <w:t xml:space="preserve"> </w:t>
      </w:r>
      <w:r w:rsidR="002D6A94" w:rsidRPr="002D6A94">
        <w:rPr>
          <w:rFonts w:ascii="Calibri Light" w:hAnsi="Calibri Light" w:cs="Calibri Light"/>
          <w:sz w:val="24"/>
          <w:szCs w:val="22"/>
          <w:lang w:val="en-ID"/>
        </w:rPr>
        <w:t>Universiti Sains Islam Malaysia</w:t>
      </w:r>
      <w:r w:rsidR="002D6A94">
        <w:rPr>
          <w:rFonts w:ascii="Calibri Light" w:hAnsi="Calibri Light" w:cs="Calibri Light"/>
          <w:sz w:val="24"/>
          <w:szCs w:val="22"/>
          <w:lang w:val="en-ID"/>
        </w:rPr>
        <w:t xml:space="preserve">, </w:t>
      </w:r>
      <w:r w:rsidR="002D6A94" w:rsidRPr="002D6A94">
        <w:rPr>
          <w:rFonts w:ascii="Calibri Light" w:hAnsi="Calibri Light" w:cs="Calibri Light"/>
          <w:sz w:val="24"/>
          <w:szCs w:val="22"/>
          <w:lang w:val="en-ID"/>
        </w:rPr>
        <w:t>Universiti Islam Selangor</w:t>
      </w:r>
      <w:r w:rsidR="002D6A94">
        <w:rPr>
          <w:rFonts w:ascii="Calibri Light" w:hAnsi="Calibri Light" w:cs="Calibri Light"/>
          <w:sz w:val="24"/>
          <w:szCs w:val="22"/>
          <w:lang w:val="en-ID"/>
        </w:rPr>
        <w:t xml:space="preserve">, </w:t>
      </w:r>
      <w:r w:rsidR="002D6A94" w:rsidRPr="002D6A94">
        <w:rPr>
          <w:rFonts w:ascii="Calibri Light" w:hAnsi="Calibri Light" w:cs="Calibri Light"/>
          <w:sz w:val="24"/>
          <w:szCs w:val="22"/>
          <w:lang w:val="en-ID"/>
        </w:rPr>
        <w:t>University  Tun Hussein Onn Malaysia</w:t>
      </w:r>
      <w:r w:rsidR="002D6A94">
        <w:rPr>
          <w:rFonts w:ascii="Calibri Light" w:hAnsi="Calibri Light" w:cs="Calibri Light"/>
          <w:sz w:val="24"/>
          <w:szCs w:val="22"/>
          <w:lang w:val="en-ID"/>
        </w:rPr>
        <w:t xml:space="preserve">, </w:t>
      </w:r>
      <w:r w:rsidR="002D6A94" w:rsidRPr="002D6A94">
        <w:rPr>
          <w:rFonts w:ascii="Calibri Light" w:hAnsi="Calibri Light" w:cs="Calibri Light"/>
          <w:sz w:val="24"/>
          <w:szCs w:val="22"/>
          <w:lang w:val="en-ID"/>
        </w:rPr>
        <w:t>Universitas Islam Sultan Sharif Ali</w:t>
      </w:r>
      <w:r w:rsidR="002D6A94">
        <w:rPr>
          <w:rFonts w:ascii="Calibri Light" w:hAnsi="Calibri Light" w:cs="Calibri Light"/>
          <w:sz w:val="24"/>
          <w:szCs w:val="22"/>
          <w:lang w:val="en-ID"/>
        </w:rPr>
        <w:t xml:space="preserve">, and </w:t>
      </w:r>
      <w:r w:rsidR="002D6A94" w:rsidRPr="002D6A94">
        <w:rPr>
          <w:rFonts w:ascii="Calibri Light" w:hAnsi="Calibri Light" w:cs="Calibri Light"/>
          <w:sz w:val="24"/>
          <w:szCs w:val="22"/>
          <w:lang w:val="en-ID"/>
        </w:rPr>
        <w:t>STAIN Teungku Dirundeng Meulaboh</w:t>
      </w:r>
      <w:r w:rsidR="002D6A94">
        <w:rPr>
          <w:rFonts w:ascii="Calibri Light" w:hAnsi="Calibri Light" w:cs="Calibri Light"/>
          <w:sz w:val="24"/>
          <w:szCs w:val="22"/>
          <w:lang w:val="en-ID"/>
        </w:rPr>
        <w:t xml:space="preserve">, </w:t>
      </w:r>
      <w:r w:rsidR="001E4CF7">
        <w:rPr>
          <w:rFonts w:ascii="Calibri Light" w:hAnsi="Calibri Light" w:cs="Calibri Light"/>
          <w:sz w:val="24"/>
          <w:szCs w:val="22"/>
          <w:lang w:val="en-ID"/>
        </w:rPr>
        <w:t xml:space="preserve"> </w:t>
      </w:r>
      <w:r w:rsidR="001E4CF7" w:rsidRPr="001E4CF7">
        <w:rPr>
          <w:rFonts w:ascii="Calibri Light" w:hAnsi="Calibri Light" w:cs="Calibri Light"/>
          <w:sz w:val="24"/>
          <w:szCs w:val="22"/>
          <w:lang w:val="en-ID"/>
        </w:rPr>
        <w:t>which has helped with all the administrative processes,and we also express our infinite gratitude to the hard work of the entire research team who joined this research collaboration</w:t>
      </w:r>
      <w:r w:rsidR="001E4CF7">
        <w:rPr>
          <w:rFonts w:ascii="Calibri Light" w:hAnsi="Calibri Light" w:cs="Calibri Light"/>
          <w:sz w:val="24"/>
          <w:szCs w:val="22"/>
          <w:lang w:val="en-ID"/>
        </w:rPr>
        <w:t>.</w:t>
      </w:r>
    </w:p>
    <w:p w14:paraId="36DED357" w14:textId="77777777" w:rsidR="008759AC" w:rsidRDefault="008759AC" w:rsidP="00ED1805">
      <w:pPr>
        <w:pStyle w:val="ListParagraph"/>
        <w:spacing w:before="120" w:after="120"/>
        <w:ind w:left="440" w:right="-1" w:hanging="14"/>
        <w:jc w:val="both"/>
        <w:rPr>
          <w:rFonts w:ascii="Calibri Light" w:hAnsi="Calibri Light" w:cs="Calibri Light"/>
          <w:sz w:val="24"/>
          <w:szCs w:val="22"/>
          <w:lang w:val="en-ID"/>
        </w:rPr>
      </w:pPr>
    </w:p>
    <w:p w14:paraId="4CDE4103" w14:textId="77777777" w:rsidR="008759AC" w:rsidRDefault="008759AC" w:rsidP="00ED1805">
      <w:pPr>
        <w:pStyle w:val="ListParagraph"/>
        <w:spacing w:before="120" w:after="120"/>
        <w:ind w:left="440" w:right="-1" w:hanging="14"/>
        <w:jc w:val="both"/>
        <w:rPr>
          <w:rFonts w:ascii="Calibri Light" w:hAnsi="Calibri Light" w:cs="Calibri Light"/>
          <w:sz w:val="24"/>
          <w:szCs w:val="22"/>
          <w:lang w:val="en-ID"/>
        </w:rPr>
      </w:pPr>
    </w:p>
    <w:p w14:paraId="56FF0A50" w14:textId="77777777" w:rsidR="008759AC" w:rsidRPr="00ED1805" w:rsidRDefault="008759AC" w:rsidP="00ED1805">
      <w:pPr>
        <w:pStyle w:val="ListParagraph"/>
        <w:spacing w:before="120" w:after="120"/>
        <w:ind w:left="440" w:right="-1" w:hanging="14"/>
        <w:jc w:val="both"/>
        <w:rPr>
          <w:rFonts w:ascii="Calibri Light" w:hAnsi="Calibri Light" w:cs="Calibri Light"/>
          <w:sz w:val="24"/>
          <w:szCs w:val="22"/>
          <w:lang w:val="en-ID"/>
        </w:rPr>
      </w:pPr>
    </w:p>
    <w:p w14:paraId="717E6B46" w14:textId="77777777" w:rsidR="00741058" w:rsidRDefault="00741058" w:rsidP="00532FE2">
      <w:pPr>
        <w:numPr>
          <w:ilvl w:val="0"/>
          <w:numId w:val="28"/>
        </w:numPr>
        <w:spacing w:line="240" w:lineRule="atLeast"/>
        <w:ind w:left="709"/>
        <w:jc w:val="both"/>
        <w:rPr>
          <w:rFonts w:ascii="Calibri Light" w:hAnsi="Calibri Light" w:cs="Calibri Light"/>
          <w:b/>
          <w:color w:val="7030A0"/>
          <w:sz w:val="24"/>
          <w:szCs w:val="24"/>
        </w:rPr>
      </w:pPr>
      <w:r w:rsidRPr="00122F5F">
        <w:rPr>
          <w:rFonts w:ascii="Calibri Light" w:hAnsi="Calibri Light" w:cs="Calibri Light"/>
          <w:b/>
          <w:sz w:val="24"/>
          <w:szCs w:val="24"/>
        </w:rPr>
        <w:lastRenderedPageBreak/>
        <w:t>REFERENCES</w:t>
      </w:r>
      <w:r w:rsidRPr="00122F5F">
        <w:rPr>
          <w:rFonts w:ascii="Calibri Light" w:hAnsi="Calibri Light" w:cs="Calibri Light"/>
          <w:b/>
          <w:color w:val="7030A0"/>
          <w:sz w:val="24"/>
          <w:szCs w:val="24"/>
        </w:rPr>
        <w:t xml:space="preserve"> </w:t>
      </w:r>
    </w:p>
    <w:p w14:paraId="7A8CED64" w14:textId="77777777" w:rsidR="006514A3" w:rsidRDefault="006514A3">
      <w:pPr>
        <w:widowControl w:val="0"/>
        <w:adjustRightInd w:val="0"/>
      </w:pPr>
    </w:p>
    <w:p w14:paraId="44900658" w14:textId="243C6E64" w:rsidR="008759AC" w:rsidRPr="008759AC" w:rsidRDefault="00276E3E" w:rsidP="008759AC">
      <w:pPr>
        <w:widowControl w:val="0"/>
        <w:adjustRightInd w:val="0"/>
        <w:spacing w:line="240" w:lineRule="atLeast"/>
        <w:ind w:left="480" w:hanging="480"/>
        <w:rPr>
          <w:rFonts w:ascii="Calibri Light" w:hAnsi="Calibri Light" w:cs="Calibri Light"/>
          <w:noProof/>
          <w:sz w:val="24"/>
        </w:rPr>
      </w:pPr>
      <w:r>
        <w:rPr>
          <w:rFonts w:ascii="Calibri Light" w:hAnsi="Calibri Light" w:cs="Calibri Light"/>
          <w:b/>
          <w:color w:val="A6A6A6"/>
          <w:sz w:val="24"/>
          <w:szCs w:val="24"/>
          <w:lang w:val="id-ID"/>
        </w:rPr>
        <w:fldChar w:fldCharType="begin" w:fldLock="1"/>
      </w:r>
      <w:r>
        <w:rPr>
          <w:rFonts w:ascii="Calibri Light" w:hAnsi="Calibri Light" w:cs="Calibri Light"/>
          <w:b/>
          <w:color w:val="A6A6A6"/>
          <w:sz w:val="24"/>
          <w:szCs w:val="24"/>
          <w:lang w:val="id-ID"/>
        </w:rPr>
        <w:instrText xml:space="preserve">ADDIN Mendeley Bibliography CSL_BIBLIOGRAPHY </w:instrText>
      </w:r>
      <w:r>
        <w:rPr>
          <w:rFonts w:ascii="Calibri Light" w:hAnsi="Calibri Light" w:cs="Calibri Light"/>
          <w:b/>
          <w:color w:val="A6A6A6"/>
          <w:sz w:val="24"/>
          <w:szCs w:val="24"/>
          <w:lang w:val="id-ID"/>
        </w:rPr>
        <w:fldChar w:fldCharType="separate"/>
      </w:r>
      <w:r w:rsidR="008759AC" w:rsidRPr="008759AC">
        <w:rPr>
          <w:rFonts w:ascii="Calibri Light" w:hAnsi="Calibri Light" w:cs="Calibri Light"/>
          <w:noProof/>
          <w:sz w:val="24"/>
        </w:rPr>
        <w:t xml:space="preserve">Ahmad, H. P. (2025). Thematic and Structural Unity of Q 79 (al-Nazi’at): An Intratextual and Intertextual Analysis. </w:t>
      </w:r>
      <w:r w:rsidR="008759AC" w:rsidRPr="008759AC">
        <w:rPr>
          <w:rFonts w:ascii="Calibri Light" w:hAnsi="Calibri Light" w:cs="Calibri Light"/>
          <w:i/>
          <w:iCs/>
          <w:noProof/>
          <w:sz w:val="24"/>
        </w:rPr>
        <w:t>QiST: Journal of Quran and Tafseer Studies</w:t>
      </w:r>
      <w:r w:rsidR="008759AC" w:rsidRPr="008759AC">
        <w:rPr>
          <w:rFonts w:ascii="Calibri Light" w:hAnsi="Calibri Light" w:cs="Calibri Light"/>
          <w:noProof/>
          <w:sz w:val="24"/>
        </w:rPr>
        <w:t xml:space="preserve">, </w:t>
      </w:r>
      <w:r w:rsidR="008759AC" w:rsidRPr="008759AC">
        <w:rPr>
          <w:rFonts w:ascii="Calibri Light" w:hAnsi="Calibri Light" w:cs="Calibri Light"/>
          <w:i/>
          <w:iCs/>
          <w:noProof/>
          <w:sz w:val="24"/>
        </w:rPr>
        <w:t>4</w:t>
      </w:r>
      <w:r w:rsidR="008759AC" w:rsidRPr="008759AC">
        <w:rPr>
          <w:rFonts w:ascii="Calibri Light" w:hAnsi="Calibri Light" w:cs="Calibri Light"/>
          <w:noProof/>
          <w:sz w:val="24"/>
        </w:rPr>
        <w:t>(1), 41–58. https://doi.org/10.23917/qist.v4i1.6698</w:t>
      </w:r>
    </w:p>
    <w:p w14:paraId="6450267F"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An, A. N., Amir, A. M., Husain, M. Z. Bin, Ismail, F. H., Sahimi, M. S. Bin, Fansuri, F., Amri, M., Arfan, F., &amp; Rhain, A. (2025). Millennial era Islamic parenting studies: A bibliometric analysis utilizing the Scopus database. </w:t>
      </w:r>
      <w:r w:rsidRPr="008759AC">
        <w:rPr>
          <w:rFonts w:ascii="Calibri Light" w:hAnsi="Calibri Light" w:cs="Calibri Light"/>
          <w:i/>
          <w:iCs/>
          <w:noProof/>
          <w:sz w:val="24"/>
        </w:rPr>
        <w:t>Multidisciplinary Reviews</w:t>
      </w:r>
      <w:r w:rsidRPr="008759AC">
        <w:rPr>
          <w:rFonts w:ascii="Calibri Light" w:hAnsi="Calibri Light" w:cs="Calibri Light"/>
          <w:noProof/>
          <w:sz w:val="24"/>
        </w:rPr>
        <w:t xml:space="preserve">, </w:t>
      </w:r>
      <w:r w:rsidRPr="008759AC">
        <w:rPr>
          <w:rFonts w:ascii="Calibri Light" w:hAnsi="Calibri Light" w:cs="Calibri Light"/>
          <w:i/>
          <w:iCs/>
          <w:noProof/>
          <w:sz w:val="24"/>
        </w:rPr>
        <w:t>8</w:t>
      </w:r>
      <w:r w:rsidRPr="008759AC">
        <w:rPr>
          <w:rFonts w:ascii="Calibri Light" w:hAnsi="Calibri Light" w:cs="Calibri Light"/>
          <w:noProof/>
          <w:sz w:val="24"/>
        </w:rPr>
        <w:t>(1), 1–12. https://doi.org/10.31893/multirev.2025002</w:t>
      </w:r>
    </w:p>
    <w:p w14:paraId="71E1CFBE"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Arimoro, A. E. (2025). Human rights and standard of living in Sub-Saharan Africa: Challenges and prospects. In </w:t>
      </w:r>
      <w:r w:rsidRPr="008759AC">
        <w:rPr>
          <w:rFonts w:ascii="Calibri Light" w:hAnsi="Calibri Light" w:cs="Calibri Light"/>
          <w:i/>
          <w:iCs/>
          <w:noProof/>
          <w:sz w:val="24"/>
        </w:rPr>
        <w:t>Human Rights and Standard of Living in Sub-Saharan Africa: Challenges and Prospects</w:t>
      </w:r>
      <w:r w:rsidRPr="008759AC">
        <w:rPr>
          <w:rFonts w:ascii="Calibri Light" w:hAnsi="Calibri Light" w:cs="Calibri Light"/>
          <w:noProof/>
          <w:sz w:val="24"/>
        </w:rPr>
        <w:t>. Taylor and Francis. https://doi.org/10.4324/9781032628974</w:t>
      </w:r>
    </w:p>
    <w:p w14:paraId="7EEBA4A8"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Berkey, B. (2025). Exploitation, Human Rights and Corporate Obligations. </w:t>
      </w:r>
      <w:r w:rsidRPr="008759AC">
        <w:rPr>
          <w:rFonts w:ascii="Calibri Light" w:hAnsi="Calibri Light" w:cs="Calibri Light"/>
          <w:i/>
          <w:iCs/>
          <w:noProof/>
          <w:sz w:val="24"/>
        </w:rPr>
        <w:t>Business and Human Rights Journal</w:t>
      </w:r>
      <w:r w:rsidRPr="008759AC">
        <w:rPr>
          <w:rFonts w:ascii="Calibri Light" w:hAnsi="Calibri Light" w:cs="Calibri Light"/>
          <w:noProof/>
          <w:sz w:val="24"/>
        </w:rPr>
        <w:t>. https://doi.org/10.1017/bhj.2024.25</w:t>
      </w:r>
    </w:p>
    <w:p w14:paraId="3118ABF5"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Budiono, A., M Junaidi, Rizka, R., Jan Alizea Sybelle, Samudera, K., &amp; Ichsan, I. M. (2023). Legal Policies on Welfare Approaches in Forest Management in Indonesia: : Policy Study at Perum Perhutani KPH Saradan. </w:t>
      </w:r>
      <w:r w:rsidRPr="008759AC">
        <w:rPr>
          <w:rFonts w:ascii="Calibri Light" w:hAnsi="Calibri Light" w:cs="Calibri Light"/>
          <w:i/>
          <w:iCs/>
          <w:noProof/>
          <w:sz w:val="24"/>
        </w:rPr>
        <w:t>Law and Justice</w:t>
      </w:r>
      <w:r w:rsidRPr="008759AC">
        <w:rPr>
          <w:rFonts w:ascii="Calibri Light" w:hAnsi="Calibri Light" w:cs="Calibri Light"/>
          <w:noProof/>
          <w:sz w:val="24"/>
        </w:rPr>
        <w:t xml:space="preserve">, </w:t>
      </w:r>
      <w:r w:rsidRPr="008759AC">
        <w:rPr>
          <w:rFonts w:ascii="Calibri Light" w:hAnsi="Calibri Light" w:cs="Calibri Light"/>
          <w:i/>
          <w:iCs/>
          <w:noProof/>
          <w:sz w:val="24"/>
        </w:rPr>
        <w:t>8</w:t>
      </w:r>
      <w:r w:rsidRPr="008759AC">
        <w:rPr>
          <w:rFonts w:ascii="Calibri Light" w:hAnsi="Calibri Light" w:cs="Calibri Light"/>
          <w:noProof/>
          <w:sz w:val="24"/>
        </w:rPr>
        <w:t>(1), 95–110. https://doi.org/10.23917/laj.v8i1.1693</w:t>
      </w:r>
    </w:p>
    <w:p w14:paraId="1A899146"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Chauhan, M., Licciardi, G. A., Sacco, P., &amp; Tapete, D. (2023). Prisma Based Study of Nidar Ophiolites as Martian Analogues for Serpentinization. </w:t>
      </w:r>
      <w:r w:rsidRPr="008759AC">
        <w:rPr>
          <w:rFonts w:ascii="Calibri Light" w:hAnsi="Calibri Light" w:cs="Calibri Light"/>
          <w:i/>
          <w:iCs/>
          <w:noProof/>
          <w:sz w:val="24"/>
        </w:rPr>
        <w:t>Workshop on Hyperspectral Image and Signal Processing, Evolution in Remote Sensing</w:t>
      </w:r>
      <w:r w:rsidRPr="008759AC">
        <w:rPr>
          <w:rFonts w:ascii="Calibri Light" w:hAnsi="Calibri Light" w:cs="Calibri Light"/>
          <w:noProof/>
          <w:sz w:val="24"/>
        </w:rPr>
        <w:t>. https://doi.org/10.1109/WHISPERS61460.2023.10430581</w:t>
      </w:r>
    </w:p>
    <w:p w14:paraId="2A96F7E8"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Cocito, C., De Hert, P., &amp; Marquenie, T. (2025). Do human rights frameworks identify AI’s problems? The limits of a burgeoning methodology for AI problem assessment. </w:t>
      </w:r>
      <w:r w:rsidRPr="008759AC">
        <w:rPr>
          <w:rFonts w:ascii="Calibri Light" w:hAnsi="Calibri Light" w:cs="Calibri Light"/>
          <w:i/>
          <w:iCs/>
          <w:noProof/>
          <w:sz w:val="24"/>
        </w:rPr>
        <w:t>International Journal of Human Rights</w:t>
      </w:r>
      <w:r w:rsidRPr="008759AC">
        <w:rPr>
          <w:rFonts w:ascii="Calibri Light" w:hAnsi="Calibri Light" w:cs="Calibri Light"/>
          <w:noProof/>
          <w:sz w:val="24"/>
        </w:rPr>
        <w:t>. https://doi.org/10.1080/13642987.2024.2446193</w:t>
      </w:r>
    </w:p>
    <w:p w14:paraId="7CB15213"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Da Silva, M. (2023). Legal doctrine as human rights “practice.” </w:t>
      </w:r>
      <w:r w:rsidRPr="008759AC">
        <w:rPr>
          <w:rFonts w:ascii="Calibri Light" w:hAnsi="Calibri Light" w:cs="Calibri Light"/>
          <w:i/>
          <w:iCs/>
          <w:noProof/>
          <w:sz w:val="24"/>
        </w:rPr>
        <w:t>Global Constitutionalism</w:t>
      </w:r>
      <w:r w:rsidRPr="008759AC">
        <w:rPr>
          <w:rFonts w:ascii="Calibri Light" w:hAnsi="Calibri Light" w:cs="Calibri Light"/>
          <w:noProof/>
          <w:sz w:val="24"/>
        </w:rPr>
        <w:t xml:space="preserve">, </w:t>
      </w:r>
      <w:r w:rsidRPr="008759AC">
        <w:rPr>
          <w:rFonts w:ascii="Calibri Light" w:hAnsi="Calibri Light" w:cs="Calibri Light"/>
          <w:i/>
          <w:iCs/>
          <w:noProof/>
          <w:sz w:val="24"/>
        </w:rPr>
        <w:t>12</w:t>
      </w:r>
      <w:r w:rsidRPr="008759AC">
        <w:rPr>
          <w:rFonts w:ascii="Calibri Light" w:hAnsi="Calibri Light" w:cs="Calibri Light"/>
          <w:noProof/>
          <w:sz w:val="24"/>
        </w:rPr>
        <w:t>(1), 106–132. https://doi.org/10.1017/S2045381722000168</w:t>
      </w:r>
    </w:p>
    <w:p w14:paraId="39A69817"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Elbanna, M., Wadi, M. F., Radiamoda, A. M., Matsuyama, Y., &amp; Ishak, M. H. Bin. (2025). A Bibliometric Analysis of Sustainable Development Goals (SDGs) Through the Lens of Maqasid Shariah Tafsir. </w:t>
      </w:r>
      <w:r w:rsidRPr="008759AC">
        <w:rPr>
          <w:rFonts w:ascii="Calibri Light" w:hAnsi="Calibri Light" w:cs="Calibri Light"/>
          <w:i/>
          <w:iCs/>
          <w:noProof/>
          <w:sz w:val="24"/>
        </w:rPr>
        <w:t>QiST: Journal of Quran and Tafseer Studies</w:t>
      </w:r>
      <w:r w:rsidRPr="008759AC">
        <w:rPr>
          <w:rFonts w:ascii="Calibri Light" w:hAnsi="Calibri Light" w:cs="Calibri Light"/>
          <w:noProof/>
          <w:sz w:val="24"/>
        </w:rPr>
        <w:t xml:space="preserve">, </w:t>
      </w:r>
      <w:r w:rsidRPr="008759AC">
        <w:rPr>
          <w:rFonts w:ascii="Calibri Light" w:hAnsi="Calibri Light" w:cs="Calibri Light"/>
          <w:i/>
          <w:iCs/>
          <w:noProof/>
          <w:sz w:val="24"/>
        </w:rPr>
        <w:t>4</w:t>
      </w:r>
      <w:r w:rsidRPr="008759AC">
        <w:rPr>
          <w:rFonts w:ascii="Calibri Light" w:hAnsi="Calibri Light" w:cs="Calibri Light"/>
          <w:noProof/>
          <w:sz w:val="24"/>
        </w:rPr>
        <w:t>(1), 1–22. https://doi.org/10.23917/qist.v4i1.7360</w:t>
      </w:r>
    </w:p>
    <w:p w14:paraId="4725877E"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Fadhil, M. (2022). Hak Asasi Manusia dalam Perspektif Al-Qur’an (Studi Analisis Tafsir Al-Maraghi). In </w:t>
      </w:r>
      <w:r w:rsidRPr="008759AC">
        <w:rPr>
          <w:rFonts w:ascii="Calibri Light" w:hAnsi="Calibri Light" w:cs="Calibri Light"/>
          <w:i/>
          <w:iCs/>
          <w:noProof/>
          <w:sz w:val="24"/>
        </w:rPr>
        <w:t>Jurnal Online Studi Al-Qur’an</w:t>
      </w:r>
      <w:r w:rsidRPr="008759AC">
        <w:rPr>
          <w:rFonts w:ascii="Calibri Light" w:hAnsi="Calibri Light" w:cs="Calibri Light"/>
          <w:noProof/>
          <w:sz w:val="24"/>
        </w:rPr>
        <w:t xml:space="preserve"> (Vol. 15, Issue 2). PTIQ Jakarta.</w:t>
      </w:r>
    </w:p>
    <w:p w14:paraId="05CBBE26"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Favalli, S. (2024). THE ROLE OF THE UNITED NATIONS CONVENTION ON THE RIGHTS OF PERSONS WITH DISABILITIES AND THE HUMAN RIGHTS MODEL. </w:t>
      </w:r>
      <w:r w:rsidRPr="008759AC">
        <w:rPr>
          <w:rFonts w:ascii="Calibri Light" w:hAnsi="Calibri Light" w:cs="Calibri Light"/>
          <w:i/>
          <w:iCs/>
          <w:noProof/>
          <w:sz w:val="24"/>
        </w:rPr>
        <w:t>BioLaw Journal</w:t>
      </w:r>
      <w:r w:rsidRPr="008759AC">
        <w:rPr>
          <w:rFonts w:ascii="Calibri Light" w:hAnsi="Calibri Light" w:cs="Calibri Light"/>
          <w:noProof/>
          <w:sz w:val="24"/>
        </w:rPr>
        <w:t xml:space="preserve">, </w:t>
      </w:r>
      <w:r w:rsidRPr="008759AC">
        <w:rPr>
          <w:rFonts w:ascii="Calibri Light" w:hAnsi="Calibri Light" w:cs="Calibri Light"/>
          <w:i/>
          <w:iCs/>
          <w:noProof/>
          <w:sz w:val="24"/>
        </w:rPr>
        <w:t>3</w:t>
      </w:r>
      <w:r w:rsidRPr="008759AC">
        <w:rPr>
          <w:rFonts w:ascii="Calibri Light" w:hAnsi="Calibri Light" w:cs="Calibri Light"/>
          <w:noProof/>
          <w:sz w:val="24"/>
        </w:rPr>
        <w:t>, 351–362. https://doi.org/10.15168/2284-4503-3204</w:t>
      </w:r>
    </w:p>
    <w:p w14:paraId="744A7551"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Flatto, D. C. (2024). Evidently Not: Why Confessions Are Excluded in Jewish Criminal Jurisprudence. </w:t>
      </w:r>
      <w:r w:rsidRPr="008759AC">
        <w:rPr>
          <w:rFonts w:ascii="Calibri Light" w:hAnsi="Calibri Light" w:cs="Calibri Light"/>
          <w:i/>
          <w:iCs/>
          <w:noProof/>
          <w:sz w:val="24"/>
        </w:rPr>
        <w:t>Journal of Law and Religion</w:t>
      </w:r>
      <w:r w:rsidRPr="008759AC">
        <w:rPr>
          <w:rFonts w:ascii="Calibri Light" w:hAnsi="Calibri Light" w:cs="Calibri Light"/>
          <w:noProof/>
          <w:sz w:val="24"/>
        </w:rPr>
        <w:t xml:space="preserve">, </w:t>
      </w:r>
      <w:r w:rsidRPr="008759AC">
        <w:rPr>
          <w:rFonts w:ascii="Calibri Light" w:hAnsi="Calibri Light" w:cs="Calibri Light"/>
          <w:i/>
          <w:iCs/>
          <w:noProof/>
          <w:sz w:val="24"/>
        </w:rPr>
        <w:t>39</w:t>
      </w:r>
      <w:r w:rsidRPr="008759AC">
        <w:rPr>
          <w:rFonts w:ascii="Calibri Light" w:hAnsi="Calibri Light" w:cs="Calibri Light"/>
          <w:noProof/>
          <w:sz w:val="24"/>
        </w:rPr>
        <w:t>(2), 173–191. https://doi.org/10.1017/jlr.2024.10</w:t>
      </w:r>
    </w:p>
    <w:p w14:paraId="6783A97F"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Ghanea, N. (2022). Piecing the Puzzle—Women and Freedom of Religion or Belief. </w:t>
      </w:r>
      <w:r w:rsidRPr="008759AC">
        <w:rPr>
          <w:rFonts w:ascii="Calibri Light" w:hAnsi="Calibri Light" w:cs="Calibri Light"/>
          <w:i/>
          <w:iCs/>
          <w:noProof/>
          <w:sz w:val="24"/>
        </w:rPr>
        <w:t>Review of Faith and International Affairs</w:t>
      </w:r>
      <w:r w:rsidRPr="008759AC">
        <w:rPr>
          <w:rFonts w:ascii="Calibri Light" w:hAnsi="Calibri Light" w:cs="Calibri Light"/>
          <w:noProof/>
          <w:sz w:val="24"/>
        </w:rPr>
        <w:t xml:space="preserve">, </w:t>
      </w:r>
      <w:r w:rsidRPr="008759AC">
        <w:rPr>
          <w:rFonts w:ascii="Calibri Light" w:hAnsi="Calibri Light" w:cs="Calibri Light"/>
          <w:i/>
          <w:iCs/>
          <w:noProof/>
          <w:sz w:val="24"/>
        </w:rPr>
        <w:t>20</w:t>
      </w:r>
      <w:r w:rsidRPr="008759AC">
        <w:rPr>
          <w:rFonts w:ascii="Calibri Light" w:hAnsi="Calibri Light" w:cs="Calibri Light"/>
          <w:noProof/>
          <w:sz w:val="24"/>
        </w:rPr>
        <w:t>(3), 4–18. https://doi.org/10.1080/15570274.2022.2111804</w:t>
      </w:r>
    </w:p>
    <w:p w14:paraId="410A5DC1"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Gready, P., &amp; Jackson, E. (2025). Universities unbound: Universities as sites of human rights activism and protection in an era of democratic crisis. </w:t>
      </w:r>
      <w:r w:rsidRPr="008759AC">
        <w:rPr>
          <w:rFonts w:ascii="Calibri Light" w:hAnsi="Calibri Light" w:cs="Calibri Light"/>
          <w:i/>
          <w:iCs/>
          <w:noProof/>
          <w:sz w:val="24"/>
        </w:rPr>
        <w:t>Journal of Human Rights</w:t>
      </w:r>
      <w:r w:rsidRPr="008759AC">
        <w:rPr>
          <w:rFonts w:ascii="Calibri Light" w:hAnsi="Calibri Light" w:cs="Calibri Light"/>
          <w:noProof/>
          <w:sz w:val="24"/>
        </w:rPr>
        <w:t>. https://doi.org/10.1080/14754835.2024.2439262</w:t>
      </w:r>
    </w:p>
    <w:p w14:paraId="45BB8F2D"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lastRenderedPageBreak/>
        <w:t xml:space="preserve">Greenberg, J. R. (2024). Justice suspended: Rethinking institutions, regimentation, and channels from a human rights law perspective. </w:t>
      </w:r>
      <w:r w:rsidRPr="008759AC">
        <w:rPr>
          <w:rFonts w:ascii="Calibri Light" w:hAnsi="Calibri Light" w:cs="Calibri Light"/>
          <w:i/>
          <w:iCs/>
          <w:noProof/>
          <w:sz w:val="24"/>
        </w:rPr>
        <w:t>Journal of Linguistic Anthropology</w:t>
      </w:r>
      <w:r w:rsidRPr="008759AC">
        <w:rPr>
          <w:rFonts w:ascii="Calibri Light" w:hAnsi="Calibri Light" w:cs="Calibri Light"/>
          <w:noProof/>
          <w:sz w:val="24"/>
        </w:rPr>
        <w:t xml:space="preserve">, </w:t>
      </w:r>
      <w:r w:rsidRPr="008759AC">
        <w:rPr>
          <w:rFonts w:ascii="Calibri Light" w:hAnsi="Calibri Light" w:cs="Calibri Light"/>
          <w:i/>
          <w:iCs/>
          <w:noProof/>
          <w:sz w:val="24"/>
        </w:rPr>
        <w:t>34</w:t>
      </w:r>
      <w:r w:rsidRPr="008759AC">
        <w:rPr>
          <w:rFonts w:ascii="Calibri Light" w:hAnsi="Calibri Light" w:cs="Calibri Light"/>
          <w:noProof/>
          <w:sz w:val="24"/>
        </w:rPr>
        <w:t>(1), 45–65. https://doi.org/10.1111/jola.12415</w:t>
      </w:r>
    </w:p>
    <w:p w14:paraId="477097ED"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Hailbronner, M., &amp; Kujus, L. (2025). Representation Reinforcement in the European Court of Human Rights. </w:t>
      </w:r>
      <w:r w:rsidRPr="008759AC">
        <w:rPr>
          <w:rFonts w:ascii="Calibri Light" w:hAnsi="Calibri Light" w:cs="Calibri Light"/>
          <w:i/>
          <w:iCs/>
          <w:noProof/>
          <w:sz w:val="24"/>
        </w:rPr>
        <w:t>Global Constitutionalism</w:t>
      </w:r>
      <w:r w:rsidRPr="008759AC">
        <w:rPr>
          <w:rFonts w:ascii="Calibri Light" w:hAnsi="Calibri Light" w:cs="Calibri Light"/>
          <w:noProof/>
          <w:sz w:val="24"/>
        </w:rPr>
        <w:t>. https://doi.org/10.1017/S2045381724000170</w:t>
      </w:r>
    </w:p>
    <w:p w14:paraId="45812C20"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Hanifah, A. N., Sowaidi, B. Al, &amp; Nirwana AN, A. (2025). Reinterpretation of the Words Falyanzur and Tha’am in Qs ’Abasa Verse 24 to Build Public Nutrition Awareness. </w:t>
      </w:r>
      <w:r w:rsidRPr="008759AC">
        <w:rPr>
          <w:rFonts w:ascii="Calibri Light" w:hAnsi="Calibri Light" w:cs="Calibri Light"/>
          <w:i/>
          <w:iCs/>
          <w:noProof/>
          <w:sz w:val="24"/>
        </w:rPr>
        <w:t>QiST: Journal of Quran and Tafseer Studies</w:t>
      </w:r>
      <w:r w:rsidRPr="008759AC">
        <w:rPr>
          <w:rFonts w:ascii="Calibri Light" w:hAnsi="Calibri Light" w:cs="Calibri Light"/>
          <w:noProof/>
          <w:sz w:val="24"/>
        </w:rPr>
        <w:t xml:space="preserve">, </w:t>
      </w:r>
      <w:r w:rsidRPr="008759AC">
        <w:rPr>
          <w:rFonts w:ascii="Calibri Light" w:hAnsi="Calibri Light" w:cs="Calibri Light"/>
          <w:i/>
          <w:iCs/>
          <w:noProof/>
          <w:sz w:val="24"/>
        </w:rPr>
        <w:t>4</w:t>
      </w:r>
      <w:r w:rsidRPr="008759AC">
        <w:rPr>
          <w:rFonts w:ascii="Calibri Light" w:hAnsi="Calibri Light" w:cs="Calibri Light"/>
          <w:noProof/>
          <w:sz w:val="24"/>
        </w:rPr>
        <w:t>(1), 109–124. https://doi.org/10.23917/qist.v4i1.7321</w:t>
      </w:r>
    </w:p>
    <w:p w14:paraId="078696FA"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Helmina, H., Harun, H., Witro, D., Ardi, M. Z., &amp; Busni, D. (2024). Compromising and Repositioning the Meaning of Corruptors as Thieves in Applying the Provisions of Shara’ into the Modern Era Context. </w:t>
      </w:r>
      <w:r w:rsidRPr="008759AC">
        <w:rPr>
          <w:rFonts w:ascii="Calibri Light" w:hAnsi="Calibri Light" w:cs="Calibri Light"/>
          <w:i/>
          <w:iCs/>
          <w:noProof/>
          <w:sz w:val="24"/>
        </w:rPr>
        <w:t>Al-’Adalah</w:t>
      </w:r>
      <w:r w:rsidRPr="008759AC">
        <w:rPr>
          <w:rFonts w:ascii="Calibri Light" w:hAnsi="Calibri Light" w:cs="Calibri Light"/>
          <w:noProof/>
          <w:sz w:val="24"/>
        </w:rPr>
        <w:t xml:space="preserve">, </w:t>
      </w:r>
      <w:r w:rsidRPr="008759AC">
        <w:rPr>
          <w:rFonts w:ascii="Calibri Light" w:hAnsi="Calibri Light" w:cs="Calibri Light"/>
          <w:i/>
          <w:iCs/>
          <w:noProof/>
          <w:sz w:val="24"/>
        </w:rPr>
        <w:t>21</w:t>
      </w:r>
      <w:r w:rsidRPr="008759AC">
        <w:rPr>
          <w:rFonts w:ascii="Calibri Light" w:hAnsi="Calibri Light" w:cs="Calibri Light"/>
          <w:noProof/>
          <w:sz w:val="24"/>
        </w:rPr>
        <w:t>(1), 25–52. https://doi.org/10.24042/adalah.v21i1.21251</w:t>
      </w:r>
    </w:p>
    <w:p w14:paraId="515AB602"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Kamau, E., &amp; MacNaughton, G. (2024). The Spirit of Human Rights: Universal Health Coverage in Makueni County, Kenya. </w:t>
      </w:r>
      <w:r w:rsidRPr="008759AC">
        <w:rPr>
          <w:rFonts w:ascii="Calibri Light" w:hAnsi="Calibri Light" w:cs="Calibri Light"/>
          <w:i/>
          <w:iCs/>
          <w:noProof/>
          <w:sz w:val="24"/>
        </w:rPr>
        <w:t>Health and Human Rights</w:t>
      </w:r>
      <w:r w:rsidRPr="008759AC">
        <w:rPr>
          <w:rFonts w:ascii="Calibri Light" w:hAnsi="Calibri Light" w:cs="Calibri Light"/>
          <w:noProof/>
          <w:sz w:val="24"/>
        </w:rPr>
        <w:t xml:space="preserve">, </w:t>
      </w:r>
      <w:r w:rsidRPr="008759AC">
        <w:rPr>
          <w:rFonts w:ascii="Calibri Light" w:hAnsi="Calibri Light" w:cs="Calibri Light"/>
          <w:i/>
          <w:iCs/>
          <w:noProof/>
          <w:sz w:val="24"/>
        </w:rPr>
        <w:t>26</w:t>
      </w:r>
      <w:r w:rsidRPr="008759AC">
        <w:rPr>
          <w:rFonts w:ascii="Calibri Light" w:hAnsi="Calibri Light" w:cs="Calibri Light"/>
          <w:noProof/>
          <w:sz w:val="24"/>
        </w:rPr>
        <w:t>(2), 25–37. https://www.scopus.com/inward/record.uri?eid=2-s2.0-85214341528&amp;partnerID=40&amp;md5=12918de03920655858fcdf213e7782a1</w:t>
      </w:r>
    </w:p>
    <w:p w14:paraId="2005459E"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Kiviorg, M. (2022). International Obligations and Internal Tensions: Individual Religious Autonomy and Gender Equality in Russia and Central Asia. </w:t>
      </w:r>
      <w:r w:rsidRPr="008759AC">
        <w:rPr>
          <w:rFonts w:ascii="Calibri Light" w:hAnsi="Calibri Light" w:cs="Calibri Light"/>
          <w:i/>
          <w:iCs/>
          <w:noProof/>
          <w:sz w:val="24"/>
        </w:rPr>
        <w:t>Review of Faith and International Affairs</w:t>
      </w:r>
      <w:r w:rsidRPr="008759AC">
        <w:rPr>
          <w:rFonts w:ascii="Calibri Light" w:hAnsi="Calibri Light" w:cs="Calibri Light"/>
          <w:noProof/>
          <w:sz w:val="24"/>
        </w:rPr>
        <w:t xml:space="preserve">, </w:t>
      </w:r>
      <w:r w:rsidRPr="008759AC">
        <w:rPr>
          <w:rFonts w:ascii="Calibri Light" w:hAnsi="Calibri Light" w:cs="Calibri Light"/>
          <w:i/>
          <w:iCs/>
          <w:noProof/>
          <w:sz w:val="24"/>
        </w:rPr>
        <w:t>20</w:t>
      </w:r>
      <w:r w:rsidRPr="008759AC">
        <w:rPr>
          <w:rFonts w:ascii="Calibri Light" w:hAnsi="Calibri Light" w:cs="Calibri Light"/>
          <w:noProof/>
          <w:sz w:val="24"/>
        </w:rPr>
        <w:t>(3), 47–62. https://doi.org/10.1080/15570274.2022.2111810</w:t>
      </w:r>
    </w:p>
    <w:p w14:paraId="054C7E8A"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Kovalchuk, V. B., Zharovska, I. M., Gutiv, B. I., Melnychenko, B. B., &amp; Panchuk, I. O. (2021). Human rights and positive obligations of the state. </w:t>
      </w:r>
      <w:r w:rsidRPr="008759AC">
        <w:rPr>
          <w:rFonts w:ascii="Calibri Light" w:hAnsi="Calibri Light" w:cs="Calibri Light"/>
          <w:i/>
          <w:iCs/>
          <w:noProof/>
          <w:sz w:val="24"/>
        </w:rPr>
        <w:t>Journal of the National Academy of Legal Sciences of Ukraine</w:t>
      </w:r>
      <w:r w:rsidRPr="008759AC">
        <w:rPr>
          <w:rFonts w:ascii="Calibri Light" w:hAnsi="Calibri Light" w:cs="Calibri Light"/>
          <w:noProof/>
          <w:sz w:val="24"/>
        </w:rPr>
        <w:t xml:space="preserve">, </w:t>
      </w:r>
      <w:r w:rsidRPr="008759AC">
        <w:rPr>
          <w:rFonts w:ascii="Calibri Light" w:hAnsi="Calibri Light" w:cs="Calibri Light"/>
          <w:i/>
          <w:iCs/>
          <w:noProof/>
          <w:sz w:val="24"/>
        </w:rPr>
        <w:t>28</w:t>
      </w:r>
      <w:r w:rsidRPr="008759AC">
        <w:rPr>
          <w:rFonts w:ascii="Calibri Light" w:hAnsi="Calibri Light" w:cs="Calibri Light"/>
          <w:noProof/>
          <w:sz w:val="24"/>
        </w:rPr>
        <w:t>(3), 27–35. https://doi.org/10.37635/jnalsu.28(3).2021.27-35</w:t>
      </w:r>
    </w:p>
    <w:p w14:paraId="629F3A30"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Madson, N. H. (2022). I am an ordinary citizen: Human rights discourse and the limits of human rights law. </w:t>
      </w:r>
      <w:r w:rsidRPr="008759AC">
        <w:rPr>
          <w:rFonts w:ascii="Calibri Light" w:hAnsi="Calibri Light" w:cs="Calibri Light"/>
          <w:i/>
          <w:iCs/>
          <w:noProof/>
          <w:sz w:val="24"/>
        </w:rPr>
        <w:t>American Anthropologist</w:t>
      </w:r>
      <w:r w:rsidRPr="008759AC">
        <w:rPr>
          <w:rFonts w:ascii="Calibri Light" w:hAnsi="Calibri Light" w:cs="Calibri Light"/>
          <w:noProof/>
          <w:sz w:val="24"/>
        </w:rPr>
        <w:t xml:space="preserve">, </w:t>
      </w:r>
      <w:r w:rsidRPr="008759AC">
        <w:rPr>
          <w:rFonts w:ascii="Calibri Light" w:hAnsi="Calibri Light" w:cs="Calibri Light"/>
          <w:i/>
          <w:iCs/>
          <w:noProof/>
          <w:sz w:val="24"/>
        </w:rPr>
        <w:t>124</w:t>
      </w:r>
      <w:r w:rsidRPr="008759AC">
        <w:rPr>
          <w:rFonts w:ascii="Calibri Light" w:hAnsi="Calibri Light" w:cs="Calibri Light"/>
          <w:noProof/>
          <w:sz w:val="24"/>
        </w:rPr>
        <w:t>(3), 504–514. https://doi.org/10.1111/aman.13737</w:t>
      </w:r>
    </w:p>
    <w:p w14:paraId="11883D46"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Mahmudulhassan, M., Waston, W., &amp; Nirwana AN, A. (2023). The Rights and Status of Widows in Islam: A Study from the Perspective of Multicultural Islamic Education in the Context of Bangladesh. </w:t>
      </w:r>
      <w:r w:rsidRPr="008759AC">
        <w:rPr>
          <w:rFonts w:ascii="Calibri Light" w:hAnsi="Calibri Light" w:cs="Calibri Light"/>
          <w:i/>
          <w:iCs/>
          <w:noProof/>
          <w:sz w:val="24"/>
        </w:rPr>
        <w:t>Multicultural Islamic Education Review</w:t>
      </w:r>
      <w:r w:rsidRPr="008759AC">
        <w:rPr>
          <w:rFonts w:ascii="Calibri Light" w:hAnsi="Calibri Light" w:cs="Calibri Light"/>
          <w:noProof/>
          <w:sz w:val="24"/>
        </w:rPr>
        <w:t xml:space="preserve">, </w:t>
      </w:r>
      <w:r w:rsidRPr="008759AC">
        <w:rPr>
          <w:rFonts w:ascii="Calibri Light" w:hAnsi="Calibri Light" w:cs="Calibri Light"/>
          <w:i/>
          <w:iCs/>
          <w:noProof/>
          <w:sz w:val="24"/>
        </w:rPr>
        <w:t>1</w:t>
      </w:r>
      <w:r w:rsidRPr="008759AC">
        <w:rPr>
          <w:rFonts w:ascii="Calibri Light" w:hAnsi="Calibri Light" w:cs="Calibri Light"/>
          <w:noProof/>
          <w:sz w:val="24"/>
        </w:rPr>
        <w:t>(1), 01–14. https://doi.org/10.23917/mier.v1i1.2674</w:t>
      </w:r>
    </w:p>
    <w:p w14:paraId="32A3673E"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Murray, D., Fussey, P., Hove, K., Wakabi, W., Kimumwe, P., Saki, O., &amp; Stevens, A. (2024). The Chilling Effects of Surveillance and Human Rights: Insights from Qualitative Research in Uganda and Zimbabwe. </w:t>
      </w:r>
      <w:r w:rsidRPr="008759AC">
        <w:rPr>
          <w:rFonts w:ascii="Calibri Light" w:hAnsi="Calibri Light" w:cs="Calibri Light"/>
          <w:i/>
          <w:iCs/>
          <w:noProof/>
          <w:sz w:val="24"/>
        </w:rPr>
        <w:t>Journal of Human Rights Practice</w:t>
      </w:r>
      <w:r w:rsidRPr="008759AC">
        <w:rPr>
          <w:rFonts w:ascii="Calibri Light" w:hAnsi="Calibri Light" w:cs="Calibri Light"/>
          <w:noProof/>
          <w:sz w:val="24"/>
        </w:rPr>
        <w:t xml:space="preserve">, </w:t>
      </w:r>
      <w:r w:rsidRPr="008759AC">
        <w:rPr>
          <w:rFonts w:ascii="Calibri Light" w:hAnsi="Calibri Light" w:cs="Calibri Light"/>
          <w:i/>
          <w:iCs/>
          <w:noProof/>
          <w:sz w:val="24"/>
        </w:rPr>
        <w:t>16</w:t>
      </w:r>
      <w:r w:rsidRPr="008759AC">
        <w:rPr>
          <w:rFonts w:ascii="Calibri Light" w:hAnsi="Calibri Light" w:cs="Calibri Light"/>
          <w:noProof/>
          <w:sz w:val="24"/>
        </w:rPr>
        <w:t>(1), 397–412. https://doi.org/10.1093/jhuman/huad020</w:t>
      </w:r>
    </w:p>
    <w:p w14:paraId="41BC93EF"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Navarro, G. C. B. (2025). The effectiveness of the inter-American court of human rights: The case of indigenous territorial rights. In </w:t>
      </w:r>
      <w:r w:rsidRPr="008759AC">
        <w:rPr>
          <w:rFonts w:ascii="Calibri Light" w:hAnsi="Calibri Light" w:cs="Calibri Light"/>
          <w:i/>
          <w:iCs/>
          <w:noProof/>
          <w:sz w:val="24"/>
        </w:rPr>
        <w:t>The Effectiveness of the Inter-American Court of Human Rights: The Case of Indigenous Territorial Rights</w:t>
      </w:r>
      <w:r w:rsidRPr="008759AC">
        <w:rPr>
          <w:rFonts w:ascii="Calibri Light" w:hAnsi="Calibri Light" w:cs="Calibri Light"/>
          <w:noProof/>
          <w:sz w:val="24"/>
        </w:rPr>
        <w:t>. Bloomsbury Publishing Plc. https://www.scopus.com/inward/record.uri?eid=2-s2.0-85212993305&amp;partnerID=40&amp;md5=5d73a914a15cd8651e5efa1ee283a692</w:t>
      </w:r>
    </w:p>
    <w:p w14:paraId="7A840C91"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Nirwana, A., Arfan, F., Muthoifin, Daud, Z., Amin, S., Hidayat, S., &amp; Marshal, F. D. (2024). The Role of Traditional Salt Production in Achieving Halal Standards of the Ulamaconsultative Council: Implications for Sustainable Development Goals. </w:t>
      </w:r>
      <w:r w:rsidRPr="008759AC">
        <w:rPr>
          <w:rFonts w:ascii="Calibri Light" w:hAnsi="Calibri Light" w:cs="Calibri Light"/>
          <w:i/>
          <w:iCs/>
          <w:noProof/>
          <w:sz w:val="24"/>
        </w:rPr>
        <w:t>Journal of Lifestyle and SDGs Review</w:t>
      </w:r>
      <w:r w:rsidRPr="008759AC">
        <w:rPr>
          <w:rFonts w:ascii="Calibri Light" w:hAnsi="Calibri Light" w:cs="Calibri Light"/>
          <w:noProof/>
          <w:sz w:val="24"/>
        </w:rPr>
        <w:t xml:space="preserve">, </w:t>
      </w:r>
      <w:r w:rsidRPr="008759AC">
        <w:rPr>
          <w:rFonts w:ascii="Calibri Light" w:hAnsi="Calibri Light" w:cs="Calibri Light"/>
          <w:i/>
          <w:iCs/>
          <w:noProof/>
          <w:sz w:val="24"/>
        </w:rPr>
        <w:t>4</w:t>
      </w:r>
      <w:r w:rsidRPr="008759AC">
        <w:rPr>
          <w:rFonts w:ascii="Calibri Light" w:hAnsi="Calibri Light" w:cs="Calibri Light"/>
          <w:noProof/>
          <w:sz w:val="24"/>
        </w:rPr>
        <w:t>(2), e01721. https://doi.org/10.47172/2965-730X.SDGsReview.v4.n00.pe01721</w:t>
      </w:r>
    </w:p>
    <w:p w14:paraId="36E3013A"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Nurhayati, N. (2017). Quo Vadis Perlindungan Hak Asasi Manusia Dalam Penyelesaian </w:t>
      </w:r>
      <w:r w:rsidRPr="008759AC">
        <w:rPr>
          <w:rFonts w:ascii="Calibri Light" w:hAnsi="Calibri Light" w:cs="Calibri Light"/>
          <w:noProof/>
          <w:sz w:val="24"/>
        </w:rPr>
        <w:lastRenderedPageBreak/>
        <w:t xml:space="preserve">Pelanggaran HAM Berat Masa Lalu Melalui Jalur Non Yudisial. </w:t>
      </w:r>
      <w:r w:rsidRPr="008759AC">
        <w:rPr>
          <w:rFonts w:ascii="Calibri Light" w:hAnsi="Calibri Light" w:cs="Calibri Light"/>
          <w:i/>
          <w:iCs/>
          <w:noProof/>
          <w:sz w:val="24"/>
        </w:rPr>
        <w:t>Jurnal Jurisprudence</w:t>
      </w:r>
      <w:r w:rsidRPr="008759AC">
        <w:rPr>
          <w:rFonts w:ascii="Calibri Light" w:hAnsi="Calibri Light" w:cs="Calibri Light"/>
          <w:noProof/>
          <w:sz w:val="24"/>
        </w:rPr>
        <w:t xml:space="preserve">, </w:t>
      </w:r>
      <w:r w:rsidRPr="008759AC">
        <w:rPr>
          <w:rFonts w:ascii="Calibri Light" w:hAnsi="Calibri Light" w:cs="Calibri Light"/>
          <w:i/>
          <w:iCs/>
          <w:noProof/>
          <w:sz w:val="24"/>
        </w:rPr>
        <w:t>6</w:t>
      </w:r>
      <w:r w:rsidRPr="008759AC">
        <w:rPr>
          <w:rFonts w:ascii="Calibri Light" w:hAnsi="Calibri Light" w:cs="Calibri Light"/>
          <w:noProof/>
          <w:sz w:val="24"/>
        </w:rPr>
        <w:t>(2), 149. https://doi.org/10.23917/jurisprudence.v6i2.3012</w:t>
      </w:r>
    </w:p>
    <w:p w14:paraId="3DB2CCF0"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Pandey, A., &amp; Mishra, A. (2025). Conflict and Coexistence of Human Rights: An Exploratory Study with Reference to Intellectual Property Rights. </w:t>
      </w:r>
      <w:r w:rsidRPr="008759AC">
        <w:rPr>
          <w:rFonts w:ascii="Calibri Light" w:hAnsi="Calibri Light" w:cs="Calibri Light"/>
          <w:i/>
          <w:iCs/>
          <w:noProof/>
          <w:sz w:val="24"/>
        </w:rPr>
        <w:t>Journal of Human Rights and Social Work</w:t>
      </w:r>
      <w:r w:rsidRPr="008759AC">
        <w:rPr>
          <w:rFonts w:ascii="Calibri Light" w:hAnsi="Calibri Light" w:cs="Calibri Light"/>
          <w:noProof/>
          <w:sz w:val="24"/>
        </w:rPr>
        <w:t>. https://doi.org/10.1007/s41134-024-00361-9</w:t>
      </w:r>
    </w:p>
    <w:p w14:paraId="0F6CD5E1"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Rahmawati, D., Abouzeid, M. S., Nirwana AN, A., Hidayat, S., &amp; Rhain, A. (2025). Investigating Online Quran Interpretation: Methods and Sources on Muslimah.or.id and its Contribution to Online Islamic Discourse. </w:t>
      </w:r>
      <w:r w:rsidRPr="008759AC">
        <w:rPr>
          <w:rFonts w:ascii="Calibri Light" w:hAnsi="Calibri Light" w:cs="Calibri Light"/>
          <w:i/>
          <w:iCs/>
          <w:noProof/>
          <w:sz w:val="24"/>
        </w:rPr>
        <w:t>QiST: Journal of Quran and Tafseer Studies</w:t>
      </w:r>
      <w:r w:rsidRPr="008759AC">
        <w:rPr>
          <w:rFonts w:ascii="Calibri Light" w:hAnsi="Calibri Light" w:cs="Calibri Light"/>
          <w:noProof/>
          <w:sz w:val="24"/>
        </w:rPr>
        <w:t xml:space="preserve">, </w:t>
      </w:r>
      <w:r w:rsidRPr="008759AC">
        <w:rPr>
          <w:rFonts w:ascii="Calibri Light" w:hAnsi="Calibri Light" w:cs="Calibri Light"/>
          <w:i/>
          <w:iCs/>
          <w:noProof/>
          <w:sz w:val="24"/>
        </w:rPr>
        <w:t>4</w:t>
      </w:r>
      <w:r w:rsidRPr="008759AC">
        <w:rPr>
          <w:rFonts w:ascii="Calibri Light" w:hAnsi="Calibri Light" w:cs="Calibri Light"/>
          <w:noProof/>
          <w:sz w:val="24"/>
        </w:rPr>
        <w:t>(1), 75–90. https://doi.org/10.23917/qist.v4i1.7322</w:t>
      </w:r>
    </w:p>
    <w:p w14:paraId="5D55BF2D"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Righayatsyah, E., &amp; Muhyi, A. A. (2024). Islam dan Hak Asasi Manusia Dalam Perspektif Al- Qur ’ an : Kajian Tafsir Tematik. </w:t>
      </w:r>
      <w:r w:rsidRPr="008759AC">
        <w:rPr>
          <w:rFonts w:ascii="Calibri Light" w:hAnsi="Calibri Light" w:cs="Calibri Light"/>
          <w:i/>
          <w:iCs/>
          <w:noProof/>
          <w:sz w:val="24"/>
        </w:rPr>
        <w:t>Bulletin of Islamic Research</w:t>
      </w:r>
      <w:r w:rsidRPr="008759AC">
        <w:rPr>
          <w:rFonts w:ascii="Calibri Light" w:hAnsi="Calibri Light" w:cs="Calibri Light"/>
          <w:noProof/>
          <w:sz w:val="24"/>
        </w:rPr>
        <w:t xml:space="preserve">, </w:t>
      </w:r>
      <w:r w:rsidRPr="008759AC">
        <w:rPr>
          <w:rFonts w:ascii="Calibri Light" w:hAnsi="Calibri Light" w:cs="Calibri Light"/>
          <w:i/>
          <w:iCs/>
          <w:noProof/>
          <w:sz w:val="24"/>
        </w:rPr>
        <w:t>2</w:t>
      </w:r>
      <w:r w:rsidRPr="008759AC">
        <w:rPr>
          <w:rFonts w:ascii="Calibri Light" w:hAnsi="Calibri Light" w:cs="Calibri Light"/>
          <w:noProof/>
          <w:sz w:val="24"/>
        </w:rPr>
        <w:t>(2), 267–288. https://doi.org/10.69526/birv2i2.35</w:t>
      </w:r>
    </w:p>
    <w:p w14:paraId="3D940228"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Saifuddin, S., Ali Tajuddin, H. H., Yahya, M. A., Abd Rahman, M. R., &amp; Hashim, F. Y. (2024). EXAMINING THE APPLICATION OF STANDARD OF PROOF IN CRIMINAL CASES: A COMPARATIVE ANALYSIS OF ISLAMIC LAW AND COMMON LAW IN MALAYSIA. </w:t>
      </w:r>
      <w:r w:rsidRPr="008759AC">
        <w:rPr>
          <w:rFonts w:ascii="Calibri Light" w:hAnsi="Calibri Light" w:cs="Calibri Light"/>
          <w:i/>
          <w:iCs/>
          <w:noProof/>
          <w:sz w:val="24"/>
        </w:rPr>
        <w:t>Malaysian Journal of Syariah and Law</w:t>
      </w:r>
      <w:r w:rsidRPr="008759AC">
        <w:rPr>
          <w:rFonts w:ascii="Calibri Light" w:hAnsi="Calibri Light" w:cs="Calibri Light"/>
          <w:noProof/>
          <w:sz w:val="24"/>
        </w:rPr>
        <w:t xml:space="preserve">, </w:t>
      </w:r>
      <w:r w:rsidRPr="008759AC">
        <w:rPr>
          <w:rFonts w:ascii="Calibri Light" w:hAnsi="Calibri Light" w:cs="Calibri Light"/>
          <w:i/>
          <w:iCs/>
          <w:noProof/>
          <w:sz w:val="24"/>
        </w:rPr>
        <w:t>12</w:t>
      </w:r>
      <w:r w:rsidRPr="008759AC">
        <w:rPr>
          <w:rFonts w:ascii="Calibri Light" w:hAnsi="Calibri Light" w:cs="Calibri Light"/>
          <w:noProof/>
          <w:sz w:val="24"/>
        </w:rPr>
        <w:t>(1), 11–22. https://doi.org/10.33102/mjsl.vol12no1.491</w:t>
      </w:r>
    </w:p>
    <w:p w14:paraId="72238614"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Sereikaite Motiejune, G. (2025). Polygamy in Islam: A Study on Its Religious Justifications and Empowerment of Women Within Islamic Teachings. </w:t>
      </w:r>
      <w:r w:rsidRPr="008759AC">
        <w:rPr>
          <w:rFonts w:ascii="Calibri Light" w:hAnsi="Calibri Light" w:cs="Calibri Light"/>
          <w:i/>
          <w:iCs/>
          <w:noProof/>
          <w:sz w:val="24"/>
        </w:rPr>
        <w:t>QiST: Journal of Quran and Tafseer Studies</w:t>
      </w:r>
      <w:r w:rsidRPr="008759AC">
        <w:rPr>
          <w:rFonts w:ascii="Calibri Light" w:hAnsi="Calibri Light" w:cs="Calibri Light"/>
          <w:noProof/>
          <w:sz w:val="24"/>
        </w:rPr>
        <w:t xml:space="preserve">, </w:t>
      </w:r>
      <w:r w:rsidRPr="008759AC">
        <w:rPr>
          <w:rFonts w:ascii="Calibri Light" w:hAnsi="Calibri Light" w:cs="Calibri Light"/>
          <w:i/>
          <w:iCs/>
          <w:noProof/>
          <w:sz w:val="24"/>
        </w:rPr>
        <w:t>4</w:t>
      </w:r>
      <w:r w:rsidRPr="008759AC">
        <w:rPr>
          <w:rFonts w:ascii="Calibri Light" w:hAnsi="Calibri Light" w:cs="Calibri Light"/>
          <w:noProof/>
          <w:sz w:val="24"/>
        </w:rPr>
        <w:t>(1), 59–74. https://doi.org/10.23917/qist.v4i1.6948</w:t>
      </w:r>
    </w:p>
    <w:p w14:paraId="57DBAD64"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Shofaussamawati, S., Nikmah, A., &amp; Azkiya, M. A. (2025). Reading of Jasser Auda’s System Theory in the Law Verse on Women and Mosques. </w:t>
      </w:r>
      <w:r w:rsidRPr="008759AC">
        <w:rPr>
          <w:rFonts w:ascii="Calibri Light" w:hAnsi="Calibri Light" w:cs="Calibri Light"/>
          <w:i/>
          <w:iCs/>
          <w:noProof/>
          <w:sz w:val="24"/>
        </w:rPr>
        <w:t>QiST: Journal of Quran and Tafseer Studies</w:t>
      </w:r>
      <w:r w:rsidRPr="008759AC">
        <w:rPr>
          <w:rFonts w:ascii="Calibri Light" w:hAnsi="Calibri Light" w:cs="Calibri Light"/>
          <w:noProof/>
          <w:sz w:val="24"/>
        </w:rPr>
        <w:t xml:space="preserve">, </w:t>
      </w:r>
      <w:r w:rsidRPr="008759AC">
        <w:rPr>
          <w:rFonts w:ascii="Calibri Light" w:hAnsi="Calibri Light" w:cs="Calibri Light"/>
          <w:i/>
          <w:iCs/>
          <w:noProof/>
          <w:sz w:val="24"/>
        </w:rPr>
        <w:t>4</w:t>
      </w:r>
      <w:r w:rsidRPr="008759AC">
        <w:rPr>
          <w:rFonts w:ascii="Calibri Light" w:hAnsi="Calibri Light" w:cs="Calibri Light"/>
          <w:noProof/>
          <w:sz w:val="24"/>
        </w:rPr>
        <w:t>(1), 91–108. https://doi.org/10.23917/qist.v4i1.7954</w:t>
      </w:r>
    </w:p>
    <w:p w14:paraId="2197C68C"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Sholeh, M. M. A., Waston, Nirwana, A., &amp; Mahmudulhassan, M. (2024). The Reasons of Lifelong Education for the Sustainable Development Goals (SDGs): The Islamic Epistemology Perspective. </w:t>
      </w:r>
      <w:r w:rsidRPr="008759AC">
        <w:rPr>
          <w:rFonts w:ascii="Calibri Light" w:hAnsi="Calibri Light" w:cs="Calibri Light"/>
          <w:i/>
          <w:iCs/>
          <w:noProof/>
          <w:sz w:val="24"/>
        </w:rPr>
        <w:t>Journal of Lifestyle and SDGs Review</w:t>
      </w:r>
      <w:r w:rsidRPr="008759AC">
        <w:rPr>
          <w:rFonts w:ascii="Calibri Light" w:hAnsi="Calibri Light" w:cs="Calibri Light"/>
          <w:noProof/>
          <w:sz w:val="24"/>
        </w:rPr>
        <w:t xml:space="preserve">, </w:t>
      </w:r>
      <w:r w:rsidRPr="008759AC">
        <w:rPr>
          <w:rFonts w:ascii="Calibri Light" w:hAnsi="Calibri Light" w:cs="Calibri Light"/>
          <w:i/>
          <w:iCs/>
          <w:noProof/>
          <w:sz w:val="24"/>
        </w:rPr>
        <w:t>5</w:t>
      </w:r>
      <w:r w:rsidRPr="008759AC">
        <w:rPr>
          <w:rFonts w:ascii="Calibri Light" w:hAnsi="Calibri Light" w:cs="Calibri Light"/>
          <w:noProof/>
          <w:sz w:val="24"/>
        </w:rPr>
        <w:t>(2), e02988. https://doi.org/10.47172/2965-730X.SDGsReview.v5.n02.pe02988</w:t>
      </w:r>
    </w:p>
    <w:p w14:paraId="56A8ADF1"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Siyamto, M. R. R., Rhain, A., Ilham, M., &amp; Wakit, S. (2024). Public Reception of Qur’an Calligraphy at the Iska Mayang Grand Mosque in Sukoharjo. </w:t>
      </w:r>
      <w:r w:rsidRPr="008759AC">
        <w:rPr>
          <w:rFonts w:ascii="Calibri Light" w:hAnsi="Calibri Light" w:cs="Calibri Light"/>
          <w:i/>
          <w:iCs/>
          <w:noProof/>
          <w:sz w:val="24"/>
        </w:rPr>
        <w:t>QiST: Journal of Quran and Tafseer Studies</w:t>
      </w:r>
      <w:r w:rsidRPr="008759AC">
        <w:rPr>
          <w:rFonts w:ascii="Calibri Light" w:hAnsi="Calibri Light" w:cs="Calibri Light"/>
          <w:noProof/>
          <w:sz w:val="24"/>
        </w:rPr>
        <w:t xml:space="preserve">, </w:t>
      </w:r>
      <w:r w:rsidRPr="008759AC">
        <w:rPr>
          <w:rFonts w:ascii="Calibri Light" w:hAnsi="Calibri Light" w:cs="Calibri Light"/>
          <w:i/>
          <w:iCs/>
          <w:noProof/>
          <w:sz w:val="24"/>
        </w:rPr>
        <w:t>4</w:t>
      </w:r>
      <w:r w:rsidRPr="008759AC">
        <w:rPr>
          <w:rFonts w:ascii="Calibri Light" w:hAnsi="Calibri Light" w:cs="Calibri Light"/>
          <w:noProof/>
          <w:sz w:val="24"/>
        </w:rPr>
        <w:t>(1), 23–40. https://doi.org/10.23917/qist.v4i1.7866</w:t>
      </w:r>
    </w:p>
    <w:p w14:paraId="2025E286"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Sondhi, A., Bunaciu, A., Best, D., Hennessy, E. A., Best, J., Leidi, A., Grimes, A., Conner, M., DeTriquet, R., &amp; White, W. (2024). Modeling Recovery Housing Retention and Program Outcomes by Justice Involvement among Residents in Virginia, USA: An Observational Study. </w:t>
      </w:r>
      <w:r w:rsidRPr="008759AC">
        <w:rPr>
          <w:rFonts w:ascii="Calibri Light" w:hAnsi="Calibri Light" w:cs="Calibri Light"/>
          <w:i/>
          <w:iCs/>
          <w:noProof/>
          <w:sz w:val="24"/>
        </w:rPr>
        <w:t>International Journal of Offender Therapy and Comparative Criminology</w:t>
      </w:r>
      <w:r w:rsidRPr="008759AC">
        <w:rPr>
          <w:rFonts w:ascii="Calibri Light" w:hAnsi="Calibri Light" w:cs="Calibri Light"/>
          <w:noProof/>
          <w:sz w:val="24"/>
        </w:rPr>
        <w:t xml:space="preserve">, </w:t>
      </w:r>
      <w:r w:rsidRPr="008759AC">
        <w:rPr>
          <w:rFonts w:ascii="Calibri Light" w:hAnsi="Calibri Light" w:cs="Calibri Light"/>
          <w:i/>
          <w:iCs/>
          <w:noProof/>
          <w:sz w:val="24"/>
        </w:rPr>
        <w:t>68</w:t>
      </w:r>
      <w:r w:rsidRPr="008759AC">
        <w:rPr>
          <w:rFonts w:ascii="Calibri Light" w:hAnsi="Calibri Light" w:cs="Calibri Light"/>
          <w:noProof/>
          <w:sz w:val="24"/>
        </w:rPr>
        <w:t>(15), 1579–1597. https://doi.org/10.1177/0306624X241254691</w:t>
      </w:r>
    </w:p>
    <w:p w14:paraId="686FFEB3"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Steinerte, E., &amp; Ploton, V. (2023). Treaty Bodies and Special Procedures: Can They Work Better Together? </w:t>
      </w:r>
      <w:r w:rsidRPr="008759AC">
        <w:rPr>
          <w:rFonts w:ascii="Calibri Light" w:hAnsi="Calibri Light" w:cs="Calibri Light"/>
          <w:i/>
          <w:iCs/>
          <w:noProof/>
          <w:sz w:val="24"/>
        </w:rPr>
        <w:t>Journal of Human Rights Practice</w:t>
      </w:r>
      <w:r w:rsidRPr="008759AC">
        <w:rPr>
          <w:rFonts w:ascii="Calibri Light" w:hAnsi="Calibri Light" w:cs="Calibri Light"/>
          <w:noProof/>
          <w:sz w:val="24"/>
        </w:rPr>
        <w:t xml:space="preserve">, </w:t>
      </w:r>
      <w:r w:rsidRPr="008759AC">
        <w:rPr>
          <w:rFonts w:ascii="Calibri Light" w:hAnsi="Calibri Light" w:cs="Calibri Light"/>
          <w:i/>
          <w:iCs/>
          <w:noProof/>
          <w:sz w:val="24"/>
        </w:rPr>
        <w:t>15</w:t>
      </w:r>
      <w:r w:rsidRPr="008759AC">
        <w:rPr>
          <w:rFonts w:ascii="Calibri Light" w:hAnsi="Calibri Light" w:cs="Calibri Light"/>
          <w:noProof/>
          <w:sz w:val="24"/>
        </w:rPr>
        <w:t>(3), 784–793. https://doi.org/10.1093/jhuman/huad058</w:t>
      </w:r>
    </w:p>
    <w:p w14:paraId="2B8B18EE"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Sulaiman, Y., Kaura, R. A., &amp; Doma, I. S. (2024). Islam, Neo-Colonialism, And Factors Responsible For Its Roots In The Muslim World. </w:t>
      </w:r>
      <w:r w:rsidRPr="008759AC">
        <w:rPr>
          <w:rFonts w:ascii="Calibri Light" w:hAnsi="Calibri Light" w:cs="Calibri Light"/>
          <w:i/>
          <w:iCs/>
          <w:noProof/>
          <w:sz w:val="24"/>
        </w:rPr>
        <w:t>Bulletin of Islamic Research</w:t>
      </w:r>
      <w:r w:rsidRPr="008759AC">
        <w:rPr>
          <w:rFonts w:ascii="Calibri Light" w:hAnsi="Calibri Light" w:cs="Calibri Light"/>
          <w:noProof/>
          <w:sz w:val="24"/>
        </w:rPr>
        <w:t xml:space="preserve">, </w:t>
      </w:r>
      <w:r w:rsidRPr="008759AC">
        <w:rPr>
          <w:rFonts w:ascii="Calibri Light" w:hAnsi="Calibri Light" w:cs="Calibri Light"/>
          <w:i/>
          <w:iCs/>
          <w:noProof/>
          <w:sz w:val="24"/>
        </w:rPr>
        <w:t>2</w:t>
      </w:r>
      <w:r w:rsidRPr="008759AC">
        <w:rPr>
          <w:rFonts w:ascii="Calibri Light" w:hAnsi="Calibri Light" w:cs="Calibri Light"/>
          <w:noProof/>
          <w:sz w:val="24"/>
        </w:rPr>
        <w:t>(4), 591–616. https://doi.org/10.69526/bir.v2i4.155</w:t>
      </w:r>
    </w:p>
    <w:p w14:paraId="12483EA0"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Susila, J. (2021). Globalization Of Terrorism And Extra-Judicial Killings: The Paradox Of Human Rights In Indonesia. </w:t>
      </w:r>
      <w:r w:rsidRPr="008759AC">
        <w:rPr>
          <w:rFonts w:ascii="Calibri Light" w:hAnsi="Calibri Light" w:cs="Calibri Light"/>
          <w:i/>
          <w:iCs/>
          <w:noProof/>
          <w:sz w:val="24"/>
        </w:rPr>
        <w:t>The Indonesian Journal of Legal Thought (IJLETH)</w:t>
      </w:r>
      <w:r w:rsidRPr="008759AC">
        <w:rPr>
          <w:rFonts w:ascii="Calibri Light" w:hAnsi="Calibri Light" w:cs="Calibri Light"/>
          <w:noProof/>
          <w:sz w:val="24"/>
        </w:rPr>
        <w:t xml:space="preserve">, </w:t>
      </w:r>
      <w:r w:rsidRPr="008759AC">
        <w:rPr>
          <w:rFonts w:ascii="Calibri Light" w:hAnsi="Calibri Light" w:cs="Calibri Light"/>
          <w:i/>
          <w:iCs/>
          <w:noProof/>
          <w:sz w:val="24"/>
        </w:rPr>
        <w:t>01</w:t>
      </w:r>
      <w:r w:rsidRPr="008759AC">
        <w:rPr>
          <w:rFonts w:ascii="Calibri Light" w:hAnsi="Calibri Light" w:cs="Calibri Light"/>
          <w:noProof/>
          <w:sz w:val="24"/>
        </w:rPr>
        <w:t>(01), 43–55.</w:t>
      </w:r>
    </w:p>
    <w:p w14:paraId="789743A2"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Wirthle, T. (2025). Immediate and progressive realisation in international human rights law. In </w:t>
      </w:r>
      <w:r w:rsidRPr="008759AC">
        <w:rPr>
          <w:rFonts w:ascii="Calibri Light" w:hAnsi="Calibri Light" w:cs="Calibri Light"/>
          <w:i/>
          <w:iCs/>
          <w:noProof/>
          <w:sz w:val="24"/>
        </w:rPr>
        <w:t>Immediate and Progressive Realisation in International Human Rights Law</w:t>
      </w:r>
      <w:r w:rsidRPr="008759AC">
        <w:rPr>
          <w:rFonts w:ascii="Calibri Light" w:hAnsi="Calibri Light" w:cs="Calibri Light"/>
          <w:noProof/>
          <w:sz w:val="24"/>
        </w:rPr>
        <w:t>. Bloomsbury Publishing Plc. https://www.scopus.com/inward/record.uri?eid=2-s2.0-</w:t>
      </w:r>
      <w:r w:rsidRPr="008759AC">
        <w:rPr>
          <w:rFonts w:ascii="Calibri Light" w:hAnsi="Calibri Light" w:cs="Calibri Light"/>
          <w:noProof/>
          <w:sz w:val="24"/>
        </w:rPr>
        <w:lastRenderedPageBreak/>
        <w:t>85214464742&amp;partnerID=40&amp;md5=e32621952e795d3098fbbafde6d48d6c</w:t>
      </w:r>
    </w:p>
    <w:p w14:paraId="5E0A90F1" w14:textId="77777777" w:rsidR="008759AC" w:rsidRPr="008759AC" w:rsidRDefault="008759AC" w:rsidP="008759AC">
      <w:pPr>
        <w:widowControl w:val="0"/>
        <w:adjustRightInd w:val="0"/>
        <w:spacing w:line="240" w:lineRule="atLeast"/>
        <w:ind w:left="480" w:hanging="480"/>
        <w:rPr>
          <w:rFonts w:ascii="Calibri Light" w:hAnsi="Calibri Light" w:cs="Calibri Light"/>
          <w:noProof/>
          <w:sz w:val="24"/>
        </w:rPr>
      </w:pPr>
      <w:r w:rsidRPr="008759AC">
        <w:rPr>
          <w:rFonts w:ascii="Calibri Light" w:hAnsi="Calibri Light" w:cs="Calibri Light"/>
          <w:noProof/>
          <w:sz w:val="24"/>
        </w:rPr>
        <w:t xml:space="preserve">Yayuli, Y., Athief, F. H. N., &amp; Utari, D. N. (2021). STUDI KOMPARATIF PEMIKIRAN YUSUF QARDHAWI DAN SAHAL MAHFUDH TENTANG ZAKAT PRODUKTIF SEBAGAI SARANA PEMBERDAYAAN EKONOMI. </w:t>
      </w:r>
      <w:r w:rsidRPr="008759AC">
        <w:rPr>
          <w:rFonts w:ascii="Calibri Light" w:hAnsi="Calibri Light" w:cs="Calibri Light"/>
          <w:i/>
          <w:iCs/>
          <w:noProof/>
          <w:sz w:val="24"/>
        </w:rPr>
        <w:t>Profetika: Jurnal Studi Islam</w:t>
      </w:r>
      <w:r w:rsidRPr="008759AC">
        <w:rPr>
          <w:rFonts w:ascii="Calibri Light" w:hAnsi="Calibri Light" w:cs="Calibri Light"/>
          <w:noProof/>
          <w:sz w:val="24"/>
        </w:rPr>
        <w:t xml:space="preserve">, </w:t>
      </w:r>
      <w:r w:rsidRPr="008759AC">
        <w:rPr>
          <w:rFonts w:ascii="Calibri Light" w:hAnsi="Calibri Light" w:cs="Calibri Light"/>
          <w:i/>
          <w:iCs/>
          <w:noProof/>
          <w:sz w:val="24"/>
        </w:rPr>
        <w:t>23</w:t>
      </w:r>
      <w:r w:rsidRPr="008759AC">
        <w:rPr>
          <w:rFonts w:ascii="Calibri Light" w:hAnsi="Calibri Light" w:cs="Calibri Light"/>
          <w:noProof/>
          <w:sz w:val="24"/>
        </w:rPr>
        <w:t>(1), 98–113. https://doi.org/10.23917/profetika.v23i1.16798</w:t>
      </w:r>
    </w:p>
    <w:p w14:paraId="3D107B4C" w14:textId="067EB01D" w:rsidR="001602A0" w:rsidRPr="00540F02" w:rsidRDefault="00276E3E" w:rsidP="006514A3">
      <w:pPr>
        <w:spacing w:line="240" w:lineRule="atLeast"/>
        <w:jc w:val="both"/>
        <w:rPr>
          <w:rFonts w:ascii="Calibri Light" w:hAnsi="Calibri Light" w:cs="Calibri Light"/>
          <w:b/>
          <w:color w:val="A6A6A6"/>
          <w:sz w:val="24"/>
          <w:szCs w:val="24"/>
          <w:lang w:val="id-ID"/>
        </w:rPr>
      </w:pPr>
      <w:r>
        <w:rPr>
          <w:rFonts w:ascii="Calibri Light" w:hAnsi="Calibri Light" w:cs="Calibri Light"/>
          <w:b/>
          <w:color w:val="A6A6A6"/>
          <w:sz w:val="24"/>
          <w:szCs w:val="24"/>
          <w:lang w:val="id-ID"/>
        </w:rPr>
        <w:fldChar w:fldCharType="end"/>
      </w:r>
    </w:p>
    <w:p w14:paraId="3C56DC31" w14:textId="77777777" w:rsidR="006538D6" w:rsidRPr="00E810D4" w:rsidRDefault="006538D6" w:rsidP="006514A3">
      <w:pPr>
        <w:pStyle w:val="ListParagraph"/>
        <w:spacing w:before="120" w:after="120" w:line="240" w:lineRule="auto"/>
        <w:ind w:right="-1"/>
        <w:contextualSpacing w:val="0"/>
        <w:jc w:val="both"/>
        <w:rPr>
          <w:rFonts w:ascii="Calibri Light" w:hAnsi="Calibri Light" w:cs="Calibri Light"/>
          <w:color w:val="A6A6A6"/>
          <w:sz w:val="24"/>
          <w:szCs w:val="24"/>
        </w:rPr>
      </w:pPr>
    </w:p>
    <w:sectPr w:rsidR="006538D6" w:rsidRPr="00E810D4" w:rsidSect="007816FC">
      <w:headerReference w:type="even" r:id="rId19"/>
      <w:headerReference w:type="default" r:id="rId20"/>
      <w:footerReference w:type="even" r:id="rId21"/>
      <w:footerReference w:type="default" r:id="rId22"/>
      <w:headerReference w:type="first" r:id="rId23"/>
      <w:footerReference w:type="first" r:id="rId24"/>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F28C3" w14:textId="77777777" w:rsidR="001E342A" w:rsidRDefault="001E342A">
      <w:r>
        <w:separator/>
      </w:r>
    </w:p>
  </w:endnote>
  <w:endnote w:type="continuationSeparator" w:id="0">
    <w:p w14:paraId="12A7EFC6" w14:textId="77777777" w:rsidR="001E342A" w:rsidRDefault="001E3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raditional Arabic">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39E8C" w14:textId="0DB08A09" w:rsidR="00122F5F" w:rsidRPr="00540F02" w:rsidRDefault="005742A6"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5A8E2A0A" wp14:editId="019008DC">
              <wp:simplePos x="0" y="0"/>
              <wp:positionH relativeFrom="column">
                <wp:posOffset>5151755</wp:posOffset>
              </wp:positionH>
              <wp:positionV relativeFrom="paragraph">
                <wp:posOffset>-64770</wp:posOffset>
              </wp:positionV>
              <wp:extent cx="619760" cy="278130"/>
              <wp:effectExtent l="13335" t="7620" r="5080" b="9525"/>
              <wp:wrapNone/>
              <wp:docPr id="74424113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F8B5CE7"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E2A0A" id="Rectangle 7" o:spid="_x0000_s1044"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1F8B5CE7"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996402B"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FFC6F" w14:textId="48FD8C49" w:rsidR="0008220C" w:rsidRPr="00540F02" w:rsidRDefault="005742A6"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1AEFABBC" wp14:editId="741AF388">
              <wp:simplePos x="0" y="0"/>
              <wp:positionH relativeFrom="column">
                <wp:posOffset>5151755</wp:posOffset>
              </wp:positionH>
              <wp:positionV relativeFrom="paragraph">
                <wp:posOffset>-64770</wp:posOffset>
              </wp:positionV>
              <wp:extent cx="619760" cy="278130"/>
              <wp:effectExtent l="13335" t="7620" r="5080" b="9525"/>
              <wp:wrapNone/>
              <wp:docPr id="77496678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E0E0D54"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EFABBC" id="Rectangle 8" o:spid="_x0000_s1045"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4E0E0D54"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2A44180D"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5028D" w14:textId="11B9FBCA" w:rsidR="00965E3F" w:rsidRPr="0008220C" w:rsidRDefault="005742A6"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63D54A80" wp14:editId="18DA8200">
              <wp:simplePos x="0" y="0"/>
              <wp:positionH relativeFrom="column">
                <wp:posOffset>5151755</wp:posOffset>
              </wp:positionH>
              <wp:positionV relativeFrom="paragraph">
                <wp:posOffset>-64770</wp:posOffset>
              </wp:positionV>
              <wp:extent cx="619760" cy="278130"/>
              <wp:effectExtent l="13335" t="7620" r="5080" b="9525"/>
              <wp:wrapNone/>
              <wp:docPr id="54830162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AEBF3F7"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54A80" id="Rectangle 12" o:spid="_x0000_s1049"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2AEBF3F7"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33FA3FB"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C5B1E" w14:textId="77777777" w:rsidR="001E342A" w:rsidRDefault="001E342A">
      <w:r>
        <w:separator/>
      </w:r>
    </w:p>
  </w:footnote>
  <w:footnote w:type="continuationSeparator" w:id="0">
    <w:p w14:paraId="16A0FD49" w14:textId="77777777" w:rsidR="001E342A" w:rsidRDefault="001E34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532E3" w14:textId="5BD93A2C" w:rsidR="00122F5F" w:rsidRDefault="005742A6" w:rsidP="00122F5F">
    <w:pPr>
      <w:pStyle w:val="Header"/>
    </w:pPr>
    <w:r>
      <w:rPr>
        <w:noProof/>
      </w:rPr>
      <mc:AlternateContent>
        <mc:Choice Requires="wps">
          <w:drawing>
            <wp:anchor distT="0" distB="0" distL="114300" distR="114300" simplePos="0" relativeHeight="251656192" behindDoc="1" locked="0" layoutInCell="1" allowOverlap="1" wp14:anchorId="3818EDB0" wp14:editId="73DF62AB">
              <wp:simplePos x="0" y="0"/>
              <wp:positionH relativeFrom="page">
                <wp:posOffset>962025</wp:posOffset>
              </wp:positionH>
              <wp:positionV relativeFrom="page">
                <wp:posOffset>947420</wp:posOffset>
              </wp:positionV>
              <wp:extent cx="1998980" cy="229870"/>
              <wp:effectExtent l="0" t="4445" r="1270" b="3810"/>
              <wp:wrapNone/>
              <wp:docPr id="116642325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3EB3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5E4228E"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18EDB0" id="_x0000_t202" coordsize="21600,21600" o:spt="202" path="m,l,21600r21600,l21600,xe">
              <v:stroke joinstyle="miter"/>
              <v:path gradientshapeok="t" o:connecttype="rect"/>
            </v:shapetype>
            <v:shape id="Text Box 1" o:spid="_x0000_s1038"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4E83EB3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5E4228E"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F6338ED" wp14:editId="358829CC">
              <wp:simplePos x="0" y="0"/>
              <wp:positionH relativeFrom="page">
                <wp:posOffset>6497955</wp:posOffset>
              </wp:positionH>
              <wp:positionV relativeFrom="page">
                <wp:posOffset>445135</wp:posOffset>
              </wp:positionV>
              <wp:extent cx="231775" cy="177800"/>
              <wp:effectExtent l="1905" t="0" r="4445" b="0"/>
              <wp:wrapNone/>
              <wp:docPr id="1995149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FEF2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6338ED" id="Text Box 2" o:spid="_x0000_s1039"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33FEF2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0C8BBA96" wp14:editId="5EA7D5CA">
              <wp:simplePos x="0" y="0"/>
              <wp:positionH relativeFrom="page">
                <wp:posOffset>3143250</wp:posOffset>
              </wp:positionH>
              <wp:positionV relativeFrom="page">
                <wp:posOffset>784860</wp:posOffset>
              </wp:positionV>
              <wp:extent cx="3523615" cy="416560"/>
              <wp:effectExtent l="0" t="3810" r="635" b="0"/>
              <wp:wrapNone/>
              <wp:docPr id="21704940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F07E1"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BBA96" id="Text Box 3" o:spid="_x0000_s1040"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6F1F07E1"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6781C1D7" wp14:editId="11AE7C6B">
          <wp:extent cx="1099185" cy="50101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1015"/>
                  </a:xfrm>
                  <a:prstGeom prst="rect">
                    <a:avLst/>
                  </a:prstGeom>
                  <a:noFill/>
                  <a:ln>
                    <a:noFill/>
                  </a:ln>
                </pic:spPr>
              </pic:pic>
            </a:graphicData>
          </a:graphic>
        </wp:inline>
      </w:drawing>
    </w:r>
  </w:p>
  <w:p w14:paraId="36ADD042" w14:textId="77777777" w:rsidR="00122F5F" w:rsidRDefault="00122F5F" w:rsidP="00122F5F">
    <w:pPr>
      <w:pStyle w:val="Header"/>
      <w:rPr>
        <w:sz w:val="16"/>
        <w:szCs w:val="16"/>
      </w:rPr>
    </w:pPr>
  </w:p>
  <w:p w14:paraId="451B4ABF" w14:textId="77777777" w:rsidR="00AA4AE4" w:rsidRDefault="00AA4AE4" w:rsidP="00122F5F">
    <w:pPr>
      <w:pStyle w:val="Header"/>
      <w:rPr>
        <w:sz w:val="16"/>
        <w:szCs w:val="16"/>
      </w:rPr>
    </w:pPr>
  </w:p>
  <w:p w14:paraId="430F58E7"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C2CCE" w14:textId="0F2CD7FB" w:rsidR="00540F02" w:rsidRDefault="005742A6" w:rsidP="00540F02">
    <w:pPr>
      <w:pStyle w:val="Header"/>
    </w:pPr>
    <w:r>
      <w:rPr>
        <w:noProof/>
      </w:rPr>
      <mc:AlternateContent>
        <mc:Choice Requires="wps">
          <w:drawing>
            <wp:anchor distT="0" distB="0" distL="114300" distR="114300" simplePos="0" relativeHeight="251658240" behindDoc="1" locked="0" layoutInCell="1" allowOverlap="1" wp14:anchorId="77F63B88" wp14:editId="71135EE8">
              <wp:simplePos x="0" y="0"/>
              <wp:positionH relativeFrom="page">
                <wp:posOffset>962025</wp:posOffset>
              </wp:positionH>
              <wp:positionV relativeFrom="page">
                <wp:posOffset>947420</wp:posOffset>
              </wp:positionV>
              <wp:extent cx="1998980" cy="229870"/>
              <wp:effectExtent l="0" t="4445" r="1270" b="3810"/>
              <wp:wrapNone/>
              <wp:docPr id="30638155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6A4EB"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AA1AE2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F63B88" id="_x0000_t202" coordsize="21600,21600" o:spt="202" path="m,l,21600r21600,l21600,xe">
              <v:stroke joinstyle="miter"/>
              <v:path gradientshapeok="t" o:connecttype="rect"/>
            </v:shapetype>
            <v:shape id="Text Box 4" o:spid="_x0000_s104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4876A4EB"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AA1AE2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3C56B5DC" wp14:editId="3D0F1F6F">
              <wp:simplePos x="0" y="0"/>
              <wp:positionH relativeFrom="page">
                <wp:posOffset>6464300</wp:posOffset>
              </wp:positionH>
              <wp:positionV relativeFrom="page">
                <wp:posOffset>467360</wp:posOffset>
              </wp:positionV>
              <wp:extent cx="231775" cy="177800"/>
              <wp:effectExtent l="0" t="635" r="0" b="2540"/>
              <wp:wrapNone/>
              <wp:docPr id="22309424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D5B4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6B5DC" id="Text Box 5" o:spid="_x0000_s104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19BD5B4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658B90A9" wp14:editId="6B389420">
              <wp:simplePos x="0" y="0"/>
              <wp:positionH relativeFrom="page">
                <wp:posOffset>3143250</wp:posOffset>
              </wp:positionH>
              <wp:positionV relativeFrom="page">
                <wp:posOffset>784860</wp:posOffset>
              </wp:positionV>
              <wp:extent cx="3523615" cy="416560"/>
              <wp:effectExtent l="0" t="3810" r="635" b="0"/>
              <wp:wrapNone/>
              <wp:docPr id="143997817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06B2"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B90A9" id="Text Box 6" o:spid="_x0000_s1043"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3E4906B2"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6399822" wp14:editId="31D6F47E">
          <wp:extent cx="1099185" cy="50101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1015"/>
                  </a:xfrm>
                  <a:prstGeom prst="rect">
                    <a:avLst/>
                  </a:prstGeom>
                  <a:noFill/>
                  <a:ln>
                    <a:noFill/>
                  </a:ln>
                </pic:spPr>
              </pic:pic>
            </a:graphicData>
          </a:graphic>
        </wp:inline>
      </w:drawing>
    </w:r>
  </w:p>
  <w:p w14:paraId="274F9D73" w14:textId="77777777" w:rsidR="00540F02" w:rsidRDefault="00540F02" w:rsidP="00540F02">
    <w:pPr>
      <w:pStyle w:val="Header"/>
      <w:rPr>
        <w:sz w:val="16"/>
        <w:szCs w:val="16"/>
      </w:rPr>
    </w:pPr>
  </w:p>
  <w:p w14:paraId="34580A9D" w14:textId="77777777" w:rsidR="00540F02" w:rsidRDefault="00540F02" w:rsidP="00540F02">
    <w:pPr>
      <w:pStyle w:val="Header"/>
      <w:rPr>
        <w:sz w:val="16"/>
        <w:szCs w:val="16"/>
      </w:rPr>
    </w:pPr>
  </w:p>
  <w:p w14:paraId="309BE79A"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BA8AB" w14:textId="7C161386" w:rsidR="00FF1D30" w:rsidRDefault="005742A6">
    <w:pPr>
      <w:pStyle w:val="Header"/>
    </w:pPr>
    <w:r>
      <w:rPr>
        <w:noProof/>
      </w:rPr>
      <mc:AlternateContent>
        <mc:Choice Requires="wps">
          <w:drawing>
            <wp:anchor distT="0" distB="0" distL="114300" distR="114300" simplePos="0" relativeHeight="251652096" behindDoc="1" locked="0" layoutInCell="1" allowOverlap="1" wp14:anchorId="779C0690" wp14:editId="0E8E1707">
              <wp:simplePos x="0" y="0"/>
              <wp:positionH relativeFrom="page">
                <wp:posOffset>942975</wp:posOffset>
              </wp:positionH>
              <wp:positionV relativeFrom="page">
                <wp:posOffset>947420</wp:posOffset>
              </wp:positionV>
              <wp:extent cx="1998980" cy="229870"/>
              <wp:effectExtent l="0" t="4445" r="1270" b="3810"/>
              <wp:wrapNone/>
              <wp:docPr id="162509942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0AFB8"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C51E2E8"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9C0690" id="_x0000_t202" coordsize="21600,21600" o:spt="202" path="m,l,21600r21600,l21600,xe">
              <v:stroke joinstyle="miter"/>
              <v:path gradientshapeok="t" o:connecttype="rect"/>
            </v:shapetype>
            <v:shape id="Text Box 9" o:spid="_x0000_s1046"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3B0AFB8"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C51E2E8"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37B4B627" wp14:editId="75A34832">
              <wp:simplePos x="0" y="0"/>
              <wp:positionH relativeFrom="page">
                <wp:posOffset>6464300</wp:posOffset>
              </wp:positionH>
              <wp:positionV relativeFrom="page">
                <wp:posOffset>439420</wp:posOffset>
              </wp:positionV>
              <wp:extent cx="231775" cy="177800"/>
              <wp:effectExtent l="0" t="1270" r="0" b="1905"/>
              <wp:wrapNone/>
              <wp:docPr id="82203146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CAA6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4B627" id="Text Box 10" o:spid="_x0000_s1047"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40ECAA6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2ABCC91D" wp14:editId="35EBF4C7">
              <wp:simplePos x="0" y="0"/>
              <wp:positionH relativeFrom="page">
                <wp:posOffset>3143250</wp:posOffset>
              </wp:positionH>
              <wp:positionV relativeFrom="page">
                <wp:posOffset>784860</wp:posOffset>
              </wp:positionV>
              <wp:extent cx="3516630" cy="416560"/>
              <wp:effectExtent l="0" t="3810" r="0" b="0"/>
              <wp:wrapNone/>
              <wp:docPr id="21268047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21B87"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CC91D" id="Text Box 11" o:spid="_x0000_s1048"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3DD21B87"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77C3A4C" wp14:editId="1929EA41">
          <wp:extent cx="1099185" cy="50101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1015"/>
                  </a:xfrm>
                  <a:prstGeom prst="rect">
                    <a:avLst/>
                  </a:prstGeom>
                  <a:noFill/>
                  <a:ln>
                    <a:noFill/>
                  </a:ln>
                </pic:spPr>
              </pic:pic>
            </a:graphicData>
          </a:graphic>
        </wp:inline>
      </w:drawing>
    </w:r>
  </w:p>
  <w:p w14:paraId="3DB29F68" w14:textId="77777777" w:rsidR="00FF1D30" w:rsidRDefault="00FF1D30">
    <w:pPr>
      <w:pStyle w:val="Header"/>
      <w:rPr>
        <w:sz w:val="16"/>
        <w:szCs w:val="16"/>
      </w:rPr>
    </w:pPr>
  </w:p>
  <w:p w14:paraId="089A3938" w14:textId="77777777" w:rsidR="00FF1D30" w:rsidRDefault="00FF1D30">
    <w:pPr>
      <w:pStyle w:val="Header"/>
      <w:rPr>
        <w:sz w:val="16"/>
        <w:szCs w:val="16"/>
      </w:rPr>
    </w:pPr>
  </w:p>
  <w:p w14:paraId="1F91C40E"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A910A7D"/>
    <w:multiLevelType w:val="hybridMultilevel"/>
    <w:tmpl w:val="FFFFFFFF"/>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073262972">
    <w:abstractNumId w:val="14"/>
  </w:num>
  <w:num w:numId="2" w16cid:durableId="485970993">
    <w:abstractNumId w:val="8"/>
  </w:num>
  <w:num w:numId="3" w16cid:durableId="410200282">
    <w:abstractNumId w:val="9"/>
  </w:num>
  <w:num w:numId="4" w16cid:durableId="2137285493">
    <w:abstractNumId w:val="23"/>
  </w:num>
  <w:num w:numId="5" w16cid:durableId="1019962932">
    <w:abstractNumId w:val="22"/>
  </w:num>
  <w:num w:numId="6" w16cid:durableId="370957493">
    <w:abstractNumId w:val="21"/>
  </w:num>
  <w:num w:numId="7" w16cid:durableId="1162768867">
    <w:abstractNumId w:val="28"/>
  </w:num>
  <w:num w:numId="8" w16cid:durableId="1438022640">
    <w:abstractNumId w:val="15"/>
  </w:num>
  <w:num w:numId="9" w16cid:durableId="2006592035">
    <w:abstractNumId w:val="24"/>
  </w:num>
  <w:num w:numId="10" w16cid:durableId="1061251243">
    <w:abstractNumId w:val="25"/>
  </w:num>
  <w:num w:numId="11" w16cid:durableId="967396715">
    <w:abstractNumId w:val="11"/>
  </w:num>
  <w:num w:numId="12" w16cid:durableId="1171063890">
    <w:abstractNumId w:val="19"/>
  </w:num>
  <w:num w:numId="13" w16cid:durableId="1903101194">
    <w:abstractNumId w:val="7"/>
  </w:num>
  <w:num w:numId="14" w16cid:durableId="210653759">
    <w:abstractNumId w:val="0"/>
  </w:num>
  <w:num w:numId="15" w16cid:durableId="2072386098">
    <w:abstractNumId w:val="29"/>
  </w:num>
  <w:num w:numId="16" w16cid:durableId="613246020">
    <w:abstractNumId w:val="20"/>
  </w:num>
  <w:num w:numId="17" w16cid:durableId="1116872063">
    <w:abstractNumId w:val="27"/>
  </w:num>
  <w:num w:numId="18" w16cid:durableId="1252080476">
    <w:abstractNumId w:val="26"/>
  </w:num>
  <w:num w:numId="19" w16cid:durableId="2101637754">
    <w:abstractNumId w:val="18"/>
  </w:num>
  <w:num w:numId="20" w16cid:durableId="220168126">
    <w:abstractNumId w:val="5"/>
  </w:num>
  <w:num w:numId="21" w16cid:durableId="1619142303">
    <w:abstractNumId w:val="1"/>
  </w:num>
  <w:num w:numId="22" w16cid:durableId="1619409271">
    <w:abstractNumId w:val="12"/>
  </w:num>
  <w:num w:numId="23" w16cid:durableId="1469056629">
    <w:abstractNumId w:val="2"/>
  </w:num>
  <w:num w:numId="24" w16cid:durableId="1543590173">
    <w:abstractNumId w:val="3"/>
  </w:num>
  <w:num w:numId="25" w16cid:durableId="177155830">
    <w:abstractNumId w:val="4"/>
  </w:num>
  <w:num w:numId="26" w16cid:durableId="1094084349">
    <w:abstractNumId w:val="10"/>
  </w:num>
  <w:num w:numId="27" w16cid:durableId="1235236214">
    <w:abstractNumId w:val="13"/>
  </w:num>
  <w:num w:numId="28" w16cid:durableId="943655462">
    <w:abstractNumId w:val="6"/>
  </w:num>
  <w:num w:numId="29" w16cid:durableId="78598166">
    <w:abstractNumId w:val="17"/>
  </w:num>
  <w:num w:numId="30" w16cid:durableId="680085252">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17625"/>
    <w:rsid w:val="000243A3"/>
    <w:rsid w:val="00024881"/>
    <w:rsid w:val="0002569B"/>
    <w:rsid w:val="000417D3"/>
    <w:rsid w:val="000475BE"/>
    <w:rsid w:val="00055FC4"/>
    <w:rsid w:val="0006191D"/>
    <w:rsid w:val="00066AC1"/>
    <w:rsid w:val="0007302E"/>
    <w:rsid w:val="0007539D"/>
    <w:rsid w:val="00076F8C"/>
    <w:rsid w:val="0008220C"/>
    <w:rsid w:val="000877EE"/>
    <w:rsid w:val="0009204F"/>
    <w:rsid w:val="0009638F"/>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02A0"/>
    <w:rsid w:val="00162A30"/>
    <w:rsid w:val="00165813"/>
    <w:rsid w:val="00171D19"/>
    <w:rsid w:val="00173196"/>
    <w:rsid w:val="0018288D"/>
    <w:rsid w:val="00187357"/>
    <w:rsid w:val="0019427B"/>
    <w:rsid w:val="001A07A8"/>
    <w:rsid w:val="001B3613"/>
    <w:rsid w:val="001C2739"/>
    <w:rsid w:val="001C3D6C"/>
    <w:rsid w:val="001C7BDA"/>
    <w:rsid w:val="001D5E03"/>
    <w:rsid w:val="001D7DEE"/>
    <w:rsid w:val="001E02DA"/>
    <w:rsid w:val="001E2AAA"/>
    <w:rsid w:val="001E342A"/>
    <w:rsid w:val="001E4CF7"/>
    <w:rsid w:val="001F2D87"/>
    <w:rsid w:val="001F3695"/>
    <w:rsid w:val="002003B1"/>
    <w:rsid w:val="0020406B"/>
    <w:rsid w:val="0020676E"/>
    <w:rsid w:val="002132FC"/>
    <w:rsid w:val="0021416E"/>
    <w:rsid w:val="00216CB6"/>
    <w:rsid w:val="00217D1E"/>
    <w:rsid w:val="00220E29"/>
    <w:rsid w:val="00223090"/>
    <w:rsid w:val="00224082"/>
    <w:rsid w:val="00232863"/>
    <w:rsid w:val="00241B8D"/>
    <w:rsid w:val="00244A43"/>
    <w:rsid w:val="00251164"/>
    <w:rsid w:val="00253D8A"/>
    <w:rsid w:val="002563E9"/>
    <w:rsid w:val="00257C43"/>
    <w:rsid w:val="00260D64"/>
    <w:rsid w:val="002632DB"/>
    <w:rsid w:val="002676D3"/>
    <w:rsid w:val="00271DA6"/>
    <w:rsid w:val="0027200A"/>
    <w:rsid w:val="00274990"/>
    <w:rsid w:val="00276E3E"/>
    <w:rsid w:val="00287EDB"/>
    <w:rsid w:val="00295FB9"/>
    <w:rsid w:val="002961FA"/>
    <w:rsid w:val="002A293E"/>
    <w:rsid w:val="002A4E05"/>
    <w:rsid w:val="002C2FAC"/>
    <w:rsid w:val="002C3797"/>
    <w:rsid w:val="002D0F54"/>
    <w:rsid w:val="002D1D04"/>
    <w:rsid w:val="002D2DAC"/>
    <w:rsid w:val="002D6A94"/>
    <w:rsid w:val="002E0452"/>
    <w:rsid w:val="002E29FD"/>
    <w:rsid w:val="002E695D"/>
    <w:rsid w:val="002F4D18"/>
    <w:rsid w:val="00301FEB"/>
    <w:rsid w:val="00303D42"/>
    <w:rsid w:val="0030640D"/>
    <w:rsid w:val="00312D76"/>
    <w:rsid w:val="00334520"/>
    <w:rsid w:val="00334792"/>
    <w:rsid w:val="003363F0"/>
    <w:rsid w:val="00336A9A"/>
    <w:rsid w:val="0034128C"/>
    <w:rsid w:val="00362CBC"/>
    <w:rsid w:val="00366775"/>
    <w:rsid w:val="0037001C"/>
    <w:rsid w:val="00381B26"/>
    <w:rsid w:val="00382478"/>
    <w:rsid w:val="00386F26"/>
    <w:rsid w:val="00387148"/>
    <w:rsid w:val="00387C94"/>
    <w:rsid w:val="003948B0"/>
    <w:rsid w:val="00395535"/>
    <w:rsid w:val="003B28D6"/>
    <w:rsid w:val="003B36B0"/>
    <w:rsid w:val="003C40CE"/>
    <w:rsid w:val="003C482F"/>
    <w:rsid w:val="003C5369"/>
    <w:rsid w:val="003E1185"/>
    <w:rsid w:val="003E7145"/>
    <w:rsid w:val="004003CF"/>
    <w:rsid w:val="00400BB8"/>
    <w:rsid w:val="00406663"/>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573CA"/>
    <w:rsid w:val="00461A20"/>
    <w:rsid w:val="00463904"/>
    <w:rsid w:val="004657C4"/>
    <w:rsid w:val="00467DAA"/>
    <w:rsid w:val="00476E9F"/>
    <w:rsid w:val="00481B20"/>
    <w:rsid w:val="004863B6"/>
    <w:rsid w:val="00486707"/>
    <w:rsid w:val="0048722D"/>
    <w:rsid w:val="004926FD"/>
    <w:rsid w:val="004928B8"/>
    <w:rsid w:val="00497A78"/>
    <w:rsid w:val="004A19B5"/>
    <w:rsid w:val="004A4564"/>
    <w:rsid w:val="004A68CB"/>
    <w:rsid w:val="004B08D8"/>
    <w:rsid w:val="004B0E60"/>
    <w:rsid w:val="004B5E72"/>
    <w:rsid w:val="004C0D00"/>
    <w:rsid w:val="004C15A0"/>
    <w:rsid w:val="004C6239"/>
    <w:rsid w:val="004D00AE"/>
    <w:rsid w:val="004D0872"/>
    <w:rsid w:val="004D5A18"/>
    <w:rsid w:val="004D67B0"/>
    <w:rsid w:val="004D7EF4"/>
    <w:rsid w:val="004F06CA"/>
    <w:rsid w:val="004F5144"/>
    <w:rsid w:val="004F5368"/>
    <w:rsid w:val="00500754"/>
    <w:rsid w:val="00500AAF"/>
    <w:rsid w:val="005022AA"/>
    <w:rsid w:val="005031E8"/>
    <w:rsid w:val="0050390B"/>
    <w:rsid w:val="00503DD2"/>
    <w:rsid w:val="005062E6"/>
    <w:rsid w:val="005227C8"/>
    <w:rsid w:val="005323E6"/>
    <w:rsid w:val="00532FE2"/>
    <w:rsid w:val="0053629A"/>
    <w:rsid w:val="005367ED"/>
    <w:rsid w:val="00536E55"/>
    <w:rsid w:val="00540F02"/>
    <w:rsid w:val="0054303A"/>
    <w:rsid w:val="00543077"/>
    <w:rsid w:val="005469BE"/>
    <w:rsid w:val="005478C9"/>
    <w:rsid w:val="00553784"/>
    <w:rsid w:val="005569E1"/>
    <w:rsid w:val="0056036E"/>
    <w:rsid w:val="005611F1"/>
    <w:rsid w:val="005626AA"/>
    <w:rsid w:val="005635B4"/>
    <w:rsid w:val="00571CFE"/>
    <w:rsid w:val="005742A6"/>
    <w:rsid w:val="00591DE5"/>
    <w:rsid w:val="0059236C"/>
    <w:rsid w:val="005A4F69"/>
    <w:rsid w:val="005A5D6C"/>
    <w:rsid w:val="005C14AA"/>
    <w:rsid w:val="005C643D"/>
    <w:rsid w:val="005D4A0D"/>
    <w:rsid w:val="005E7673"/>
    <w:rsid w:val="006035FA"/>
    <w:rsid w:val="006052AE"/>
    <w:rsid w:val="00615265"/>
    <w:rsid w:val="0061613E"/>
    <w:rsid w:val="0062129F"/>
    <w:rsid w:val="00622926"/>
    <w:rsid w:val="0062388D"/>
    <w:rsid w:val="006352D0"/>
    <w:rsid w:val="00637098"/>
    <w:rsid w:val="00637BE1"/>
    <w:rsid w:val="006419D1"/>
    <w:rsid w:val="006514A3"/>
    <w:rsid w:val="006538D6"/>
    <w:rsid w:val="00654B07"/>
    <w:rsid w:val="00672ECC"/>
    <w:rsid w:val="00674CB5"/>
    <w:rsid w:val="00680536"/>
    <w:rsid w:val="006902BB"/>
    <w:rsid w:val="006A4FA3"/>
    <w:rsid w:val="006A7DFF"/>
    <w:rsid w:val="006B04B2"/>
    <w:rsid w:val="006B0510"/>
    <w:rsid w:val="006B2D02"/>
    <w:rsid w:val="006B4974"/>
    <w:rsid w:val="006B6E0F"/>
    <w:rsid w:val="006C0BEA"/>
    <w:rsid w:val="006C65C4"/>
    <w:rsid w:val="006C6EBD"/>
    <w:rsid w:val="006C7730"/>
    <w:rsid w:val="006D6149"/>
    <w:rsid w:val="006D782E"/>
    <w:rsid w:val="006E2F83"/>
    <w:rsid w:val="006E466B"/>
    <w:rsid w:val="006E7FC3"/>
    <w:rsid w:val="006F411A"/>
    <w:rsid w:val="00704378"/>
    <w:rsid w:val="007066E4"/>
    <w:rsid w:val="00707398"/>
    <w:rsid w:val="007169EC"/>
    <w:rsid w:val="00727B9E"/>
    <w:rsid w:val="00741058"/>
    <w:rsid w:val="00755AB4"/>
    <w:rsid w:val="00761E7C"/>
    <w:rsid w:val="007636FC"/>
    <w:rsid w:val="00775180"/>
    <w:rsid w:val="007816FC"/>
    <w:rsid w:val="00781D8B"/>
    <w:rsid w:val="0079311F"/>
    <w:rsid w:val="007933FE"/>
    <w:rsid w:val="00796577"/>
    <w:rsid w:val="00796A75"/>
    <w:rsid w:val="007A2AA8"/>
    <w:rsid w:val="007A5A78"/>
    <w:rsid w:val="007A62B7"/>
    <w:rsid w:val="007A65BF"/>
    <w:rsid w:val="007B135B"/>
    <w:rsid w:val="007B5A8D"/>
    <w:rsid w:val="007B6823"/>
    <w:rsid w:val="007D5BA1"/>
    <w:rsid w:val="007E508F"/>
    <w:rsid w:val="007F02FB"/>
    <w:rsid w:val="007F2213"/>
    <w:rsid w:val="007F37D6"/>
    <w:rsid w:val="007F422E"/>
    <w:rsid w:val="007F5B9D"/>
    <w:rsid w:val="00802718"/>
    <w:rsid w:val="00802990"/>
    <w:rsid w:val="00802A96"/>
    <w:rsid w:val="008049B4"/>
    <w:rsid w:val="00810811"/>
    <w:rsid w:val="008157AA"/>
    <w:rsid w:val="00815993"/>
    <w:rsid w:val="0082272E"/>
    <w:rsid w:val="00846249"/>
    <w:rsid w:val="00852EC7"/>
    <w:rsid w:val="0085484D"/>
    <w:rsid w:val="00862178"/>
    <w:rsid w:val="00862DDA"/>
    <w:rsid w:val="00863A78"/>
    <w:rsid w:val="00867428"/>
    <w:rsid w:val="008678F7"/>
    <w:rsid w:val="00874EB7"/>
    <w:rsid w:val="008759AC"/>
    <w:rsid w:val="008765A5"/>
    <w:rsid w:val="00882CAF"/>
    <w:rsid w:val="0088746C"/>
    <w:rsid w:val="008940D8"/>
    <w:rsid w:val="008A257B"/>
    <w:rsid w:val="008B23F8"/>
    <w:rsid w:val="008B4BA9"/>
    <w:rsid w:val="008B7A0F"/>
    <w:rsid w:val="008C302B"/>
    <w:rsid w:val="008C3C9B"/>
    <w:rsid w:val="008C3DC2"/>
    <w:rsid w:val="008C45DE"/>
    <w:rsid w:val="008D0F02"/>
    <w:rsid w:val="008E554D"/>
    <w:rsid w:val="008F3342"/>
    <w:rsid w:val="00902F9C"/>
    <w:rsid w:val="00906AC7"/>
    <w:rsid w:val="00907E40"/>
    <w:rsid w:val="00911A24"/>
    <w:rsid w:val="009206DD"/>
    <w:rsid w:val="009231B3"/>
    <w:rsid w:val="009276FB"/>
    <w:rsid w:val="00930169"/>
    <w:rsid w:val="00936811"/>
    <w:rsid w:val="00940F83"/>
    <w:rsid w:val="0094187E"/>
    <w:rsid w:val="00944018"/>
    <w:rsid w:val="00945575"/>
    <w:rsid w:val="0095288D"/>
    <w:rsid w:val="00954BA8"/>
    <w:rsid w:val="00965E3F"/>
    <w:rsid w:val="00965F50"/>
    <w:rsid w:val="0098193E"/>
    <w:rsid w:val="00987772"/>
    <w:rsid w:val="009917BE"/>
    <w:rsid w:val="0099291C"/>
    <w:rsid w:val="009929B4"/>
    <w:rsid w:val="00994209"/>
    <w:rsid w:val="009A1281"/>
    <w:rsid w:val="009A1E24"/>
    <w:rsid w:val="009B4065"/>
    <w:rsid w:val="009B6344"/>
    <w:rsid w:val="009B764B"/>
    <w:rsid w:val="009D7AA9"/>
    <w:rsid w:val="009E2468"/>
    <w:rsid w:val="009E2566"/>
    <w:rsid w:val="009E3624"/>
    <w:rsid w:val="009E4EBA"/>
    <w:rsid w:val="009F091C"/>
    <w:rsid w:val="009F2D64"/>
    <w:rsid w:val="009F409C"/>
    <w:rsid w:val="009F6F7B"/>
    <w:rsid w:val="00A03126"/>
    <w:rsid w:val="00A13315"/>
    <w:rsid w:val="00A14CEF"/>
    <w:rsid w:val="00A175E3"/>
    <w:rsid w:val="00A27B34"/>
    <w:rsid w:val="00A37C4B"/>
    <w:rsid w:val="00A430B8"/>
    <w:rsid w:val="00A43298"/>
    <w:rsid w:val="00A43778"/>
    <w:rsid w:val="00A4558F"/>
    <w:rsid w:val="00A50B27"/>
    <w:rsid w:val="00A526EF"/>
    <w:rsid w:val="00A549F9"/>
    <w:rsid w:val="00A54DE6"/>
    <w:rsid w:val="00A562A0"/>
    <w:rsid w:val="00A5653C"/>
    <w:rsid w:val="00A574C4"/>
    <w:rsid w:val="00A60243"/>
    <w:rsid w:val="00A602DE"/>
    <w:rsid w:val="00A63D56"/>
    <w:rsid w:val="00A64896"/>
    <w:rsid w:val="00A64A27"/>
    <w:rsid w:val="00A67525"/>
    <w:rsid w:val="00A71464"/>
    <w:rsid w:val="00A72FCF"/>
    <w:rsid w:val="00A758BF"/>
    <w:rsid w:val="00A762E8"/>
    <w:rsid w:val="00A762F0"/>
    <w:rsid w:val="00A8066D"/>
    <w:rsid w:val="00A80B2E"/>
    <w:rsid w:val="00A80C31"/>
    <w:rsid w:val="00A819B4"/>
    <w:rsid w:val="00A82EEE"/>
    <w:rsid w:val="00A83D78"/>
    <w:rsid w:val="00A83E44"/>
    <w:rsid w:val="00A877F4"/>
    <w:rsid w:val="00A91729"/>
    <w:rsid w:val="00A91CAD"/>
    <w:rsid w:val="00A92D0F"/>
    <w:rsid w:val="00A95B23"/>
    <w:rsid w:val="00AA4AE4"/>
    <w:rsid w:val="00AA4E7D"/>
    <w:rsid w:val="00AA4FC8"/>
    <w:rsid w:val="00AA6636"/>
    <w:rsid w:val="00AC6628"/>
    <w:rsid w:val="00AD2E20"/>
    <w:rsid w:val="00AD3EFD"/>
    <w:rsid w:val="00AD559D"/>
    <w:rsid w:val="00AE283C"/>
    <w:rsid w:val="00AF35CC"/>
    <w:rsid w:val="00AF73DF"/>
    <w:rsid w:val="00B029D3"/>
    <w:rsid w:val="00B02CE0"/>
    <w:rsid w:val="00B17324"/>
    <w:rsid w:val="00B23F90"/>
    <w:rsid w:val="00B25EDF"/>
    <w:rsid w:val="00B35DC8"/>
    <w:rsid w:val="00B4389C"/>
    <w:rsid w:val="00B47B2C"/>
    <w:rsid w:val="00B56B54"/>
    <w:rsid w:val="00B70E6B"/>
    <w:rsid w:val="00B80A1A"/>
    <w:rsid w:val="00B8520B"/>
    <w:rsid w:val="00B86BF7"/>
    <w:rsid w:val="00B905EC"/>
    <w:rsid w:val="00B91F74"/>
    <w:rsid w:val="00B9472D"/>
    <w:rsid w:val="00BA6FF3"/>
    <w:rsid w:val="00BB08FA"/>
    <w:rsid w:val="00BB2B6F"/>
    <w:rsid w:val="00BB6938"/>
    <w:rsid w:val="00BC51D8"/>
    <w:rsid w:val="00BD3E7E"/>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44781"/>
    <w:rsid w:val="00C50A65"/>
    <w:rsid w:val="00C549E7"/>
    <w:rsid w:val="00C6051D"/>
    <w:rsid w:val="00C67610"/>
    <w:rsid w:val="00C71E29"/>
    <w:rsid w:val="00C72516"/>
    <w:rsid w:val="00C7503D"/>
    <w:rsid w:val="00C90327"/>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1087"/>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7217"/>
    <w:rsid w:val="00E30D6B"/>
    <w:rsid w:val="00E30E14"/>
    <w:rsid w:val="00E36AA2"/>
    <w:rsid w:val="00E439CB"/>
    <w:rsid w:val="00E46E84"/>
    <w:rsid w:val="00E51701"/>
    <w:rsid w:val="00E5640B"/>
    <w:rsid w:val="00E65AF8"/>
    <w:rsid w:val="00E73641"/>
    <w:rsid w:val="00E75F6E"/>
    <w:rsid w:val="00E77C4D"/>
    <w:rsid w:val="00E810D4"/>
    <w:rsid w:val="00E90C62"/>
    <w:rsid w:val="00E922F2"/>
    <w:rsid w:val="00E93AC4"/>
    <w:rsid w:val="00EA2EA0"/>
    <w:rsid w:val="00EA4465"/>
    <w:rsid w:val="00EA4E48"/>
    <w:rsid w:val="00EA4EF4"/>
    <w:rsid w:val="00EA5258"/>
    <w:rsid w:val="00EB323F"/>
    <w:rsid w:val="00EB5A85"/>
    <w:rsid w:val="00EB743A"/>
    <w:rsid w:val="00EC4D8B"/>
    <w:rsid w:val="00ED1805"/>
    <w:rsid w:val="00ED2F7D"/>
    <w:rsid w:val="00F01DBC"/>
    <w:rsid w:val="00F05A83"/>
    <w:rsid w:val="00F06CD1"/>
    <w:rsid w:val="00F06FB4"/>
    <w:rsid w:val="00F1027C"/>
    <w:rsid w:val="00F1612A"/>
    <w:rsid w:val="00F20576"/>
    <w:rsid w:val="00F23791"/>
    <w:rsid w:val="00F31ECF"/>
    <w:rsid w:val="00F331B5"/>
    <w:rsid w:val="00F3381A"/>
    <w:rsid w:val="00F369EC"/>
    <w:rsid w:val="00F52044"/>
    <w:rsid w:val="00F52E83"/>
    <w:rsid w:val="00F660DB"/>
    <w:rsid w:val="00F727DB"/>
    <w:rsid w:val="00F7294C"/>
    <w:rsid w:val="00F72E3D"/>
    <w:rsid w:val="00F814D0"/>
    <w:rsid w:val="00F9056B"/>
    <w:rsid w:val="00F956D7"/>
    <w:rsid w:val="00FA3FD1"/>
    <w:rsid w:val="00FB2A93"/>
    <w:rsid w:val="00FB4ACA"/>
    <w:rsid w:val="00FB5880"/>
    <w:rsid w:val="00FC13D6"/>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A43CC6"/>
  <w14:defaultImageDpi w14:val="0"/>
  <w15:docId w15:val="{625792D6-6E3F-4381-A627-284507FD8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NormalWeb">
    <w:name w:val="Normal (Web)"/>
    <w:basedOn w:val="Normal"/>
    <w:uiPriority w:val="99"/>
    <w:rsid w:val="00672ECC"/>
    <w:rPr>
      <w:sz w:val="24"/>
      <w:szCs w:val="24"/>
    </w:rPr>
  </w:style>
  <w:style w:type="table" w:styleId="PlainTable2">
    <w:name w:val="Plain Table 2"/>
    <w:basedOn w:val="TableNormal"/>
    <w:uiPriority w:val="42"/>
    <w:rsid w:val="0007539D"/>
    <w:tblPr>
      <w:tblStyleRowBandSize w:val="1"/>
      <w:tblStyleColBandSize w:val="1"/>
      <w:tblBorders>
        <w:top w:val="single" w:sz="4" w:space="0" w:color="7F7F7F"/>
        <w:bottom w:val="single" w:sz="4" w:space="0" w:color="7F7F7F"/>
      </w:tblBorders>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TableGrid1">
    <w:name w:val="Table Grid1"/>
    <w:basedOn w:val="TableNormal"/>
    <w:next w:val="TableGrid"/>
    <w:uiPriority w:val="39"/>
    <w:rsid w:val="004573CA"/>
    <w:rPr>
      <w:rFonts w:cs="Traditional Arabic"/>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pography-modulelvnit">
    <w:name w:val="typography-module__lvnit"/>
    <w:basedOn w:val="DefaultParagraphFont"/>
    <w:rsid w:val="0037001C"/>
    <w:rPr>
      <w:rFonts w:cs="Times New Roman"/>
    </w:rPr>
  </w:style>
  <w:style w:type="table" w:styleId="PlainTable4">
    <w:name w:val="Plain Table 4"/>
    <w:basedOn w:val="TableNormal"/>
    <w:uiPriority w:val="44"/>
    <w:rsid w:val="00A64A27"/>
    <w:tblPr>
      <w:tblStyleRowBandSize w:val="1"/>
      <w:tblStyleColBandSize w:val="1"/>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style>
  <w:style w:type="table" w:styleId="TableSimple1">
    <w:name w:val="Table Simple 1"/>
    <w:basedOn w:val="TableNormal"/>
    <w:uiPriority w:val="99"/>
    <w:rsid w:val="00A64A27"/>
    <w:pPr>
      <w:autoSpaceDE w:val="0"/>
      <w:autoSpaceDN w:val="0"/>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6" w:space="0" w:color="auto"/>
          <w:tr2bl w:val="none" w:sz="6" w:space="0" w:color="auto"/>
        </w:tcBorders>
      </w:tcPr>
    </w:tblStylePr>
    <w:tblStylePr w:type="lastRow">
      <w:rPr>
        <w:rFonts w:cs="Times New Roman"/>
      </w:rPr>
      <w:tblPr/>
      <w:tcPr>
        <w:tcBorders>
          <w:top w:val="single" w:sz="6" w:space="0" w:color="008000"/>
          <w:tl2br w:val="none" w:sz="6" w:space="0" w:color="auto"/>
          <w:tr2bl w:val="none" w:sz="6" w:space="0" w:color="auto"/>
        </w:tcBorders>
      </w:tcPr>
    </w:tblStylePr>
  </w:style>
  <w:style w:type="table" w:styleId="TableContemporary">
    <w:name w:val="Table Contemporary"/>
    <w:basedOn w:val="TableNormal"/>
    <w:uiPriority w:val="99"/>
    <w:rsid w:val="00A64A27"/>
    <w:pPr>
      <w:autoSpaceDE w:val="0"/>
      <w:autoSpaceDN w:val="0"/>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6" w:space="0" w:color="auto"/>
          <w:tr2bl w:val="none" w:sz="6" w:space="0" w:color="auto"/>
        </w:tcBorders>
        <w:shd w:val="pct20" w:color="000000" w:fill="FFFFFF"/>
      </w:tcPr>
    </w:tblStylePr>
    <w:tblStylePr w:type="band1Horz">
      <w:rPr>
        <w:rFonts w:cs="Times New Roman"/>
        <w:color w:val="auto"/>
      </w:rPr>
      <w:tblPr/>
      <w:tcPr>
        <w:tcBorders>
          <w:tl2br w:val="none" w:sz="6" w:space="0" w:color="auto"/>
          <w:tr2bl w:val="none" w:sz="6" w:space="0" w:color="auto"/>
        </w:tcBorders>
        <w:shd w:val="pct5" w:color="000000" w:fill="FFFFFF"/>
      </w:tcPr>
    </w:tblStylePr>
    <w:tblStylePr w:type="band2Horz">
      <w:rPr>
        <w:rFonts w:cs="Times New Roman"/>
        <w:color w:val="auto"/>
      </w:rPr>
      <w:tblPr/>
      <w:tcPr>
        <w:tcBorders>
          <w:tl2br w:val="none" w:sz="6" w:space="0" w:color="auto"/>
          <w:tr2bl w:val="none" w:sz="6" w:space="0" w:color="auto"/>
        </w:tcBorders>
        <w:shd w:val="pct20" w:color="000000" w:fill="FFFFFF"/>
      </w:tcPr>
    </w:tblStylePr>
  </w:style>
  <w:style w:type="table" w:styleId="PlainTable3">
    <w:name w:val="Plain Table 3"/>
    <w:basedOn w:val="TableNormal"/>
    <w:uiPriority w:val="43"/>
    <w:rsid w:val="006A4FA3"/>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styleId="TableClassic1">
    <w:name w:val="Table Classic 1"/>
    <w:basedOn w:val="TableNormal"/>
    <w:uiPriority w:val="99"/>
    <w:rsid w:val="006A4FA3"/>
    <w:pPr>
      <w:autoSpaceDE w:val="0"/>
      <w:autoSpaceDN w:val="0"/>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6" w:space="0" w:color="auto"/>
          <w:tr2bl w:val="none" w:sz="6" w:space="0" w:color="auto"/>
        </w:tcBorders>
      </w:tcPr>
    </w:tblStylePr>
    <w:tblStylePr w:type="lastRow">
      <w:rPr>
        <w:rFonts w:cs="Times New Roman"/>
        <w:color w:val="auto"/>
      </w:rPr>
      <w:tblPr/>
      <w:tcPr>
        <w:tcBorders>
          <w:top w:val="single" w:sz="6" w:space="0" w:color="000000"/>
          <w:tl2br w:val="none" w:sz="6" w:space="0" w:color="auto"/>
          <w:tr2bl w:val="none" w:sz="6" w:space="0" w:color="auto"/>
        </w:tcBorders>
      </w:tcPr>
    </w:tblStylePr>
    <w:tblStylePr w:type="firstCol">
      <w:rPr>
        <w:rFonts w:cs="Times New Roman"/>
      </w:rPr>
      <w:tblPr/>
      <w:tcPr>
        <w:tcBorders>
          <w:right w:val="single" w:sz="6" w:space="0" w:color="000000"/>
          <w:tl2br w:val="none" w:sz="6" w:space="0" w:color="auto"/>
          <w:tr2bl w:val="none" w:sz="6" w:space="0" w:color="auto"/>
        </w:tcBorders>
      </w:tcPr>
    </w:tblStylePr>
    <w:tblStylePr w:type="neCell">
      <w:rPr>
        <w:rFonts w:cs="Times New Roman"/>
        <w:b/>
        <w:bCs/>
        <w:i w:val="0"/>
        <w:iCs w:val="0"/>
      </w:rPr>
      <w:tblPr/>
      <w:tcPr>
        <w:tcBorders>
          <w:tl2br w:val="none" w:sz="6" w:space="0" w:color="auto"/>
          <w:tr2bl w:val="none" w:sz="6" w:space="0" w:color="auto"/>
        </w:tcBorders>
      </w:tcPr>
    </w:tblStylePr>
    <w:tblStylePr w:type="swCell">
      <w:rPr>
        <w:rFonts w:cs="Times New Roman"/>
        <w:b/>
        <w:bCs/>
      </w:rPr>
      <w:tblPr/>
      <w:tcPr>
        <w:tcBorders>
          <w:tl2br w:val="none" w:sz="6" w:space="0" w:color="auto"/>
          <w:tr2bl w:val="none" w:sz="6"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338311">
      <w:marLeft w:val="0"/>
      <w:marRight w:val="0"/>
      <w:marTop w:val="0"/>
      <w:marBottom w:val="0"/>
      <w:divBdr>
        <w:top w:val="none" w:sz="0" w:space="0" w:color="auto"/>
        <w:left w:val="none" w:sz="0" w:space="0" w:color="auto"/>
        <w:bottom w:val="none" w:sz="0" w:space="0" w:color="auto"/>
        <w:right w:val="none" w:sz="0" w:space="0" w:color="auto"/>
      </w:divBdr>
      <w:divsChild>
        <w:div w:id="383338315">
          <w:marLeft w:val="0"/>
          <w:marRight w:val="0"/>
          <w:marTop w:val="0"/>
          <w:marBottom w:val="0"/>
          <w:divBdr>
            <w:top w:val="none" w:sz="0" w:space="0" w:color="auto"/>
            <w:left w:val="none" w:sz="0" w:space="0" w:color="auto"/>
            <w:bottom w:val="none" w:sz="0" w:space="0" w:color="auto"/>
            <w:right w:val="none" w:sz="0" w:space="0" w:color="auto"/>
          </w:divBdr>
          <w:divsChild>
            <w:div w:id="383338327">
              <w:marLeft w:val="0"/>
              <w:marRight w:val="0"/>
              <w:marTop w:val="0"/>
              <w:marBottom w:val="0"/>
              <w:divBdr>
                <w:top w:val="none" w:sz="0" w:space="0" w:color="auto"/>
                <w:left w:val="none" w:sz="0" w:space="0" w:color="auto"/>
                <w:bottom w:val="none" w:sz="0" w:space="0" w:color="auto"/>
                <w:right w:val="none" w:sz="0" w:space="0" w:color="auto"/>
              </w:divBdr>
              <w:divsChild>
                <w:div w:id="383338324">
                  <w:marLeft w:val="0"/>
                  <w:marRight w:val="0"/>
                  <w:marTop w:val="0"/>
                  <w:marBottom w:val="0"/>
                  <w:divBdr>
                    <w:top w:val="none" w:sz="0" w:space="0" w:color="auto"/>
                    <w:left w:val="none" w:sz="0" w:space="0" w:color="auto"/>
                    <w:bottom w:val="none" w:sz="0" w:space="0" w:color="auto"/>
                    <w:right w:val="none" w:sz="0" w:space="0" w:color="auto"/>
                  </w:divBdr>
                  <w:divsChild>
                    <w:div w:id="38333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338326">
          <w:marLeft w:val="0"/>
          <w:marRight w:val="0"/>
          <w:marTop w:val="0"/>
          <w:marBottom w:val="0"/>
          <w:divBdr>
            <w:top w:val="none" w:sz="0" w:space="0" w:color="auto"/>
            <w:left w:val="none" w:sz="0" w:space="0" w:color="auto"/>
            <w:bottom w:val="none" w:sz="0" w:space="0" w:color="auto"/>
            <w:right w:val="none" w:sz="0" w:space="0" w:color="auto"/>
          </w:divBdr>
          <w:divsChild>
            <w:div w:id="383338322">
              <w:marLeft w:val="0"/>
              <w:marRight w:val="0"/>
              <w:marTop w:val="0"/>
              <w:marBottom w:val="0"/>
              <w:divBdr>
                <w:top w:val="none" w:sz="0" w:space="0" w:color="auto"/>
                <w:left w:val="none" w:sz="0" w:space="0" w:color="auto"/>
                <w:bottom w:val="none" w:sz="0" w:space="0" w:color="auto"/>
                <w:right w:val="none" w:sz="0" w:space="0" w:color="auto"/>
              </w:divBdr>
              <w:divsChild>
                <w:div w:id="383338313">
                  <w:marLeft w:val="0"/>
                  <w:marRight w:val="0"/>
                  <w:marTop w:val="0"/>
                  <w:marBottom w:val="0"/>
                  <w:divBdr>
                    <w:top w:val="none" w:sz="0" w:space="0" w:color="auto"/>
                    <w:left w:val="none" w:sz="0" w:space="0" w:color="auto"/>
                    <w:bottom w:val="none" w:sz="0" w:space="0" w:color="auto"/>
                    <w:right w:val="none" w:sz="0" w:space="0" w:color="auto"/>
                  </w:divBdr>
                  <w:divsChild>
                    <w:div w:id="38333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338314">
      <w:marLeft w:val="0"/>
      <w:marRight w:val="0"/>
      <w:marTop w:val="0"/>
      <w:marBottom w:val="0"/>
      <w:divBdr>
        <w:top w:val="none" w:sz="0" w:space="0" w:color="auto"/>
        <w:left w:val="none" w:sz="0" w:space="0" w:color="auto"/>
        <w:bottom w:val="none" w:sz="0" w:space="0" w:color="auto"/>
        <w:right w:val="none" w:sz="0" w:space="0" w:color="auto"/>
      </w:divBdr>
    </w:div>
    <w:div w:id="383338316">
      <w:marLeft w:val="0"/>
      <w:marRight w:val="0"/>
      <w:marTop w:val="0"/>
      <w:marBottom w:val="0"/>
      <w:divBdr>
        <w:top w:val="none" w:sz="0" w:space="0" w:color="auto"/>
        <w:left w:val="none" w:sz="0" w:space="0" w:color="auto"/>
        <w:bottom w:val="none" w:sz="0" w:space="0" w:color="auto"/>
        <w:right w:val="none" w:sz="0" w:space="0" w:color="auto"/>
      </w:divBdr>
    </w:div>
    <w:div w:id="383338318">
      <w:marLeft w:val="0"/>
      <w:marRight w:val="0"/>
      <w:marTop w:val="0"/>
      <w:marBottom w:val="0"/>
      <w:divBdr>
        <w:top w:val="none" w:sz="0" w:space="0" w:color="auto"/>
        <w:left w:val="none" w:sz="0" w:space="0" w:color="auto"/>
        <w:bottom w:val="none" w:sz="0" w:space="0" w:color="auto"/>
        <w:right w:val="none" w:sz="0" w:space="0" w:color="auto"/>
      </w:divBdr>
      <w:divsChild>
        <w:div w:id="383338319">
          <w:marLeft w:val="0"/>
          <w:marRight w:val="0"/>
          <w:marTop w:val="0"/>
          <w:marBottom w:val="0"/>
          <w:divBdr>
            <w:top w:val="none" w:sz="0" w:space="0" w:color="auto"/>
            <w:left w:val="none" w:sz="0" w:space="0" w:color="auto"/>
            <w:bottom w:val="none" w:sz="0" w:space="0" w:color="auto"/>
            <w:right w:val="none" w:sz="0" w:space="0" w:color="auto"/>
          </w:divBdr>
          <w:divsChild>
            <w:div w:id="38333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338320">
      <w:marLeft w:val="0"/>
      <w:marRight w:val="0"/>
      <w:marTop w:val="0"/>
      <w:marBottom w:val="0"/>
      <w:divBdr>
        <w:top w:val="none" w:sz="0" w:space="0" w:color="auto"/>
        <w:left w:val="none" w:sz="0" w:space="0" w:color="auto"/>
        <w:bottom w:val="none" w:sz="0" w:space="0" w:color="auto"/>
        <w:right w:val="none" w:sz="0" w:space="0" w:color="auto"/>
      </w:divBdr>
    </w:div>
    <w:div w:id="383338323">
      <w:marLeft w:val="0"/>
      <w:marRight w:val="0"/>
      <w:marTop w:val="0"/>
      <w:marBottom w:val="0"/>
      <w:divBdr>
        <w:top w:val="none" w:sz="0" w:space="0" w:color="auto"/>
        <w:left w:val="none" w:sz="0" w:space="0" w:color="auto"/>
        <w:bottom w:val="none" w:sz="0" w:space="0" w:color="auto"/>
        <w:right w:val="none" w:sz="0" w:space="0" w:color="auto"/>
      </w:divBdr>
    </w:div>
    <w:div w:id="383338325">
      <w:marLeft w:val="0"/>
      <w:marRight w:val="0"/>
      <w:marTop w:val="0"/>
      <w:marBottom w:val="0"/>
      <w:divBdr>
        <w:top w:val="none" w:sz="0" w:space="0" w:color="auto"/>
        <w:left w:val="none" w:sz="0" w:space="0" w:color="auto"/>
        <w:bottom w:val="none" w:sz="0" w:space="0" w:color="auto"/>
        <w:right w:val="none" w:sz="0" w:space="0" w:color="auto"/>
      </w:divBdr>
    </w:div>
    <w:div w:id="383338328">
      <w:marLeft w:val="0"/>
      <w:marRight w:val="0"/>
      <w:marTop w:val="0"/>
      <w:marBottom w:val="0"/>
      <w:divBdr>
        <w:top w:val="none" w:sz="0" w:space="0" w:color="auto"/>
        <w:left w:val="none" w:sz="0" w:space="0" w:color="auto"/>
        <w:bottom w:val="none" w:sz="0" w:space="0" w:color="auto"/>
        <w:right w:val="none" w:sz="0" w:space="0" w:color="auto"/>
      </w:divBdr>
      <w:divsChild>
        <w:div w:id="383338307">
          <w:marLeft w:val="0"/>
          <w:marRight w:val="0"/>
          <w:marTop w:val="0"/>
          <w:marBottom w:val="0"/>
          <w:divBdr>
            <w:top w:val="none" w:sz="0" w:space="0" w:color="auto"/>
            <w:left w:val="none" w:sz="0" w:space="0" w:color="auto"/>
            <w:bottom w:val="none" w:sz="0" w:space="0" w:color="auto"/>
            <w:right w:val="none" w:sz="0" w:space="0" w:color="auto"/>
          </w:divBdr>
          <w:divsChild>
            <w:div w:id="383338309">
              <w:marLeft w:val="0"/>
              <w:marRight w:val="0"/>
              <w:marTop w:val="0"/>
              <w:marBottom w:val="0"/>
              <w:divBdr>
                <w:top w:val="none" w:sz="0" w:space="0" w:color="auto"/>
                <w:left w:val="none" w:sz="0" w:space="0" w:color="auto"/>
                <w:bottom w:val="none" w:sz="0" w:space="0" w:color="auto"/>
                <w:right w:val="none" w:sz="0" w:space="0" w:color="auto"/>
              </w:divBdr>
              <w:divsChild>
                <w:div w:id="383338330">
                  <w:marLeft w:val="0"/>
                  <w:marRight w:val="0"/>
                  <w:marTop w:val="0"/>
                  <w:marBottom w:val="0"/>
                  <w:divBdr>
                    <w:top w:val="none" w:sz="0" w:space="0" w:color="auto"/>
                    <w:left w:val="none" w:sz="0" w:space="0" w:color="auto"/>
                    <w:bottom w:val="none" w:sz="0" w:space="0" w:color="auto"/>
                    <w:right w:val="none" w:sz="0" w:space="0" w:color="auto"/>
                  </w:divBdr>
                  <w:divsChild>
                    <w:div w:id="38333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338310">
          <w:marLeft w:val="0"/>
          <w:marRight w:val="0"/>
          <w:marTop w:val="0"/>
          <w:marBottom w:val="0"/>
          <w:divBdr>
            <w:top w:val="none" w:sz="0" w:space="0" w:color="auto"/>
            <w:left w:val="none" w:sz="0" w:space="0" w:color="auto"/>
            <w:bottom w:val="none" w:sz="0" w:space="0" w:color="auto"/>
            <w:right w:val="none" w:sz="0" w:space="0" w:color="auto"/>
          </w:divBdr>
          <w:divsChild>
            <w:div w:id="383338306">
              <w:marLeft w:val="0"/>
              <w:marRight w:val="0"/>
              <w:marTop w:val="0"/>
              <w:marBottom w:val="0"/>
              <w:divBdr>
                <w:top w:val="none" w:sz="0" w:space="0" w:color="auto"/>
                <w:left w:val="none" w:sz="0" w:space="0" w:color="auto"/>
                <w:bottom w:val="none" w:sz="0" w:space="0" w:color="auto"/>
                <w:right w:val="none" w:sz="0" w:space="0" w:color="auto"/>
              </w:divBdr>
              <w:divsChild>
                <w:div w:id="383338305">
                  <w:marLeft w:val="0"/>
                  <w:marRight w:val="0"/>
                  <w:marTop w:val="0"/>
                  <w:marBottom w:val="0"/>
                  <w:divBdr>
                    <w:top w:val="none" w:sz="0" w:space="0" w:color="auto"/>
                    <w:left w:val="none" w:sz="0" w:space="0" w:color="auto"/>
                    <w:bottom w:val="none" w:sz="0" w:space="0" w:color="auto"/>
                    <w:right w:val="none" w:sz="0" w:space="0" w:color="auto"/>
                  </w:divBdr>
                  <w:divsChild>
                    <w:div w:id="38333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338329">
      <w:marLeft w:val="0"/>
      <w:marRight w:val="0"/>
      <w:marTop w:val="0"/>
      <w:marBottom w:val="0"/>
      <w:divBdr>
        <w:top w:val="none" w:sz="0" w:space="0" w:color="auto"/>
        <w:left w:val="none" w:sz="0" w:space="0" w:color="auto"/>
        <w:bottom w:val="none" w:sz="0" w:space="0" w:color="auto"/>
        <w:right w:val="none" w:sz="0" w:space="0" w:color="auto"/>
      </w:divBdr>
    </w:div>
    <w:div w:id="558635445">
      <w:bodyDiv w:val="1"/>
      <w:marLeft w:val="0"/>
      <w:marRight w:val="0"/>
      <w:marTop w:val="0"/>
      <w:marBottom w:val="0"/>
      <w:divBdr>
        <w:top w:val="none" w:sz="0" w:space="0" w:color="auto"/>
        <w:left w:val="none" w:sz="0" w:space="0" w:color="auto"/>
        <w:bottom w:val="none" w:sz="0" w:space="0" w:color="auto"/>
        <w:right w:val="none" w:sz="0" w:space="0" w:color="auto"/>
      </w:divBdr>
    </w:div>
    <w:div w:id="212299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i.nirwana@ums.ac.id" TargetMode="External"/><Relationship Id="rId13" Type="http://schemas.openxmlformats.org/officeDocument/2006/relationships/hyperlink" Target="mailto:arwansyah@uthm.edu.my" TargetMode="External"/><Relationship Id="rId18" Type="http://schemas.openxmlformats.org/officeDocument/2006/relationships/hyperlink" Target="https://creativecommons.org/licenses/by/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norsaleha@uis.edu.my" TargetMode="External"/><Relationship Id="rId17" Type="http://schemas.openxmlformats.org/officeDocument/2006/relationships/hyperlink" Target="https://doi.org/10.5758/ijls.2022.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inora@usim.edu.my"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akir.husain@unissa.edu.bn" TargetMode="External"/><Relationship Id="rId23" Type="http://schemas.openxmlformats.org/officeDocument/2006/relationships/header" Target="header3.xml"/><Relationship Id="rId10" Type="http://schemas.openxmlformats.org/officeDocument/2006/relationships/hyperlink" Target="mailto:titelfaisal80@gmail.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iam.30917745@f-law.tanta.edu.eg" TargetMode="External"/><Relationship Id="rId14" Type="http://schemas.openxmlformats.org/officeDocument/2006/relationships/hyperlink" Target="mailto:sitinurkhafifahmarisa@staindirundeng.ac.id"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3AD3C-0A42-4AD3-917C-17024F541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16</Pages>
  <Words>21543</Words>
  <Characters>122798</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144053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Anonymous Editor</cp:lastModifiedBy>
  <cp:revision>12</cp:revision>
  <cp:lastPrinted>2008-11-01T04:52:00Z</cp:lastPrinted>
  <dcterms:created xsi:type="dcterms:W3CDTF">2025-01-26T11:09:00Z</dcterms:created>
  <dcterms:modified xsi:type="dcterms:W3CDTF">2025-01-26T13:36:00Z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http://www.zotero.org/styles/chicago-fullnote-bibliography-short-title-subsequent</vt:lpwstr>
  </property>
  <property fmtid="{D5CDD505-2E9C-101B-9397-08002B2CF9AE}" pid="15" name="Mendeley Recent Style Name 6_1">
    <vt:lpwstr>Chicago Manual of Style 17th edition (full note, short title subsequent)</vt:lpwstr>
  </property>
  <property fmtid="{D5CDD505-2E9C-101B-9397-08002B2CF9AE}" pid="16" name="Mendeley Recent Style Id 7_1">
    <vt:lpwstr>http://www.zotero.org/styles/chicago-note-bibliography</vt:lpwstr>
  </property>
  <property fmtid="{D5CDD505-2E9C-101B-9397-08002B2CF9AE}" pid="17" name="Mendeley Recent Style Name 7_1">
    <vt:lpwstr>Chicago Manual of Style 17th edition (note)</vt:lpwstr>
  </property>
  <property fmtid="{D5CDD505-2E9C-101B-9397-08002B2CF9AE}" pid="18" name="Mendeley Recent Style Id 8_1">
    <vt:lpwstr>http://www.zotero.org/styles/ieee</vt:lpwstr>
  </property>
  <property fmtid="{D5CDD505-2E9C-101B-9397-08002B2CF9AE}" pid="19" name="Mendeley Recent Style Name 8_1">
    <vt:lpwstr>IEEE</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9th edition</vt:lpwstr>
  </property>
  <property fmtid="{D5CDD505-2E9C-101B-9397-08002B2CF9AE}" pid="22" name="Mendeley Citation Style_1">
    <vt:lpwstr>http://www.zotero.org/styles/apa</vt:lpwstr>
  </property>
  <property fmtid="{D5CDD505-2E9C-101B-9397-08002B2CF9AE}" pid="23" name="Mendeley Document_1">
    <vt:lpwstr>True</vt:lpwstr>
  </property>
  <property fmtid="{D5CDD505-2E9C-101B-9397-08002B2CF9AE}" pid="24" name="Mendeley Unique User Id_1">
    <vt:lpwstr>bc2b186c-6d3b-3b07-abab-2f30c57cd112</vt:lpwstr>
  </property>
</Properties>
</file>