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20F086" w14:textId="248C7ABD" w:rsidR="003E1C6F" w:rsidRPr="001B36CC" w:rsidRDefault="003E1C6F" w:rsidP="001B36CC">
      <w:pPr>
        <w:spacing w:after="0" w:line="240" w:lineRule="auto"/>
        <w:ind w:left="397" w:right="397"/>
        <w:jc w:val="center"/>
        <w:rPr>
          <w:rFonts w:ascii="Garamond" w:hAnsi="Garamond"/>
          <w:b/>
          <w:noProof/>
          <w:sz w:val="28"/>
          <w:szCs w:val="28"/>
        </w:rPr>
      </w:pPr>
      <w:r w:rsidRPr="001B36CC">
        <w:rPr>
          <w:rFonts w:ascii="Garamond" w:hAnsi="Garamond"/>
          <w:b/>
          <w:noProof/>
          <w:sz w:val="28"/>
          <w:szCs w:val="28"/>
        </w:rPr>
        <w:t>From Combating Religious Blasphemy to Promoting Peace: Reflection from Indonesia</w:t>
      </w:r>
      <w:r w:rsidR="002D4102" w:rsidRPr="001B36CC">
        <w:rPr>
          <w:rFonts w:ascii="Garamond" w:hAnsi="Garamond"/>
          <w:b/>
          <w:noProof/>
          <w:sz w:val="28"/>
          <w:szCs w:val="28"/>
        </w:rPr>
        <w:t>’</w:t>
      </w:r>
      <w:r w:rsidRPr="001B36CC">
        <w:rPr>
          <w:rFonts w:ascii="Garamond" w:hAnsi="Garamond"/>
          <w:b/>
          <w:noProof/>
          <w:sz w:val="28"/>
          <w:szCs w:val="28"/>
        </w:rPr>
        <w:t>s Da</w:t>
      </w:r>
      <w:r w:rsidR="002D4102" w:rsidRPr="001B36CC">
        <w:rPr>
          <w:rFonts w:ascii="Garamond" w:hAnsi="Garamond"/>
          <w:b/>
          <w:noProof/>
          <w:sz w:val="28"/>
          <w:szCs w:val="28"/>
        </w:rPr>
        <w:t>’</w:t>
      </w:r>
      <w:r w:rsidRPr="001B36CC">
        <w:rPr>
          <w:rFonts w:ascii="Garamond" w:hAnsi="Garamond"/>
          <w:b/>
          <w:noProof/>
          <w:sz w:val="28"/>
          <w:szCs w:val="28"/>
        </w:rPr>
        <w:t>wah Experiences</w:t>
      </w:r>
    </w:p>
    <w:p w14:paraId="61B9F089" w14:textId="77777777" w:rsidR="001B36CC" w:rsidRDefault="001B36CC" w:rsidP="001B36CC">
      <w:pPr>
        <w:spacing w:after="0" w:line="240" w:lineRule="auto"/>
        <w:ind w:left="397" w:right="397"/>
        <w:jc w:val="center"/>
        <w:rPr>
          <w:rFonts w:ascii="Garamond" w:hAnsi="Garamond"/>
          <w:b/>
          <w:noProof/>
          <w:sz w:val="24"/>
          <w:szCs w:val="24"/>
        </w:rPr>
      </w:pPr>
    </w:p>
    <w:p w14:paraId="33EF0830" w14:textId="77777777" w:rsidR="00EF6713" w:rsidRPr="009668E2" w:rsidRDefault="00EF6713" w:rsidP="009668E2">
      <w:pPr>
        <w:spacing w:after="0" w:line="240" w:lineRule="auto"/>
        <w:jc w:val="center"/>
        <w:rPr>
          <w:rFonts w:ascii="Garamond" w:hAnsi="Garamond"/>
          <w:b/>
          <w:bCs/>
          <w:color w:val="000000" w:themeColor="text1"/>
          <w:sz w:val="24"/>
          <w:szCs w:val="24"/>
        </w:rPr>
      </w:pPr>
    </w:p>
    <w:p w14:paraId="7419EFFA" w14:textId="219BE4D3" w:rsidR="00EF6713" w:rsidRPr="001B36CC" w:rsidRDefault="00EF6713" w:rsidP="001B36CC">
      <w:pPr>
        <w:pStyle w:val="abstract"/>
        <w:pBdr>
          <w:top w:val="none" w:sz="0" w:space="0" w:color="auto"/>
        </w:pBdr>
        <w:spacing w:after="0"/>
        <w:rPr>
          <w:rFonts w:ascii="Garamond" w:hAnsi="Garamond"/>
        </w:rPr>
      </w:pPr>
      <w:r w:rsidRPr="001B36CC">
        <w:rPr>
          <w:rFonts w:ascii="Garamond" w:hAnsi="Garamond"/>
          <w:b/>
          <w:bCs/>
          <w:lang w:val="en-US"/>
        </w:rPr>
        <w:t xml:space="preserve">Abstract: </w:t>
      </w:r>
      <w:r w:rsidR="00F2400E" w:rsidRPr="001B36CC">
        <w:rPr>
          <w:rFonts w:ascii="Garamond" w:hAnsi="Garamond"/>
          <w:lang w:val="en-US"/>
        </w:rPr>
        <w:t xml:space="preserve">This study explores the historical role of </w:t>
      </w:r>
      <w:r w:rsidR="00E25CF5" w:rsidRPr="001B36CC">
        <w:rPr>
          <w:rFonts w:ascii="Garamond" w:hAnsi="Garamond"/>
          <w:lang w:val="en-US"/>
        </w:rPr>
        <w:t>Da</w:t>
      </w:r>
      <w:r w:rsidR="002D4102" w:rsidRPr="001B36CC">
        <w:rPr>
          <w:rFonts w:ascii="Garamond" w:hAnsi="Garamond"/>
          <w:lang w:val="en-US"/>
        </w:rPr>
        <w:t>’</w:t>
      </w:r>
      <w:r w:rsidR="00E25CF5" w:rsidRPr="001B36CC">
        <w:rPr>
          <w:rFonts w:ascii="Garamond" w:hAnsi="Garamond"/>
          <w:lang w:val="en-US"/>
        </w:rPr>
        <w:t>wah</w:t>
      </w:r>
      <w:r w:rsidR="00F2400E" w:rsidRPr="001B36CC">
        <w:rPr>
          <w:rFonts w:ascii="Garamond" w:hAnsi="Garamond"/>
          <w:lang w:val="en-US"/>
        </w:rPr>
        <w:t xml:space="preserve"> (Islamic proselytization) in countering religious blasphemy in Indonesia</w:t>
      </w:r>
      <w:r w:rsidR="008C162F" w:rsidRPr="001B36CC">
        <w:rPr>
          <w:rFonts w:ascii="Garamond" w:hAnsi="Garamond"/>
          <w:lang w:val="en-US"/>
        </w:rPr>
        <w:t xml:space="preserve">. </w:t>
      </w:r>
      <w:r w:rsidR="00F2400E" w:rsidRPr="001B36CC">
        <w:rPr>
          <w:rFonts w:ascii="Garamond" w:hAnsi="Garamond"/>
          <w:lang w:val="en-US"/>
        </w:rPr>
        <w:t xml:space="preserve">As Indonesia encountered increasing interactions among diverse religious communities, instances of perceived religious blasphemy became prominent, challenging social harmony. This research delves into </w:t>
      </w:r>
      <w:r w:rsidR="002E11F7" w:rsidRPr="001B36CC">
        <w:rPr>
          <w:rFonts w:ascii="Garamond" w:hAnsi="Garamond"/>
          <w:lang w:val="en-US"/>
        </w:rPr>
        <w:t>related social studies on Da</w:t>
      </w:r>
      <w:r w:rsidR="002D4102" w:rsidRPr="001B36CC">
        <w:rPr>
          <w:rFonts w:ascii="Garamond" w:hAnsi="Garamond"/>
          <w:lang w:val="en-US"/>
        </w:rPr>
        <w:t>’</w:t>
      </w:r>
      <w:r w:rsidR="002E11F7" w:rsidRPr="001B36CC">
        <w:rPr>
          <w:rFonts w:ascii="Garamond" w:hAnsi="Garamond"/>
          <w:lang w:val="en-US"/>
        </w:rPr>
        <w:t xml:space="preserve">wah </w:t>
      </w:r>
      <w:r w:rsidR="00F2400E" w:rsidRPr="001B36CC">
        <w:rPr>
          <w:rFonts w:ascii="Garamond" w:hAnsi="Garamond"/>
          <w:lang w:val="en-US"/>
        </w:rPr>
        <w:t xml:space="preserve">to examine how Muslim leaders and communities utilized </w:t>
      </w:r>
      <w:r w:rsidR="00E25CF5" w:rsidRPr="001B36CC">
        <w:rPr>
          <w:rFonts w:ascii="Garamond" w:hAnsi="Garamond"/>
          <w:lang w:val="en-US"/>
        </w:rPr>
        <w:t>Da</w:t>
      </w:r>
      <w:r w:rsidR="002D4102" w:rsidRPr="001B36CC">
        <w:rPr>
          <w:rFonts w:ascii="Garamond" w:hAnsi="Garamond"/>
          <w:lang w:val="en-US"/>
        </w:rPr>
        <w:t>’</w:t>
      </w:r>
      <w:r w:rsidR="00E25CF5" w:rsidRPr="001B36CC">
        <w:rPr>
          <w:rFonts w:ascii="Garamond" w:hAnsi="Garamond"/>
          <w:lang w:val="en-US"/>
        </w:rPr>
        <w:t>wah</w:t>
      </w:r>
      <w:r w:rsidR="00F2400E" w:rsidRPr="001B36CC">
        <w:rPr>
          <w:rFonts w:ascii="Garamond" w:hAnsi="Garamond"/>
          <w:lang w:val="en-US"/>
        </w:rPr>
        <w:t xml:space="preserve"> as a tool to address and mitigate conflicts</w:t>
      </w:r>
      <w:r w:rsidR="002E11F7" w:rsidRPr="001B36CC">
        <w:rPr>
          <w:rFonts w:ascii="Garamond" w:hAnsi="Garamond"/>
          <w:lang w:val="en-US"/>
        </w:rPr>
        <w:t xml:space="preserve">, to promote peace, and how it works againts the </w:t>
      </w:r>
      <w:r w:rsidR="00F2400E" w:rsidRPr="001B36CC">
        <w:rPr>
          <w:rFonts w:ascii="Garamond" w:hAnsi="Garamond"/>
          <w:lang w:val="en-US"/>
        </w:rPr>
        <w:t xml:space="preserve">accusations of blasphemy. It highlights </w:t>
      </w:r>
      <w:r w:rsidR="002E11F7" w:rsidRPr="001B36CC">
        <w:rPr>
          <w:rFonts w:ascii="Garamond" w:hAnsi="Garamond"/>
          <w:lang w:val="en-US"/>
        </w:rPr>
        <w:t>that Da</w:t>
      </w:r>
      <w:r w:rsidR="002D4102" w:rsidRPr="001B36CC">
        <w:rPr>
          <w:rFonts w:ascii="Garamond" w:hAnsi="Garamond"/>
          <w:lang w:val="en-US"/>
        </w:rPr>
        <w:t>’</w:t>
      </w:r>
      <w:r w:rsidR="002E11F7" w:rsidRPr="001B36CC">
        <w:rPr>
          <w:rFonts w:ascii="Garamond" w:hAnsi="Garamond"/>
          <w:lang w:val="en-US"/>
        </w:rPr>
        <w:t xml:space="preserve">wah has been </w:t>
      </w:r>
      <w:r w:rsidR="00F2400E" w:rsidRPr="001B36CC">
        <w:rPr>
          <w:rFonts w:ascii="Garamond" w:hAnsi="Garamond"/>
          <w:lang w:val="en-US"/>
        </w:rPr>
        <w:t>employed</w:t>
      </w:r>
      <w:r w:rsidR="002E11F7" w:rsidRPr="001B36CC">
        <w:rPr>
          <w:rFonts w:ascii="Garamond" w:hAnsi="Garamond"/>
          <w:lang w:val="en-US"/>
        </w:rPr>
        <w:t xml:space="preserve"> through </w:t>
      </w:r>
      <w:r w:rsidR="00F2400E" w:rsidRPr="001B36CC">
        <w:rPr>
          <w:rFonts w:ascii="Garamond" w:hAnsi="Garamond"/>
          <w:lang w:val="en-US"/>
        </w:rPr>
        <w:t>education, interfaith dialogue, and legal recourse, which aimed not only to protect Islamic tenets but also to promote a peaceful coexistence among Indonesia</w:t>
      </w:r>
      <w:r w:rsidR="002D4102" w:rsidRPr="001B36CC">
        <w:rPr>
          <w:rFonts w:ascii="Garamond" w:hAnsi="Garamond"/>
          <w:lang w:val="en-US"/>
        </w:rPr>
        <w:t>’</w:t>
      </w:r>
      <w:r w:rsidR="00F2400E" w:rsidRPr="001B36CC">
        <w:rPr>
          <w:rFonts w:ascii="Garamond" w:hAnsi="Garamond"/>
          <w:lang w:val="en-US"/>
        </w:rPr>
        <w:t xml:space="preserve">s pluralistic society. The findings suggest that </w:t>
      </w:r>
      <w:r w:rsidR="00E25CF5" w:rsidRPr="001B36CC">
        <w:rPr>
          <w:rFonts w:ascii="Garamond" w:hAnsi="Garamond"/>
          <w:lang w:val="en-US"/>
        </w:rPr>
        <w:t>Da</w:t>
      </w:r>
      <w:r w:rsidR="002D4102" w:rsidRPr="001B36CC">
        <w:rPr>
          <w:rFonts w:ascii="Garamond" w:hAnsi="Garamond"/>
          <w:lang w:val="en-US"/>
        </w:rPr>
        <w:t>’</w:t>
      </w:r>
      <w:r w:rsidR="00E25CF5" w:rsidRPr="001B36CC">
        <w:rPr>
          <w:rFonts w:ascii="Garamond" w:hAnsi="Garamond"/>
          <w:lang w:val="en-US"/>
        </w:rPr>
        <w:t>wah</w:t>
      </w:r>
      <w:r w:rsidR="00F2400E" w:rsidRPr="001B36CC">
        <w:rPr>
          <w:rFonts w:ascii="Garamond" w:hAnsi="Garamond"/>
          <w:lang w:val="en-US"/>
        </w:rPr>
        <w:t xml:space="preserve"> served as a crucial mechanism for both religious assertion and social mediation, reflecting a nuanced approach to religious tolerance and community resilience. This paper contributes to the understanding of religious dynamics in </w:t>
      </w:r>
      <w:r w:rsidR="002E11F7" w:rsidRPr="001B36CC">
        <w:rPr>
          <w:rFonts w:ascii="Garamond" w:hAnsi="Garamond"/>
          <w:lang w:val="en-US"/>
        </w:rPr>
        <w:t xml:space="preserve">Indonesia from </w:t>
      </w:r>
      <w:r w:rsidR="00F2400E" w:rsidRPr="001B36CC">
        <w:rPr>
          <w:rFonts w:ascii="Garamond" w:hAnsi="Garamond"/>
          <w:lang w:val="en-US"/>
        </w:rPr>
        <w:t xml:space="preserve">colonial </w:t>
      </w:r>
      <w:r w:rsidR="002E11F7" w:rsidRPr="001B36CC">
        <w:rPr>
          <w:rFonts w:ascii="Garamond" w:hAnsi="Garamond"/>
          <w:lang w:val="en-US"/>
        </w:rPr>
        <w:t>periods up to today</w:t>
      </w:r>
      <w:r w:rsidR="00F2400E" w:rsidRPr="001B36CC">
        <w:rPr>
          <w:rFonts w:ascii="Garamond" w:hAnsi="Garamond"/>
          <w:lang w:val="en-US"/>
        </w:rPr>
        <w:t xml:space="preserve"> into the contemporary relevance </w:t>
      </w:r>
      <w:r w:rsidR="002E11F7" w:rsidRPr="001B36CC">
        <w:rPr>
          <w:rFonts w:ascii="Garamond" w:hAnsi="Garamond"/>
          <w:lang w:val="en-US"/>
        </w:rPr>
        <w:t xml:space="preserve">to mitigate </w:t>
      </w:r>
      <w:r w:rsidR="00F2400E" w:rsidRPr="001B36CC">
        <w:rPr>
          <w:rFonts w:ascii="Garamond" w:hAnsi="Garamond"/>
          <w:lang w:val="en-US"/>
        </w:rPr>
        <w:t>inter-religious tensions.</w:t>
      </w:r>
    </w:p>
    <w:p w14:paraId="22184228" w14:textId="28086F85" w:rsidR="00EF6713" w:rsidRPr="001B36CC" w:rsidRDefault="00EF6713" w:rsidP="001B36CC">
      <w:pPr>
        <w:pStyle w:val="abstrkeywrds"/>
        <w:pBdr>
          <w:bottom w:val="none" w:sz="0" w:space="0" w:color="auto"/>
        </w:pBdr>
        <w:spacing w:before="0" w:after="0"/>
        <w:rPr>
          <w:rFonts w:ascii="Garamond" w:hAnsi="Garamond"/>
        </w:rPr>
      </w:pPr>
      <w:r w:rsidRPr="001B36CC">
        <w:rPr>
          <w:rFonts w:ascii="Garamond" w:hAnsi="Garamond"/>
          <w:b/>
        </w:rPr>
        <w:t>Keywords</w:t>
      </w:r>
      <w:r w:rsidR="00281A45" w:rsidRPr="001B36CC">
        <w:rPr>
          <w:rFonts w:ascii="Garamond" w:hAnsi="Garamond"/>
          <w:lang w:val="en-US"/>
        </w:rPr>
        <w:t xml:space="preserve">: </w:t>
      </w:r>
      <w:r w:rsidR="00E25CF5" w:rsidRPr="001B36CC">
        <w:rPr>
          <w:rFonts w:ascii="Garamond" w:hAnsi="Garamond"/>
        </w:rPr>
        <w:t>Da</w:t>
      </w:r>
      <w:r w:rsidR="002D4102" w:rsidRPr="001B36CC">
        <w:rPr>
          <w:rFonts w:ascii="Garamond" w:hAnsi="Garamond"/>
        </w:rPr>
        <w:t>’</w:t>
      </w:r>
      <w:r w:rsidR="00E25CF5" w:rsidRPr="001B36CC">
        <w:rPr>
          <w:rFonts w:ascii="Garamond" w:hAnsi="Garamond"/>
        </w:rPr>
        <w:t>wah</w:t>
      </w:r>
      <w:r w:rsidR="00F2400E" w:rsidRPr="001B36CC">
        <w:rPr>
          <w:rFonts w:ascii="Garamond" w:hAnsi="Garamond"/>
        </w:rPr>
        <w:t xml:space="preserve">; Religious Blasphemy; Indonesia; </w:t>
      </w:r>
      <w:r w:rsidR="00F2400E" w:rsidRPr="001B36CC">
        <w:rPr>
          <w:rFonts w:ascii="Garamond" w:hAnsi="Garamond"/>
          <w:lang w:val="en-US"/>
        </w:rPr>
        <w:t>Historical Analysis.</w:t>
      </w:r>
    </w:p>
    <w:p w14:paraId="272B6ACF" w14:textId="77777777" w:rsidR="00EF6713" w:rsidRPr="009668E2" w:rsidRDefault="00EF6713" w:rsidP="009668E2">
      <w:pPr>
        <w:pStyle w:val="NoSpacing"/>
        <w:jc w:val="center"/>
        <w:rPr>
          <w:rFonts w:ascii="Garamond" w:hAnsi="Garamond" w:cs="Times New Roman"/>
          <w:sz w:val="24"/>
          <w:szCs w:val="24"/>
          <w:lang w:val="en-GB"/>
        </w:rPr>
      </w:pPr>
    </w:p>
    <w:p w14:paraId="740CDC1C" w14:textId="046DDA91" w:rsidR="001B36CC" w:rsidRPr="001B36CC" w:rsidRDefault="001B36CC" w:rsidP="001B36CC">
      <w:pPr>
        <w:pStyle w:val="isi"/>
        <w:ind w:firstLine="0"/>
        <w:jc w:val="both"/>
        <w:rPr>
          <w:rFonts w:ascii="Garamond" w:hAnsi="Garamond"/>
          <w:b/>
          <w:bCs/>
          <w:sz w:val="24"/>
          <w:szCs w:val="24"/>
        </w:rPr>
      </w:pPr>
      <w:r w:rsidRPr="001B36CC">
        <w:rPr>
          <w:rFonts w:ascii="Garamond" w:hAnsi="Garamond"/>
          <w:b/>
          <w:bCs/>
          <w:sz w:val="24"/>
          <w:szCs w:val="24"/>
        </w:rPr>
        <w:t>Introduction</w:t>
      </w:r>
    </w:p>
    <w:p w14:paraId="61EB2DC5" w14:textId="1CF81365" w:rsidR="00971256" w:rsidRPr="009668E2" w:rsidRDefault="00E25CF5" w:rsidP="009668E2">
      <w:pPr>
        <w:pStyle w:val="isi"/>
        <w:jc w:val="both"/>
        <w:rPr>
          <w:rFonts w:ascii="Garamond" w:hAnsi="Garamond"/>
          <w:sz w:val="24"/>
          <w:szCs w:val="24"/>
        </w:rPr>
      </w:pPr>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wah</w:t>
      </w:r>
      <w:r w:rsidR="00971256" w:rsidRPr="009668E2">
        <w:rPr>
          <w:rFonts w:ascii="Garamond" w:hAnsi="Garamond"/>
          <w:sz w:val="24"/>
          <w:szCs w:val="24"/>
        </w:rPr>
        <w:t xml:space="preserve"> (Islamic proselytization) is commonly encountered in various forms in Muslim-majority countries around the world. </w:t>
      </w:r>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wah</w:t>
      </w:r>
      <w:r w:rsidR="00971256" w:rsidRPr="009668E2">
        <w:rPr>
          <w:rFonts w:ascii="Garamond" w:hAnsi="Garamond"/>
          <w:sz w:val="24"/>
          <w:szCs w:val="24"/>
        </w:rPr>
        <w:t xml:space="preserve"> holds significant importance in spreading the message of Islam and fostering positive changes in society. The term encompasses the act of inviting individuals, groups, or communities to embrace Islamic teachings, values, and practices. </w:t>
      </w:r>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wah</w:t>
      </w:r>
      <w:r w:rsidR="00971256" w:rsidRPr="009668E2">
        <w:rPr>
          <w:rFonts w:ascii="Garamond" w:hAnsi="Garamond"/>
          <w:sz w:val="24"/>
          <w:szCs w:val="24"/>
        </w:rPr>
        <w:t xml:space="preserve"> is not limited to verbal communication but extends to embodying Islamic principles in one</w:t>
      </w:r>
      <w:r w:rsidR="002D4102" w:rsidRPr="009668E2">
        <w:rPr>
          <w:rFonts w:ascii="Garamond" w:hAnsi="Garamond"/>
          <w:sz w:val="24"/>
          <w:szCs w:val="24"/>
        </w:rPr>
        <w:t>’</w:t>
      </w:r>
      <w:r w:rsidR="00971256" w:rsidRPr="009668E2">
        <w:rPr>
          <w:rFonts w:ascii="Garamond" w:hAnsi="Garamond"/>
          <w:sz w:val="24"/>
          <w:szCs w:val="24"/>
        </w:rPr>
        <w:t>s actions and interactions with others.</w:t>
      </w:r>
      <w:r w:rsidR="000B3929" w:rsidRPr="009668E2">
        <w:rPr>
          <w:rStyle w:val="FootnoteReference"/>
          <w:rFonts w:ascii="Garamond" w:hAnsi="Garamond"/>
          <w:sz w:val="24"/>
          <w:szCs w:val="24"/>
        </w:rPr>
        <w:footnoteReference w:id="1"/>
      </w:r>
    </w:p>
    <w:p w14:paraId="1647CCCA" w14:textId="64E6EA60" w:rsidR="00971256" w:rsidRPr="009668E2" w:rsidRDefault="00971256" w:rsidP="009668E2">
      <w:pPr>
        <w:pStyle w:val="isi"/>
        <w:jc w:val="both"/>
        <w:rPr>
          <w:rFonts w:ascii="Garamond" w:hAnsi="Garamond"/>
          <w:sz w:val="24"/>
          <w:szCs w:val="24"/>
        </w:rPr>
      </w:pPr>
      <w:r w:rsidRPr="009668E2">
        <w:rPr>
          <w:rFonts w:ascii="Garamond" w:hAnsi="Garamond"/>
          <w:sz w:val="24"/>
          <w:szCs w:val="24"/>
        </w:rPr>
        <w:t xml:space="preserve">In line with the previous statement, in the context of Islamic educational institutions in Indonesia, </w:t>
      </w:r>
      <w:proofErr w:type="spellStart"/>
      <w:r w:rsidRPr="009668E2">
        <w:rPr>
          <w:rFonts w:ascii="Garamond" w:hAnsi="Garamond"/>
          <w:sz w:val="24"/>
          <w:szCs w:val="24"/>
        </w:rPr>
        <w:t>pesantren</w:t>
      </w:r>
      <w:proofErr w:type="spellEnd"/>
      <w:r w:rsidRPr="009668E2">
        <w:rPr>
          <w:rFonts w:ascii="Garamond" w:hAnsi="Garamond"/>
          <w:sz w:val="24"/>
          <w:szCs w:val="24"/>
        </w:rPr>
        <w:t xml:space="preserve"> (Islamic boarding schools) as institutions of education and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have innovated remarkably. They not only deliver religious lectures but also engage in </w:t>
      </w:r>
      <w:r w:rsidRPr="009668E2">
        <w:rPr>
          <w:rFonts w:ascii="Garamond" w:hAnsi="Garamond"/>
          <w:sz w:val="24"/>
          <w:szCs w:val="24"/>
        </w:rPr>
        <w:lastRenderedPageBreak/>
        <w:t>more practical domains such as community service and environmental concerns, all grounded in religious interpretations.</w:t>
      </w:r>
      <w:r w:rsidR="00E35E17" w:rsidRPr="009668E2">
        <w:rPr>
          <w:rStyle w:val="FootnoteReference"/>
          <w:rFonts w:ascii="Garamond" w:hAnsi="Garamond"/>
          <w:sz w:val="24"/>
          <w:szCs w:val="24"/>
        </w:rPr>
        <w:footnoteReference w:id="2"/>
      </w:r>
      <w:r w:rsidRPr="009668E2">
        <w:rPr>
          <w:rFonts w:ascii="Garamond" w:hAnsi="Garamond"/>
          <w:sz w:val="24"/>
          <w:szCs w:val="24"/>
        </w:rPr>
        <w:t xml:space="preserve"> This demonstrates that the development of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is becoming increasingly contextual.</w:t>
      </w:r>
    </w:p>
    <w:p w14:paraId="5B881C46" w14:textId="74514B5D" w:rsidR="00971256" w:rsidRPr="009668E2" w:rsidRDefault="00971256" w:rsidP="009668E2">
      <w:pPr>
        <w:pStyle w:val="isi"/>
        <w:jc w:val="both"/>
        <w:rPr>
          <w:rFonts w:ascii="Garamond" w:hAnsi="Garamond"/>
          <w:sz w:val="24"/>
          <w:szCs w:val="24"/>
        </w:rPr>
      </w:pPr>
      <w:r w:rsidRPr="009668E2">
        <w:rPr>
          <w:rFonts w:ascii="Garamond" w:hAnsi="Garamond"/>
          <w:sz w:val="24"/>
          <w:szCs w:val="24"/>
        </w:rPr>
        <w:t xml:space="preserve">Philosophically and theologically,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should aim to promote harmony, peace, and prosperity by encouraging adherence to Islamic norms and laws.</w:t>
      </w:r>
      <w:r w:rsidR="000B3929" w:rsidRPr="009668E2">
        <w:rPr>
          <w:rStyle w:val="FootnoteReference"/>
          <w:rFonts w:ascii="Garamond" w:hAnsi="Garamond"/>
          <w:sz w:val="24"/>
          <w:szCs w:val="24"/>
        </w:rPr>
        <w:footnoteReference w:id="3"/>
      </w:r>
      <w:r w:rsidRPr="009668E2">
        <w:rPr>
          <w:rFonts w:ascii="Garamond" w:hAnsi="Garamond"/>
          <w:sz w:val="24"/>
          <w:szCs w:val="24"/>
        </w:rPr>
        <w:t xml:space="preserve"> Thus, the fundamental principle of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is peace. Every Muslim is obliged to participate in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activities to communicate Islamic values to others.</w:t>
      </w:r>
      <w:r w:rsidR="000B3929" w:rsidRPr="009668E2">
        <w:rPr>
          <w:rStyle w:val="FootnoteReference"/>
          <w:rFonts w:ascii="Garamond" w:hAnsi="Garamond"/>
          <w:sz w:val="24"/>
          <w:szCs w:val="24"/>
        </w:rPr>
        <w:footnoteReference w:id="4"/>
      </w:r>
      <w:r w:rsidRPr="009668E2">
        <w:rPr>
          <w:rFonts w:ascii="Garamond" w:hAnsi="Garamond"/>
          <w:sz w:val="24"/>
          <w:szCs w:val="24"/>
        </w:rPr>
        <w:t xml:space="preserve"> In my personal view,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can be conducted through speech and actions, or simply by setting a living example that aligns with religious values, which can also be categorized as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activities.</w:t>
      </w:r>
      <w:r w:rsidR="000B3929" w:rsidRPr="009668E2">
        <w:rPr>
          <w:rStyle w:val="FootnoteReference"/>
          <w:rFonts w:ascii="Garamond" w:hAnsi="Garamond"/>
          <w:sz w:val="24"/>
          <w:szCs w:val="24"/>
        </w:rPr>
        <w:footnoteReference w:id="5"/>
      </w:r>
      <w:r w:rsidRPr="009668E2">
        <w:rPr>
          <w:rFonts w:ascii="Garamond" w:hAnsi="Garamond"/>
          <w:sz w:val="24"/>
          <w:szCs w:val="24"/>
        </w:rPr>
        <w:t xml:space="preserve"> A proactive approach to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allows for the dissemination of religious values across various societal layers.</w:t>
      </w:r>
      <w:r w:rsidR="000B3929" w:rsidRPr="009668E2">
        <w:rPr>
          <w:rStyle w:val="FootnoteReference"/>
          <w:rFonts w:ascii="Garamond" w:hAnsi="Garamond"/>
          <w:sz w:val="24"/>
          <w:szCs w:val="24"/>
        </w:rPr>
        <w:footnoteReference w:id="6"/>
      </w:r>
    </w:p>
    <w:p w14:paraId="607D416A" w14:textId="51564298" w:rsidR="000B3929" w:rsidRPr="009668E2" w:rsidRDefault="000B3929" w:rsidP="009668E2">
      <w:pPr>
        <w:pStyle w:val="isi"/>
        <w:jc w:val="both"/>
        <w:rPr>
          <w:rFonts w:ascii="Garamond" w:hAnsi="Garamond"/>
          <w:sz w:val="24"/>
          <w:szCs w:val="24"/>
        </w:rPr>
      </w:pPr>
      <w:r w:rsidRPr="009668E2">
        <w:rPr>
          <w:rFonts w:ascii="Garamond" w:hAnsi="Garamond"/>
          <w:sz w:val="24"/>
          <w:szCs w:val="24"/>
        </w:rPr>
        <w:t xml:space="preserve">Leadership plays a crucial role in the propagation of Islamic teachings through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Leaders are seen as instrumental in spreading the message of Islam and establishing a just and compassionate society.</w:t>
      </w:r>
      <w:r w:rsidRPr="009668E2">
        <w:rPr>
          <w:rStyle w:val="FootnoteReference"/>
          <w:rFonts w:ascii="Garamond" w:hAnsi="Garamond"/>
          <w:sz w:val="24"/>
          <w:szCs w:val="24"/>
        </w:rPr>
        <w:footnoteReference w:id="7"/>
      </w:r>
      <w:r w:rsidRPr="009668E2">
        <w:rPr>
          <w:rFonts w:ascii="Garamond" w:hAnsi="Garamond"/>
          <w:sz w:val="24"/>
          <w:szCs w:val="24"/>
        </w:rPr>
        <w:t xml:space="preserve"> In the Indonesian context, the prominence of an ulama (Islamic scholar) holds a special place within certain communities, such as Gus Baha from </w:t>
      </w:r>
      <w:proofErr w:type="spellStart"/>
      <w:r w:rsidRPr="009668E2">
        <w:rPr>
          <w:rFonts w:ascii="Garamond" w:hAnsi="Garamond"/>
          <w:sz w:val="24"/>
          <w:szCs w:val="24"/>
        </w:rPr>
        <w:t>Nahdlatul</w:t>
      </w:r>
      <w:proofErr w:type="spellEnd"/>
      <w:r w:rsidRPr="009668E2">
        <w:rPr>
          <w:rFonts w:ascii="Garamond" w:hAnsi="Garamond"/>
          <w:sz w:val="24"/>
          <w:szCs w:val="24"/>
        </w:rPr>
        <w:t xml:space="preserve"> Ulama and </w:t>
      </w:r>
      <w:proofErr w:type="spellStart"/>
      <w:r w:rsidRPr="009668E2">
        <w:rPr>
          <w:rFonts w:ascii="Garamond" w:hAnsi="Garamond"/>
          <w:sz w:val="24"/>
          <w:szCs w:val="24"/>
        </w:rPr>
        <w:t>Ustadh</w:t>
      </w:r>
      <w:proofErr w:type="spellEnd"/>
      <w:r w:rsidRPr="009668E2">
        <w:rPr>
          <w:rFonts w:ascii="Garamond" w:hAnsi="Garamond"/>
          <w:sz w:val="24"/>
          <w:szCs w:val="24"/>
        </w:rPr>
        <w:t xml:space="preserve"> Adi Hidayat from Muhammadiyah. These figures not only represent the thoughts of the two oldest Islamic organizations in Indonesia but also exemplify the methods of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in NU and Muhammadiyah.</w:t>
      </w:r>
    </w:p>
    <w:p w14:paraId="3045FCC8" w14:textId="48B2B903" w:rsidR="001C3C9E" w:rsidRPr="009668E2" w:rsidRDefault="001C3C9E" w:rsidP="009668E2">
      <w:pPr>
        <w:pStyle w:val="isi"/>
        <w:jc w:val="both"/>
        <w:rPr>
          <w:rFonts w:ascii="Garamond" w:hAnsi="Garamond"/>
          <w:sz w:val="24"/>
          <w:szCs w:val="24"/>
        </w:rPr>
      </w:pPr>
      <w:r w:rsidRPr="009668E2">
        <w:rPr>
          <w:rFonts w:ascii="Garamond" w:hAnsi="Garamond"/>
          <w:sz w:val="24"/>
          <w:szCs w:val="24"/>
        </w:rPr>
        <w:t xml:space="preserve">In the current era, the utilization of digital media and technology has transformed the approaches to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The emergence of platforms like social media and the internet has opened up new </w:t>
      </w:r>
      <w:r w:rsidRPr="009668E2">
        <w:rPr>
          <w:rFonts w:ascii="Garamond" w:hAnsi="Garamond"/>
          <w:sz w:val="24"/>
          <w:szCs w:val="24"/>
        </w:rPr>
        <w:lastRenderedPageBreak/>
        <w:t>channels for spreading Islamic messages on a large scale.</w:t>
      </w:r>
      <w:r w:rsidR="002F5D82" w:rsidRPr="009668E2">
        <w:rPr>
          <w:rStyle w:val="FootnoteReference"/>
          <w:rFonts w:ascii="Garamond" w:hAnsi="Garamond"/>
          <w:sz w:val="24"/>
          <w:szCs w:val="24"/>
        </w:rPr>
        <w:footnoteReference w:id="8"/>
      </w:r>
      <w:r w:rsidRPr="009668E2">
        <w:rPr>
          <w:rFonts w:ascii="Garamond" w:hAnsi="Garamond"/>
          <w:sz w:val="24"/>
          <w:szCs w:val="24"/>
        </w:rPr>
        <w:t xml:space="preserve"> Through utilizing these digital tools, Islamic preachers and educators can connect with a wider audience and effectively impact people</w:t>
      </w:r>
      <w:r w:rsidR="002D4102" w:rsidRPr="009668E2">
        <w:rPr>
          <w:rFonts w:ascii="Garamond" w:hAnsi="Garamond"/>
          <w:sz w:val="24"/>
          <w:szCs w:val="24"/>
        </w:rPr>
        <w:t>’</w:t>
      </w:r>
      <w:r w:rsidRPr="009668E2">
        <w:rPr>
          <w:rFonts w:ascii="Garamond" w:hAnsi="Garamond"/>
          <w:sz w:val="24"/>
          <w:szCs w:val="24"/>
        </w:rPr>
        <w:t>s awareness and behavior.</w:t>
      </w:r>
      <w:r w:rsidR="002F5D82" w:rsidRPr="009668E2">
        <w:rPr>
          <w:rStyle w:val="FootnoteReference"/>
          <w:rFonts w:ascii="Garamond" w:hAnsi="Garamond"/>
          <w:sz w:val="24"/>
          <w:szCs w:val="24"/>
        </w:rPr>
        <w:footnoteReference w:id="9"/>
      </w:r>
      <w:r w:rsidRPr="009668E2">
        <w:rPr>
          <w:rFonts w:ascii="Garamond" w:hAnsi="Garamond"/>
          <w:sz w:val="24"/>
          <w:szCs w:val="24"/>
        </w:rPr>
        <w:t xml:space="preserve"> The widespread use of digital media now enables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messages to easily reach the general public. Progress in communication technology can speed up the transmission of a religious leader</w:t>
      </w:r>
      <w:r w:rsidR="002D4102" w:rsidRPr="009668E2">
        <w:rPr>
          <w:rFonts w:ascii="Garamond" w:hAnsi="Garamond"/>
          <w:sz w:val="24"/>
          <w:szCs w:val="24"/>
        </w:rPr>
        <w:t>’</w:t>
      </w:r>
      <w:r w:rsidRPr="009668E2">
        <w:rPr>
          <w:rFonts w:ascii="Garamond" w:hAnsi="Garamond"/>
          <w:sz w:val="24"/>
          <w:szCs w:val="24"/>
        </w:rPr>
        <w:t>s perspectives to their followers, addressing modern social and religious concerns.</w:t>
      </w:r>
    </w:p>
    <w:p w14:paraId="07FF5F79" w14:textId="75D67D66" w:rsidR="001C3C9E" w:rsidRPr="009668E2" w:rsidRDefault="001C3C9E" w:rsidP="009668E2">
      <w:pPr>
        <w:pStyle w:val="isi"/>
        <w:jc w:val="both"/>
        <w:rPr>
          <w:rFonts w:ascii="Garamond" w:hAnsi="Garamond"/>
          <w:sz w:val="24"/>
          <w:szCs w:val="24"/>
        </w:rPr>
      </w:pPr>
      <w:r w:rsidRPr="009668E2">
        <w:rPr>
          <w:rFonts w:ascii="Garamond" w:hAnsi="Garamond"/>
          <w:sz w:val="24"/>
          <w:szCs w:val="24"/>
        </w:rPr>
        <w:t>An issue that consistently attracts attention in digital media is religious blasphemy. Within the Indonesian context, religious blasphemy has been a controversial topic with significant consequences for the nation</w:t>
      </w:r>
      <w:r w:rsidR="002D4102" w:rsidRPr="009668E2">
        <w:rPr>
          <w:rFonts w:ascii="Garamond" w:hAnsi="Garamond"/>
          <w:sz w:val="24"/>
          <w:szCs w:val="24"/>
        </w:rPr>
        <w:t>’</w:t>
      </w:r>
      <w:r w:rsidRPr="009668E2">
        <w:rPr>
          <w:rFonts w:ascii="Garamond" w:hAnsi="Garamond"/>
          <w:sz w:val="24"/>
          <w:szCs w:val="24"/>
        </w:rPr>
        <w:t>s social, legal, and political landscape. The concept of blasphemy, especially in Indonesia, has been closely linked to efforts to preserve religious harmony, prevent social turmoil, and uphold the sanctity of religious beliefs.</w:t>
      </w:r>
      <w:r w:rsidR="002F5D82" w:rsidRPr="009668E2">
        <w:rPr>
          <w:rStyle w:val="FootnoteReference"/>
          <w:rFonts w:ascii="Garamond" w:hAnsi="Garamond"/>
          <w:sz w:val="24"/>
          <w:szCs w:val="24"/>
        </w:rPr>
        <w:footnoteReference w:id="10"/>
      </w:r>
    </w:p>
    <w:p w14:paraId="35663BEE" w14:textId="6A3DFD77" w:rsidR="001C3C9E" w:rsidRPr="009668E2" w:rsidRDefault="001C3C9E" w:rsidP="009668E2">
      <w:pPr>
        <w:pStyle w:val="isi"/>
        <w:jc w:val="both"/>
        <w:rPr>
          <w:rFonts w:ascii="Garamond" w:hAnsi="Garamond"/>
          <w:sz w:val="24"/>
          <w:szCs w:val="24"/>
        </w:rPr>
      </w:pPr>
      <w:r w:rsidRPr="009668E2">
        <w:rPr>
          <w:rFonts w:ascii="Garamond" w:hAnsi="Garamond"/>
          <w:sz w:val="24"/>
          <w:szCs w:val="24"/>
        </w:rPr>
        <w:t>One remarkable example demonstrating the effects of blasphemy laws in Indonesia is the case of Basuki Tjahaja Purnama, also known as Ahok, the former governor of Jakarta, who was convicted in 2017. Ahok</w:t>
      </w:r>
      <w:r w:rsidR="002D4102" w:rsidRPr="009668E2">
        <w:rPr>
          <w:rFonts w:ascii="Garamond" w:hAnsi="Garamond"/>
          <w:sz w:val="24"/>
          <w:szCs w:val="24"/>
        </w:rPr>
        <w:t>’</w:t>
      </w:r>
      <w:r w:rsidRPr="009668E2">
        <w:rPr>
          <w:rFonts w:ascii="Garamond" w:hAnsi="Garamond"/>
          <w:sz w:val="24"/>
          <w:szCs w:val="24"/>
        </w:rPr>
        <w:t>s two-year prison sentence for blasphemy marked a significant turning point in Indonesia</w:t>
      </w:r>
      <w:r w:rsidR="002D4102" w:rsidRPr="009668E2">
        <w:rPr>
          <w:rFonts w:ascii="Garamond" w:hAnsi="Garamond"/>
          <w:sz w:val="24"/>
          <w:szCs w:val="24"/>
        </w:rPr>
        <w:t>’</w:t>
      </w:r>
      <w:r w:rsidRPr="009668E2">
        <w:rPr>
          <w:rFonts w:ascii="Garamond" w:hAnsi="Garamond"/>
          <w:sz w:val="24"/>
          <w:szCs w:val="24"/>
        </w:rPr>
        <w:t>s approach to such cases.</w:t>
      </w:r>
      <w:r w:rsidR="002F5D82" w:rsidRPr="009668E2">
        <w:rPr>
          <w:rStyle w:val="FootnoteReference"/>
          <w:rFonts w:ascii="Garamond" w:hAnsi="Garamond"/>
          <w:sz w:val="24"/>
          <w:szCs w:val="24"/>
        </w:rPr>
        <w:footnoteReference w:id="11"/>
      </w:r>
      <w:r w:rsidRPr="009668E2">
        <w:rPr>
          <w:rFonts w:ascii="Garamond" w:hAnsi="Garamond"/>
          <w:sz w:val="24"/>
          <w:szCs w:val="24"/>
        </w:rPr>
        <w:t xml:space="preserve"> I have personally delved into the linguistic and legal analysis of this particular case.</w:t>
      </w:r>
      <w:r w:rsidR="009D13B5" w:rsidRPr="009668E2">
        <w:rPr>
          <w:rStyle w:val="FootnoteReference"/>
          <w:rFonts w:ascii="Garamond" w:hAnsi="Garamond"/>
          <w:sz w:val="24"/>
          <w:szCs w:val="24"/>
        </w:rPr>
        <w:footnoteReference w:id="12"/>
      </w:r>
      <w:r w:rsidRPr="009668E2">
        <w:rPr>
          <w:rFonts w:ascii="Garamond" w:hAnsi="Garamond"/>
          <w:sz w:val="24"/>
          <w:szCs w:val="24"/>
        </w:rPr>
        <w:t xml:space="preserve"> In this article, I will delve into an anthropological perspective on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activities in Indonesia as a way to tackle issues related to religious blasphemy.</w:t>
      </w:r>
    </w:p>
    <w:p w14:paraId="2E15E896" w14:textId="57EA6A5C" w:rsidR="001C3C9E" w:rsidRPr="009668E2" w:rsidRDefault="00E25CF5" w:rsidP="009668E2">
      <w:pPr>
        <w:pStyle w:val="isi"/>
        <w:jc w:val="both"/>
        <w:rPr>
          <w:rFonts w:ascii="Garamond" w:hAnsi="Garamond"/>
          <w:sz w:val="24"/>
          <w:szCs w:val="24"/>
        </w:rPr>
      </w:pPr>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wah</w:t>
      </w:r>
      <w:r w:rsidR="001C3C9E" w:rsidRPr="009668E2">
        <w:rPr>
          <w:rFonts w:ascii="Garamond" w:hAnsi="Garamond"/>
          <w:sz w:val="24"/>
          <w:szCs w:val="24"/>
        </w:rPr>
        <w:t xml:space="preserve"> has evolved into a strategy to counter discussions on social matters intertwined with religion (specifically those deemed harmful to Islam). Over the course of </w:t>
      </w:r>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wah</w:t>
      </w:r>
      <w:r w:rsidR="001C3C9E" w:rsidRPr="009668E2">
        <w:rPr>
          <w:rFonts w:ascii="Garamond" w:hAnsi="Garamond"/>
          <w:sz w:val="24"/>
          <w:szCs w:val="24"/>
        </w:rPr>
        <w:t xml:space="preserve"> history in Indonesia, we have witnessed how </w:t>
      </w:r>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wah</w:t>
      </w:r>
      <w:r w:rsidR="001C3C9E" w:rsidRPr="009668E2">
        <w:rPr>
          <w:rFonts w:ascii="Garamond" w:hAnsi="Garamond"/>
          <w:sz w:val="24"/>
          <w:szCs w:val="24"/>
        </w:rPr>
        <w:t xml:space="preserve"> messages are used to combat the spread of certain ideologies like communism and promote unity among various </w:t>
      </w:r>
      <w:r w:rsidR="001C3C9E" w:rsidRPr="009668E2">
        <w:rPr>
          <w:rFonts w:ascii="Garamond" w:hAnsi="Garamond"/>
          <w:sz w:val="24"/>
          <w:szCs w:val="24"/>
        </w:rPr>
        <w:lastRenderedPageBreak/>
        <w:t>societal groups, including nationalists and religious factions.</w:t>
      </w:r>
      <w:r w:rsidR="002F5D82" w:rsidRPr="009668E2">
        <w:rPr>
          <w:rStyle w:val="FootnoteReference"/>
          <w:rFonts w:ascii="Garamond" w:hAnsi="Garamond"/>
          <w:sz w:val="24"/>
          <w:szCs w:val="24"/>
        </w:rPr>
        <w:footnoteReference w:id="13"/>
      </w:r>
      <w:r w:rsidR="001C3C9E" w:rsidRPr="009668E2">
        <w:rPr>
          <w:rFonts w:ascii="Garamond" w:hAnsi="Garamond"/>
          <w:sz w:val="24"/>
          <w:szCs w:val="24"/>
        </w:rPr>
        <w:t xml:space="preserve"> The legal system has been employed to address situations where individuals are accused of insulting or disrespecting religious beliefs, often resulting in legal actions and, at times, imprisonment.</w:t>
      </w:r>
      <w:r w:rsidR="002F5D82" w:rsidRPr="009668E2">
        <w:rPr>
          <w:rStyle w:val="FootnoteReference"/>
          <w:rFonts w:ascii="Garamond" w:hAnsi="Garamond"/>
          <w:sz w:val="24"/>
          <w:szCs w:val="24"/>
        </w:rPr>
        <w:footnoteReference w:id="14"/>
      </w:r>
    </w:p>
    <w:p w14:paraId="5B14CA2C" w14:textId="01500FAA" w:rsidR="001C3C9E" w:rsidRPr="009668E2" w:rsidRDefault="001C3C9E" w:rsidP="009668E2">
      <w:pPr>
        <w:pStyle w:val="isi"/>
        <w:jc w:val="both"/>
        <w:rPr>
          <w:rFonts w:ascii="Garamond" w:hAnsi="Garamond"/>
          <w:sz w:val="24"/>
          <w:szCs w:val="24"/>
        </w:rPr>
      </w:pPr>
      <w:r w:rsidRPr="009668E2">
        <w:rPr>
          <w:rFonts w:ascii="Garamond" w:hAnsi="Garamond"/>
          <w:sz w:val="24"/>
          <w:szCs w:val="24"/>
        </w:rPr>
        <w:t>The implementation of blasphemy regulations in Indonesia has not been free from controversy. Instances of alleged blasphemy, especially during political occasions like presidential and gubernatorial elections, have incited public anger and protests, emphasizing the delicate nature of religious matters in the nation.</w:t>
      </w:r>
      <w:r w:rsidR="002F5D82" w:rsidRPr="009668E2">
        <w:rPr>
          <w:rStyle w:val="FootnoteReference"/>
          <w:rFonts w:ascii="Garamond" w:hAnsi="Garamond"/>
          <w:sz w:val="24"/>
          <w:szCs w:val="24"/>
        </w:rPr>
        <w:footnoteReference w:id="15"/>
      </w:r>
      <w:r w:rsidRPr="009668E2">
        <w:rPr>
          <w:rFonts w:ascii="Garamond" w:hAnsi="Garamond"/>
          <w:sz w:val="24"/>
          <w:szCs w:val="24"/>
        </w:rPr>
        <w:t xml:space="preserve"> The utilization of blasphemy allegations for political purposes has worsened tensions and deepened social rifts.</w:t>
      </w:r>
      <w:r w:rsidR="002F5D82" w:rsidRPr="009668E2">
        <w:rPr>
          <w:rStyle w:val="FootnoteReference"/>
          <w:rFonts w:ascii="Garamond" w:hAnsi="Garamond"/>
          <w:sz w:val="24"/>
          <w:szCs w:val="24"/>
        </w:rPr>
        <w:footnoteReference w:id="16"/>
      </w:r>
      <w:r w:rsidRPr="009668E2">
        <w:rPr>
          <w:rFonts w:ascii="Garamond" w:hAnsi="Garamond"/>
          <w:sz w:val="24"/>
          <w:szCs w:val="24"/>
        </w:rPr>
        <w:t xml:space="preserve"> Additionally, the discussion on religious blasphemy in Indonesia intersects with wider societal dynamics, encompassing public devotion, social structure, and the advancement of religious principles.</w:t>
      </w:r>
      <w:r w:rsidR="002F5D82" w:rsidRPr="009668E2">
        <w:rPr>
          <w:rStyle w:val="FootnoteReference"/>
          <w:rFonts w:ascii="Garamond" w:hAnsi="Garamond"/>
          <w:sz w:val="24"/>
          <w:szCs w:val="24"/>
        </w:rPr>
        <w:footnoteReference w:id="17"/>
      </w:r>
      <w:r w:rsidRPr="009668E2">
        <w:rPr>
          <w:rFonts w:ascii="Garamond" w:hAnsi="Garamond"/>
          <w:sz w:val="24"/>
          <w:szCs w:val="24"/>
        </w:rPr>
        <w:t xml:space="preserve"> The legal framework overseeing blasphemy in Indonesia, in comparison to other nations, mirrors </w:t>
      </w:r>
      <w:proofErr w:type="spellStart"/>
      <w:r w:rsidRPr="009668E2">
        <w:rPr>
          <w:rFonts w:ascii="Garamond" w:hAnsi="Garamond"/>
          <w:sz w:val="24"/>
          <w:szCs w:val="24"/>
        </w:rPr>
        <w:t>a</w:t>
      </w:r>
      <w:proofErr w:type="spellEnd"/>
      <w:r w:rsidRPr="009668E2">
        <w:rPr>
          <w:rFonts w:ascii="Garamond" w:hAnsi="Garamond"/>
          <w:sz w:val="24"/>
          <w:szCs w:val="24"/>
        </w:rPr>
        <w:t xml:space="preserve"> intricate interplay between legal assurance, constitutional aspects, and historical viewpoints.</w:t>
      </w:r>
      <w:r w:rsidR="002F5D82" w:rsidRPr="009668E2">
        <w:rPr>
          <w:rStyle w:val="FootnoteReference"/>
          <w:rFonts w:ascii="Garamond" w:hAnsi="Garamond"/>
          <w:sz w:val="24"/>
          <w:szCs w:val="24"/>
        </w:rPr>
        <w:footnoteReference w:id="18"/>
      </w:r>
      <w:r w:rsidRPr="009668E2">
        <w:rPr>
          <w:rFonts w:ascii="Garamond" w:hAnsi="Garamond"/>
          <w:sz w:val="24"/>
          <w:szCs w:val="24"/>
        </w:rPr>
        <w:t xml:space="preserve"> The endurance of blasphemy statutes and their enforcement in democratic Indonesia highlights the difficulties in upholding freedom of speech, religious liberties, and social concord.</w:t>
      </w:r>
      <w:r w:rsidR="002F5D82" w:rsidRPr="009668E2">
        <w:rPr>
          <w:rStyle w:val="FootnoteReference"/>
          <w:rFonts w:ascii="Garamond" w:hAnsi="Garamond"/>
          <w:sz w:val="24"/>
          <w:szCs w:val="24"/>
        </w:rPr>
        <w:footnoteReference w:id="19"/>
      </w:r>
      <w:r w:rsidRPr="009668E2">
        <w:rPr>
          <w:rFonts w:ascii="Garamond" w:hAnsi="Garamond"/>
          <w:sz w:val="24"/>
          <w:szCs w:val="24"/>
        </w:rPr>
        <w:t xml:space="preserve"> Religious multiplicity and the legal consequences of blasphemy have been topics of academic investigation, illuminating the normative proposals, theological configurations, and social deeds of diverse religious factions in Indonesia.</w:t>
      </w:r>
      <w:r w:rsidR="002F5D82" w:rsidRPr="009668E2">
        <w:rPr>
          <w:rStyle w:val="FootnoteReference"/>
          <w:rFonts w:ascii="Garamond" w:hAnsi="Garamond"/>
          <w:sz w:val="24"/>
          <w:szCs w:val="24"/>
        </w:rPr>
        <w:footnoteReference w:id="20"/>
      </w:r>
    </w:p>
    <w:p w14:paraId="692F709D" w14:textId="34F11EAC" w:rsidR="001C3C9E" w:rsidRPr="009668E2" w:rsidRDefault="001C3C9E" w:rsidP="009668E2">
      <w:pPr>
        <w:pStyle w:val="isi"/>
        <w:jc w:val="both"/>
        <w:rPr>
          <w:rFonts w:ascii="Garamond" w:hAnsi="Garamond"/>
          <w:sz w:val="24"/>
          <w:szCs w:val="24"/>
        </w:rPr>
      </w:pPr>
      <w:r w:rsidRPr="009668E2">
        <w:rPr>
          <w:rFonts w:ascii="Garamond" w:hAnsi="Garamond"/>
          <w:sz w:val="24"/>
          <w:szCs w:val="24"/>
        </w:rPr>
        <w:lastRenderedPageBreak/>
        <w:t xml:space="preserve">As mentioned earlier, this paper will concentrate on an anthropological reflection on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messages in addressing issues of religious blasphemy. It is essential to delve into a historical survey dating back to around 1900 to comprehend the evolution of responses to blasphemy. Researchers can track the progress of legal frameworks, social norms, and cultural perceptions regarding blasphemy by analyzing historical data, trends, and societal attitudes over time. While not all instances of religious blasphemy in Indonesia have been recorded in academic literature, I will endeavor to detect patterns in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messages pertaining to religious blasphemy. My goal is to establish a historical framework by exploring the intersection between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and anti-blasphemy and assess its significance in present-day Indonesia.</w:t>
      </w:r>
    </w:p>
    <w:p w14:paraId="5C002C5F" w14:textId="5D3BA9DC" w:rsidR="001C3C9E" w:rsidRPr="009668E2" w:rsidRDefault="001C3C9E" w:rsidP="009668E2">
      <w:pPr>
        <w:pStyle w:val="isi"/>
        <w:jc w:val="both"/>
        <w:rPr>
          <w:rFonts w:ascii="Garamond" w:hAnsi="Garamond"/>
          <w:sz w:val="24"/>
          <w:szCs w:val="24"/>
        </w:rPr>
      </w:pPr>
      <w:r w:rsidRPr="009668E2">
        <w:rPr>
          <w:rFonts w:ascii="Garamond" w:hAnsi="Garamond"/>
          <w:sz w:val="24"/>
          <w:szCs w:val="24"/>
        </w:rPr>
        <w:t xml:space="preserve">To address this, the paper will systematically examine the religious life context in Indonesia from around 1900 to the 2000s. The subsequent section will explore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movements during these periods and their focal points. Subsequently, I will delve into how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has been employed to combat religious blasphemy and the development of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in the contemporary period.</w:t>
      </w:r>
    </w:p>
    <w:p w14:paraId="5C262B55" w14:textId="77777777" w:rsidR="00F2400E" w:rsidRPr="009668E2" w:rsidRDefault="00F2400E" w:rsidP="009668E2">
      <w:pPr>
        <w:pStyle w:val="bag"/>
        <w:spacing w:before="0" w:after="0"/>
        <w:rPr>
          <w:rFonts w:ascii="Garamond" w:hAnsi="Garamond"/>
          <w:sz w:val="24"/>
          <w:szCs w:val="24"/>
          <w:lang w:val="en-GB"/>
        </w:rPr>
      </w:pPr>
    </w:p>
    <w:p w14:paraId="7D4D518B" w14:textId="777C2356" w:rsidR="0025226D" w:rsidRPr="009668E2" w:rsidRDefault="0025226D" w:rsidP="009668E2">
      <w:pPr>
        <w:pStyle w:val="bag"/>
        <w:spacing w:before="0" w:after="0"/>
        <w:rPr>
          <w:rFonts w:ascii="Garamond" w:hAnsi="Garamond"/>
          <w:sz w:val="24"/>
          <w:szCs w:val="24"/>
          <w:lang w:val="en-GB"/>
        </w:rPr>
      </w:pPr>
      <w:r w:rsidRPr="009668E2">
        <w:rPr>
          <w:rFonts w:ascii="Garamond" w:hAnsi="Garamond"/>
          <w:sz w:val="24"/>
          <w:szCs w:val="24"/>
          <w:lang w:val="en-GB"/>
        </w:rPr>
        <w:t xml:space="preserve">Historical Context </w:t>
      </w:r>
      <w:r w:rsidR="002F5D82" w:rsidRPr="009668E2">
        <w:rPr>
          <w:rFonts w:ascii="Garamond" w:hAnsi="Garamond"/>
          <w:sz w:val="24"/>
          <w:szCs w:val="24"/>
          <w:lang w:val="en-GB"/>
        </w:rPr>
        <w:t>Religious Life in</w:t>
      </w:r>
      <w:r w:rsidRPr="009668E2">
        <w:rPr>
          <w:rFonts w:ascii="Garamond" w:hAnsi="Garamond"/>
          <w:sz w:val="24"/>
          <w:szCs w:val="24"/>
          <w:lang w:val="en-GB"/>
        </w:rPr>
        <w:t xml:space="preserve"> Indonesia (c.1900 Onwards)</w:t>
      </w:r>
    </w:p>
    <w:p w14:paraId="45C75878" w14:textId="1BAA2EA5" w:rsidR="009064EF" w:rsidRPr="009668E2" w:rsidRDefault="00880294" w:rsidP="009668E2">
      <w:pPr>
        <w:pStyle w:val="isi"/>
        <w:jc w:val="both"/>
        <w:rPr>
          <w:rFonts w:ascii="Garamond" w:hAnsi="Garamond"/>
          <w:sz w:val="24"/>
          <w:szCs w:val="24"/>
        </w:rPr>
      </w:pPr>
      <w:r w:rsidRPr="009668E2">
        <w:rPr>
          <w:rFonts w:ascii="Garamond" w:hAnsi="Garamond"/>
          <w:sz w:val="24"/>
          <w:szCs w:val="24"/>
        </w:rPr>
        <w:t xml:space="preserve">From 1900 to 1945, Indonesia was known as the Netherlands East Indies. During this period, the country was a melting pot of diverse cultures and traditions. Islam, Christianity, Hinduism, Buddhism, and indigenous belief systems coexisted within the fabric of the nation. </w:t>
      </w:r>
      <w:r w:rsidR="009064EF" w:rsidRPr="009668E2">
        <w:rPr>
          <w:rFonts w:ascii="Garamond" w:hAnsi="Garamond"/>
          <w:sz w:val="24"/>
          <w:szCs w:val="24"/>
        </w:rPr>
        <w:t>The religious landscape of Indonesia during the Dutch colonial period was shaped by a complex interplay of colonial policies and indigenous religious practices. The Dutch colonial government implemented a dualistic education model that separated secular public schools from religious teachings</w:t>
      </w:r>
      <w:r w:rsidRPr="009668E2">
        <w:rPr>
          <w:rFonts w:ascii="Garamond" w:hAnsi="Garamond"/>
          <w:sz w:val="24"/>
          <w:szCs w:val="24"/>
        </w:rPr>
        <w:t>, making Islamic Schooling to be the opposition of European schoolings.</w:t>
      </w:r>
      <w:r w:rsidRPr="009668E2">
        <w:rPr>
          <w:rStyle w:val="FootnoteReference"/>
          <w:rFonts w:ascii="Garamond" w:hAnsi="Garamond"/>
          <w:sz w:val="24"/>
          <w:szCs w:val="24"/>
        </w:rPr>
        <w:footnoteReference w:id="21"/>
      </w:r>
      <w:r w:rsidR="009064EF" w:rsidRPr="009668E2">
        <w:rPr>
          <w:rFonts w:ascii="Garamond" w:hAnsi="Garamond"/>
          <w:sz w:val="24"/>
          <w:szCs w:val="24"/>
        </w:rPr>
        <w:t xml:space="preserve"> The Dutch authorities restricted the jurisdiction of religious courts, except in areas concerning family law, such as marriage and inheritance.</w:t>
      </w:r>
      <w:r w:rsidRPr="009668E2">
        <w:rPr>
          <w:rStyle w:val="FootnoteReference"/>
          <w:rFonts w:ascii="Garamond" w:hAnsi="Garamond"/>
          <w:sz w:val="24"/>
          <w:szCs w:val="24"/>
        </w:rPr>
        <w:footnoteReference w:id="22"/>
      </w:r>
      <w:r w:rsidR="009064EF" w:rsidRPr="009668E2">
        <w:rPr>
          <w:rFonts w:ascii="Garamond" w:hAnsi="Garamond"/>
          <w:sz w:val="24"/>
          <w:szCs w:val="24"/>
        </w:rPr>
        <w:t xml:space="preserve"> This restriction reflected the Dutch </w:t>
      </w:r>
      <w:r w:rsidR="009064EF" w:rsidRPr="009668E2">
        <w:rPr>
          <w:rFonts w:ascii="Garamond" w:hAnsi="Garamond"/>
          <w:sz w:val="24"/>
          <w:szCs w:val="24"/>
        </w:rPr>
        <w:lastRenderedPageBreak/>
        <w:t>opposition to the formal imposition of Islamic law beyond specific domains.</w:t>
      </w:r>
    </w:p>
    <w:p w14:paraId="0B99C844" w14:textId="6743A9B6" w:rsidR="009064EF" w:rsidRPr="009668E2" w:rsidRDefault="009064EF" w:rsidP="009668E2">
      <w:pPr>
        <w:pStyle w:val="isi"/>
        <w:jc w:val="both"/>
        <w:rPr>
          <w:rFonts w:ascii="Garamond" w:hAnsi="Garamond"/>
          <w:sz w:val="24"/>
          <w:szCs w:val="24"/>
        </w:rPr>
      </w:pPr>
      <w:r w:rsidRPr="009668E2">
        <w:rPr>
          <w:rFonts w:ascii="Garamond" w:hAnsi="Garamond"/>
          <w:sz w:val="24"/>
          <w:szCs w:val="24"/>
        </w:rPr>
        <w:t>Scholars have emphasized the historical origins of secular-religious debates and their influence on the Indonesian national education system during the Dutch colonial period.</w:t>
      </w:r>
      <w:r w:rsidR="00880294" w:rsidRPr="009668E2">
        <w:rPr>
          <w:rStyle w:val="FootnoteReference"/>
          <w:rFonts w:ascii="Garamond" w:hAnsi="Garamond"/>
          <w:sz w:val="24"/>
          <w:szCs w:val="24"/>
        </w:rPr>
        <w:footnoteReference w:id="23"/>
      </w:r>
      <w:r w:rsidRPr="009668E2">
        <w:rPr>
          <w:rFonts w:ascii="Garamond" w:hAnsi="Garamond"/>
          <w:sz w:val="24"/>
          <w:szCs w:val="24"/>
        </w:rPr>
        <w:t xml:space="preserve"> The dichotomy between science and religion, institutionalized during this era, was a vestige of Dutch colonial politics.</w:t>
      </w:r>
      <w:r w:rsidR="00880294" w:rsidRPr="009668E2">
        <w:rPr>
          <w:rStyle w:val="FootnoteReference"/>
          <w:rFonts w:ascii="Garamond" w:hAnsi="Garamond"/>
          <w:sz w:val="24"/>
          <w:szCs w:val="24"/>
        </w:rPr>
        <w:footnoteReference w:id="24"/>
      </w:r>
      <w:r w:rsidRPr="009668E2">
        <w:rPr>
          <w:rFonts w:ascii="Garamond" w:hAnsi="Garamond"/>
          <w:sz w:val="24"/>
          <w:szCs w:val="24"/>
        </w:rPr>
        <w:t xml:space="preserve"> The Dutch colonial period also impacted the advancement of medical education in Indonesia, marked by the initiation of medical training for native youth in Jakarta in 1849</w:t>
      </w:r>
      <w:r w:rsidR="00277F88" w:rsidRPr="009668E2">
        <w:rPr>
          <w:rFonts w:ascii="Garamond" w:hAnsi="Garamond"/>
          <w:sz w:val="24"/>
          <w:szCs w:val="24"/>
        </w:rPr>
        <w:t>.</w:t>
      </w:r>
      <w:r w:rsidR="00880294" w:rsidRPr="009668E2">
        <w:rPr>
          <w:rStyle w:val="FootnoteReference"/>
          <w:rFonts w:ascii="Garamond" w:hAnsi="Garamond"/>
          <w:sz w:val="24"/>
          <w:szCs w:val="24"/>
        </w:rPr>
        <w:footnoteReference w:id="25"/>
      </w:r>
    </w:p>
    <w:p w14:paraId="4363E8A6" w14:textId="63C4854F" w:rsidR="00D62914" w:rsidRPr="009668E2" w:rsidRDefault="009064EF" w:rsidP="009668E2">
      <w:pPr>
        <w:pStyle w:val="isi"/>
        <w:jc w:val="both"/>
        <w:rPr>
          <w:rFonts w:ascii="Garamond" w:hAnsi="Garamond"/>
          <w:sz w:val="24"/>
          <w:szCs w:val="24"/>
        </w:rPr>
      </w:pPr>
      <w:r w:rsidRPr="009668E2">
        <w:rPr>
          <w:rFonts w:ascii="Garamond" w:hAnsi="Garamond"/>
          <w:sz w:val="24"/>
          <w:szCs w:val="24"/>
        </w:rPr>
        <w:t>Furthermore, the Dutch colonial legacy extended to inheritance laws, where customary and Islamic inheritance laws coexisted alongside Dutch practices.</w:t>
      </w:r>
      <w:r w:rsidR="00880294" w:rsidRPr="009668E2">
        <w:rPr>
          <w:rStyle w:val="FootnoteReference"/>
          <w:rFonts w:ascii="Garamond" w:hAnsi="Garamond"/>
          <w:sz w:val="24"/>
          <w:szCs w:val="24"/>
        </w:rPr>
        <w:footnoteReference w:id="26"/>
      </w:r>
      <w:r w:rsidRPr="009668E2">
        <w:rPr>
          <w:rFonts w:ascii="Garamond" w:hAnsi="Garamond"/>
          <w:sz w:val="24"/>
          <w:szCs w:val="24"/>
        </w:rPr>
        <w:t xml:space="preserve"> The Dutch colonial government conducted ecological mapping for the establishment of salt production centers in Indonesia, reflecting their administrative and economic interests during that time.</w:t>
      </w:r>
      <w:r w:rsidR="00880294" w:rsidRPr="009668E2">
        <w:rPr>
          <w:rStyle w:val="FootnoteReference"/>
          <w:rFonts w:ascii="Garamond" w:hAnsi="Garamond"/>
          <w:sz w:val="24"/>
          <w:szCs w:val="24"/>
        </w:rPr>
        <w:footnoteReference w:id="27"/>
      </w:r>
      <w:r w:rsidRPr="009668E2">
        <w:rPr>
          <w:rFonts w:ascii="Garamond" w:hAnsi="Garamond"/>
          <w:sz w:val="24"/>
          <w:szCs w:val="24"/>
        </w:rPr>
        <w:t xml:space="preserve"> Additionally, representations of nature and landscape in the Dutch East Indies (colonial Indonesia) were influenced by gender, race, and European ideologies.</w:t>
      </w:r>
      <w:r w:rsidR="00880294" w:rsidRPr="009668E2">
        <w:rPr>
          <w:rStyle w:val="FootnoteReference"/>
          <w:rFonts w:ascii="Garamond" w:hAnsi="Garamond"/>
          <w:sz w:val="24"/>
          <w:szCs w:val="24"/>
        </w:rPr>
        <w:footnoteReference w:id="28"/>
      </w:r>
    </w:p>
    <w:p w14:paraId="02B122B2" w14:textId="217125FC" w:rsidR="00523F20" w:rsidRPr="009668E2" w:rsidRDefault="00AF022E" w:rsidP="009668E2">
      <w:pPr>
        <w:pStyle w:val="isi"/>
        <w:jc w:val="both"/>
        <w:rPr>
          <w:rFonts w:ascii="Garamond" w:hAnsi="Garamond"/>
          <w:sz w:val="24"/>
          <w:szCs w:val="24"/>
        </w:rPr>
      </w:pPr>
      <w:r w:rsidRPr="009668E2">
        <w:rPr>
          <w:rFonts w:ascii="Garamond" w:hAnsi="Garamond"/>
          <w:sz w:val="24"/>
          <w:szCs w:val="24"/>
        </w:rPr>
        <w:t>In the era of independence, the religious life in Indonesia is still characterized by the diversity of religious identities intertwined with other aspects such as political dynamics and the quality of social life. The country</w:t>
      </w:r>
      <w:r w:rsidR="002D4102" w:rsidRPr="009668E2">
        <w:rPr>
          <w:rFonts w:ascii="Garamond" w:hAnsi="Garamond"/>
          <w:sz w:val="24"/>
          <w:szCs w:val="24"/>
        </w:rPr>
        <w:t>’</w:t>
      </w:r>
      <w:r w:rsidRPr="009668E2">
        <w:rPr>
          <w:rFonts w:ascii="Garamond" w:hAnsi="Garamond"/>
          <w:sz w:val="24"/>
          <w:szCs w:val="24"/>
        </w:rPr>
        <w:t xml:space="preserve">s shift to democracy after the downfall of the authoritarian New Order government in 1998 has led to notable transformations in the religious scenery, impacting the interplay between national and </w:t>
      </w:r>
      <w:r w:rsidRPr="009668E2">
        <w:rPr>
          <w:rFonts w:ascii="Garamond" w:hAnsi="Garamond"/>
          <w:sz w:val="24"/>
          <w:szCs w:val="24"/>
        </w:rPr>
        <w:lastRenderedPageBreak/>
        <w:t>religious identities.</w:t>
      </w:r>
      <w:r w:rsidRPr="009668E2">
        <w:rPr>
          <w:rStyle w:val="FootnoteReference"/>
          <w:rFonts w:ascii="Garamond" w:hAnsi="Garamond"/>
          <w:sz w:val="24"/>
          <w:szCs w:val="24"/>
        </w:rPr>
        <w:footnoteReference w:id="29"/>
      </w:r>
      <w:r w:rsidRPr="009668E2">
        <w:rPr>
          <w:rFonts w:ascii="Garamond" w:hAnsi="Garamond"/>
          <w:sz w:val="24"/>
          <w:szCs w:val="24"/>
        </w:rPr>
        <w:t xml:space="preserve"> The 1998 Reformasi has brought a new atmosphere to the democratic life in Indonesia with reforms in the economic, legal, and political realms.</w:t>
      </w:r>
    </w:p>
    <w:p w14:paraId="6903F515" w14:textId="0D14AF6B" w:rsidR="00B576ED" w:rsidRPr="009668E2" w:rsidRDefault="00B576ED" w:rsidP="009668E2">
      <w:pPr>
        <w:pStyle w:val="isi"/>
        <w:jc w:val="both"/>
        <w:rPr>
          <w:rFonts w:ascii="Garamond" w:hAnsi="Garamond"/>
          <w:sz w:val="24"/>
          <w:szCs w:val="24"/>
        </w:rPr>
      </w:pPr>
      <w:r w:rsidRPr="009668E2">
        <w:rPr>
          <w:rFonts w:ascii="Garamond" w:hAnsi="Garamond"/>
          <w:sz w:val="24"/>
          <w:szCs w:val="24"/>
        </w:rPr>
        <w:t>In the post-1998 Reform era, Indonesia experienced a shift towards greater openness in communication. This environment fostered a willingness among communities to express their identities. Notably, individuals with religious fundamentalist beliefs have become more vocal in advocating for ideas that challenge the Indonesian constitution through an Islamic social lens.</w:t>
      </w:r>
      <w:r w:rsidRPr="009668E2">
        <w:rPr>
          <w:rStyle w:val="FootnoteReference"/>
          <w:rFonts w:ascii="Garamond" w:hAnsi="Garamond"/>
          <w:sz w:val="24"/>
          <w:szCs w:val="24"/>
        </w:rPr>
        <w:footnoteReference w:id="30"/>
      </w:r>
      <w:r w:rsidRPr="009668E2">
        <w:rPr>
          <w:rFonts w:ascii="Garamond" w:hAnsi="Garamond"/>
          <w:sz w:val="24"/>
          <w:szCs w:val="24"/>
        </w:rPr>
        <w:t xml:space="preserve"> This development ignited a nationwide dialogue on how to balance the freedom to express religious beliefs with the need for national unity.</w:t>
      </w:r>
    </w:p>
    <w:p w14:paraId="7D31B154" w14:textId="1DB50C92" w:rsidR="00B576ED" w:rsidRPr="009668E2" w:rsidRDefault="00B576ED" w:rsidP="009668E2">
      <w:pPr>
        <w:pStyle w:val="isi"/>
        <w:jc w:val="both"/>
        <w:rPr>
          <w:rFonts w:ascii="Garamond" w:hAnsi="Garamond"/>
          <w:sz w:val="24"/>
          <w:szCs w:val="24"/>
        </w:rPr>
      </w:pPr>
      <w:r w:rsidRPr="009668E2">
        <w:rPr>
          <w:rFonts w:ascii="Garamond" w:hAnsi="Garamond"/>
          <w:sz w:val="24"/>
          <w:szCs w:val="24"/>
        </w:rPr>
        <w:t>To confront the surging problems introduced by religious fundamentalist movements, the Indonesian administration is taking steps to enhance religious moderation as a tactic against radicalism. The Ministry of Religious Affairs plays a vital role in this initiative by facilitating peaceful Islamic discourse and integrating the principle of religious moderation into the educational framework.</w:t>
      </w:r>
      <w:r w:rsidRPr="009668E2">
        <w:rPr>
          <w:rStyle w:val="FootnoteReference"/>
          <w:rFonts w:ascii="Garamond" w:hAnsi="Garamond"/>
          <w:sz w:val="24"/>
          <w:szCs w:val="24"/>
        </w:rPr>
        <w:footnoteReference w:id="31"/>
      </w:r>
      <w:r w:rsidRPr="009668E2">
        <w:rPr>
          <w:rFonts w:ascii="Garamond" w:hAnsi="Garamond"/>
          <w:sz w:val="24"/>
          <w:szCs w:val="24"/>
        </w:rPr>
        <w:t xml:space="preserve"> The main focus of this effort is to strengthen the awareness and cooperation among the extensive spectrum of religious groups in Indonesia, comprising Islam, Christianity, Hinduism, Buddhism, Confucianism, alongside numerous traditional beliefs.</w:t>
      </w:r>
      <w:r w:rsidRPr="009668E2">
        <w:rPr>
          <w:rStyle w:val="FootnoteReference"/>
          <w:rFonts w:ascii="Garamond" w:hAnsi="Garamond"/>
          <w:sz w:val="24"/>
          <w:szCs w:val="24"/>
        </w:rPr>
        <w:footnoteReference w:id="32"/>
      </w:r>
      <w:r w:rsidRPr="009668E2">
        <w:rPr>
          <w:rFonts w:ascii="Garamond" w:hAnsi="Garamond"/>
          <w:sz w:val="24"/>
          <w:szCs w:val="24"/>
        </w:rPr>
        <w:t xml:space="preserve"> This initiative seeks to manage diversity while fostering harmonious coexistence among different religious groups, reaffirming a commitment to peaceful living and mutual respect.</w:t>
      </w:r>
    </w:p>
    <w:p w14:paraId="492CA9D1" w14:textId="72A93C81" w:rsidR="00B576ED" w:rsidRPr="009668E2" w:rsidRDefault="00B576ED" w:rsidP="009668E2">
      <w:pPr>
        <w:pStyle w:val="isi"/>
        <w:jc w:val="both"/>
        <w:rPr>
          <w:rFonts w:ascii="Garamond" w:hAnsi="Garamond"/>
          <w:sz w:val="24"/>
          <w:szCs w:val="24"/>
        </w:rPr>
      </w:pPr>
      <w:r w:rsidRPr="009668E2">
        <w:rPr>
          <w:rFonts w:ascii="Garamond" w:hAnsi="Garamond"/>
          <w:sz w:val="24"/>
          <w:szCs w:val="24"/>
        </w:rPr>
        <w:t>Despite efforts to advocate for religious moderation, interfaith tensions persist in post-authoritarian Indonesia, influenced by factors such as multiculturalism, political dynamics, and a history of conflict.</w:t>
      </w:r>
      <w:r w:rsidRPr="009668E2">
        <w:rPr>
          <w:rStyle w:val="FootnoteReference"/>
          <w:rFonts w:ascii="Garamond" w:hAnsi="Garamond"/>
          <w:sz w:val="24"/>
          <w:szCs w:val="24"/>
        </w:rPr>
        <w:footnoteReference w:id="33"/>
      </w:r>
      <w:r w:rsidRPr="009668E2">
        <w:rPr>
          <w:rFonts w:ascii="Garamond" w:hAnsi="Garamond"/>
          <w:sz w:val="24"/>
          <w:szCs w:val="24"/>
        </w:rPr>
        <w:t xml:space="preserve"> The intricacies of religious pluralism in Indonesia are reflected in the difficulties of managing diversity and addressing internal religious </w:t>
      </w:r>
      <w:r w:rsidRPr="009668E2">
        <w:rPr>
          <w:rFonts w:ascii="Garamond" w:hAnsi="Garamond"/>
          <w:sz w:val="24"/>
          <w:szCs w:val="24"/>
        </w:rPr>
        <w:lastRenderedPageBreak/>
        <w:t xml:space="preserve">factors that ignite discord. Within the sphere of education, integrating religious tolerance into the national syllabus seeks to encourage principles of acceptance, variety, and harmonious living among </w:t>
      </w:r>
      <w:r w:rsidR="004B7A59" w:rsidRPr="009668E2">
        <w:rPr>
          <w:rFonts w:ascii="Garamond" w:hAnsi="Garamond"/>
          <w:sz w:val="24"/>
          <w:szCs w:val="24"/>
        </w:rPr>
        <w:t>school students.</w:t>
      </w:r>
      <w:r w:rsidR="004B7A59" w:rsidRPr="009668E2">
        <w:rPr>
          <w:rStyle w:val="FootnoteReference"/>
          <w:rFonts w:ascii="Garamond" w:hAnsi="Garamond"/>
          <w:sz w:val="24"/>
          <w:szCs w:val="24"/>
        </w:rPr>
        <w:footnoteReference w:id="34"/>
      </w:r>
    </w:p>
    <w:p w14:paraId="57F368FA" w14:textId="0A954C0A" w:rsidR="00175C4D" w:rsidRDefault="00B576ED" w:rsidP="009668E2">
      <w:pPr>
        <w:pStyle w:val="isi"/>
        <w:jc w:val="both"/>
        <w:rPr>
          <w:rFonts w:ascii="Garamond" w:hAnsi="Garamond"/>
          <w:sz w:val="24"/>
          <w:szCs w:val="24"/>
        </w:rPr>
      </w:pPr>
      <w:r w:rsidRPr="009668E2">
        <w:rPr>
          <w:rFonts w:ascii="Garamond" w:hAnsi="Garamond"/>
          <w:sz w:val="24"/>
          <w:szCs w:val="24"/>
        </w:rPr>
        <w:t>The integration of moderate Islam in education exemplifies efforts to cultivate a new generation in Indonesia dedicated to fostering interfaith harmony and understanding. Ultimately, Indonesia</w:t>
      </w:r>
      <w:r w:rsidR="002D4102" w:rsidRPr="009668E2">
        <w:rPr>
          <w:rFonts w:ascii="Garamond" w:hAnsi="Garamond"/>
          <w:sz w:val="24"/>
          <w:szCs w:val="24"/>
        </w:rPr>
        <w:t>’</w:t>
      </w:r>
      <w:r w:rsidRPr="009668E2">
        <w:rPr>
          <w:rFonts w:ascii="Garamond" w:hAnsi="Garamond"/>
          <w:sz w:val="24"/>
          <w:szCs w:val="24"/>
        </w:rPr>
        <w:t>s religious landscape throughout the 2000s exhibited a delicate balance between religious diversity, political evolution, and social cohesion.</w:t>
      </w:r>
      <w:r w:rsidR="004B7A59" w:rsidRPr="009668E2">
        <w:rPr>
          <w:rFonts w:ascii="Garamond" w:hAnsi="Garamond"/>
          <w:sz w:val="24"/>
          <w:szCs w:val="24"/>
        </w:rPr>
        <w:t xml:space="preserve"> </w:t>
      </w:r>
      <w:r w:rsidR="00CC644F" w:rsidRPr="009668E2">
        <w:rPr>
          <w:rFonts w:ascii="Garamond" w:hAnsi="Garamond"/>
          <w:sz w:val="24"/>
          <w:szCs w:val="24"/>
        </w:rPr>
        <w:t>The emergence of religious extremism, the advocacy for religious temperance, and continuous initiatives to regulate interreligious tensions underscored the evolving dynamics of religion within Indonesian society and the complexities of negotiating religious affiliations in a diverse nation.</w:t>
      </w:r>
      <w:r w:rsidR="006E4A36" w:rsidRPr="009668E2">
        <w:rPr>
          <w:rFonts w:ascii="Garamond" w:hAnsi="Garamond"/>
          <w:sz w:val="24"/>
          <w:szCs w:val="24"/>
        </w:rPr>
        <w:t xml:space="preserve"> After examining the historical context and development of religious life in Indonesia, the next subset discusses the emergence of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006E4A36" w:rsidRPr="009668E2">
        <w:rPr>
          <w:rFonts w:ascii="Garamond" w:hAnsi="Garamond"/>
          <w:sz w:val="24"/>
          <w:szCs w:val="24"/>
        </w:rPr>
        <w:t xml:space="preserve"> movements in Indonesia from the early of the 20</w:t>
      </w:r>
      <w:r w:rsidR="006E4A36" w:rsidRPr="009668E2">
        <w:rPr>
          <w:rFonts w:ascii="Garamond" w:hAnsi="Garamond"/>
          <w:sz w:val="24"/>
          <w:szCs w:val="24"/>
          <w:vertAlign w:val="superscript"/>
        </w:rPr>
        <w:t>th</w:t>
      </w:r>
      <w:r w:rsidR="006E4A36" w:rsidRPr="009668E2">
        <w:rPr>
          <w:rFonts w:ascii="Garamond" w:hAnsi="Garamond"/>
          <w:sz w:val="24"/>
          <w:szCs w:val="24"/>
        </w:rPr>
        <w:t xml:space="preserve"> century and how it affects the sociopolitical conditions in the archipelago.</w:t>
      </w:r>
    </w:p>
    <w:p w14:paraId="1C92C0BA" w14:textId="44F84FAD" w:rsidR="00496A63" w:rsidRDefault="00496A63" w:rsidP="009668E2">
      <w:pPr>
        <w:pStyle w:val="isi"/>
        <w:jc w:val="both"/>
        <w:rPr>
          <w:rFonts w:ascii="Garamond" w:hAnsi="Garamond"/>
          <w:sz w:val="24"/>
          <w:szCs w:val="24"/>
        </w:rPr>
      </w:pPr>
    </w:p>
    <w:p w14:paraId="05156ADB" w14:textId="77777777" w:rsidR="00496A63" w:rsidRPr="009668E2" w:rsidRDefault="00496A63" w:rsidP="009668E2">
      <w:pPr>
        <w:pStyle w:val="isi"/>
        <w:jc w:val="both"/>
        <w:rPr>
          <w:rFonts w:ascii="Garamond" w:hAnsi="Garamond"/>
          <w:sz w:val="24"/>
          <w:szCs w:val="24"/>
        </w:rPr>
      </w:pPr>
    </w:p>
    <w:p w14:paraId="60D60A3F" w14:textId="77777777" w:rsidR="006E4A36" w:rsidRPr="009668E2" w:rsidRDefault="006E4A36" w:rsidP="009668E2">
      <w:pPr>
        <w:pStyle w:val="isi"/>
        <w:jc w:val="both"/>
        <w:rPr>
          <w:rFonts w:ascii="Garamond" w:hAnsi="Garamond"/>
          <w:sz w:val="24"/>
          <w:szCs w:val="24"/>
        </w:rPr>
      </w:pPr>
    </w:p>
    <w:p w14:paraId="4D46E379" w14:textId="338F833D" w:rsidR="0025226D" w:rsidRPr="009668E2" w:rsidRDefault="0025226D" w:rsidP="009668E2">
      <w:pPr>
        <w:pStyle w:val="bag"/>
        <w:spacing w:before="0" w:after="0"/>
        <w:rPr>
          <w:rFonts w:ascii="Garamond" w:hAnsi="Garamond"/>
          <w:sz w:val="24"/>
          <w:szCs w:val="24"/>
          <w:lang w:val="en-GB"/>
        </w:rPr>
      </w:pPr>
      <w:r w:rsidRPr="009668E2">
        <w:rPr>
          <w:rFonts w:ascii="Garamond" w:hAnsi="Garamond"/>
          <w:sz w:val="24"/>
          <w:szCs w:val="24"/>
          <w:lang w:val="en-GB"/>
        </w:rPr>
        <w:t xml:space="preserve">The </w:t>
      </w:r>
      <w:r w:rsidR="00496A63" w:rsidRPr="009668E2">
        <w:rPr>
          <w:rFonts w:ascii="Garamond" w:hAnsi="Garamond"/>
          <w:sz w:val="24"/>
          <w:szCs w:val="24"/>
          <w:lang w:val="en-GB"/>
        </w:rPr>
        <w:t xml:space="preserve">Inception </w:t>
      </w:r>
      <w:r w:rsidRPr="009668E2">
        <w:rPr>
          <w:rFonts w:ascii="Garamond" w:hAnsi="Garamond"/>
          <w:sz w:val="24"/>
          <w:szCs w:val="24"/>
          <w:lang w:val="en-GB"/>
        </w:rPr>
        <w:t xml:space="preserve">of </w:t>
      </w:r>
      <w:r w:rsidR="00E25CF5" w:rsidRPr="009668E2">
        <w:rPr>
          <w:rFonts w:ascii="Garamond" w:hAnsi="Garamond"/>
          <w:sz w:val="24"/>
          <w:szCs w:val="24"/>
          <w:lang w:val="en-GB"/>
        </w:rPr>
        <w:t>Da</w:t>
      </w:r>
      <w:r w:rsidR="002D4102" w:rsidRPr="009668E2">
        <w:rPr>
          <w:rFonts w:ascii="Garamond" w:hAnsi="Garamond"/>
          <w:sz w:val="24"/>
          <w:szCs w:val="24"/>
          <w:lang w:val="en-GB"/>
        </w:rPr>
        <w:t>’</w:t>
      </w:r>
      <w:r w:rsidR="00E25CF5" w:rsidRPr="009668E2">
        <w:rPr>
          <w:rFonts w:ascii="Garamond" w:hAnsi="Garamond"/>
          <w:sz w:val="24"/>
          <w:szCs w:val="24"/>
          <w:lang w:val="en-GB"/>
        </w:rPr>
        <w:t>wah</w:t>
      </w:r>
      <w:r w:rsidRPr="009668E2">
        <w:rPr>
          <w:rFonts w:ascii="Garamond" w:hAnsi="Garamond"/>
          <w:sz w:val="24"/>
          <w:szCs w:val="24"/>
          <w:lang w:val="en-GB"/>
        </w:rPr>
        <w:t xml:space="preserve"> </w:t>
      </w:r>
      <w:r w:rsidR="00EC5A41" w:rsidRPr="009668E2">
        <w:rPr>
          <w:rFonts w:ascii="Garamond" w:hAnsi="Garamond"/>
          <w:sz w:val="24"/>
          <w:szCs w:val="24"/>
          <w:lang w:val="en-GB"/>
        </w:rPr>
        <w:t xml:space="preserve">Movements </w:t>
      </w:r>
      <w:r w:rsidRPr="009668E2">
        <w:rPr>
          <w:rFonts w:ascii="Garamond" w:hAnsi="Garamond"/>
          <w:sz w:val="24"/>
          <w:szCs w:val="24"/>
          <w:lang w:val="en-GB"/>
        </w:rPr>
        <w:t>in early 20</w:t>
      </w:r>
      <w:r w:rsidRPr="009668E2">
        <w:rPr>
          <w:rFonts w:ascii="Garamond" w:hAnsi="Garamond"/>
          <w:sz w:val="24"/>
          <w:szCs w:val="24"/>
          <w:vertAlign w:val="superscript"/>
          <w:lang w:val="en-GB"/>
        </w:rPr>
        <w:t>th</w:t>
      </w:r>
      <w:r w:rsidRPr="009668E2">
        <w:rPr>
          <w:rFonts w:ascii="Garamond" w:hAnsi="Garamond"/>
          <w:sz w:val="24"/>
          <w:szCs w:val="24"/>
          <w:lang w:val="en-GB"/>
        </w:rPr>
        <w:t xml:space="preserve"> </w:t>
      </w:r>
      <w:r w:rsidR="00EC5A41" w:rsidRPr="009668E2">
        <w:rPr>
          <w:rFonts w:ascii="Garamond" w:hAnsi="Garamond"/>
          <w:sz w:val="24"/>
          <w:szCs w:val="24"/>
          <w:lang w:val="en-GB"/>
        </w:rPr>
        <w:t xml:space="preserve">Century </w:t>
      </w:r>
      <w:r w:rsidRPr="009668E2">
        <w:rPr>
          <w:rFonts w:ascii="Garamond" w:hAnsi="Garamond"/>
          <w:sz w:val="24"/>
          <w:szCs w:val="24"/>
          <w:lang w:val="en-GB"/>
        </w:rPr>
        <w:t>Indonesia</w:t>
      </w:r>
    </w:p>
    <w:p w14:paraId="2FD189D9" w14:textId="2F85C550" w:rsidR="00DF1E99" w:rsidRPr="009668E2" w:rsidRDefault="00DF1E99" w:rsidP="009668E2">
      <w:pPr>
        <w:pStyle w:val="isi"/>
        <w:jc w:val="both"/>
        <w:rPr>
          <w:rFonts w:ascii="Garamond" w:hAnsi="Garamond"/>
          <w:sz w:val="24"/>
          <w:szCs w:val="24"/>
          <w:lang w:val="en-GB"/>
        </w:rPr>
      </w:pPr>
      <w:r w:rsidRPr="009668E2">
        <w:rPr>
          <w:rFonts w:ascii="Garamond" w:hAnsi="Garamond"/>
          <w:sz w:val="24"/>
          <w:szCs w:val="24"/>
          <w:lang w:val="en-GB"/>
        </w:rPr>
        <w:t xml:space="preserve">The rise of </w:t>
      </w:r>
      <w:r w:rsidR="00E25CF5" w:rsidRPr="009668E2">
        <w:rPr>
          <w:rFonts w:ascii="Garamond" w:hAnsi="Garamond"/>
          <w:sz w:val="24"/>
          <w:szCs w:val="24"/>
          <w:lang w:val="en-GB"/>
        </w:rPr>
        <w:t>da</w:t>
      </w:r>
      <w:r w:rsidR="002D4102" w:rsidRPr="009668E2">
        <w:rPr>
          <w:rFonts w:ascii="Garamond" w:hAnsi="Garamond"/>
          <w:sz w:val="24"/>
          <w:szCs w:val="24"/>
          <w:lang w:val="en-GB"/>
        </w:rPr>
        <w:t>’</w:t>
      </w:r>
      <w:r w:rsidR="00E25CF5" w:rsidRPr="009668E2">
        <w:rPr>
          <w:rFonts w:ascii="Garamond" w:hAnsi="Garamond"/>
          <w:sz w:val="24"/>
          <w:szCs w:val="24"/>
          <w:lang w:val="en-GB"/>
        </w:rPr>
        <w:t>wah</w:t>
      </w:r>
      <w:r w:rsidRPr="009668E2">
        <w:rPr>
          <w:rFonts w:ascii="Garamond" w:hAnsi="Garamond"/>
          <w:sz w:val="24"/>
          <w:szCs w:val="24"/>
          <w:lang w:val="en-GB"/>
        </w:rPr>
        <w:t xml:space="preserve"> activities in Indonesia can be traced back to the early 20</w:t>
      </w:r>
      <w:r w:rsidRPr="009668E2">
        <w:rPr>
          <w:rFonts w:ascii="Garamond" w:hAnsi="Garamond"/>
          <w:sz w:val="24"/>
          <w:szCs w:val="24"/>
          <w:vertAlign w:val="superscript"/>
          <w:lang w:val="en-GB"/>
        </w:rPr>
        <w:t>th</w:t>
      </w:r>
      <w:r w:rsidRPr="009668E2">
        <w:rPr>
          <w:rFonts w:ascii="Garamond" w:hAnsi="Garamond"/>
          <w:sz w:val="24"/>
          <w:szCs w:val="24"/>
          <w:lang w:val="en-GB"/>
        </w:rPr>
        <w:t xml:space="preserve"> century. The </w:t>
      </w:r>
      <w:r w:rsidR="00EC5A41" w:rsidRPr="009668E2">
        <w:rPr>
          <w:rFonts w:ascii="Garamond" w:hAnsi="Garamond"/>
          <w:sz w:val="24"/>
          <w:szCs w:val="24"/>
          <w:lang w:val="en-GB"/>
        </w:rPr>
        <w:t>unfavourable</w:t>
      </w:r>
      <w:r w:rsidRPr="009668E2">
        <w:rPr>
          <w:rFonts w:ascii="Garamond" w:hAnsi="Garamond"/>
          <w:sz w:val="24"/>
          <w:szCs w:val="24"/>
          <w:lang w:val="en-GB"/>
        </w:rPr>
        <w:t xml:space="preserve"> conditions for the indigenous population under Dutch colonial rule, especially since the implementation of the </w:t>
      </w:r>
      <w:proofErr w:type="spellStart"/>
      <w:r w:rsidRPr="009668E2">
        <w:rPr>
          <w:rFonts w:ascii="Garamond" w:hAnsi="Garamond"/>
          <w:sz w:val="24"/>
          <w:szCs w:val="24"/>
          <w:lang w:val="en-GB"/>
        </w:rPr>
        <w:t>cultuurstelsel</w:t>
      </w:r>
      <w:proofErr w:type="spellEnd"/>
      <w:r w:rsidRPr="009668E2">
        <w:rPr>
          <w:rFonts w:ascii="Garamond" w:hAnsi="Garamond"/>
          <w:sz w:val="24"/>
          <w:szCs w:val="24"/>
          <w:lang w:val="en-GB"/>
        </w:rPr>
        <w:t xml:space="preserve"> system in the 19</w:t>
      </w:r>
      <w:r w:rsidRPr="009668E2">
        <w:rPr>
          <w:rFonts w:ascii="Garamond" w:hAnsi="Garamond"/>
          <w:sz w:val="24"/>
          <w:szCs w:val="24"/>
          <w:vertAlign w:val="superscript"/>
          <w:lang w:val="en-GB"/>
        </w:rPr>
        <w:t>th</w:t>
      </w:r>
      <w:r w:rsidRPr="009668E2">
        <w:rPr>
          <w:rFonts w:ascii="Garamond" w:hAnsi="Garamond"/>
          <w:sz w:val="24"/>
          <w:szCs w:val="24"/>
          <w:lang w:val="en-GB"/>
        </w:rPr>
        <w:t xml:space="preserve"> century, gradually triggered the emergence of nationalist movements</w:t>
      </w:r>
      <w:r w:rsidR="00390EB6" w:rsidRPr="009668E2">
        <w:rPr>
          <w:rFonts w:ascii="Garamond" w:hAnsi="Garamond"/>
          <w:sz w:val="24"/>
          <w:szCs w:val="24"/>
          <w:lang w:val="en-GB"/>
        </w:rPr>
        <w:t xml:space="preserve"> as well as t</w:t>
      </w:r>
      <w:r w:rsidRPr="009668E2">
        <w:rPr>
          <w:rFonts w:ascii="Garamond" w:hAnsi="Garamond"/>
          <w:sz w:val="24"/>
          <w:szCs w:val="24"/>
          <w:lang w:val="en-GB"/>
        </w:rPr>
        <w:t xml:space="preserve">he </w:t>
      </w:r>
      <w:r w:rsidR="00E25CF5" w:rsidRPr="009668E2">
        <w:rPr>
          <w:rFonts w:ascii="Garamond" w:hAnsi="Garamond"/>
          <w:sz w:val="24"/>
          <w:szCs w:val="24"/>
          <w:lang w:val="en-GB"/>
        </w:rPr>
        <w:t>da</w:t>
      </w:r>
      <w:r w:rsidR="002D4102" w:rsidRPr="009668E2">
        <w:rPr>
          <w:rFonts w:ascii="Garamond" w:hAnsi="Garamond"/>
          <w:sz w:val="24"/>
          <w:szCs w:val="24"/>
          <w:lang w:val="en-GB"/>
        </w:rPr>
        <w:t>’</w:t>
      </w:r>
      <w:r w:rsidR="00E25CF5" w:rsidRPr="009668E2">
        <w:rPr>
          <w:rFonts w:ascii="Garamond" w:hAnsi="Garamond"/>
          <w:sz w:val="24"/>
          <w:szCs w:val="24"/>
          <w:lang w:val="en-GB"/>
        </w:rPr>
        <w:t>wah</w:t>
      </w:r>
      <w:r w:rsidRPr="009668E2">
        <w:rPr>
          <w:rFonts w:ascii="Garamond" w:hAnsi="Garamond"/>
          <w:sz w:val="24"/>
          <w:szCs w:val="24"/>
          <w:lang w:val="en-GB"/>
        </w:rPr>
        <w:t xml:space="preserve"> movements </w:t>
      </w:r>
      <w:r w:rsidR="00390EB6" w:rsidRPr="009668E2">
        <w:rPr>
          <w:rFonts w:ascii="Garamond" w:hAnsi="Garamond"/>
          <w:sz w:val="24"/>
          <w:szCs w:val="24"/>
          <w:lang w:val="en-GB"/>
        </w:rPr>
        <w:t xml:space="preserve">without </w:t>
      </w:r>
      <w:r w:rsidRPr="009668E2">
        <w:rPr>
          <w:rFonts w:ascii="Garamond" w:hAnsi="Garamond"/>
          <w:sz w:val="24"/>
          <w:szCs w:val="24"/>
          <w:lang w:val="en-GB"/>
        </w:rPr>
        <w:t>exception.</w:t>
      </w:r>
    </w:p>
    <w:p w14:paraId="258F693E" w14:textId="6594A408" w:rsidR="00DF1E99" w:rsidRPr="009668E2" w:rsidRDefault="00922BF3" w:rsidP="009668E2">
      <w:pPr>
        <w:pStyle w:val="isi"/>
        <w:jc w:val="both"/>
        <w:rPr>
          <w:rFonts w:ascii="Garamond" w:hAnsi="Garamond"/>
          <w:sz w:val="24"/>
          <w:szCs w:val="24"/>
          <w:lang w:val="en-GB"/>
        </w:rPr>
      </w:pPr>
      <w:r w:rsidRPr="009668E2">
        <w:rPr>
          <w:rFonts w:ascii="Garamond" w:hAnsi="Garamond"/>
          <w:sz w:val="24"/>
          <w:szCs w:val="24"/>
          <w:lang w:val="en-GB"/>
        </w:rPr>
        <w:t>The increasing resistance against the Dutch colo</w:t>
      </w:r>
      <w:r w:rsidR="00390EB6" w:rsidRPr="009668E2">
        <w:rPr>
          <w:rFonts w:ascii="Garamond" w:hAnsi="Garamond"/>
          <w:sz w:val="24"/>
          <w:szCs w:val="24"/>
          <w:lang w:val="en-GB"/>
        </w:rPr>
        <w:t>nial rule had developed the notion of promoting Islamic values and principles as oppositional towards European values and system.</w:t>
      </w:r>
      <w:r w:rsidR="00390EB6" w:rsidRPr="009668E2">
        <w:rPr>
          <w:rStyle w:val="FootnoteReference"/>
          <w:rFonts w:ascii="Garamond" w:hAnsi="Garamond"/>
          <w:sz w:val="24"/>
          <w:szCs w:val="24"/>
          <w:lang w:val="en-GB"/>
        </w:rPr>
        <w:footnoteReference w:id="35"/>
      </w:r>
      <w:r w:rsidR="00390EB6" w:rsidRPr="009668E2">
        <w:rPr>
          <w:rFonts w:ascii="Garamond" w:hAnsi="Garamond"/>
          <w:sz w:val="24"/>
          <w:szCs w:val="24"/>
          <w:lang w:val="en-GB"/>
        </w:rPr>
        <w:t xml:space="preserve"> </w:t>
      </w:r>
      <w:r w:rsidR="00DF1E99" w:rsidRPr="009668E2">
        <w:rPr>
          <w:rFonts w:ascii="Garamond" w:hAnsi="Garamond"/>
          <w:sz w:val="24"/>
          <w:szCs w:val="24"/>
          <w:lang w:val="en-GB"/>
        </w:rPr>
        <w:t xml:space="preserve">The oppression by the colonial government awakened Muslim social movements as a form of resistance. Organizations like </w:t>
      </w:r>
      <w:proofErr w:type="spellStart"/>
      <w:r w:rsidR="00DF1E99" w:rsidRPr="009668E2">
        <w:rPr>
          <w:rFonts w:ascii="Garamond" w:hAnsi="Garamond"/>
          <w:sz w:val="24"/>
          <w:szCs w:val="24"/>
          <w:lang w:val="en-GB"/>
        </w:rPr>
        <w:t>Sarekat</w:t>
      </w:r>
      <w:proofErr w:type="spellEnd"/>
      <w:r w:rsidR="00DF1E99" w:rsidRPr="009668E2">
        <w:rPr>
          <w:rFonts w:ascii="Garamond" w:hAnsi="Garamond"/>
          <w:sz w:val="24"/>
          <w:szCs w:val="24"/>
          <w:lang w:val="en-GB"/>
        </w:rPr>
        <w:t xml:space="preserve"> </w:t>
      </w:r>
      <w:proofErr w:type="spellStart"/>
      <w:r w:rsidR="00DF1E99" w:rsidRPr="009668E2">
        <w:rPr>
          <w:rFonts w:ascii="Garamond" w:hAnsi="Garamond"/>
          <w:sz w:val="24"/>
          <w:szCs w:val="24"/>
          <w:lang w:val="en-GB"/>
        </w:rPr>
        <w:t>Dagang</w:t>
      </w:r>
      <w:proofErr w:type="spellEnd"/>
      <w:r w:rsidR="00DF1E99" w:rsidRPr="009668E2">
        <w:rPr>
          <w:rFonts w:ascii="Garamond" w:hAnsi="Garamond"/>
          <w:sz w:val="24"/>
          <w:szCs w:val="24"/>
          <w:lang w:val="en-GB"/>
        </w:rPr>
        <w:t xml:space="preserve"> Islam (SDI), which evolved into </w:t>
      </w:r>
      <w:proofErr w:type="spellStart"/>
      <w:r w:rsidR="00DF1E99" w:rsidRPr="009668E2">
        <w:rPr>
          <w:rFonts w:ascii="Garamond" w:hAnsi="Garamond"/>
          <w:sz w:val="24"/>
          <w:szCs w:val="24"/>
          <w:lang w:val="en-GB"/>
        </w:rPr>
        <w:t>Sarekat</w:t>
      </w:r>
      <w:proofErr w:type="spellEnd"/>
      <w:r w:rsidR="00DF1E99" w:rsidRPr="009668E2">
        <w:rPr>
          <w:rFonts w:ascii="Garamond" w:hAnsi="Garamond"/>
          <w:sz w:val="24"/>
          <w:szCs w:val="24"/>
          <w:lang w:val="en-GB"/>
        </w:rPr>
        <w:t xml:space="preserve"> Islam (SI) in 1906, aimed to address the </w:t>
      </w:r>
      <w:r w:rsidR="00DF1E99" w:rsidRPr="009668E2">
        <w:rPr>
          <w:rFonts w:ascii="Garamond" w:hAnsi="Garamond"/>
          <w:sz w:val="24"/>
          <w:szCs w:val="24"/>
          <w:lang w:val="en-GB"/>
        </w:rPr>
        <w:lastRenderedPageBreak/>
        <w:t>challenges faced by the Muslim community and advocate for greater autonomy and recognition within the colonial framework.</w:t>
      </w:r>
      <w:r w:rsidR="00390EB6" w:rsidRPr="009668E2">
        <w:rPr>
          <w:rStyle w:val="FootnoteReference"/>
          <w:rFonts w:ascii="Garamond" w:hAnsi="Garamond"/>
          <w:sz w:val="24"/>
          <w:szCs w:val="24"/>
          <w:lang w:val="en-GB"/>
        </w:rPr>
        <w:footnoteReference w:id="36"/>
      </w:r>
      <w:r w:rsidR="00DF1E99" w:rsidRPr="009668E2">
        <w:rPr>
          <w:rFonts w:ascii="Garamond" w:hAnsi="Garamond"/>
          <w:sz w:val="24"/>
          <w:szCs w:val="24"/>
          <w:lang w:val="en-GB"/>
        </w:rPr>
        <w:t xml:space="preserve"> </w:t>
      </w:r>
      <w:r w:rsidR="00390EB6" w:rsidRPr="009668E2">
        <w:rPr>
          <w:rFonts w:ascii="Garamond" w:hAnsi="Garamond"/>
          <w:sz w:val="24"/>
          <w:szCs w:val="24"/>
          <w:lang w:val="en-GB"/>
        </w:rPr>
        <w:t xml:space="preserve">Such example provides argument that </w:t>
      </w:r>
      <w:r w:rsidR="00DF1E99" w:rsidRPr="009668E2">
        <w:rPr>
          <w:rFonts w:ascii="Garamond" w:hAnsi="Garamond"/>
          <w:sz w:val="24"/>
          <w:szCs w:val="24"/>
          <w:lang w:val="en-GB"/>
        </w:rPr>
        <w:t xml:space="preserve">the rise of these </w:t>
      </w:r>
      <w:r w:rsidR="00E25CF5" w:rsidRPr="009668E2">
        <w:rPr>
          <w:rFonts w:ascii="Garamond" w:hAnsi="Garamond"/>
          <w:sz w:val="24"/>
          <w:szCs w:val="24"/>
          <w:lang w:val="en-GB"/>
        </w:rPr>
        <w:t>da</w:t>
      </w:r>
      <w:r w:rsidR="002D4102" w:rsidRPr="009668E2">
        <w:rPr>
          <w:rFonts w:ascii="Garamond" w:hAnsi="Garamond"/>
          <w:sz w:val="24"/>
          <w:szCs w:val="24"/>
          <w:lang w:val="en-GB"/>
        </w:rPr>
        <w:t>’</w:t>
      </w:r>
      <w:r w:rsidR="00E25CF5" w:rsidRPr="009668E2">
        <w:rPr>
          <w:rFonts w:ascii="Garamond" w:hAnsi="Garamond"/>
          <w:sz w:val="24"/>
          <w:szCs w:val="24"/>
          <w:lang w:val="en-GB"/>
        </w:rPr>
        <w:t>wah</w:t>
      </w:r>
      <w:r w:rsidR="00DF1E99" w:rsidRPr="009668E2">
        <w:rPr>
          <w:rFonts w:ascii="Garamond" w:hAnsi="Garamond"/>
          <w:sz w:val="24"/>
          <w:szCs w:val="24"/>
          <w:lang w:val="en-GB"/>
        </w:rPr>
        <w:t xml:space="preserve"> movements was not solely a religious matter but a social one, grounded in religious values.</w:t>
      </w:r>
    </w:p>
    <w:p w14:paraId="0E81219A" w14:textId="7DBCA75E" w:rsidR="00782528" w:rsidRPr="009668E2" w:rsidRDefault="00782528" w:rsidP="009668E2">
      <w:pPr>
        <w:pStyle w:val="isi"/>
        <w:jc w:val="both"/>
        <w:rPr>
          <w:rFonts w:ascii="Garamond" w:hAnsi="Garamond"/>
          <w:sz w:val="24"/>
          <w:szCs w:val="24"/>
          <w:lang w:val="en-GB"/>
        </w:rPr>
      </w:pPr>
      <w:r w:rsidRPr="009668E2">
        <w:rPr>
          <w:rFonts w:ascii="Garamond" w:hAnsi="Garamond"/>
          <w:sz w:val="24"/>
          <w:szCs w:val="24"/>
          <w:lang w:val="en-GB"/>
        </w:rPr>
        <w:t>At the early 20th century, some Islam organization established, such as Muhammadiyah</w:t>
      </w:r>
      <w:r w:rsidR="00AD26CE" w:rsidRPr="009668E2">
        <w:rPr>
          <w:rFonts w:ascii="Garamond" w:hAnsi="Garamond"/>
          <w:sz w:val="24"/>
          <w:szCs w:val="24"/>
          <w:lang w:val="en-GB"/>
        </w:rPr>
        <w:t xml:space="preserve"> </w:t>
      </w:r>
      <w:r w:rsidRPr="009668E2">
        <w:rPr>
          <w:rFonts w:ascii="Garamond" w:hAnsi="Garamond"/>
          <w:sz w:val="24"/>
          <w:szCs w:val="24"/>
          <w:lang w:val="en-GB"/>
        </w:rPr>
        <w:t xml:space="preserve">(1912) and </w:t>
      </w:r>
      <w:proofErr w:type="spellStart"/>
      <w:r w:rsidRPr="009668E2">
        <w:rPr>
          <w:rFonts w:ascii="Garamond" w:hAnsi="Garamond"/>
          <w:sz w:val="24"/>
          <w:szCs w:val="24"/>
          <w:lang w:val="en-GB"/>
        </w:rPr>
        <w:t>Nahdlatul</w:t>
      </w:r>
      <w:proofErr w:type="spellEnd"/>
      <w:r w:rsidRPr="009668E2">
        <w:rPr>
          <w:rFonts w:ascii="Garamond" w:hAnsi="Garamond"/>
          <w:sz w:val="24"/>
          <w:szCs w:val="24"/>
          <w:lang w:val="en-GB"/>
        </w:rPr>
        <w:t xml:space="preserve"> Ulama (1926). It reflects the merger of the social movements of Muslims, [which] emerged as nationalist movement and so on which endeavoured to take over from the Dutch colonial administration. In his view, the tank and its cannon served only as a shape shifter that morphed into that of the ideology espoused by the various indigenous movements; movements which provided platforms to propagate Islamic teachings, for Muslims to bond in solidarity with one another while attempting to champion social and economic justice.</w:t>
      </w:r>
      <w:r w:rsidR="00AD26CE" w:rsidRPr="009668E2">
        <w:rPr>
          <w:rStyle w:val="FootnoteReference"/>
          <w:rFonts w:ascii="Garamond" w:hAnsi="Garamond"/>
          <w:sz w:val="24"/>
          <w:szCs w:val="24"/>
          <w:lang w:val="en-GB"/>
        </w:rPr>
        <w:footnoteReference w:id="37"/>
      </w:r>
      <w:r w:rsidRPr="009668E2">
        <w:rPr>
          <w:rFonts w:ascii="Garamond" w:hAnsi="Garamond"/>
          <w:sz w:val="24"/>
          <w:szCs w:val="24"/>
          <w:lang w:val="en-GB"/>
        </w:rPr>
        <w:t xml:space="preserve"> These thoughts mirrored a larger awakening among Muslims in Indonesia with regards to reaffirming their religious and cultural identity in response to the colonial pressures.</w:t>
      </w:r>
    </w:p>
    <w:p w14:paraId="11E81BB0" w14:textId="45C9AACC" w:rsidR="00D55B69" w:rsidRPr="009668E2" w:rsidRDefault="0040002E" w:rsidP="009668E2">
      <w:pPr>
        <w:pStyle w:val="isi"/>
        <w:jc w:val="both"/>
        <w:rPr>
          <w:rFonts w:ascii="Garamond" w:hAnsi="Garamond"/>
          <w:sz w:val="24"/>
          <w:szCs w:val="24"/>
        </w:rPr>
      </w:pPr>
      <w:r w:rsidRPr="009668E2">
        <w:rPr>
          <w:rFonts w:ascii="Garamond" w:hAnsi="Garamond"/>
          <w:sz w:val="24"/>
          <w:szCs w:val="24"/>
          <w:lang w:val="en-GB"/>
        </w:rPr>
        <w:t xml:space="preserve">The contextualized </w:t>
      </w:r>
      <w:r w:rsidR="00E25CF5" w:rsidRPr="009668E2">
        <w:rPr>
          <w:rFonts w:ascii="Garamond" w:hAnsi="Garamond"/>
          <w:sz w:val="24"/>
          <w:szCs w:val="24"/>
          <w:lang w:val="en-GB"/>
        </w:rPr>
        <w:t>da</w:t>
      </w:r>
      <w:r w:rsidR="002D4102" w:rsidRPr="009668E2">
        <w:rPr>
          <w:rFonts w:ascii="Garamond" w:hAnsi="Garamond"/>
          <w:sz w:val="24"/>
          <w:szCs w:val="24"/>
          <w:lang w:val="en-GB"/>
        </w:rPr>
        <w:t>’</w:t>
      </w:r>
      <w:r w:rsidR="00E25CF5" w:rsidRPr="009668E2">
        <w:rPr>
          <w:rFonts w:ascii="Garamond" w:hAnsi="Garamond"/>
          <w:sz w:val="24"/>
          <w:szCs w:val="24"/>
          <w:lang w:val="en-GB"/>
        </w:rPr>
        <w:t>wah</w:t>
      </w:r>
      <w:r w:rsidRPr="009668E2">
        <w:rPr>
          <w:rFonts w:ascii="Garamond" w:hAnsi="Garamond"/>
          <w:sz w:val="24"/>
          <w:szCs w:val="24"/>
          <w:lang w:val="en-GB"/>
        </w:rPr>
        <w:t xml:space="preserve">, promoting Islamic values in social-practical context, are supported by </w:t>
      </w:r>
      <w:r w:rsidR="004D0FA5" w:rsidRPr="009668E2">
        <w:rPr>
          <w:rFonts w:ascii="Garamond" w:hAnsi="Garamond"/>
          <w:sz w:val="24"/>
          <w:szCs w:val="24"/>
        </w:rPr>
        <w:t xml:space="preserve">prominent Islamic scholars, activists, and institutions that played </w:t>
      </w:r>
      <w:r w:rsidRPr="009668E2">
        <w:rPr>
          <w:rFonts w:ascii="Garamond" w:hAnsi="Garamond"/>
          <w:sz w:val="24"/>
          <w:szCs w:val="24"/>
        </w:rPr>
        <w:t xml:space="preserve">critical </w:t>
      </w:r>
      <w:r w:rsidR="004D0FA5" w:rsidRPr="009668E2">
        <w:rPr>
          <w:rFonts w:ascii="Garamond" w:hAnsi="Garamond"/>
          <w:sz w:val="24"/>
          <w:szCs w:val="24"/>
        </w:rPr>
        <w:t>roles in promoting Islamic teachings and values during the early 20</w:t>
      </w:r>
      <w:r w:rsidR="004D0FA5" w:rsidRPr="009668E2">
        <w:rPr>
          <w:rFonts w:ascii="Garamond" w:hAnsi="Garamond"/>
          <w:sz w:val="24"/>
          <w:szCs w:val="24"/>
          <w:vertAlign w:val="superscript"/>
        </w:rPr>
        <w:t>th</w:t>
      </w:r>
      <w:r w:rsidR="004D0FA5" w:rsidRPr="009668E2">
        <w:rPr>
          <w:rFonts w:ascii="Garamond" w:hAnsi="Garamond"/>
          <w:sz w:val="24"/>
          <w:szCs w:val="24"/>
        </w:rPr>
        <w:t xml:space="preserve"> century. One of the notable figures in the early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004D0FA5" w:rsidRPr="009668E2">
        <w:rPr>
          <w:rFonts w:ascii="Garamond" w:hAnsi="Garamond"/>
          <w:sz w:val="24"/>
          <w:szCs w:val="24"/>
        </w:rPr>
        <w:t xml:space="preserve"> movement was Haji Agus Salim, a respected Muslim leader and diplomat who advocated for Islamic education and social reform. </w:t>
      </w:r>
    </w:p>
    <w:p w14:paraId="7FF05A7F" w14:textId="554226C4" w:rsidR="00B97B80" w:rsidRPr="009668E2" w:rsidRDefault="00B97B80" w:rsidP="009668E2">
      <w:pPr>
        <w:pStyle w:val="isi"/>
        <w:jc w:val="both"/>
        <w:rPr>
          <w:rFonts w:ascii="Garamond" w:hAnsi="Garamond"/>
          <w:sz w:val="24"/>
          <w:szCs w:val="24"/>
        </w:rPr>
      </w:pPr>
      <w:r w:rsidRPr="009668E2">
        <w:rPr>
          <w:rFonts w:ascii="Garamond" w:hAnsi="Garamond"/>
          <w:sz w:val="24"/>
          <w:szCs w:val="24"/>
        </w:rPr>
        <w:t>Established in 1912 by Ahmad Dahlan, Muhammadiyah was a space for da</w:t>
      </w:r>
      <w:r w:rsidR="002D4102" w:rsidRPr="009668E2">
        <w:rPr>
          <w:rFonts w:ascii="Garamond" w:hAnsi="Garamond"/>
          <w:sz w:val="24"/>
          <w:szCs w:val="24"/>
        </w:rPr>
        <w:t>’</w:t>
      </w:r>
      <w:r w:rsidRPr="009668E2">
        <w:rPr>
          <w:rFonts w:ascii="Garamond" w:hAnsi="Garamond"/>
          <w:sz w:val="24"/>
          <w:szCs w:val="24"/>
        </w:rPr>
        <w:t>wah and social activities with more emphasis on educational as well as societal changes founded upon Islamic principles. The group sought to improve the status of Muslims through education and social welfare. Muhammadiyah during the Dutch colonial era were crucial in advancing da</w:t>
      </w:r>
      <w:r w:rsidR="002D4102" w:rsidRPr="009668E2">
        <w:rPr>
          <w:rFonts w:ascii="Garamond" w:hAnsi="Garamond"/>
          <w:sz w:val="24"/>
          <w:szCs w:val="24"/>
        </w:rPr>
        <w:t>’</w:t>
      </w:r>
      <w:r w:rsidRPr="009668E2">
        <w:rPr>
          <w:rFonts w:ascii="Garamond" w:hAnsi="Garamond"/>
          <w:sz w:val="24"/>
          <w:szCs w:val="24"/>
        </w:rPr>
        <w:t xml:space="preserve">wah and social change by their belief that Islam runs not only vis-s-à-vis worship but also through realization of education, modernization, and social welfare according to Islamic </w:t>
      </w:r>
      <w:r w:rsidRPr="009668E2">
        <w:rPr>
          <w:rFonts w:ascii="Garamond" w:hAnsi="Garamond"/>
          <w:sz w:val="24"/>
          <w:szCs w:val="24"/>
        </w:rPr>
        <w:lastRenderedPageBreak/>
        <w:t>principles.</w:t>
      </w:r>
      <w:r w:rsidRPr="009668E2">
        <w:rPr>
          <w:rStyle w:val="FootnoteReference"/>
          <w:rFonts w:ascii="Garamond" w:hAnsi="Garamond"/>
          <w:sz w:val="24"/>
          <w:szCs w:val="24"/>
        </w:rPr>
        <w:footnoteReference w:id="38"/>
      </w:r>
      <w:r w:rsidRPr="009668E2">
        <w:rPr>
          <w:rFonts w:ascii="Garamond" w:hAnsi="Garamond"/>
          <w:sz w:val="24"/>
          <w:szCs w:val="24"/>
        </w:rPr>
        <w:t xml:space="preserve"> It was designed as a counter to Dutch colonial influences by encouraging Islamic values, education, and charitable enterprise among the Indonesian Muslim population.</w:t>
      </w:r>
    </w:p>
    <w:p w14:paraId="391D9FFD" w14:textId="39EF67C1" w:rsidR="004B7A59" w:rsidRPr="009668E2" w:rsidRDefault="004B7A59" w:rsidP="009668E2">
      <w:pPr>
        <w:pStyle w:val="isi"/>
        <w:jc w:val="both"/>
        <w:rPr>
          <w:rFonts w:ascii="Garamond" w:hAnsi="Garamond"/>
          <w:sz w:val="24"/>
          <w:szCs w:val="24"/>
        </w:rPr>
      </w:pPr>
      <w:proofErr w:type="spellStart"/>
      <w:r w:rsidRPr="009668E2">
        <w:rPr>
          <w:rFonts w:ascii="Garamond" w:hAnsi="Garamond"/>
          <w:sz w:val="24"/>
          <w:szCs w:val="24"/>
        </w:rPr>
        <w:t>Nahdlatul</w:t>
      </w:r>
      <w:proofErr w:type="spellEnd"/>
      <w:r w:rsidRPr="009668E2">
        <w:rPr>
          <w:rFonts w:ascii="Garamond" w:hAnsi="Garamond"/>
          <w:sz w:val="24"/>
          <w:szCs w:val="24"/>
        </w:rPr>
        <w:t xml:space="preserve"> Ulama (NU) that was established by </w:t>
      </w:r>
      <w:proofErr w:type="spellStart"/>
      <w:r w:rsidRPr="009668E2">
        <w:rPr>
          <w:rFonts w:ascii="Garamond" w:hAnsi="Garamond"/>
          <w:sz w:val="24"/>
          <w:szCs w:val="24"/>
        </w:rPr>
        <w:t>Hadratusy</w:t>
      </w:r>
      <w:proofErr w:type="spellEnd"/>
      <w:r w:rsidRPr="009668E2">
        <w:rPr>
          <w:rFonts w:ascii="Garamond" w:hAnsi="Garamond"/>
          <w:sz w:val="24"/>
          <w:szCs w:val="24"/>
        </w:rPr>
        <w:t xml:space="preserve"> Shaikh KH</w:t>
      </w:r>
      <w:r w:rsidR="00EC5A41">
        <w:rPr>
          <w:rFonts w:ascii="Garamond" w:hAnsi="Garamond"/>
          <w:sz w:val="24"/>
          <w:szCs w:val="24"/>
        </w:rPr>
        <w:t>.</w:t>
      </w:r>
      <w:r w:rsidRPr="009668E2">
        <w:rPr>
          <w:rFonts w:ascii="Garamond" w:hAnsi="Garamond"/>
          <w:sz w:val="24"/>
          <w:szCs w:val="24"/>
        </w:rPr>
        <w:t xml:space="preserve"> Hashim </w:t>
      </w:r>
      <w:proofErr w:type="spellStart"/>
      <w:r w:rsidRPr="009668E2">
        <w:rPr>
          <w:rFonts w:ascii="Garamond" w:hAnsi="Garamond"/>
          <w:sz w:val="24"/>
          <w:szCs w:val="24"/>
        </w:rPr>
        <w:t>Asy</w:t>
      </w:r>
      <w:r w:rsidR="002D4102" w:rsidRPr="009668E2">
        <w:rPr>
          <w:rFonts w:ascii="Garamond" w:hAnsi="Garamond"/>
          <w:sz w:val="24"/>
          <w:szCs w:val="24"/>
        </w:rPr>
        <w:t>’</w:t>
      </w:r>
      <w:r w:rsidRPr="009668E2">
        <w:rPr>
          <w:rFonts w:ascii="Garamond" w:hAnsi="Garamond"/>
          <w:sz w:val="24"/>
          <w:szCs w:val="24"/>
        </w:rPr>
        <w:t>ari</w:t>
      </w:r>
      <w:proofErr w:type="spellEnd"/>
      <w:r w:rsidRPr="009668E2">
        <w:rPr>
          <w:rFonts w:ascii="Garamond" w:hAnsi="Garamond"/>
          <w:sz w:val="24"/>
          <w:szCs w:val="24"/>
        </w:rPr>
        <w:t xml:space="preserve"> in 1926 had emerged as one of the most significant and impactful Islamic organizations in Indonesia. The primary emphasis of NU lies in education, alongside the preservation of community traditions and culture. During the era of Dutch colonization, NU, in conjunction with Muhammadiyah, played a vital role in the da</w:t>
      </w:r>
      <w:r w:rsidR="002D4102" w:rsidRPr="009668E2">
        <w:rPr>
          <w:rFonts w:ascii="Garamond" w:hAnsi="Garamond"/>
          <w:sz w:val="24"/>
          <w:szCs w:val="24"/>
        </w:rPr>
        <w:t>’</w:t>
      </w:r>
      <w:r w:rsidRPr="009668E2">
        <w:rPr>
          <w:rFonts w:ascii="Garamond" w:hAnsi="Garamond"/>
          <w:sz w:val="24"/>
          <w:szCs w:val="24"/>
        </w:rPr>
        <w:t>wah movement.</w:t>
      </w:r>
      <w:r w:rsidRPr="009668E2">
        <w:rPr>
          <w:rStyle w:val="FootnoteReference"/>
          <w:rFonts w:ascii="Garamond" w:hAnsi="Garamond"/>
          <w:sz w:val="24"/>
          <w:szCs w:val="24"/>
        </w:rPr>
        <w:footnoteReference w:id="39"/>
      </w:r>
      <w:r w:rsidRPr="009668E2">
        <w:rPr>
          <w:rFonts w:ascii="Garamond" w:hAnsi="Garamond"/>
          <w:sz w:val="24"/>
          <w:szCs w:val="24"/>
        </w:rPr>
        <w:t xml:space="preserve"> Both groups have made substantial contributions to disseminating Islamic teachings, enhancing social welfare, and promoting educational initiatives across Indonesia.</w:t>
      </w:r>
    </w:p>
    <w:p w14:paraId="1D82B6AE" w14:textId="65424C55" w:rsidR="004B7A59" w:rsidRPr="009668E2" w:rsidRDefault="004B7A59" w:rsidP="009668E2">
      <w:pPr>
        <w:pStyle w:val="isi"/>
        <w:jc w:val="both"/>
        <w:rPr>
          <w:rFonts w:ascii="Garamond" w:hAnsi="Garamond"/>
          <w:sz w:val="24"/>
          <w:szCs w:val="24"/>
        </w:rPr>
      </w:pPr>
      <w:r w:rsidRPr="009668E2">
        <w:rPr>
          <w:rFonts w:ascii="Garamond" w:hAnsi="Garamond"/>
          <w:sz w:val="24"/>
          <w:szCs w:val="24"/>
        </w:rPr>
        <w:t>By advocating for Islamic education, social justice, and civic involvement, NU and Muhammadiyah work to ensure that the awareness of Indonesian Muslims remains intact and untainted by colonization. Their commitment to safeguarding Muslim cultural and religious heritage has been successful in upholding Islamic identity and reinforcing social cohesion despite the adversities encountered during the Dutch colonial period.</w:t>
      </w:r>
    </w:p>
    <w:p w14:paraId="6D18136C" w14:textId="084FFD16" w:rsidR="009040D4" w:rsidRPr="009668E2" w:rsidRDefault="009040D4" w:rsidP="009668E2">
      <w:pPr>
        <w:pStyle w:val="isi"/>
        <w:jc w:val="both"/>
        <w:rPr>
          <w:rFonts w:ascii="Garamond" w:hAnsi="Garamond"/>
          <w:sz w:val="24"/>
          <w:szCs w:val="24"/>
        </w:rPr>
      </w:pPr>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 xml:space="preserve">wah in Indonesia evolved through the pre- and post-independence eras involving several socio-political transitions and reactions to stances of prominent individuals and organizations. Duplex models were the </w:t>
      </w:r>
      <w:proofErr w:type="spellStart"/>
      <w:r w:rsidRPr="009668E2">
        <w:rPr>
          <w:rFonts w:ascii="Garamond" w:hAnsi="Garamond"/>
          <w:sz w:val="24"/>
          <w:szCs w:val="24"/>
        </w:rPr>
        <w:t>conerstones</w:t>
      </w:r>
      <w:proofErr w:type="spellEnd"/>
      <w:r w:rsidRPr="009668E2">
        <w:rPr>
          <w:rFonts w:ascii="Garamond" w:hAnsi="Garamond"/>
          <w:sz w:val="24"/>
          <w:szCs w:val="24"/>
        </w:rPr>
        <w:t xml:space="preserve"> of pre-independence Nationalism movements to mobilize Muslim masses against colonial oppression calling for social justice and empowerment through some </w:t>
      </w:r>
      <w:proofErr w:type="spellStart"/>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i</w:t>
      </w:r>
      <w:proofErr w:type="spellEnd"/>
      <w:r w:rsidRPr="009668E2">
        <w:rPr>
          <w:rFonts w:ascii="Garamond" w:hAnsi="Garamond"/>
          <w:sz w:val="24"/>
          <w:szCs w:val="24"/>
        </w:rPr>
        <w:t xml:space="preserve"> on activities. Via organizations such as </w:t>
      </w:r>
      <w:proofErr w:type="spellStart"/>
      <w:r w:rsidRPr="009668E2">
        <w:rPr>
          <w:rFonts w:ascii="Garamond" w:hAnsi="Garamond"/>
          <w:sz w:val="24"/>
          <w:szCs w:val="24"/>
        </w:rPr>
        <w:t>Sarekat</w:t>
      </w:r>
      <w:proofErr w:type="spellEnd"/>
      <w:r w:rsidRPr="009668E2">
        <w:rPr>
          <w:rFonts w:ascii="Garamond" w:hAnsi="Garamond"/>
          <w:sz w:val="24"/>
          <w:szCs w:val="24"/>
        </w:rPr>
        <w:t xml:space="preserve"> Islam (SI) and Muhammadiyah, they sought after way to spread Islamic teachings and also help meet the material needs of Indonesian Muslims. Prominent figures such as Haji Agus Salim and Kiai Haji Mas Mansur played important roles in connecting Islamic principles with nationalist demands, supporting the interests of Muslims, and fostering inter-religious concord. They must be seen as major participants in the early development of Islamic activism in Indonesia. </w:t>
      </w:r>
    </w:p>
    <w:p w14:paraId="69D90195" w14:textId="1E8A4A62" w:rsidR="009040D4" w:rsidRPr="009668E2" w:rsidRDefault="009040D4" w:rsidP="009668E2">
      <w:pPr>
        <w:pStyle w:val="isi"/>
        <w:jc w:val="both"/>
        <w:rPr>
          <w:rFonts w:ascii="Garamond" w:hAnsi="Garamond"/>
          <w:sz w:val="24"/>
          <w:szCs w:val="24"/>
        </w:rPr>
      </w:pPr>
      <w:r w:rsidRPr="009668E2">
        <w:rPr>
          <w:rFonts w:ascii="Garamond" w:hAnsi="Garamond"/>
          <w:sz w:val="24"/>
          <w:szCs w:val="24"/>
        </w:rPr>
        <w:t>In the post-independence era, Da</w:t>
      </w:r>
      <w:r w:rsidR="002D4102" w:rsidRPr="009668E2">
        <w:rPr>
          <w:rFonts w:ascii="Garamond" w:hAnsi="Garamond"/>
          <w:sz w:val="24"/>
          <w:szCs w:val="24"/>
        </w:rPr>
        <w:t>’</w:t>
      </w:r>
      <w:r w:rsidRPr="009668E2">
        <w:rPr>
          <w:rFonts w:ascii="Garamond" w:hAnsi="Garamond"/>
          <w:sz w:val="24"/>
          <w:szCs w:val="24"/>
        </w:rPr>
        <w:t xml:space="preserve">wah movements would persist in developing and Islamic parties and organizations would look to grant their actualization within the wider social landscape. Islamic parties </w:t>
      </w:r>
      <w:r w:rsidRPr="009668E2">
        <w:rPr>
          <w:rFonts w:ascii="Garamond" w:hAnsi="Garamond"/>
          <w:sz w:val="24"/>
          <w:szCs w:val="24"/>
        </w:rPr>
        <w:lastRenderedPageBreak/>
        <w:t>emphasized Islamic values and endeavored to interact with post-independence socio-cultural conditions and developed Da</w:t>
      </w:r>
      <w:r w:rsidR="002D4102" w:rsidRPr="009668E2">
        <w:rPr>
          <w:rFonts w:ascii="Garamond" w:hAnsi="Garamond"/>
          <w:sz w:val="24"/>
          <w:szCs w:val="24"/>
        </w:rPr>
        <w:t>’</w:t>
      </w:r>
      <w:r w:rsidRPr="009668E2">
        <w:rPr>
          <w:rFonts w:ascii="Garamond" w:hAnsi="Garamond"/>
          <w:sz w:val="24"/>
          <w:szCs w:val="24"/>
        </w:rPr>
        <w:t>wah strategies to respond to contemporary challenges. The figures and Ulama that had influence on the post-independence period of Indonesia were crucial in setting the direction of Da</w:t>
      </w:r>
      <w:r w:rsidR="002D4102" w:rsidRPr="009668E2">
        <w:rPr>
          <w:rFonts w:ascii="Garamond" w:hAnsi="Garamond"/>
          <w:sz w:val="24"/>
          <w:szCs w:val="24"/>
        </w:rPr>
        <w:t>’</w:t>
      </w:r>
      <w:r w:rsidRPr="009668E2">
        <w:rPr>
          <w:rFonts w:ascii="Garamond" w:hAnsi="Garamond"/>
          <w:sz w:val="24"/>
          <w:szCs w:val="24"/>
        </w:rPr>
        <w:t>wah movements and fulfil the needs of a new republic for Muslims.</w:t>
      </w:r>
      <w:r w:rsidRPr="009668E2">
        <w:rPr>
          <w:rStyle w:val="FootnoteReference"/>
          <w:rFonts w:ascii="Garamond" w:hAnsi="Garamond"/>
          <w:sz w:val="24"/>
          <w:szCs w:val="24"/>
        </w:rPr>
        <w:footnoteReference w:id="40"/>
      </w:r>
      <w:r w:rsidRPr="009668E2">
        <w:rPr>
          <w:rFonts w:ascii="Garamond" w:hAnsi="Garamond"/>
          <w:sz w:val="24"/>
          <w:szCs w:val="24"/>
        </w:rPr>
        <w:t xml:space="preserve"> Similarly, the post-independence period witnessed the establishment of modern Da</w:t>
      </w:r>
      <w:r w:rsidR="002D4102" w:rsidRPr="009668E2">
        <w:rPr>
          <w:rFonts w:ascii="Garamond" w:hAnsi="Garamond"/>
          <w:sz w:val="24"/>
          <w:szCs w:val="24"/>
        </w:rPr>
        <w:t>’</w:t>
      </w:r>
      <w:r w:rsidRPr="009668E2">
        <w:rPr>
          <w:rFonts w:ascii="Garamond" w:hAnsi="Garamond"/>
          <w:sz w:val="24"/>
          <w:szCs w:val="24"/>
        </w:rPr>
        <w:t>wah-oriented academic and promotional institutions to rebuilding religious symbols, including liberty, justice, and cooperation. This had implications for the Islamic teachings that the schools espoused, as well as efforts to nurture social cohesion among Muslims in Indonesia and empower them through educational and community projects.</w:t>
      </w:r>
      <w:r w:rsidRPr="009668E2">
        <w:rPr>
          <w:rStyle w:val="FootnoteReference"/>
          <w:rFonts w:ascii="Garamond" w:hAnsi="Garamond"/>
          <w:sz w:val="24"/>
          <w:szCs w:val="24"/>
        </w:rPr>
        <w:footnoteReference w:id="41"/>
      </w:r>
      <w:r w:rsidRPr="009668E2">
        <w:rPr>
          <w:rFonts w:ascii="Garamond" w:hAnsi="Garamond"/>
          <w:sz w:val="24"/>
          <w:szCs w:val="24"/>
        </w:rPr>
        <w:t xml:space="preserve"> As such, Da</w:t>
      </w:r>
      <w:r w:rsidR="002D4102" w:rsidRPr="009668E2">
        <w:rPr>
          <w:rFonts w:ascii="Garamond" w:hAnsi="Garamond"/>
          <w:sz w:val="24"/>
          <w:szCs w:val="24"/>
        </w:rPr>
        <w:t>’</w:t>
      </w:r>
      <w:r w:rsidRPr="009668E2">
        <w:rPr>
          <w:rFonts w:ascii="Garamond" w:hAnsi="Garamond"/>
          <w:sz w:val="24"/>
          <w:szCs w:val="24"/>
        </w:rPr>
        <w:t>wah movements during Indonesia</w:t>
      </w:r>
      <w:r w:rsidR="002D4102" w:rsidRPr="009668E2">
        <w:rPr>
          <w:rFonts w:ascii="Garamond" w:hAnsi="Garamond"/>
          <w:sz w:val="24"/>
          <w:szCs w:val="24"/>
        </w:rPr>
        <w:t>’</w:t>
      </w:r>
      <w:r w:rsidRPr="009668E2">
        <w:rPr>
          <w:rFonts w:ascii="Garamond" w:hAnsi="Garamond"/>
          <w:sz w:val="24"/>
          <w:szCs w:val="24"/>
        </w:rPr>
        <w:t>s transition from pre- to post-independence eras were a continuation of efforts to propagate Islamic teachings, strengthen Muslim communal life as well as respond to socio-political challenges in the country. There were key figures and organizations that took this trajectory of Da</w:t>
      </w:r>
      <w:r w:rsidR="002D4102" w:rsidRPr="009668E2">
        <w:rPr>
          <w:rFonts w:ascii="Garamond" w:hAnsi="Garamond"/>
          <w:sz w:val="24"/>
          <w:szCs w:val="24"/>
        </w:rPr>
        <w:t>’</w:t>
      </w:r>
      <w:r w:rsidRPr="009668E2">
        <w:rPr>
          <w:rFonts w:ascii="Garamond" w:hAnsi="Garamond"/>
          <w:sz w:val="24"/>
          <w:szCs w:val="24"/>
        </w:rPr>
        <w:t>wah movements into pertinence, adjusted their strategies according to the social needs of the Indonesian community, hence fostering flourishing debates in Islamic paradigm within the society.</w:t>
      </w:r>
    </w:p>
    <w:p w14:paraId="5430C971" w14:textId="0A3641A4" w:rsidR="00BD43CE" w:rsidRPr="009668E2" w:rsidRDefault="00BD43CE" w:rsidP="009668E2">
      <w:pPr>
        <w:pStyle w:val="isi"/>
        <w:jc w:val="both"/>
        <w:rPr>
          <w:rFonts w:ascii="Garamond" w:hAnsi="Garamond"/>
          <w:sz w:val="24"/>
          <w:szCs w:val="24"/>
        </w:rPr>
      </w:pPr>
    </w:p>
    <w:p w14:paraId="420F229E" w14:textId="522F30CB" w:rsidR="0025226D" w:rsidRPr="009668E2" w:rsidRDefault="00E25CF5" w:rsidP="009668E2">
      <w:pPr>
        <w:pStyle w:val="bag"/>
        <w:spacing w:before="0" w:after="0"/>
        <w:rPr>
          <w:rFonts w:ascii="Garamond" w:hAnsi="Garamond"/>
          <w:sz w:val="24"/>
          <w:szCs w:val="24"/>
          <w:lang w:val="en-GB"/>
        </w:rPr>
      </w:pPr>
      <w:r w:rsidRPr="009668E2">
        <w:rPr>
          <w:rFonts w:ascii="Garamond" w:hAnsi="Garamond"/>
          <w:sz w:val="24"/>
          <w:szCs w:val="24"/>
          <w:lang w:val="en-GB"/>
        </w:rPr>
        <w:t>Da</w:t>
      </w:r>
      <w:r w:rsidR="002D4102" w:rsidRPr="009668E2">
        <w:rPr>
          <w:rFonts w:ascii="Garamond" w:hAnsi="Garamond"/>
          <w:sz w:val="24"/>
          <w:szCs w:val="24"/>
          <w:lang w:val="en-GB"/>
        </w:rPr>
        <w:t>’</w:t>
      </w:r>
      <w:r w:rsidRPr="009668E2">
        <w:rPr>
          <w:rFonts w:ascii="Garamond" w:hAnsi="Garamond"/>
          <w:sz w:val="24"/>
          <w:szCs w:val="24"/>
          <w:lang w:val="en-GB"/>
        </w:rPr>
        <w:t>wah</w:t>
      </w:r>
      <w:r w:rsidR="0025226D" w:rsidRPr="009668E2">
        <w:rPr>
          <w:rFonts w:ascii="Garamond" w:hAnsi="Garamond"/>
          <w:sz w:val="24"/>
          <w:szCs w:val="24"/>
          <w:lang w:val="en-GB"/>
        </w:rPr>
        <w:t xml:space="preserve"> and Its Role Against Religious Blasphemy</w:t>
      </w:r>
    </w:p>
    <w:p w14:paraId="03285428" w14:textId="3F7DE8F8" w:rsidR="009040D4" w:rsidRPr="009668E2" w:rsidRDefault="009040D4" w:rsidP="009668E2">
      <w:pPr>
        <w:pStyle w:val="isi"/>
        <w:jc w:val="both"/>
        <w:rPr>
          <w:rFonts w:ascii="Garamond" w:hAnsi="Garamond"/>
          <w:sz w:val="24"/>
          <w:szCs w:val="24"/>
        </w:rPr>
      </w:pPr>
      <w:r w:rsidRPr="009668E2">
        <w:rPr>
          <w:rFonts w:ascii="Garamond" w:hAnsi="Garamond"/>
          <w:sz w:val="24"/>
          <w:szCs w:val="24"/>
        </w:rPr>
        <w:t xml:space="preserve">The term </w:t>
      </w:r>
      <w:r w:rsidR="002D4102" w:rsidRPr="009668E2">
        <w:rPr>
          <w:rFonts w:ascii="Garamond" w:hAnsi="Garamond"/>
          <w:sz w:val="24"/>
          <w:szCs w:val="24"/>
        </w:rPr>
        <w:t>‘</w:t>
      </w:r>
      <w:r w:rsidRPr="009668E2">
        <w:rPr>
          <w:rFonts w:ascii="Garamond" w:hAnsi="Garamond"/>
          <w:sz w:val="24"/>
          <w:szCs w:val="24"/>
        </w:rPr>
        <w:t>religious blasphemy</w:t>
      </w:r>
      <w:r w:rsidR="002D4102" w:rsidRPr="009668E2">
        <w:rPr>
          <w:rFonts w:ascii="Garamond" w:hAnsi="Garamond"/>
          <w:sz w:val="24"/>
          <w:szCs w:val="24"/>
        </w:rPr>
        <w:t>’</w:t>
      </w:r>
      <w:r w:rsidRPr="009668E2">
        <w:rPr>
          <w:rFonts w:ascii="Garamond" w:hAnsi="Garamond"/>
          <w:sz w:val="24"/>
          <w:szCs w:val="24"/>
        </w:rPr>
        <w:t xml:space="preserve"> used to refer to actions or expressions, whether written or spoken, that insult or insulting; and causing a direction of hatred and hatred for an abuse towards religion in Indonesia. Religious blasphemy concerns are inherent to the perception of the protection and preservation of religious values, the continuation on social stability as well as, precisely in this case, identity. Religious blasphemy in Indonesia is regulated predominantly through criminal law, with the crime of Blasphemy (Law No. 1/PNPS/1965) in force since 1965 punishing acts deemed blasphemous against a small number of officially </w:t>
      </w:r>
      <w:r w:rsidR="003C0536" w:rsidRPr="009668E2">
        <w:rPr>
          <w:rFonts w:ascii="Garamond" w:hAnsi="Garamond"/>
          <w:sz w:val="24"/>
          <w:szCs w:val="24"/>
        </w:rPr>
        <w:t>recognized</w:t>
      </w:r>
      <w:r w:rsidRPr="009668E2">
        <w:rPr>
          <w:rFonts w:ascii="Garamond" w:hAnsi="Garamond"/>
          <w:sz w:val="24"/>
          <w:szCs w:val="24"/>
        </w:rPr>
        <w:t xml:space="preserve"> religions. Designed to protect religious harmony, the law punishes insulting or offensive acts relating to religious beliefs as tools of incitement of religious hatred or violence.</w:t>
      </w:r>
      <w:r w:rsidR="003C0536" w:rsidRPr="009668E2">
        <w:rPr>
          <w:rStyle w:val="FootnoteReference"/>
          <w:rFonts w:ascii="Garamond" w:hAnsi="Garamond"/>
          <w:sz w:val="24"/>
          <w:szCs w:val="24"/>
        </w:rPr>
        <w:footnoteReference w:id="42"/>
      </w:r>
      <w:r w:rsidRPr="009668E2">
        <w:rPr>
          <w:rFonts w:ascii="Garamond" w:hAnsi="Garamond"/>
          <w:sz w:val="24"/>
          <w:szCs w:val="24"/>
        </w:rPr>
        <w:t xml:space="preserve"> </w:t>
      </w:r>
    </w:p>
    <w:p w14:paraId="702E55FD" w14:textId="0320AB1A" w:rsidR="009040D4" w:rsidRPr="009668E2" w:rsidRDefault="009040D4" w:rsidP="009668E2">
      <w:pPr>
        <w:pStyle w:val="isi"/>
        <w:jc w:val="both"/>
        <w:rPr>
          <w:rFonts w:ascii="Garamond" w:hAnsi="Garamond"/>
          <w:sz w:val="24"/>
          <w:szCs w:val="24"/>
        </w:rPr>
      </w:pPr>
      <w:r w:rsidRPr="009668E2">
        <w:rPr>
          <w:rFonts w:ascii="Garamond" w:hAnsi="Garamond"/>
          <w:sz w:val="24"/>
          <w:szCs w:val="24"/>
        </w:rPr>
        <w:lastRenderedPageBreak/>
        <w:t>Blasphemy laws in Indonesia regulates the prejudicial treatment and hate speech between religions that surrounds hateful defamatory opinions. The acts of blasphemy can be directed towards the religious symbols, leaders, scriptures, or practices and is commonly perceived as a violation against the norms and values of religion that exist in Indonesian society.</w:t>
      </w:r>
      <w:r w:rsidR="003C0536" w:rsidRPr="009668E2">
        <w:rPr>
          <w:rStyle w:val="FootnoteReference"/>
          <w:rFonts w:ascii="Garamond" w:hAnsi="Garamond"/>
          <w:sz w:val="24"/>
          <w:szCs w:val="24"/>
        </w:rPr>
        <w:footnoteReference w:id="43"/>
      </w:r>
      <w:r w:rsidRPr="009668E2">
        <w:rPr>
          <w:rFonts w:ascii="Garamond" w:hAnsi="Garamond"/>
          <w:sz w:val="24"/>
          <w:szCs w:val="24"/>
        </w:rPr>
        <w:t xml:space="preserve"> The use of blasphemy laws in Indonesia has been criticized, with some alleged that they are used to oppress freedom of expression, persecute religious minorities and restrict religious pluralism. The implementation of blasphemy laws has faced stiff criticism over their infringement on religious liberty, harm towards societal cohesion, and </w:t>
      </w:r>
      <w:r w:rsidR="003C0536" w:rsidRPr="009668E2">
        <w:rPr>
          <w:rFonts w:ascii="Garamond" w:hAnsi="Garamond"/>
          <w:sz w:val="24"/>
          <w:szCs w:val="24"/>
        </w:rPr>
        <w:t>defense</w:t>
      </w:r>
      <w:r w:rsidRPr="009668E2">
        <w:rPr>
          <w:rFonts w:ascii="Garamond" w:hAnsi="Garamond"/>
          <w:sz w:val="24"/>
          <w:szCs w:val="24"/>
        </w:rPr>
        <w:t xml:space="preserve"> for minority religious bodies.</w:t>
      </w:r>
      <w:r w:rsidR="003C0536" w:rsidRPr="009668E2">
        <w:rPr>
          <w:rStyle w:val="FootnoteReference"/>
          <w:rFonts w:ascii="Garamond" w:hAnsi="Garamond"/>
          <w:sz w:val="24"/>
          <w:szCs w:val="24"/>
        </w:rPr>
        <w:footnoteReference w:id="44"/>
      </w:r>
    </w:p>
    <w:p w14:paraId="3CA5ACD8" w14:textId="4D6FB2D3" w:rsidR="009040D4" w:rsidRPr="009668E2" w:rsidRDefault="009040D4" w:rsidP="009668E2">
      <w:pPr>
        <w:pStyle w:val="isi"/>
        <w:jc w:val="both"/>
        <w:rPr>
          <w:rFonts w:ascii="Garamond" w:hAnsi="Garamond"/>
          <w:sz w:val="24"/>
          <w:szCs w:val="24"/>
        </w:rPr>
      </w:pPr>
      <w:r w:rsidRPr="009668E2">
        <w:rPr>
          <w:rFonts w:ascii="Garamond" w:hAnsi="Garamond"/>
          <w:sz w:val="24"/>
          <w:szCs w:val="24"/>
        </w:rPr>
        <w:t>In the Indonesian case, religious blasphemy is an explosive issue and is deeply rooted in wider debates around freedom of religion, tolerance and the rights of individuals to practice their faith while maintaining social harmony. The ways in which the interpretation and enforcement of blasphemy laws have been carried out as a reflection of Indonesia</w:t>
      </w:r>
      <w:r w:rsidR="002D4102" w:rsidRPr="009668E2">
        <w:rPr>
          <w:rFonts w:ascii="Garamond" w:hAnsi="Garamond"/>
          <w:sz w:val="24"/>
          <w:szCs w:val="24"/>
        </w:rPr>
        <w:t>’</w:t>
      </w:r>
      <w:r w:rsidRPr="009668E2">
        <w:rPr>
          <w:rFonts w:ascii="Garamond" w:hAnsi="Garamond"/>
          <w:sz w:val="24"/>
          <w:szCs w:val="24"/>
        </w:rPr>
        <w:t>s complicated relationship between religion, law, and politics, thus pointing to the difficulty it faces when it comes to accommodating religious diversity while still respecting basic human rights within its multi-religious society. Religious blasphemy as a whole is a rich tapestry of different action and memory, rooted in the efforts of Indonesia to protect religious values while also renewing social harmony in a multiplicity in various group. The interpretation and enforcement of the blasphemy laws in Indonesia is still in process, but this phenomenon will give impact to how religious freedom is addressed in discourse, by illustrating where the limits are between acts that can be permitted or when public tolerance not applicable anymore, or even where under what circumstances does the protection of identity become a right that must be respected.</w:t>
      </w:r>
    </w:p>
    <w:p w14:paraId="218A0496" w14:textId="4343BFCE" w:rsidR="00FA5394" w:rsidRPr="009668E2" w:rsidRDefault="009040D4" w:rsidP="009668E2">
      <w:pPr>
        <w:pStyle w:val="isi"/>
        <w:jc w:val="both"/>
        <w:rPr>
          <w:rFonts w:ascii="Garamond" w:hAnsi="Garamond"/>
          <w:sz w:val="24"/>
          <w:szCs w:val="24"/>
        </w:rPr>
      </w:pPr>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 xml:space="preserve">wah strategies in Indonesia have experienced a development from traditional methods that relied on peaceful educational approach to an increasingly assertive one which is more compatible with societal changes and technological developments. In the beginning, </w:t>
      </w:r>
      <w:r w:rsidR="00FA5394" w:rsidRPr="009668E2">
        <w:rPr>
          <w:rFonts w:ascii="Garamond" w:hAnsi="Garamond"/>
          <w:sz w:val="24"/>
          <w:szCs w:val="24"/>
        </w:rPr>
        <w:t>the</w:t>
      </w:r>
      <w:r w:rsidRPr="009668E2">
        <w:rPr>
          <w:rFonts w:ascii="Garamond" w:hAnsi="Garamond"/>
          <w:sz w:val="24"/>
          <w:szCs w:val="24"/>
        </w:rPr>
        <w:t xml:space="preserve"> issue of </w:t>
      </w:r>
      <w:r w:rsidR="00FA5394" w:rsidRPr="009668E2">
        <w:rPr>
          <w:rFonts w:ascii="Garamond" w:hAnsi="Garamond"/>
          <w:sz w:val="24"/>
          <w:szCs w:val="24"/>
        </w:rPr>
        <w:t>d</w:t>
      </w:r>
      <w:r w:rsidRPr="009668E2">
        <w:rPr>
          <w:rFonts w:ascii="Garamond" w:hAnsi="Garamond"/>
          <w:sz w:val="24"/>
          <w:szCs w:val="24"/>
        </w:rPr>
        <w:t>a</w:t>
      </w:r>
      <w:r w:rsidR="002D4102" w:rsidRPr="009668E2">
        <w:rPr>
          <w:rFonts w:ascii="Garamond" w:hAnsi="Garamond"/>
          <w:sz w:val="24"/>
          <w:szCs w:val="24"/>
        </w:rPr>
        <w:t>’</w:t>
      </w:r>
      <w:r w:rsidRPr="009668E2">
        <w:rPr>
          <w:rFonts w:ascii="Garamond" w:hAnsi="Garamond"/>
          <w:sz w:val="24"/>
          <w:szCs w:val="24"/>
        </w:rPr>
        <w:t>wah strategies is prioritized for educational activities, peaceful opening presentation and the habit of moderation preaching through media tools and discussions with community leaders.</w:t>
      </w:r>
      <w:r w:rsidR="00FA5394" w:rsidRPr="009668E2">
        <w:rPr>
          <w:rStyle w:val="FootnoteReference"/>
          <w:rFonts w:ascii="Garamond" w:hAnsi="Garamond"/>
          <w:sz w:val="24"/>
          <w:szCs w:val="24"/>
        </w:rPr>
        <w:footnoteReference w:id="45"/>
      </w:r>
      <w:r w:rsidRPr="009668E2">
        <w:rPr>
          <w:rFonts w:ascii="Garamond" w:hAnsi="Garamond"/>
          <w:sz w:val="24"/>
          <w:szCs w:val="24"/>
        </w:rPr>
        <w:t xml:space="preserve"> </w:t>
      </w:r>
    </w:p>
    <w:p w14:paraId="2AEA20D3" w14:textId="08828BC0" w:rsidR="008F12B5" w:rsidRPr="009668E2" w:rsidRDefault="009040D4" w:rsidP="009668E2">
      <w:pPr>
        <w:pStyle w:val="isi"/>
        <w:jc w:val="both"/>
        <w:rPr>
          <w:rFonts w:ascii="Garamond" w:hAnsi="Garamond"/>
          <w:sz w:val="24"/>
          <w:szCs w:val="24"/>
        </w:rPr>
      </w:pPr>
      <w:r w:rsidRPr="009668E2">
        <w:rPr>
          <w:rFonts w:ascii="Garamond" w:hAnsi="Garamond"/>
          <w:sz w:val="24"/>
          <w:szCs w:val="24"/>
        </w:rPr>
        <w:lastRenderedPageBreak/>
        <w:t>As societal dynamics changed, Da</w:t>
      </w:r>
      <w:r w:rsidR="002D4102" w:rsidRPr="009668E2">
        <w:rPr>
          <w:rFonts w:ascii="Garamond" w:hAnsi="Garamond"/>
          <w:sz w:val="24"/>
          <w:szCs w:val="24"/>
        </w:rPr>
        <w:t>’</w:t>
      </w:r>
      <w:r w:rsidRPr="009668E2">
        <w:rPr>
          <w:rFonts w:ascii="Garamond" w:hAnsi="Garamond"/>
          <w:sz w:val="24"/>
          <w:szCs w:val="24"/>
        </w:rPr>
        <w:t xml:space="preserve">wah strategies in Indonesia also changed adopting more assertive approaches to meet contemporary challenges. In this conversion spread of faith through preventive action in order to apostasy, </w:t>
      </w:r>
      <w:r w:rsidR="00FA5394" w:rsidRPr="009668E2">
        <w:rPr>
          <w:rFonts w:ascii="Garamond" w:hAnsi="Garamond"/>
          <w:sz w:val="24"/>
          <w:szCs w:val="24"/>
        </w:rPr>
        <w:t>thrust some</w:t>
      </w:r>
      <w:r w:rsidRPr="009668E2">
        <w:rPr>
          <w:rFonts w:ascii="Garamond" w:hAnsi="Garamond"/>
          <w:sz w:val="24"/>
          <w:szCs w:val="24"/>
        </w:rPr>
        <w:t xml:space="preserve"> social media in communication, and directing measure in the activity favors Da</w:t>
      </w:r>
      <w:r w:rsidR="002D4102" w:rsidRPr="009668E2">
        <w:rPr>
          <w:rFonts w:ascii="Garamond" w:hAnsi="Garamond"/>
          <w:sz w:val="24"/>
          <w:szCs w:val="24"/>
        </w:rPr>
        <w:t>’</w:t>
      </w:r>
      <w:r w:rsidRPr="009668E2">
        <w:rPr>
          <w:rFonts w:ascii="Garamond" w:hAnsi="Garamond"/>
          <w:sz w:val="24"/>
          <w:szCs w:val="24"/>
        </w:rPr>
        <w:t>wah.</w:t>
      </w:r>
      <w:r w:rsidR="00FA5394" w:rsidRPr="009668E2">
        <w:rPr>
          <w:rStyle w:val="FootnoteReference"/>
          <w:rFonts w:ascii="Garamond" w:hAnsi="Garamond"/>
          <w:sz w:val="24"/>
          <w:szCs w:val="24"/>
        </w:rPr>
        <w:footnoteReference w:id="46"/>
      </w:r>
      <w:r w:rsidRPr="009668E2">
        <w:rPr>
          <w:rFonts w:ascii="Garamond" w:hAnsi="Garamond"/>
          <w:sz w:val="24"/>
          <w:szCs w:val="24"/>
        </w:rPr>
        <w:t xml:space="preserve"> Digital channels and social media has indeed shaped Da</w:t>
      </w:r>
      <w:r w:rsidR="002D4102" w:rsidRPr="009668E2">
        <w:rPr>
          <w:rFonts w:ascii="Garamond" w:hAnsi="Garamond"/>
          <w:sz w:val="24"/>
          <w:szCs w:val="24"/>
        </w:rPr>
        <w:t>’</w:t>
      </w:r>
      <w:r w:rsidRPr="009668E2">
        <w:rPr>
          <w:rFonts w:ascii="Garamond" w:hAnsi="Garamond"/>
          <w:sz w:val="24"/>
          <w:szCs w:val="24"/>
        </w:rPr>
        <w:t>wah strategies in the dissemination of religious messages geared towards reaching diverse audiences.</w:t>
      </w:r>
      <w:r w:rsidR="00FA5394" w:rsidRPr="009668E2">
        <w:rPr>
          <w:rStyle w:val="FootnoteReference"/>
          <w:rFonts w:ascii="Garamond" w:hAnsi="Garamond"/>
          <w:sz w:val="24"/>
          <w:szCs w:val="24"/>
        </w:rPr>
        <w:footnoteReference w:id="47"/>
      </w:r>
      <w:r w:rsidRPr="009668E2">
        <w:rPr>
          <w:rFonts w:ascii="Garamond" w:hAnsi="Garamond"/>
          <w:sz w:val="24"/>
          <w:szCs w:val="24"/>
        </w:rPr>
        <w:t xml:space="preserve"> Contemporary Da</w:t>
      </w:r>
      <w:r w:rsidR="002D4102" w:rsidRPr="009668E2">
        <w:rPr>
          <w:rFonts w:ascii="Garamond" w:hAnsi="Garamond"/>
          <w:sz w:val="24"/>
          <w:szCs w:val="24"/>
        </w:rPr>
        <w:t>’</w:t>
      </w:r>
      <w:r w:rsidRPr="009668E2">
        <w:rPr>
          <w:rFonts w:ascii="Garamond" w:hAnsi="Garamond"/>
          <w:sz w:val="24"/>
          <w:szCs w:val="24"/>
        </w:rPr>
        <w:t xml:space="preserve">wah practices today deployed search engine optimization, multimedia applications and digital communication to ensure the continuality of wider outreach and engagement. </w:t>
      </w:r>
    </w:p>
    <w:p w14:paraId="3AE49D88" w14:textId="3962A8D3" w:rsidR="009040D4" w:rsidRPr="009668E2" w:rsidRDefault="009040D4" w:rsidP="009668E2">
      <w:pPr>
        <w:pStyle w:val="isi"/>
        <w:jc w:val="both"/>
        <w:rPr>
          <w:rFonts w:ascii="Garamond" w:hAnsi="Garamond"/>
          <w:sz w:val="24"/>
          <w:szCs w:val="24"/>
        </w:rPr>
      </w:pPr>
      <w:r w:rsidRPr="009668E2">
        <w:rPr>
          <w:rFonts w:ascii="Garamond" w:hAnsi="Garamond"/>
          <w:sz w:val="24"/>
          <w:szCs w:val="24"/>
        </w:rPr>
        <w:t>In addition, the development of Da</w:t>
      </w:r>
      <w:r w:rsidR="002D4102" w:rsidRPr="009668E2">
        <w:rPr>
          <w:rFonts w:ascii="Garamond" w:hAnsi="Garamond"/>
          <w:sz w:val="24"/>
          <w:szCs w:val="24"/>
        </w:rPr>
        <w:t>’</w:t>
      </w:r>
      <w:r w:rsidRPr="009668E2">
        <w:rPr>
          <w:rFonts w:ascii="Garamond" w:hAnsi="Garamond"/>
          <w:sz w:val="24"/>
          <w:szCs w:val="24"/>
        </w:rPr>
        <w:t>wah strategies that are more assertive can be seen from the use of persuasion techniques, stories and multimedia that are interesting as a form of delivery or socialization of religious messages and the solution to today</w:t>
      </w:r>
      <w:r w:rsidR="002D4102" w:rsidRPr="009668E2">
        <w:rPr>
          <w:rFonts w:ascii="Garamond" w:hAnsi="Garamond"/>
          <w:sz w:val="24"/>
          <w:szCs w:val="24"/>
        </w:rPr>
        <w:t>’</w:t>
      </w:r>
      <w:r w:rsidRPr="009668E2">
        <w:rPr>
          <w:rFonts w:ascii="Garamond" w:hAnsi="Garamond"/>
          <w:sz w:val="24"/>
          <w:szCs w:val="24"/>
        </w:rPr>
        <w:t>s problems.</w:t>
      </w:r>
      <w:r w:rsidR="008F12B5" w:rsidRPr="009668E2">
        <w:rPr>
          <w:rStyle w:val="FootnoteReference"/>
          <w:rFonts w:ascii="Garamond" w:hAnsi="Garamond"/>
          <w:sz w:val="24"/>
          <w:szCs w:val="24"/>
        </w:rPr>
        <w:footnoteReference w:id="48"/>
      </w:r>
      <w:r w:rsidRPr="009668E2">
        <w:rPr>
          <w:rFonts w:ascii="Garamond" w:hAnsi="Garamond"/>
          <w:sz w:val="24"/>
          <w:szCs w:val="24"/>
        </w:rPr>
        <w:t xml:space="preserve"> These strategies look to coalition-stakeholder engagement, navigate contemporary social complexity and disseminate religious imperatives in innovative ways. This transformation has been </w:t>
      </w:r>
      <w:r w:rsidR="008F12B5" w:rsidRPr="009668E2">
        <w:rPr>
          <w:rFonts w:ascii="Garamond" w:hAnsi="Garamond"/>
          <w:sz w:val="24"/>
          <w:szCs w:val="24"/>
        </w:rPr>
        <w:t>channeled</w:t>
      </w:r>
      <w:r w:rsidRPr="009668E2">
        <w:rPr>
          <w:rFonts w:ascii="Garamond" w:hAnsi="Garamond"/>
          <w:sz w:val="24"/>
          <w:szCs w:val="24"/>
        </w:rPr>
        <w:t xml:space="preserve"> into the forms of </w:t>
      </w:r>
      <w:r w:rsidR="008F12B5" w:rsidRPr="009668E2">
        <w:rPr>
          <w:rFonts w:ascii="Garamond" w:hAnsi="Garamond"/>
          <w:sz w:val="24"/>
          <w:szCs w:val="24"/>
        </w:rPr>
        <w:t>d</w:t>
      </w:r>
      <w:r w:rsidRPr="009668E2">
        <w:rPr>
          <w:rFonts w:ascii="Garamond" w:hAnsi="Garamond"/>
          <w:sz w:val="24"/>
          <w:szCs w:val="24"/>
        </w:rPr>
        <w:t>a</w:t>
      </w:r>
      <w:r w:rsidR="002D4102" w:rsidRPr="009668E2">
        <w:rPr>
          <w:rFonts w:ascii="Garamond" w:hAnsi="Garamond"/>
          <w:sz w:val="24"/>
          <w:szCs w:val="24"/>
        </w:rPr>
        <w:t>’</w:t>
      </w:r>
      <w:r w:rsidRPr="009668E2">
        <w:rPr>
          <w:rFonts w:ascii="Garamond" w:hAnsi="Garamond"/>
          <w:sz w:val="24"/>
          <w:szCs w:val="24"/>
        </w:rPr>
        <w:t xml:space="preserve">wah strategies in Indonesia that are marked by a more assertive character believes because of several factors such as the shifts in societal; demands, technological advances and the space for religious communication. The growing awareness of the benefits of adopting innovative ways and means in carrying out </w:t>
      </w:r>
      <w:r w:rsidR="008F12B5" w:rsidRPr="009668E2">
        <w:rPr>
          <w:rFonts w:ascii="Garamond" w:hAnsi="Garamond"/>
          <w:sz w:val="24"/>
          <w:szCs w:val="24"/>
        </w:rPr>
        <w:t>d</w:t>
      </w:r>
      <w:r w:rsidRPr="009668E2">
        <w:rPr>
          <w:rFonts w:ascii="Garamond" w:hAnsi="Garamond"/>
          <w:sz w:val="24"/>
          <w:szCs w:val="24"/>
        </w:rPr>
        <w:t>a</w:t>
      </w:r>
      <w:r w:rsidR="002D4102" w:rsidRPr="009668E2">
        <w:rPr>
          <w:rFonts w:ascii="Garamond" w:hAnsi="Garamond"/>
          <w:sz w:val="24"/>
          <w:szCs w:val="24"/>
        </w:rPr>
        <w:t>’</w:t>
      </w:r>
      <w:r w:rsidRPr="009668E2">
        <w:rPr>
          <w:rFonts w:ascii="Garamond" w:hAnsi="Garamond"/>
          <w:sz w:val="24"/>
          <w:szCs w:val="24"/>
        </w:rPr>
        <w:t>wah to transmit the message of Islam, engage diverse groups, and maintain Islamic teachings and values.</w:t>
      </w:r>
    </w:p>
    <w:p w14:paraId="6F7C33AF" w14:textId="36D22BE0" w:rsidR="009040D4" w:rsidRPr="009668E2" w:rsidRDefault="009040D4" w:rsidP="009668E2">
      <w:pPr>
        <w:pStyle w:val="isi"/>
        <w:jc w:val="both"/>
        <w:rPr>
          <w:rFonts w:ascii="Garamond" w:hAnsi="Garamond"/>
          <w:sz w:val="24"/>
          <w:szCs w:val="24"/>
        </w:rPr>
      </w:pPr>
      <w:r w:rsidRPr="009668E2">
        <w:rPr>
          <w:rFonts w:ascii="Garamond" w:hAnsi="Garamond"/>
          <w:sz w:val="24"/>
          <w:szCs w:val="24"/>
        </w:rPr>
        <w:t xml:space="preserve">The exposure of </w:t>
      </w:r>
      <w:r w:rsidR="008F12B5" w:rsidRPr="009668E2">
        <w:rPr>
          <w:rFonts w:ascii="Garamond" w:hAnsi="Garamond"/>
          <w:sz w:val="24"/>
          <w:szCs w:val="24"/>
        </w:rPr>
        <w:t>d</w:t>
      </w:r>
      <w:r w:rsidRPr="009668E2">
        <w:rPr>
          <w:rFonts w:ascii="Garamond" w:hAnsi="Garamond"/>
          <w:sz w:val="24"/>
          <w:szCs w:val="24"/>
        </w:rPr>
        <w:t>a</w:t>
      </w:r>
      <w:r w:rsidR="002D4102" w:rsidRPr="009668E2">
        <w:rPr>
          <w:rFonts w:ascii="Garamond" w:hAnsi="Garamond"/>
          <w:sz w:val="24"/>
          <w:szCs w:val="24"/>
        </w:rPr>
        <w:t>’</w:t>
      </w:r>
      <w:r w:rsidRPr="009668E2">
        <w:rPr>
          <w:rFonts w:ascii="Garamond" w:hAnsi="Garamond"/>
          <w:sz w:val="24"/>
          <w:szCs w:val="24"/>
        </w:rPr>
        <w:t>wah against blasphemy case</w:t>
      </w:r>
      <w:r w:rsidR="008F12B5" w:rsidRPr="009668E2">
        <w:rPr>
          <w:rFonts w:ascii="Garamond" w:hAnsi="Garamond"/>
          <w:sz w:val="24"/>
          <w:szCs w:val="24"/>
        </w:rPr>
        <w:t xml:space="preserve"> in Indonesia </w:t>
      </w:r>
      <w:r w:rsidRPr="009668E2">
        <w:rPr>
          <w:rFonts w:ascii="Garamond" w:hAnsi="Garamond"/>
          <w:sz w:val="24"/>
          <w:szCs w:val="24"/>
        </w:rPr>
        <w:t xml:space="preserve">has contributed to the history of demographic change in terms of religious </w:t>
      </w:r>
      <w:r w:rsidRPr="009668E2">
        <w:rPr>
          <w:rFonts w:ascii="Garamond" w:hAnsi="Garamond"/>
          <w:sz w:val="24"/>
          <w:szCs w:val="24"/>
        </w:rPr>
        <w:lastRenderedPageBreak/>
        <w:t xml:space="preserve">thoughts and social dynamics. A pertinent example of this is the rejection of non-Muslim leaders, such as in the case of Basuki </w:t>
      </w:r>
      <w:proofErr w:type="spellStart"/>
      <w:r w:rsidRPr="009668E2">
        <w:rPr>
          <w:rFonts w:ascii="Garamond" w:hAnsi="Garamond"/>
          <w:sz w:val="24"/>
          <w:szCs w:val="24"/>
        </w:rPr>
        <w:t>Tjahya</w:t>
      </w:r>
      <w:proofErr w:type="spellEnd"/>
      <w:r w:rsidRPr="009668E2">
        <w:rPr>
          <w:rFonts w:ascii="Garamond" w:hAnsi="Garamond"/>
          <w:sz w:val="24"/>
          <w:szCs w:val="24"/>
        </w:rPr>
        <w:t xml:space="preserve"> </w:t>
      </w:r>
      <w:proofErr w:type="spellStart"/>
      <w:r w:rsidRPr="009668E2">
        <w:rPr>
          <w:rFonts w:ascii="Garamond" w:hAnsi="Garamond"/>
          <w:sz w:val="24"/>
          <w:szCs w:val="24"/>
        </w:rPr>
        <w:t>Purnama</w:t>
      </w:r>
      <w:proofErr w:type="spellEnd"/>
      <w:r w:rsidRPr="009668E2">
        <w:rPr>
          <w:rFonts w:ascii="Garamond" w:hAnsi="Garamond"/>
          <w:sz w:val="24"/>
          <w:szCs w:val="24"/>
        </w:rPr>
        <w:t xml:space="preserve"> (better known as Ahok), the former Jakarta Governor that was on trial for blasphemy against Quran. These arrests were followed by protests and further allegations of blasphemy against Islam, which sparked resistance among Muslim youth.</w:t>
      </w:r>
      <w:r w:rsidR="008F12B5" w:rsidRPr="009668E2">
        <w:rPr>
          <w:rStyle w:val="FootnoteReference"/>
          <w:rFonts w:ascii="Garamond" w:hAnsi="Garamond"/>
          <w:sz w:val="24"/>
          <w:szCs w:val="24"/>
        </w:rPr>
        <w:footnoteReference w:id="49"/>
      </w:r>
      <w:r w:rsidRPr="009668E2">
        <w:rPr>
          <w:rFonts w:ascii="Garamond" w:hAnsi="Garamond"/>
          <w:sz w:val="24"/>
          <w:szCs w:val="24"/>
        </w:rPr>
        <w:t xml:space="preserve"> </w:t>
      </w:r>
      <w:r w:rsidR="008F12B5" w:rsidRPr="009668E2">
        <w:rPr>
          <w:rFonts w:ascii="Garamond" w:hAnsi="Garamond"/>
          <w:sz w:val="24"/>
          <w:szCs w:val="24"/>
        </w:rPr>
        <w:t>The next</w:t>
      </w:r>
      <w:r w:rsidRPr="009668E2">
        <w:rPr>
          <w:rFonts w:ascii="Garamond" w:hAnsi="Garamond"/>
          <w:sz w:val="24"/>
          <w:szCs w:val="24"/>
        </w:rPr>
        <w:t xml:space="preserve"> case study of the victimization of Ahmadiyya</w:t>
      </w:r>
      <w:r w:rsidR="008F12B5" w:rsidRPr="009668E2">
        <w:rPr>
          <w:rFonts w:ascii="Garamond" w:hAnsi="Garamond"/>
          <w:sz w:val="24"/>
          <w:szCs w:val="24"/>
        </w:rPr>
        <w:t>h</w:t>
      </w:r>
      <w:r w:rsidRPr="009668E2">
        <w:rPr>
          <w:rFonts w:ascii="Garamond" w:hAnsi="Garamond"/>
          <w:sz w:val="24"/>
          <w:szCs w:val="24"/>
        </w:rPr>
        <w:t xml:space="preserve"> in Indonesia, again heavily discriminated against with various violence charges (mostly of heresy) against its member. Putra et al.</w:t>
      </w:r>
      <w:r w:rsidR="008F12B5" w:rsidRPr="009668E2">
        <w:rPr>
          <w:rFonts w:ascii="Garamond" w:hAnsi="Garamond"/>
          <w:sz w:val="24"/>
          <w:szCs w:val="24"/>
        </w:rPr>
        <w:t xml:space="preserve"> </w:t>
      </w:r>
      <w:r w:rsidRPr="009668E2">
        <w:rPr>
          <w:rFonts w:ascii="Garamond" w:hAnsi="Garamond"/>
          <w:sz w:val="24"/>
          <w:szCs w:val="24"/>
        </w:rPr>
        <w:t>discuss the implementation of these above challenges by referring on how difficult for Ahmadiyya</w:t>
      </w:r>
      <w:r w:rsidR="008F12B5" w:rsidRPr="009668E2">
        <w:rPr>
          <w:rFonts w:ascii="Garamond" w:hAnsi="Garamond"/>
          <w:sz w:val="24"/>
          <w:szCs w:val="24"/>
        </w:rPr>
        <w:t>h</w:t>
      </w:r>
      <w:r w:rsidRPr="009668E2">
        <w:rPr>
          <w:rFonts w:ascii="Garamond" w:hAnsi="Garamond"/>
          <w:sz w:val="24"/>
          <w:szCs w:val="24"/>
        </w:rPr>
        <w:t xml:space="preserve"> community to be an </w:t>
      </w:r>
      <w:proofErr w:type="spellStart"/>
      <w:r w:rsidRPr="009668E2">
        <w:rPr>
          <w:rFonts w:ascii="Garamond" w:hAnsi="Garamond"/>
          <w:sz w:val="24"/>
          <w:szCs w:val="24"/>
        </w:rPr>
        <w:t>interpart</w:t>
      </w:r>
      <w:proofErr w:type="spellEnd"/>
      <w:r w:rsidRPr="009668E2">
        <w:rPr>
          <w:rFonts w:ascii="Garamond" w:hAnsi="Garamond"/>
          <w:sz w:val="24"/>
          <w:szCs w:val="24"/>
        </w:rPr>
        <w:t xml:space="preserve"> in religious pluralism, and what kind of tolerance in Indonesia needs a further investigation.</w:t>
      </w:r>
      <w:r w:rsidR="008F12B5" w:rsidRPr="009668E2">
        <w:rPr>
          <w:rStyle w:val="FootnoteReference"/>
          <w:rFonts w:ascii="Garamond" w:hAnsi="Garamond"/>
          <w:sz w:val="24"/>
          <w:szCs w:val="24"/>
        </w:rPr>
        <w:footnoteReference w:id="50"/>
      </w:r>
      <w:r w:rsidRPr="009668E2">
        <w:rPr>
          <w:rFonts w:ascii="Garamond" w:hAnsi="Garamond"/>
          <w:sz w:val="24"/>
          <w:szCs w:val="24"/>
        </w:rPr>
        <w:t xml:space="preserve"> On the other hand, discussion of blasphemy in Indonesia has come under both legal and social examinations. This legal analysis compares blasphemy law in Indonesia with other countries, including Ireland and Canada, to understand the legal framework of criminalizing blasphemy and its impact on freedom of religion or belief and social harmony.</w:t>
      </w:r>
      <w:r w:rsidR="008F12B5" w:rsidRPr="009668E2">
        <w:rPr>
          <w:rStyle w:val="FootnoteReference"/>
          <w:rFonts w:ascii="Garamond" w:hAnsi="Garamond"/>
          <w:sz w:val="24"/>
          <w:szCs w:val="24"/>
        </w:rPr>
        <w:footnoteReference w:id="51"/>
      </w:r>
      <w:r w:rsidRPr="009668E2">
        <w:rPr>
          <w:rFonts w:ascii="Garamond" w:hAnsi="Garamond"/>
          <w:sz w:val="24"/>
          <w:szCs w:val="24"/>
        </w:rPr>
        <w:t xml:space="preserve"> Also, the use of digital platforms and social media in Da</w:t>
      </w:r>
      <w:r w:rsidR="002D4102" w:rsidRPr="009668E2">
        <w:rPr>
          <w:rFonts w:ascii="Garamond" w:hAnsi="Garamond"/>
          <w:sz w:val="24"/>
          <w:szCs w:val="24"/>
        </w:rPr>
        <w:t>’</w:t>
      </w:r>
      <w:r w:rsidRPr="009668E2">
        <w:rPr>
          <w:rFonts w:ascii="Garamond" w:hAnsi="Garamond"/>
          <w:sz w:val="24"/>
          <w:szCs w:val="24"/>
        </w:rPr>
        <w:t>wah activities has been a progressive step towards solving blasphemy problems. Taken together, these case studies shed light on the intertwined character of Da</w:t>
      </w:r>
      <w:r w:rsidR="002D4102" w:rsidRPr="009668E2">
        <w:rPr>
          <w:rFonts w:ascii="Garamond" w:hAnsi="Garamond"/>
          <w:sz w:val="24"/>
          <w:szCs w:val="24"/>
        </w:rPr>
        <w:t>’</w:t>
      </w:r>
      <w:r w:rsidRPr="009668E2">
        <w:rPr>
          <w:rFonts w:ascii="Garamond" w:hAnsi="Garamond"/>
          <w:sz w:val="24"/>
          <w:szCs w:val="24"/>
        </w:rPr>
        <w:t xml:space="preserve">wah against blasphemy in Indonesia, echoing how religious discourse, legal system, </w:t>
      </w:r>
      <w:r w:rsidR="008F12B5" w:rsidRPr="009668E2">
        <w:rPr>
          <w:rFonts w:ascii="Garamond" w:hAnsi="Garamond"/>
          <w:sz w:val="24"/>
          <w:szCs w:val="24"/>
        </w:rPr>
        <w:t xml:space="preserve">and </w:t>
      </w:r>
      <w:r w:rsidRPr="009668E2">
        <w:rPr>
          <w:rFonts w:ascii="Garamond" w:hAnsi="Garamond"/>
          <w:sz w:val="24"/>
          <w:szCs w:val="24"/>
        </w:rPr>
        <w:t>social context played out in dealing with questions of religious tolerance, freedom of expression and societal harmony.</w:t>
      </w:r>
    </w:p>
    <w:p w14:paraId="7E712ADE" w14:textId="77777777" w:rsidR="008F12B5" w:rsidRPr="009668E2" w:rsidRDefault="008F12B5" w:rsidP="009668E2">
      <w:pPr>
        <w:pStyle w:val="isi"/>
        <w:jc w:val="both"/>
        <w:rPr>
          <w:rFonts w:ascii="Garamond" w:hAnsi="Garamond"/>
          <w:sz w:val="24"/>
          <w:szCs w:val="24"/>
          <w:lang w:val="en-GB"/>
        </w:rPr>
      </w:pPr>
    </w:p>
    <w:p w14:paraId="49F6ECAC" w14:textId="25FEAF87" w:rsidR="0025226D" w:rsidRPr="009668E2" w:rsidRDefault="0025226D" w:rsidP="009668E2">
      <w:pPr>
        <w:pStyle w:val="bag"/>
        <w:spacing w:before="0" w:after="0"/>
        <w:rPr>
          <w:rFonts w:ascii="Garamond" w:hAnsi="Garamond"/>
          <w:sz w:val="24"/>
          <w:szCs w:val="24"/>
          <w:lang w:val="en-GB"/>
        </w:rPr>
      </w:pPr>
      <w:r w:rsidRPr="009668E2">
        <w:rPr>
          <w:rFonts w:ascii="Garamond" w:hAnsi="Garamond"/>
          <w:sz w:val="24"/>
          <w:szCs w:val="24"/>
          <w:lang w:val="en-GB"/>
        </w:rPr>
        <w:t>Contemporary Perspectives</w:t>
      </w:r>
      <w:r w:rsidR="003E55EF" w:rsidRPr="009668E2">
        <w:rPr>
          <w:rFonts w:ascii="Garamond" w:hAnsi="Garamond"/>
          <w:sz w:val="24"/>
          <w:szCs w:val="24"/>
          <w:lang w:val="en-GB"/>
        </w:rPr>
        <w:t xml:space="preserve"> of Da</w:t>
      </w:r>
      <w:r w:rsidR="002D4102" w:rsidRPr="009668E2">
        <w:rPr>
          <w:rFonts w:ascii="Garamond" w:hAnsi="Garamond"/>
          <w:sz w:val="24"/>
          <w:szCs w:val="24"/>
          <w:lang w:val="en-GB"/>
        </w:rPr>
        <w:t>’</w:t>
      </w:r>
      <w:r w:rsidR="003E55EF" w:rsidRPr="009668E2">
        <w:rPr>
          <w:rFonts w:ascii="Garamond" w:hAnsi="Garamond"/>
          <w:sz w:val="24"/>
          <w:szCs w:val="24"/>
          <w:lang w:val="en-GB"/>
        </w:rPr>
        <w:t>wah in Indonesia</w:t>
      </w:r>
    </w:p>
    <w:p w14:paraId="5E2B9E79" w14:textId="539A14BB" w:rsidR="003E55EF" w:rsidRPr="009668E2" w:rsidRDefault="003E55EF" w:rsidP="009668E2">
      <w:pPr>
        <w:pStyle w:val="isi"/>
        <w:jc w:val="both"/>
        <w:rPr>
          <w:rFonts w:ascii="Garamond" w:hAnsi="Garamond"/>
          <w:sz w:val="24"/>
          <w:szCs w:val="24"/>
        </w:rPr>
      </w:pPr>
      <w:r w:rsidRPr="009668E2">
        <w:rPr>
          <w:rFonts w:ascii="Garamond" w:hAnsi="Garamond"/>
          <w:sz w:val="24"/>
          <w:szCs w:val="24"/>
        </w:rPr>
        <w:t>Social media and the internet have revolutionized Da</w:t>
      </w:r>
      <w:r w:rsidR="002D4102" w:rsidRPr="009668E2">
        <w:rPr>
          <w:rFonts w:ascii="Garamond" w:hAnsi="Garamond"/>
          <w:sz w:val="24"/>
          <w:szCs w:val="24"/>
        </w:rPr>
        <w:t>’</w:t>
      </w:r>
      <w:r w:rsidRPr="009668E2">
        <w:rPr>
          <w:rFonts w:ascii="Garamond" w:hAnsi="Garamond"/>
          <w:sz w:val="24"/>
          <w:szCs w:val="24"/>
        </w:rPr>
        <w:t>wah movements across Indonesia, transforming the flow of religious messages and audience interaction. Islamic outreach is no doubt more easily obtained and global in the digital age.</w:t>
      </w:r>
      <w:r w:rsidR="00FE1657" w:rsidRPr="009668E2">
        <w:rPr>
          <w:rFonts w:ascii="Garamond" w:hAnsi="Garamond"/>
          <w:sz w:val="24"/>
          <w:szCs w:val="24"/>
        </w:rPr>
        <w:t xml:space="preserve"> Taking example from </w:t>
      </w:r>
      <w:r w:rsidRPr="009668E2">
        <w:rPr>
          <w:rFonts w:ascii="Garamond" w:hAnsi="Garamond"/>
          <w:sz w:val="24"/>
          <w:szCs w:val="24"/>
        </w:rPr>
        <w:t>Bandung</w:t>
      </w:r>
      <w:r w:rsidR="00FE1657" w:rsidRPr="009668E2">
        <w:rPr>
          <w:rFonts w:ascii="Garamond" w:hAnsi="Garamond"/>
          <w:sz w:val="24"/>
          <w:szCs w:val="24"/>
        </w:rPr>
        <w:t xml:space="preserve"> of West Java,</w:t>
      </w:r>
      <w:r w:rsidRPr="009668E2">
        <w:rPr>
          <w:rFonts w:ascii="Garamond" w:hAnsi="Garamond"/>
          <w:sz w:val="24"/>
          <w:szCs w:val="24"/>
        </w:rPr>
        <w:t xml:space="preserve"> social media has initiated the formation of digital Islamic social networks, which are marked by the presence of Muslim intellectuals who are influential in establishing </w:t>
      </w:r>
      <w:r w:rsidR="00FE1657" w:rsidRPr="009668E2">
        <w:rPr>
          <w:rFonts w:ascii="Garamond" w:hAnsi="Garamond"/>
          <w:sz w:val="24"/>
          <w:szCs w:val="24"/>
        </w:rPr>
        <w:t>d</w:t>
      </w:r>
      <w:r w:rsidRPr="009668E2">
        <w:rPr>
          <w:rFonts w:ascii="Garamond" w:hAnsi="Garamond"/>
          <w:sz w:val="24"/>
          <w:szCs w:val="24"/>
        </w:rPr>
        <w:t>a</w:t>
      </w:r>
      <w:r w:rsidR="002D4102" w:rsidRPr="009668E2">
        <w:rPr>
          <w:rFonts w:ascii="Garamond" w:hAnsi="Garamond"/>
          <w:sz w:val="24"/>
          <w:szCs w:val="24"/>
        </w:rPr>
        <w:t>’</w:t>
      </w:r>
      <w:r w:rsidRPr="009668E2">
        <w:rPr>
          <w:rFonts w:ascii="Garamond" w:hAnsi="Garamond"/>
          <w:sz w:val="24"/>
          <w:szCs w:val="24"/>
        </w:rPr>
        <w:t xml:space="preserve">wah activities </w:t>
      </w:r>
      <w:r w:rsidRPr="009668E2">
        <w:rPr>
          <w:rFonts w:ascii="Garamond" w:hAnsi="Garamond"/>
          <w:sz w:val="24"/>
          <w:szCs w:val="24"/>
        </w:rPr>
        <w:lastRenderedPageBreak/>
        <w:t>at universities.</w:t>
      </w:r>
      <w:r w:rsidR="00FE1657" w:rsidRPr="009668E2">
        <w:rPr>
          <w:rStyle w:val="FootnoteReference"/>
          <w:rFonts w:ascii="Garamond" w:hAnsi="Garamond"/>
          <w:sz w:val="24"/>
          <w:szCs w:val="24"/>
        </w:rPr>
        <w:footnoteReference w:id="52"/>
      </w:r>
      <w:r w:rsidRPr="009668E2">
        <w:rPr>
          <w:rFonts w:ascii="Garamond" w:hAnsi="Garamond"/>
          <w:sz w:val="24"/>
          <w:szCs w:val="24"/>
        </w:rPr>
        <w:t xml:space="preserve"> Similarly, the convergent digital media era has also had its impacts on Da</w:t>
      </w:r>
      <w:r w:rsidR="002D4102" w:rsidRPr="009668E2">
        <w:rPr>
          <w:rFonts w:ascii="Garamond" w:hAnsi="Garamond"/>
          <w:sz w:val="24"/>
          <w:szCs w:val="24"/>
        </w:rPr>
        <w:t>’</w:t>
      </w:r>
      <w:r w:rsidRPr="009668E2">
        <w:rPr>
          <w:rFonts w:ascii="Garamond" w:hAnsi="Garamond"/>
          <w:sz w:val="24"/>
          <w:szCs w:val="24"/>
        </w:rPr>
        <w:t>wah by manifesting cyber Da</w:t>
      </w:r>
      <w:r w:rsidR="002D4102" w:rsidRPr="009668E2">
        <w:rPr>
          <w:rFonts w:ascii="Garamond" w:hAnsi="Garamond"/>
          <w:sz w:val="24"/>
          <w:szCs w:val="24"/>
        </w:rPr>
        <w:t>’</w:t>
      </w:r>
      <w:r w:rsidRPr="009668E2">
        <w:rPr>
          <w:rFonts w:ascii="Garamond" w:hAnsi="Garamond"/>
          <w:sz w:val="24"/>
          <w:szCs w:val="24"/>
        </w:rPr>
        <w:t>wah activism as a manifestation of political and ideological motives in online religious messages.</w:t>
      </w:r>
      <w:r w:rsidR="00FE1657" w:rsidRPr="009668E2">
        <w:rPr>
          <w:rStyle w:val="FootnoteReference"/>
          <w:rFonts w:ascii="Garamond" w:hAnsi="Garamond"/>
          <w:sz w:val="24"/>
          <w:szCs w:val="24"/>
        </w:rPr>
        <w:footnoteReference w:id="53"/>
      </w:r>
      <w:r w:rsidRPr="009668E2">
        <w:rPr>
          <w:rFonts w:ascii="Garamond" w:hAnsi="Garamond"/>
          <w:sz w:val="24"/>
          <w:szCs w:val="24"/>
        </w:rPr>
        <w:t xml:space="preserve"> This practice of utilizing social media and live streaming has been especially important for Da</w:t>
      </w:r>
      <w:r w:rsidR="002D4102" w:rsidRPr="009668E2">
        <w:rPr>
          <w:rFonts w:ascii="Garamond" w:hAnsi="Garamond"/>
          <w:sz w:val="24"/>
          <w:szCs w:val="24"/>
        </w:rPr>
        <w:t>’</w:t>
      </w:r>
      <w:r w:rsidRPr="009668E2">
        <w:rPr>
          <w:rFonts w:ascii="Garamond" w:hAnsi="Garamond"/>
          <w:sz w:val="24"/>
          <w:szCs w:val="24"/>
        </w:rPr>
        <w:t>wah during the pandemic period, giving students an opportunity to engage with wider audiences and carry on their work despite limitations.</w:t>
      </w:r>
      <w:r w:rsidR="00FE1657" w:rsidRPr="009668E2">
        <w:rPr>
          <w:rStyle w:val="FootnoteReference"/>
          <w:rFonts w:ascii="Garamond" w:hAnsi="Garamond"/>
          <w:sz w:val="24"/>
          <w:szCs w:val="24"/>
        </w:rPr>
        <w:footnoteReference w:id="54"/>
      </w:r>
      <w:r w:rsidRPr="009668E2">
        <w:rPr>
          <w:rFonts w:ascii="Garamond" w:hAnsi="Garamond"/>
          <w:sz w:val="24"/>
          <w:szCs w:val="24"/>
        </w:rPr>
        <w:t xml:space="preserve"> Specifically, digital media role as a Da</w:t>
      </w:r>
      <w:r w:rsidR="002D4102" w:rsidRPr="009668E2">
        <w:rPr>
          <w:rFonts w:ascii="Garamond" w:hAnsi="Garamond"/>
          <w:sz w:val="24"/>
          <w:szCs w:val="24"/>
        </w:rPr>
        <w:t>’</w:t>
      </w:r>
      <w:r w:rsidRPr="009668E2">
        <w:rPr>
          <w:rFonts w:ascii="Garamond" w:hAnsi="Garamond"/>
          <w:sz w:val="24"/>
          <w:szCs w:val="24"/>
        </w:rPr>
        <w:t>wah tool is very much visible and important as it acts spreading messages of religion to the public at large with thematically interactive and remotely engaging.</w:t>
      </w:r>
      <w:r w:rsidR="00FE1657" w:rsidRPr="009668E2">
        <w:rPr>
          <w:rStyle w:val="FootnoteReference"/>
          <w:rFonts w:ascii="Garamond" w:hAnsi="Garamond"/>
          <w:sz w:val="24"/>
          <w:szCs w:val="24"/>
        </w:rPr>
        <w:footnoteReference w:id="55"/>
      </w:r>
      <w:r w:rsidRPr="009668E2">
        <w:rPr>
          <w:rFonts w:ascii="Garamond" w:hAnsi="Garamond"/>
          <w:sz w:val="24"/>
          <w:szCs w:val="24"/>
        </w:rPr>
        <w:t xml:space="preserve"> By way of example, the </w:t>
      </w:r>
      <w:proofErr w:type="spellStart"/>
      <w:r w:rsidRPr="009668E2">
        <w:rPr>
          <w:rFonts w:ascii="Garamond" w:hAnsi="Garamond"/>
          <w:sz w:val="24"/>
          <w:szCs w:val="24"/>
        </w:rPr>
        <w:t>Tastafi</w:t>
      </w:r>
      <w:proofErr w:type="spellEnd"/>
      <w:r w:rsidRPr="009668E2">
        <w:rPr>
          <w:rFonts w:ascii="Garamond" w:hAnsi="Garamond"/>
          <w:sz w:val="24"/>
          <w:szCs w:val="24"/>
        </w:rPr>
        <w:t xml:space="preserve"> Da</w:t>
      </w:r>
      <w:r w:rsidR="002D4102" w:rsidRPr="009668E2">
        <w:rPr>
          <w:rFonts w:ascii="Garamond" w:hAnsi="Garamond"/>
          <w:sz w:val="24"/>
          <w:szCs w:val="24"/>
        </w:rPr>
        <w:t>’</w:t>
      </w:r>
      <w:r w:rsidRPr="009668E2">
        <w:rPr>
          <w:rFonts w:ascii="Garamond" w:hAnsi="Garamond"/>
          <w:sz w:val="24"/>
          <w:szCs w:val="24"/>
        </w:rPr>
        <w:t>wah movement during the pandemic shows how social media and live streaming enabled practitioners to scale up and respond at speed.</w:t>
      </w:r>
      <w:r w:rsidR="00FE1657" w:rsidRPr="009668E2">
        <w:rPr>
          <w:rStyle w:val="FootnoteReference"/>
          <w:rFonts w:ascii="Garamond" w:hAnsi="Garamond"/>
          <w:sz w:val="24"/>
          <w:szCs w:val="24"/>
        </w:rPr>
        <w:footnoteReference w:id="56"/>
      </w:r>
      <w:r w:rsidR="00FE1657" w:rsidRPr="009668E2">
        <w:rPr>
          <w:rFonts w:ascii="Garamond" w:hAnsi="Garamond"/>
          <w:sz w:val="24"/>
          <w:szCs w:val="24"/>
        </w:rPr>
        <w:t xml:space="preserve"> </w:t>
      </w:r>
      <w:r w:rsidRPr="009668E2">
        <w:rPr>
          <w:rFonts w:ascii="Garamond" w:hAnsi="Garamond"/>
          <w:sz w:val="24"/>
          <w:szCs w:val="24"/>
        </w:rPr>
        <w:t>This is an advancement in Da</w:t>
      </w:r>
      <w:r w:rsidR="002D4102" w:rsidRPr="009668E2">
        <w:rPr>
          <w:rFonts w:ascii="Garamond" w:hAnsi="Garamond"/>
          <w:sz w:val="24"/>
          <w:szCs w:val="24"/>
        </w:rPr>
        <w:t>’</w:t>
      </w:r>
      <w:r w:rsidRPr="009668E2">
        <w:rPr>
          <w:rFonts w:ascii="Garamond" w:hAnsi="Garamond"/>
          <w:sz w:val="24"/>
          <w:szCs w:val="24"/>
        </w:rPr>
        <w:t>wah strategies in the country by embracing social media and internet to improve communication, involve the audience and increase influence.</w:t>
      </w:r>
    </w:p>
    <w:p w14:paraId="4A6B6B63" w14:textId="454046F2" w:rsidR="003E55EF" w:rsidRPr="009668E2" w:rsidRDefault="003E55EF" w:rsidP="009668E2">
      <w:pPr>
        <w:pStyle w:val="isi"/>
        <w:jc w:val="both"/>
        <w:rPr>
          <w:rFonts w:ascii="Garamond" w:hAnsi="Garamond"/>
          <w:sz w:val="24"/>
          <w:szCs w:val="24"/>
        </w:rPr>
      </w:pPr>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wah practices in Indonesia are also partially defined by state regulations, and laws on blasphemy. Respecting religious freedom, appreciating differences and focusing on positive goals in Da</w:t>
      </w:r>
      <w:r w:rsidR="002D4102" w:rsidRPr="009668E2">
        <w:rPr>
          <w:rFonts w:ascii="Garamond" w:hAnsi="Garamond"/>
          <w:sz w:val="24"/>
          <w:szCs w:val="24"/>
        </w:rPr>
        <w:t>’</w:t>
      </w:r>
      <w:r w:rsidRPr="009668E2">
        <w:rPr>
          <w:rFonts w:ascii="Garamond" w:hAnsi="Garamond"/>
          <w:sz w:val="24"/>
          <w:szCs w:val="24"/>
        </w:rPr>
        <w:t>wah efforts could be a good way to create tolerance, harmony and peace among religious communities.</w:t>
      </w:r>
      <w:r w:rsidR="00C924BE" w:rsidRPr="009668E2">
        <w:rPr>
          <w:rStyle w:val="FootnoteReference"/>
          <w:rFonts w:ascii="Garamond" w:hAnsi="Garamond"/>
          <w:sz w:val="24"/>
          <w:szCs w:val="24"/>
        </w:rPr>
        <w:footnoteReference w:id="57"/>
      </w:r>
      <w:r w:rsidRPr="009668E2">
        <w:rPr>
          <w:rFonts w:ascii="Garamond" w:hAnsi="Garamond"/>
          <w:sz w:val="24"/>
          <w:szCs w:val="24"/>
        </w:rPr>
        <w:t xml:space="preserve"> Such informing depicts one of the key techniques to advance comprehension and concordance as Indonesia traverses its differing strict scene: teaching Muslim minority gatherings, excepting insights with feelings of dread for security or hawks promoting moderate convention.</w:t>
      </w:r>
      <w:r w:rsidR="00C924BE" w:rsidRPr="009668E2">
        <w:rPr>
          <w:rStyle w:val="FootnoteReference"/>
          <w:rFonts w:ascii="Garamond" w:hAnsi="Garamond"/>
          <w:sz w:val="24"/>
          <w:szCs w:val="24"/>
        </w:rPr>
        <w:footnoteReference w:id="58"/>
      </w:r>
      <w:r w:rsidRPr="009668E2">
        <w:rPr>
          <w:rFonts w:ascii="Garamond" w:hAnsi="Garamond"/>
          <w:sz w:val="24"/>
          <w:szCs w:val="24"/>
        </w:rPr>
        <w:t xml:space="preserve"> The integration between religion and state by fostering the values of anti-radicalism, religious </w:t>
      </w:r>
      <w:r w:rsidRPr="009668E2">
        <w:rPr>
          <w:rFonts w:ascii="Garamond" w:hAnsi="Garamond"/>
          <w:sz w:val="24"/>
          <w:szCs w:val="24"/>
        </w:rPr>
        <w:lastRenderedPageBreak/>
        <w:t>moderation, nationalism, tolerance and encouragement for local cultures to reduce conflicts in with other beliefs.</w:t>
      </w:r>
      <w:r w:rsidR="00C924BE" w:rsidRPr="009668E2">
        <w:rPr>
          <w:rStyle w:val="FootnoteReference"/>
          <w:rFonts w:ascii="Garamond" w:hAnsi="Garamond"/>
          <w:sz w:val="24"/>
          <w:szCs w:val="24"/>
        </w:rPr>
        <w:footnoteReference w:id="59"/>
      </w:r>
    </w:p>
    <w:p w14:paraId="1603903B" w14:textId="5004DB91" w:rsidR="003E55EF" w:rsidRPr="009668E2" w:rsidRDefault="003E55EF" w:rsidP="009668E2">
      <w:pPr>
        <w:pStyle w:val="isi"/>
        <w:jc w:val="both"/>
        <w:rPr>
          <w:rFonts w:ascii="Garamond" w:hAnsi="Garamond"/>
          <w:sz w:val="24"/>
          <w:szCs w:val="24"/>
        </w:rPr>
      </w:pPr>
      <w:r w:rsidRPr="009668E2">
        <w:rPr>
          <w:rFonts w:ascii="Garamond" w:hAnsi="Garamond"/>
          <w:sz w:val="24"/>
          <w:szCs w:val="24"/>
        </w:rPr>
        <w:t>The state regulations and laws of blasphemy affect the Da</w:t>
      </w:r>
      <w:r w:rsidR="002D4102" w:rsidRPr="009668E2">
        <w:rPr>
          <w:rFonts w:ascii="Garamond" w:hAnsi="Garamond"/>
          <w:sz w:val="24"/>
          <w:szCs w:val="24"/>
        </w:rPr>
        <w:t>’</w:t>
      </w:r>
      <w:r w:rsidRPr="009668E2">
        <w:rPr>
          <w:rFonts w:ascii="Garamond" w:hAnsi="Garamond"/>
          <w:sz w:val="24"/>
          <w:szCs w:val="24"/>
        </w:rPr>
        <w:t>wah by encouraging religious tolerance, education, in terms of faith and as well moderation. It is through the dynamics of legal systems, social norms and religious doctrines that guides Da</w:t>
      </w:r>
      <w:r w:rsidR="002D4102" w:rsidRPr="009668E2">
        <w:rPr>
          <w:rFonts w:ascii="Garamond" w:hAnsi="Garamond"/>
          <w:sz w:val="24"/>
          <w:szCs w:val="24"/>
        </w:rPr>
        <w:t>’</w:t>
      </w:r>
      <w:r w:rsidRPr="009668E2">
        <w:rPr>
          <w:rFonts w:ascii="Garamond" w:hAnsi="Garamond"/>
          <w:sz w:val="24"/>
          <w:szCs w:val="24"/>
        </w:rPr>
        <w:t>wah practitioners to manage the narrative of religion and maintain its balance within Indonesian society.</w:t>
      </w:r>
    </w:p>
    <w:p w14:paraId="14C5D758" w14:textId="77777777" w:rsidR="0068108C" w:rsidRPr="009668E2" w:rsidRDefault="0068108C" w:rsidP="009668E2">
      <w:pPr>
        <w:pStyle w:val="isi"/>
        <w:jc w:val="both"/>
        <w:rPr>
          <w:rFonts w:ascii="Garamond" w:hAnsi="Garamond"/>
          <w:sz w:val="24"/>
          <w:szCs w:val="24"/>
        </w:rPr>
      </w:pPr>
    </w:p>
    <w:p w14:paraId="6AEABED9" w14:textId="6988B535" w:rsidR="0025226D" w:rsidRPr="009668E2" w:rsidRDefault="0025226D" w:rsidP="009668E2">
      <w:pPr>
        <w:pStyle w:val="bag"/>
        <w:spacing w:before="0" w:after="0"/>
        <w:rPr>
          <w:rFonts w:ascii="Garamond" w:hAnsi="Garamond"/>
          <w:sz w:val="24"/>
          <w:szCs w:val="24"/>
          <w:lang w:val="en-GB"/>
        </w:rPr>
      </w:pPr>
      <w:r w:rsidRPr="009668E2">
        <w:rPr>
          <w:rFonts w:ascii="Garamond" w:hAnsi="Garamond"/>
          <w:sz w:val="24"/>
          <w:szCs w:val="24"/>
          <w:lang w:val="en-GB"/>
        </w:rPr>
        <w:t>Discussion</w:t>
      </w:r>
      <w:r w:rsidR="00284E0C" w:rsidRPr="009668E2">
        <w:rPr>
          <w:rFonts w:ascii="Garamond" w:hAnsi="Garamond"/>
          <w:sz w:val="24"/>
          <w:szCs w:val="24"/>
          <w:lang w:val="en-GB"/>
        </w:rPr>
        <w:t>: Promoting Peace through Da</w:t>
      </w:r>
      <w:r w:rsidR="002D4102" w:rsidRPr="009668E2">
        <w:rPr>
          <w:rFonts w:ascii="Garamond" w:hAnsi="Garamond"/>
          <w:sz w:val="24"/>
          <w:szCs w:val="24"/>
          <w:lang w:val="en-GB"/>
        </w:rPr>
        <w:t>’</w:t>
      </w:r>
      <w:r w:rsidR="00284E0C" w:rsidRPr="009668E2">
        <w:rPr>
          <w:rFonts w:ascii="Garamond" w:hAnsi="Garamond"/>
          <w:sz w:val="24"/>
          <w:szCs w:val="24"/>
          <w:lang w:val="en-GB"/>
        </w:rPr>
        <w:t>wah</w:t>
      </w:r>
    </w:p>
    <w:p w14:paraId="140F379B" w14:textId="1136D8B1" w:rsidR="00A97791" w:rsidRPr="009668E2" w:rsidRDefault="00BC401D" w:rsidP="009668E2">
      <w:pPr>
        <w:pStyle w:val="isi"/>
        <w:jc w:val="both"/>
        <w:rPr>
          <w:rFonts w:ascii="Garamond" w:hAnsi="Garamond"/>
          <w:sz w:val="24"/>
          <w:szCs w:val="24"/>
          <w:lang w:val="en-GB"/>
        </w:rPr>
      </w:pPr>
      <w:r w:rsidRPr="009668E2">
        <w:rPr>
          <w:rFonts w:ascii="Garamond" w:hAnsi="Garamond"/>
          <w:sz w:val="24"/>
          <w:szCs w:val="24"/>
          <w:lang w:val="en-GB"/>
        </w:rPr>
        <w:t>Da</w:t>
      </w:r>
      <w:r w:rsidR="002D4102" w:rsidRPr="009668E2">
        <w:rPr>
          <w:rFonts w:ascii="Garamond" w:hAnsi="Garamond"/>
          <w:sz w:val="24"/>
          <w:szCs w:val="24"/>
          <w:lang w:val="en-GB"/>
        </w:rPr>
        <w:t>’</w:t>
      </w:r>
      <w:r w:rsidRPr="009668E2">
        <w:rPr>
          <w:rFonts w:ascii="Garamond" w:hAnsi="Garamond"/>
          <w:sz w:val="24"/>
          <w:szCs w:val="24"/>
          <w:lang w:val="en-GB"/>
        </w:rPr>
        <w:t>wah, which translates to the act of inviting individuals to understand and embrace Islam, in Indonesia has taken a new turn specifically in relation to the question of blasphemy. Some of the approaches and strategies have changed over the years in Da</w:t>
      </w:r>
      <w:r w:rsidR="002D4102" w:rsidRPr="009668E2">
        <w:rPr>
          <w:rFonts w:ascii="Garamond" w:hAnsi="Garamond"/>
          <w:sz w:val="24"/>
          <w:szCs w:val="24"/>
          <w:lang w:val="en-GB"/>
        </w:rPr>
        <w:t>’</w:t>
      </w:r>
      <w:r w:rsidRPr="009668E2">
        <w:rPr>
          <w:rFonts w:ascii="Garamond" w:hAnsi="Garamond"/>
          <w:sz w:val="24"/>
          <w:szCs w:val="24"/>
          <w:lang w:val="en-GB"/>
        </w:rPr>
        <w:t>wah efforts and for some, remained unchanged. In Indonesia, however, Da</w:t>
      </w:r>
      <w:r w:rsidR="002D4102" w:rsidRPr="009668E2">
        <w:rPr>
          <w:rFonts w:ascii="Garamond" w:hAnsi="Garamond"/>
          <w:sz w:val="24"/>
          <w:szCs w:val="24"/>
          <w:lang w:val="en-GB"/>
        </w:rPr>
        <w:t>’</w:t>
      </w:r>
      <w:r w:rsidRPr="009668E2">
        <w:rPr>
          <w:rFonts w:ascii="Garamond" w:hAnsi="Garamond"/>
          <w:sz w:val="24"/>
          <w:szCs w:val="24"/>
          <w:lang w:val="en-GB"/>
        </w:rPr>
        <w:t>wah has been one of the most effective ways to deal with social problems and at the same time maintain peace in a plural society.</w:t>
      </w:r>
      <w:r w:rsidRPr="009668E2">
        <w:rPr>
          <w:rStyle w:val="FootnoteReference"/>
          <w:rFonts w:ascii="Garamond" w:hAnsi="Garamond"/>
          <w:sz w:val="24"/>
          <w:szCs w:val="24"/>
          <w:lang w:val="en-GB"/>
        </w:rPr>
        <w:footnoteReference w:id="60"/>
      </w:r>
      <w:r w:rsidRPr="009668E2">
        <w:rPr>
          <w:rFonts w:ascii="Garamond" w:hAnsi="Garamond"/>
          <w:sz w:val="24"/>
          <w:szCs w:val="24"/>
          <w:lang w:val="en-GB"/>
        </w:rPr>
        <w:t xml:space="preserve"> It has been stressed the urgency of Da</w:t>
      </w:r>
      <w:r w:rsidR="002D4102" w:rsidRPr="009668E2">
        <w:rPr>
          <w:rFonts w:ascii="Garamond" w:hAnsi="Garamond"/>
          <w:sz w:val="24"/>
          <w:szCs w:val="24"/>
          <w:lang w:val="en-GB"/>
        </w:rPr>
        <w:t>’</w:t>
      </w:r>
      <w:r w:rsidRPr="009668E2">
        <w:rPr>
          <w:rFonts w:ascii="Garamond" w:hAnsi="Garamond"/>
          <w:sz w:val="24"/>
          <w:szCs w:val="24"/>
          <w:lang w:val="en-GB"/>
        </w:rPr>
        <w:t>wah in creating harmony and understanding among different people in a plural society where it would play its role to create a cohabiting peacefully and harmoniously.</w:t>
      </w:r>
      <w:r w:rsidRPr="009668E2">
        <w:rPr>
          <w:rStyle w:val="FootnoteReference"/>
          <w:rFonts w:ascii="Garamond" w:hAnsi="Garamond"/>
          <w:sz w:val="24"/>
          <w:szCs w:val="24"/>
          <w:lang w:val="en-GB"/>
        </w:rPr>
        <w:footnoteReference w:id="61"/>
      </w:r>
      <w:r w:rsidRPr="009668E2">
        <w:rPr>
          <w:rFonts w:ascii="Garamond" w:hAnsi="Garamond"/>
          <w:sz w:val="24"/>
          <w:szCs w:val="24"/>
          <w:lang w:val="en-GB"/>
        </w:rPr>
        <w:t xml:space="preserve"> Moreover, Da</w:t>
      </w:r>
      <w:r w:rsidR="002D4102" w:rsidRPr="009668E2">
        <w:rPr>
          <w:rFonts w:ascii="Garamond" w:hAnsi="Garamond"/>
          <w:sz w:val="24"/>
          <w:szCs w:val="24"/>
          <w:lang w:val="en-GB"/>
        </w:rPr>
        <w:t>’</w:t>
      </w:r>
      <w:r w:rsidRPr="009668E2">
        <w:rPr>
          <w:rFonts w:ascii="Garamond" w:hAnsi="Garamond"/>
          <w:sz w:val="24"/>
          <w:szCs w:val="24"/>
          <w:lang w:val="en-GB"/>
        </w:rPr>
        <w:t>wah has been an instrument of social justice, educating people about social ills and striving for a better society but viewing it through the lens of religion.</w:t>
      </w:r>
      <w:r w:rsidR="00A97791" w:rsidRPr="009668E2">
        <w:rPr>
          <w:rStyle w:val="FootnoteReference"/>
          <w:rFonts w:ascii="Garamond" w:hAnsi="Garamond"/>
          <w:sz w:val="24"/>
          <w:szCs w:val="24"/>
          <w:lang w:val="en-GB"/>
        </w:rPr>
        <w:footnoteReference w:id="62"/>
      </w:r>
      <w:r w:rsidR="00A97791" w:rsidRPr="009668E2">
        <w:rPr>
          <w:rFonts w:ascii="Garamond" w:hAnsi="Garamond"/>
          <w:sz w:val="24"/>
          <w:szCs w:val="24"/>
          <w:lang w:val="en-GB"/>
        </w:rPr>
        <w:t xml:space="preserve"> </w:t>
      </w:r>
    </w:p>
    <w:p w14:paraId="7078E948" w14:textId="2758C831" w:rsidR="00A97791" w:rsidRPr="009668E2" w:rsidRDefault="00BC401D" w:rsidP="009668E2">
      <w:pPr>
        <w:pStyle w:val="isi"/>
        <w:jc w:val="both"/>
        <w:rPr>
          <w:rFonts w:ascii="Garamond" w:hAnsi="Garamond"/>
          <w:sz w:val="24"/>
          <w:szCs w:val="24"/>
          <w:lang w:val="en-GB"/>
        </w:rPr>
      </w:pPr>
      <w:r w:rsidRPr="009668E2">
        <w:rPr>
          <w:rFonts w:ascii="Garamond" w:hAnsi="Garamond"/>
          <w:sz w:val="24"/>
          <w:szCs w:val="24"/>
          <w:lang w:val="en-GB"/>
        </w:rPr>
        <w:t>Highlighting that the use of digital media for Da</w:t>
      </w:r>
      <w:r w:rsidR="002D4102" w:rsidRPr="009668E2">
        <w:rPr>
          <w:rFonts w:ascii="Garamond" w:hAnsi="Garamond"/>
          <w:sz w:val="24"/>
          <w:szCs w:val="24"/>
          <w:lang w:val="en-GB"/>
        </w:rPr>
        <w:t>’</w:t>
      </w:r>
      <w:r w:rsidRPr="009668E2">
        <w:rPr>
          <w:rFonts w:ascii="Garamond" w:hAnsi="Garamond"/>
          <w:sz w:val="24"/>
          <w:szCs w:val="24"/>
          <w:lang w:val="en-GB"/>
        </w:rPr>
        <w:t>wah communication is not only relevant but even more desired for communicating religious messages.</w:t>
      </w:r>
      <w:r w:rsidR="00A97791" w:rsidRPr="009668E2">
        <w:rPr>
          <w:rStyle w:val="FootnoteReference"/>
          <w:rFonts w:ascii="Garamond" w:hAnsi="Garamond"/>
          <w:sz w:val="24"/>
          <w:szCs w:val="24"/>
          <w:lang w:val="en-GB"/>
        </w:rPr>
        <w:footnoteReference w:id="63"/>
      </w:r>
      <w:r w:rsidRPr="009668E2">
        <w:rPr>
          <w:rFonts w:ascii="Garamond" w:hAnsi="Garamond"/>
          <w:sz w:val="24"/>
          <w:szCs w:val="24"/>
          <w:lang w:val="en-GB"/>
        </w:rPr>
        <w:t xml:space="preserve"> In addition to that, Da</w:t>
      </w:r>
      <w:r w:rsidR="002D4102" w:rsidRPr="009668E2">
        <w:rPr>
          <w:rFonts w:ascii="Garamond" w:hAnsi="Garamond"/>
          <w:sz w:val="24"/>
          <w:szCs w:val="24"/>
          <w:lang w:val="en-GB"/>
        </w:rPr>
        <w:t>’</w:t>
      </w:r>
      <w:r w:rsidRPr="009668E2">
        <w:rPr>
          <w:rFonts w:ascii="Garamond" w:hAnsi="Garamond"/>
          <w:sz w:val="24"/>
          <w:szCs w:val="24"/>
          <w:lang w:val="en-GB"/>
        </w:rPr>
        <w:t>wah has penetrated the entertainment and education spheres. Music has become one of Da</w:t>
      </w:r>
      <w:r w:rsidR="002D4102" w:rsidRPr="009668E2">
        <w:rPr>
          <w:rFonts w:ascii="Garamond" w:hAnsi="Garamond"/>
          <w:sz w:val="24"/>
          <w:szCs w:val="24"/>
          <w:lang w:val="en-GB"/>
        </w:rPr>
        <w:t>’</w:t>
      </w:r>
      <w:r w:rsidRPr="009668E2">
        <w:rPr>
          <w:rFonts w:ascii="Garamond" w:hAnsi="Garamond"/>
          <w:sz w:val="24"/>
          <w:szCs w:val="24"/>
          <w:lang w:val="en-GB"/>
        </w:rPr>
        <w:t xml:space="preserve">wah integration into pop culture, for example through the music of Maher Zain, blending the Islamic activism and engaging. </w:t>
      </w:r>
    </w:p>
    <w:p w14:paraId="0AE4649E" w14:textId="19400D15" w:rsidR="00BC401D" w:rsidRPr="009668E2" w:rsidRDefault="00BC401D" w:rsidP="009668E2">
      <w:pPr>
        <w:pStyle w:val="isi"/>
        <w:jc w:val="both"/>
        <w:rPr>
          <w:rFonts w:ascii="Garamond" w:hAnsi="Garamond"/>
          <w:sz w:val="24"/>
          <w:szCs w:val="24"/>
          <w:lang w:val="en-GB"/>
        </w:rPr>
      </w:pPr>
      <w:r w:rsidRPr="009668E2">
        <w:rPr>
          <w:rFonts w:ascii="Garamond" w:hAnsi="Garamond"/>
          <w:sz w:val="24"/>
          <w:szCs w:val="24"/>
          <w:lang w:val="en-GB"/>
        </w:rPr>
        <w:t>On the other hand, Da</w:t>
      </w:r>
      <w:r w:rsidR="002D4102" w:rsidRPr="009668E2">
        <w:rPr>
          <w:rFonts w:ascii="Garamond" w:hAnsi="Garamond"/>
          <w:sz w:val="24"/>
          <w:szCs w:val="24"/>
          <w:lang w:val="en-GB"/>
        </w:rPr>
        <w:t>’</w:t>
      </w:r>
      <w:r w:rsidRPr="009668E2">
        <w:rPr>
          <w:rFonts w:ascii="Garamond" w:hAnsi="Garamond"/>
          <w:sz w:val="24"/>
          <w:szCs w:val="24"/>
          <w:lang w:val="en-GB"/>
        </w:rPr>
        <w:t xml:space="preserve">wah institutions in campus have contributed to the formation of ideological movements at public </w:t>
      </w:r>
      <w:r w:rsidRPr="009668E2">
        <w:rPr>
          <w:rFonts w:ascii="Garamond" w:hAnsi="Garamond"/>
          <w:sz w:val="24"/>
          <w:szCs w:val="24"/>
          <w:lang w:val="en-GB"/>
        </w:rPr>
        <w:lastRenderedPageBreak/>
        <w:t>universities.</w:t>
      </w:r>
      <w:r w:rsidR="00A97791" w:rsidRPr="009668E2">
        <w:rPr>
          <w:rStyle w:val="FootnoteReference"/>
          <w:rFonts w:ascii="Garamond" w:hAnsi="Garamond"/>
          <w:sz w:val="24"/>
          <w:szCs w:val="24"/>
          <w:lang w:val="en-GB"/>
        </w:rPr>
        <w:footnoteReference w:id="64"/>
      </w:r>
      <w:r w:rsidRPr="009668E2">
        <w:rPr>
          <w:rFonts w:ascii="Garamond" w:hAnsi="Garamond"/>
          <w:sz w:val="24"/>
          <w:szCs w:val="24"/>
          <w:lang w:val="en-GB"/>
        </w:rPr>
        <w:t xml:space="preserve"> Many of these processes have </w:t>
      </w:r>
      <w:r w:rsidR="00A97791" w:rsidRPr="009668E2">
        <w:rPr>
          <w:rFonts w:ascii="Garamond" w:hAnsi="Garamond"/>
          <w:sz w:val="24"/>
          <w:szCs w:val="24"/>
          <w:lang w:val="en-GB"/>
        </w:rPr>
        <w:t>gone</w:t>
      </w:r>
      <w:r w:rsidRPr="009668E2">
        <w:rPr>
          <w:rFonts w:ascii="Garamond" w:hAnsi="Garamond"/>
          <w:sz w:val="24"/>
          <w:szCs w:val="24"/>
          <w:lang w:val="en-GB"/>
        </w:rPr>
        <w:t xml:space="preserve"> through huge transformation </w:t>
      </w:r>
      <w:r w:rsidR="00A97791" w:rsidRPr="009668E2">
        <w:rPr>
          <w:rFonts w:ascii="Garamond" w:hAnsi="Garamond"/>
          <w:sz w:val="24"/>
          <w:szCs w:val="24"/>
          <w:lang w:val="en-GB"/>
        </w:rPr>
        <w:t>processes</w:t>
      </w:r>
      <w:r w:rsidRPr="009668E2">
        <w:rPr>
          <w:rFonts w:ascii="Garamond" w:hAnsi="Garamond"/>
          <w:sz w:val="24"/>
          <w:szCs w:val="24"/>
          <w:lang w:val="en-GB"/>
        </w:rPr>
        <w:t xml:space="preserve"> throughout time, however the principles of Da</w:t>
      </w:r>
      <w:r w:rsidR="002D4102" w:rsidRPr="009668E2">
        <w:rPr>
          <w:rFonts w:ascii="Garamond" w:hAnsi="Garamond"/>
          <w:sz w:val="24"/>
          <w:szCs w:val="24"/>
          <w:lang w:val="en-GB"/>
        </w:rPr>
        <w:t>’</w:t>
      </w:r>
      <w:r w:rsidRPr="009668E2">
        <w:rPr>
          <w:rFonts w:ascii="Garamond" w:hAnsi="Garamond"/>
          <w:sz w:val="24"/>
          <w:szCs w:val="24"/>
          <w:lang w:val="en-GB"/>
        </w:rPr>
        <w:t>wah continue to be tying traditional practices. To conclude, the evolution of Da</w:t>
      </w:r>
      <w:r w:rsidR="002D4102" w:rsidRPr="009668E2">
        <w:rPr>
          <w:rFonts w:ascii="Garamond" w:hAnsi="Garamond"/>
          <w:sz w:val="24"/>
          <w:szCs w:val="24"/>
          <w:lang w:val="en-GB"/>
        </w:rPr>
        <w:t>’</w:t>
      </w:r>
      <w:r w:rsidRPr="009668E2">
        <w:rPr>
          <w:rFonts w:ascii="Garamond" w:hAnsi="Garamond"/>
          <w:sz w:val="24"/>
          <w:szCs w:val="24"/>
          <w:lang w:val="en-GB"/>
        </w:rPr>
        <w:t>wah in Indonesia demonstrates a fusion between traditional and modern methods to square with day-and-day challenges. The theory and medium of Da</w:t>
      </w:r>
      <w:r w:rsidR="002D4102" w:rsidRPr="009668E2">
        <w:rPr>
          <w:rFonts w:ascii="Garamond" w:hAnsi="Garamond"/>
          <w:sz w:val="24"/>
          <w:szCs w:val="24"/>
          <w:lang w:val="en-GB"/>
        </w:rPr>
        <w:t>’</w:t>
      </w:r>
      <w:r w:rsidRPr="009668E2">
        <w:rPr>
          <w:rFonts w:ascii="Garamond" w:hAnsi="Garamond"/>
          <w:sz w:val="24"/>
          <w:szCs w:val="24"/>
          <w:lang w:val="en-GB"/>
        </w:rPr>
        <w:t>wah has changed with the times, but the ultimate goal to present Islamic values is still seen as an important agenda in Indonesia.</w:t>
      </w:r>
    </w:p>
    <w:p w14:paraId="08AE0DF1" w14:textId="4C426ED6" w:rsidR="00A97791" w:rsidRPr="009668E2" w:rsidRDefault="00A97791" w:rsidP="009668E2">
      <w:pPr>
        <w:pStyle w:val="isi"/>
        <w:jc w:val="both"/>
        <w:rPr>
          <w:rFonts w:ascii="Garamond" w:hAnsi="Garamond"/>
          <w:sz w:val="24"/>
          <w:szCs w:val="24"/>
          <w:lang w:val="en-GB"/>
        </w:rPr>
      </w:pPr>
      <w:r w:rsidRPr="009668E2">
        <w:rPr>
          <w:rFonts w:ascii="Garamond" w:hAnsi="Garamond"/>
          <w:sz w:val="24"/>
          <w:szCs w:val="24"/>
          <w:lang w:val="en-GB"/>
        </w:rPr>
        <w:t>The effectiveness of Da</w:t>
      </w:r>
      <w:r w:rsidR="002D4102" w:rsidRPr="009668E2">
        <w:rPr>
          <w:rFonts w:ascii="Garamond" w:hAnsi="Garamond"/>
          <w:sz w:val="24"/>
          <w:szCs w:val="24"/>
          <w:lang w:val="en-GB"/>
        </w:rPr>
        <w:t>’</w:t>
      </w:r>
      <w:r w:rsidRPr="009668E2">
        <w:rPr>
          <w:rFonts w:ascii="Garamond" w:hAnsi="Garamond"/>
          <w:sz w:val="24"/>
          <w:szCs w:val="24"/>
          <w:lang w:val="en-GB"/>
        </w:rPr>
        <w:t>wah in Indonesia in maintaining religious harmony without leading to the potential escalation of conflict is a complex matter that appears to be conditioned on several variables. The whole enterprise of da</w:t>
      </w:r>
      <w:r w:rsidR="002D4102" w:rsidRPr="009668E2">
        <w:rPr>
          <w:rFonts w:ascii="Garamond" w:hAnsi="Garamond"/>
          <w:sz w:val="24"/>
          <w:szCs w:val="24"/>
          <w:lang w:val="en-GB"/>
        </w:rPr>
        <w:t>’</w:t>
      </w:r>
      <w:r w:rsidRPr="009668E2">
        <w:rPr>
          <w:rFonts w:ascii="Garamond" w:hAnsi="Garamond"/>
          <w:sz w:val="24"/>
          <w:szCs w:val="24"/>
          <w:lang w:val="en-GB"/>
        </w:rPr>
        <w:t>wah, that is to say, the delivery of Islamic teachings to others (as well as vice versa) through whatever mechanism, has major accounts in feeding into the nature of inter-religious relations in any country. A number of studies have recognized the importance of Da</w:t>
      </w:r>
      <w:r w:rsidR="002D4102" w:rsidRPr="009668E2">
        <w:rPr>
          <w:rFonts w:ascii="Garamond" w:hAnsi="Garamond"/>
          <w:sz w:val="24"/>
          <w:szCs w:val="24"/>
          <w:lang w:val="en-GB"/>
        </w:rPr>
        <w:t>’</w:t>
      </w:r>
      <w:r w:rsidRPr="009668E2">
        <w:rPr>
          <w:rFonts w:ascii="Garamond" w:hAnsi="Garamond"/>
          <w:sz w:val="24"/>
          <w:szCs w:val="24"/>
          <w:lang w:val="en-GB"/>
        </w:rPr>
        <w:t>wah to enhance mutual understanding, empathy and coexistence among the communities with different religions in order to strengthen religious harmony.</w:t>
      </w:r>
      <w:r w:rsidRPr="009668E2">
        <w:rPr>
          <w:rStyle w:val="FootnoteReference"/>
          <w:rFonts w:ascii="Garamond" w:hAnsi="Garamond"/>
          <w:sz w:val="24"/>
          <w:szCs w:val="24"/>
          <w:lang w:val="en-GB"/>
        </w:rPr>
        <w:footnoteReference w:id="65"/>
      </w:r>
    </w:p>
    <w:p w14:paraId="13AF0BB6" w14:textId="302730C9" w:rsidR="0033159A" w:rsidRPr="009668E2" w:rsidRDefault="00A97791" w:rsidP="009668E2">
      <w:pPr>
        <w:pStyle w:val="isi"/>
        <w:jc w:val="both"/>
        <w:rPr>
          <w:rFonts w:ascii="Garamond" w:hAnsi="Garamond"/>
          <w:sz w:val="24"/>
          <w:szCs w:val="24"/>
          <w:lang w:val="en-GB"/>
        </w:rPr>
      </w:pPr>
      <w:r w:rsidRPr="009668E2">
        <w:rPr>
          <w:rFonts w:ascii="Garamond" w:hAnsi="Garamond"/>
          <w:sz w:val="24"/>
          <w:szCs w:val="24"/>
          <w:lang w:val="en-GB"/>
        </w:rPr>
        <w:t>Promoting religious harmony through Da</w:t>
      </w:r>
      <w:r w:rsidR="002D4102" w:rsidRPr="009668E2">
        <w:rPr>
          <w:rFonts w:ascii="Garamond" w:hAnsi="Garamond"/>
          <w:sz w:val="24"/>
          <w:szCs w:val="24"/>
          <w:lang w:val="en-GB"/>
        </w:rPr>
        <w:t>’</w:t>
      </w:r>
      <w:r w:rsidRPr="009668E2">
        <w:rPr>
          <w:rFonts w:ascii="Garamond" w:hAnsi="Garamond"/>
          <w:sz w:val="24"/>
          <w:szCs w:val="24"/>
          <w:lang w:val="en-GB"/>
        </w:rPr>
        <w:t>wah has been highlighted as a</w:t>
      </w:r>
      <w:r w:rsidR="00284E0C" w:rsidRPr="009668E2">
        <w:rPr>
          <w:rFonts w:ascii="Garamond" w:hAnsi="Garamond"/>
          <w:sz w:val="24"/>
          <w:szCs w:val="24"/>
          <w:lang w:val="en-GB"/>
        </w:rPr>
        <w:t xml:space="preserve">n effort to counter </w:t>
      </w:r>
      <w:r w:rsidRPr="009668E2">
        <w:rPr>
          <w:rFonts w:ascii="Garamond" w:hAnsi="Garamond"/>
          <w:sz w:val="24"/>
          <w:szCs w:val="24"/>
          <w:lang w:val="en-GB"/>
        </w:rPr>
        <w:t xml:space="preserve">radicalism and </w:t>
      </w:r>
      <w:r w:rsidR="00284E0C" w:rsidRPr="009668E2">
        <w:rPr>
          <w:rFonts w:ascii="Garamond" w:hAnsi="Garamond"/>
          <w:sz w:val="24"/>
          <w:szCs w:val="24"/>
          <w:lang w:val="en-GB"/>
        </w:rPr>
        <w:t xml:space="preserve">promoting religious moderation </w:t>
      </w:r>
      <w:r w:rsidRPr="009668E2">
        <w:rPr>
          <w:rFonts w:ascii="Garamond" w:hAnsi="Garamond"/>
          <w:sz w:val="24"/>
          <w:szCs w:val="24"/>
          <w:lang w:val="en-GB"/>
        </w:rPr>
        <w:t>in the practice of Islamic teachings.</w:t>
      </w:r>
      <w:r w:rsidR="0033159A" w:rsidRPr="009668E2">
        <w:rPr>
          <w:rStyle w:val="FootnoteReference"/>
          <w:rFonts w:ascii="Garamond" w:hAnsi="Garamond"/>
          <w:sz w:val="24"/>
          <w:szCs w:val="24"/>
          <w:lang w:val="en-GB"/>
        </w:rPr>
        <w:footnoteReference w:id="66"/>
      </w:r>
      <w:r w:rsidRPr="009668E2">
        <w:rPr>
          <w:rFonts w:ascii="Garamond" w:hAnsi="Garamond"/>
          <w:sz w:val="24"/>
          <w:szCs w:val="24"/>
          <w:lang w:val="en-GB"/>
        </w:rPr>
        <w:t xml:space="preserve"> It could lead to a more harmonious and tolerant society if the Da</w:t>
      </w:r>
      <w:r w:rsidR="002D4102" w:rsidRPr="009668E2">
        <w:rPr>
          <w:rFonts w:ascii="Garamond" w:hAnsi="Garamond"/>
          <w:sz w:val="24"/>
          <w:szCs w:val="24"/>
          <w:lang w:val="en-GB"/>
        </w:rPr>
        <w:t>’</w:t>
      </w:r>
      <w:r w:rsidRPr="009668E2">
        <w:rPr>
          <w:rFonts w:ascii="Garamond" w:hAnsi="Garamond"/>
          <w:sz w:val="24"/>
          <w:szCs w:val="24"/>
          <w:lang w:val="en-GB"/>
        </w:rPr>
        <w:t>wah calling for tolerance, peaceful interactions and mutual respect.</w:t>
      </w:r>
      <w:r w:rsidR="0033159A" w:rsidRPr="009668E2">
        <w:rPr>
          <w:rStyle w:val="FootnoteReference"/>
          <w:rFonts w:ascii="Garamond" w:hAnsi="Garamond"/>
          <w:sz w:val="24"/>
          <w:szCs w:val="24"/>
          <w:lang w:val="en-GB"/>
        </w:rPr>
        <w:footnoteReference w:id="67"/>
      </w:r>
    </w:p>
    <w:p w14:paraId="35D55FE2" w14:textId="4B0B5906" w:rsidR="0033159A" w:rsidRPr="009668E2" w:rsidRDefault="0033159A" w:rsidP="009668E2">
      <w:pPr>
        <w:pStyle w:val="isi"/>
        <w:jc w:val="both"/>
        <w:rPr>
          <w:rFonts w:ascii="Garamond" w:hAnsi="Garamond"/>
          <w:sz w:val="24"/>
          <w:szCs w:val="24"/>
          <w:lang w:val="en-GB"/>
        </w:rPr>
      </w:pPr>
      <w:r w:rsidRPr="009668E2">
        <w:rPr>
          <w:rFonts w:ascii="Garamond" w:hAnsi="Garamond"/>
          <w:sz w:val="24"/>
          <w:szCs w:val="24"/>
          <w:lang w:val="en-GB"/>
        </w:rPr>
        <w:t xml:space="preserve">The </w:t>
      </w:r>
      <w:r w:rsidR="00A97791" w:rsidRPr="009668E2">
        <w:rPr>
          <w:rFonts w:ascii="Garamond" w:hAnsi="Garamond"/>
          <w:sz w:val="24"/>
          <w:szCs w:val="24"/>
          <w:lang w:val="en-GB"/>
        </w:rPr>
        <w:t>effectiveness of Da</w:t>
      </w:r>
      <w:r w:rsidR="002D4102" w:rsidRPr="009668E2">
        <w:rPr>
          <w:rFonts w:ascii="Garamond" w:hAnsi="Garamond"/>
          <w:sz w:val="24"/>
          <w:szCs w:val="24"/>
          <w:lang w:val="en-GB"/>
        </w:rPr>
        <w:t>’</w:t>
      </w:r>
      <w:r w:rsidR="00A97791" w:rsidRPr="009668E2">
        <w:rPr>
          <w:rFonts w:ascii="Garamond" w:hAnsi="Garamond"/>
          <w:sz w:val="24"/>
          <w:szCs w:val="24"/>
          <w:lang w:val="en-GB"/>
        </w:rPr>
        <w:t xml:space="preserve">wah in fostering religious harmony can also be influenced by many factors. </w:t>
      </w:r>
      <w:r w:rsidRPr="009668E2">
        <w:rPr>
          <w:rFonts w:ascii="Garamond" w:hAnsi="Garamond"/>
          <w:sz w:val="24"/>
          <w:szCs w:val="24"/>
          <w:lang w:val="en-GB"/>
        </w:rPr>
        <w:t xml:space="preserve">People </w:t>
      </w:r>
      <w:r w:rsidR="00A97791" w:rsidRPr="009668E2">
        <w:rPr>
          <w:rFonts w:ascii="Garamond" w:hAnsi="Garamond"/>
          <w:sz w:val="24"/>
          <w:szCs w:val="24"/>
          <w:lang w:val="en-GB"/>
        </w:rPr>
        <w:t xml:space="preserve">need to take into account the way Islamic preachers </w:t>
      </w:r>
      <w:r w:rsidRPr="009668E2">
        <w:rPr>
          <w:rFonts w:ascii="Garamond" w:hAnsi="Garamond"/>
          <w:sz w:val="24"/>
          <w:szCs w:val="24"/>
          <w:lang w:val="en-GB"/>
        </w:rPr>
        <w:t>(</w:t>
      </w:r>
      <w:proofErr w:type="spellStart"/>
      <w:r w:rsidRPr="009668E2">
        <w:rPr>
          <w:rFonts w:ascii="Garamond" w:hAnsi="Garamond"/>
          <w:sz w:val="24"/>
          <w:szCs w:val="24"/>
          <w:lang w:val="en-GB"/>
        </w:rPr>
        <w:t>da</w:t>
      </w:r>
      <w:r w:rsidR="002D4102" w:rsidRPr="009668E2">
        <w:rPr>
          <w:rFonts w:ascii="Garamond" w:hAnsi="Garamond"/>
          <w:sz w:val="24"/>
          <w:szCs w:val="24"/>
          <w:lang w:val="en-GB"/>
        </w:rPr>
        <w:t>’</w:t>
      </w:r>
      <w:r w:rsidRPr="009668E2">
        <w:rPr>
          <w:rFonts w:ascii="Garamond" w:hAnsi="Garamond"/>
          <w:sz w:val="24"/>
          <w:szCs w:val="24"/>
          <w:lang w:val="en-GB"/>
        </w:rPr>
        <w:t>i</w:t>
      </w:r>
      <w:proofErr w:type="spellEnd"/>
      <w:r w:rsidRPr="009668E2">
        <w:rPr>
          <w:rFonts w:ascii="Garamond" w:hAnsi="Garamond"/>
          <w:sz w:val="24"/>
          <w:szCs w:val="24"/>
          <w:lang w:val="en-GB"/>
        </w:rPr>
        <w:t>)</w:t>
      </w:r>
      <w:r w:rsidR="00A97791" w:rsidRPr="009668E2">
        <w:rPr>
          <w:rFonts w:ascii="Garamond" w:hAnsi="Garamond"/>
          <w:sz w:val="24"/>
          <w:szCs w:val="24"/>
          <w:lang w:val="en-GB"/>
        </w:rPr>
        <w:t xml:space="preserve"> spread Islam in Indonesia, where</w:t>
      </w:r>
      <w:r w:rsidRPr="009668E2">
        <w:rPr>
          <w:rFonts w:ascii="Garamond" w:hAnsi="Garamond"/>
          <w:sz w:val="24"/>
          <w:szCs w:val="24"/>
          <w:lang w:val="en-GB"/>
        </w:rPr>
        <w:t xml:space="preserve"> their</w:t>
      </w:r>
      <w:r w:rsidR="00A97791" w:rsidRPr="009668E2">
        <w:rPr>
          <w:rFonts w:ascii="Garamond" w:hAnsi="Garamond"/>
          <w:sz w:val="24"/>
          <w:szCs w:val="24"/>
          <w:lang w:val="en-GB"/>
        </w:rPr>
        <w:t xml:space="preserve"> communication style may affect the success of Da</w:t>
      </w:r>
      <w:r w:rsidR="002D4102" w:rsidRPr="009668E2">
        <w:rPr>
          <w:rFonts w:ascii="Garamond" w:hAnsi="Garamond"/>
          <w:sz w:val="24"/>
          <w:szCs w:val="24"/>
          <w:lang w:val="en-GB"/>
        </w:rPr>
        <w:t>’</w:t>
      </w:r>
      <w:r w:rsidR="00A97791" w:rsidRPr="009668E2">
        <w:rPr>
          <w:rFonts w:ascii="Garamond" w:hAnsi="Garamond"/>
          <w:sz w:val="24"/>
          <w:szCs w:val="24"/>
          <w:lang w:val="en-GB"/>
        </w:rPr>
        <w:t xml:space="preserve">wah effort both </w:t>
      </w:r>
      <w:r w:rsidR="00A97791" w:rsidRPr="009668E2">
        <w:rPr>
          <w:rFonts w:ascii="Garamond" w:hAnsi="Garamond"/>
          <w:sz w:val="24"/>
          <w:szCs w:val="24"/>
          <w:lang w:val="en-GB"/>
        </w:rPr>
        <w:lastRenderedPageBreak/>
        <w:t>verbally and non-verbally.</w:t>
      </w:r>
      <w:r w:rsidRPr="009668E2">
        <w:rPr>
          <w:rStyle w:val="FootnoteReference"/>
          <w:rFonts w:ascii="Garamond" w:hAnsi="Garamond"/>
          <w:sz w:val="24"/>
          <w:szCs w:val="24"/>
          <w:lang w:val="en-GB"/>
        </w:rPr>
        <w:footnoteReference w:id="68"/>
      </w:r>
      <w:r w:rsidR="00A97791" w:rsidRPr="009668E2">
        <w:rPr>
          <w:rFonts w:ascii="Garamond" w:hAnsi="Garamond"/>
          <w:sz w:val="24"/>
          <w:szCs w:val="24"/>
          <w:lang w:val="en-GB"/>
        </w:rPr>
        <w:t xml:space="preserve"> The utilization of Islamic </w:t>
      </w:r>
      <w:r w:rsidRPr="009668E2">
        <w:rPr>
          <w:rFonts w:ascii="Garamond" w:hAnsi="Garamond"/>
          <w:sz w:val="24"/>
          <w:szCs w:val="24"/>
          <w:lang w:val="en-GB"/>
        </w:rPr>
        <w:t>counselling</w:t>
      </w:r>
      <w:r w:rsidR="00A97791" w:rsidRPr="009668E2">
        <w:rPr>
          <w:rFonts w:ascii="Garamond" w:hAnsi="Garamond"/>
          <w:sz w:val="24"/>
          <w:szCs w:val="24"/>
          <w:lang w:val="en-GB"/>
        </w:rPr>
        <w:t xml:space="preserve"> and art performances in Da</w:t>
      </w:r>
      <w:r w:rsidR="002D4102" w:rsidRPr="009668E2">
        <w:rPr>
          <w:rFonts w:ascii="Garamond" w:hAnsi="Garamond"/>
          <w:sz w:val="24"/>
          <w:szCs w:val="24"/>
          <w:lang w:val="en-GB"/>
        </w:rPr>
        <w:t>’</w:t>
      </w:r>
      <w:r w:rsidR="00A97791" w:rsidRPr="009668E2">
        <w:rPr>
          <w:rFonts w:ascii="Garamond" w:hAnsi="Garamond"/>
          <w:sz w:val="24"/>
          <w:szCs w:val="24"/>
          <w:lang w:val="en-GB"/>
        </w:rPr>
        <w:t>wah activities has also proven effective in raising religious awareness and delivering religious messages as intended.</w:t>
      </w:r>
      <w:r w:rsidRPr="009668E2">
        <w:rPr>
          <w:rStyle w:val="FootnoteReference"/>
          <w:rFonts w:ascii="Garamond" w:hAnsi="Garamond"/>
          <w:sz w:val="24"/>
          <w:szCs w:val="24"/>
          <w:lang w:val="en-GB"/>
        </w:rPr>
        <w:footnoteReference w:id="69"/>
      </w:r>
      <w:r w:rsidR="00A97791" w:rsidRPr="009668E2">
        <w:rPr>
          <w:rFonts w:ascii="Garamond" w:hAnsi="Garamond"/>
          <w:sz w:val="24"/>
          <w:szCs w:val="24"/>
          <w:lang w:val="en-GB"/>
        </w:rPr>
        <w:t xml:space="preserve"> </w:t>
      </w:r>
    </w:p>
    <w:p w14:paraId="7ADF213C" w14:textId="3964627B" w:rsidR="00A97791" w:rsidRPr="009668E2" w:rsidRDefault="00A97791" w:rsidP="009668E2">
      <w:pPr>
        <w:pStyle w:val="isi"/>
        <w:jc w:val="both"/>
        <w:rPr>
          <w:rFonts w:ascii="Garamond" w:hAnsi="Garamond"/>
          <w:sz w:val="24"/>
          <w:szCs w:val="24"/>
          <w:lang w:val="en-GB"/>
        </w:rPr>
      </w:pPr>
      <w:r w:rsidRPr="009668E2">
        <w:rPr>
          <w:rFonts w:ascii="Garamond" w:hAnsi="Garamond"/>
          <w:sz w:val="24"/>
          <w:szCs w:val="24"/>
          <w:lang w:val="en-GB"/>
        </w:rPr>
        <w:t>Da</w:t>
      </w:r>
      <w:r w:rsidR="002D4102" w:rsidRPr="009668E2">
        <w:rPr>
          <w:rFonts w:ascii="Garamond" w:hAnsi="Garamond"/>
          <w:sz w:val="24"/>
          <w:szCs w:val="24"/>
          <w:lang w:val="en-GB"/>
        </w:rPr>
        <w:t>’</w:t>
      </w:r>
      <w:r w:rsidRPr="009668E2">
        <w:rPr>
          <w:rFonts w:ascii="Garamond" w:hAnsi="Garamond"/>
          <w:sz w:val="24"/>
          <w:szCs w:val="24"/>
          <w:lang w:val="en-GB"/>
        </w:rPr>
        <w:t>wah activities must be closely monitored so as not to inflame hostilities further or, in the extreme, incite violence. A key point in fostering religious harmony is avoiding claiming shared social identity with other believers, while at the same time minimizing denigration of other religions.</w:t>
      </w:r>
      <w:r w:rsidR="0033159A" w:rsidRPr="009668E2">
        <w:rPr>
          <w:rStyle w:val="FootnoteReference"/>
          <w:rFonts w:ascii="Garamond" w:hAnsi="Garamond"/>
          <w:sz w:val="24"/>
          <w:szCs w:val="24"/>
          <w:lang w:val="en-GB"/>
        </w:rPr>
        <w:footnoteReference w:id="70"/>
      </w:r>
      <w:r w:rsidRPr="009668E2">
        <w:rPr>
          <w:rFonts w:ascii="Garamond" w:hAnsi="Garamond"/>
          <w:sz w:val="24"/>
          <w:szCs w:val="24"/>
          <w:lang w:val="en-GB"/>
        </w:rPr>
        <w:t xml:space="preserve"> Keeping an equilibrium of Da</w:t>
      </w:r>
      <w:r w:rsidR="002D4102" w:rsidRPr="009668E2">
        <w:rPr>
          <w:rFonts w:ascii="Garamond" w:hAnsi="Garamond"/>
          <w:sz w:val="24"/>
          <w:szCs w:val="24"/>
          <w:lang w:val="en-GB"/>
        </w:rPr>
        <w:t>’</w:t>
      </w:r>
      <w:r w:rsidRPr="009668E2">
        <w:rPr>
          <w:rFonts w:ascii="Garamond" w:hAnsi="Garamond"/>
          <w:sz w:val="24"/>
          <w:szCs w:val="24"/>
          <w:lang w:val="en-GB"/>
        </w:rPr>
        <w:t xml:space="preserve">wah and tolerance will </w:t>
      </w:r>
      <w:proofErr w:type="gramStart"/>
      <w:r w:rsidRPr="009668E2">
        <w:rPr>
          <w:rFonts w:ascii="Garamond" w:hAnsi="Garamond"/>
          <w:sz w:val="24"/>
          <w:szCs w:val="24"/>
          <w:lang w:val="en-GB"/>
        </w:rPr>
        <w:t>tries</w:t>
      </w:r>
      <w:proofErr w:type="gramEnd"/>
      <w:r w:rsidRPr="009668E2">
        <w:rPr>
          <w:rFonts w:ascii="Garamond" w:hAnsi="Garamond"/>
          <w:sz w:val="24"/>
          <w:szCs w:val="24"/>
          <w:lang w:val="en-GB"/>
        </w:rPr>
        <w:t xml:space="preserve"> not to be causing division or creating conflict</w:t>
      </w:r>
      <w:r w:rsidR="0033159A" w:rsidRPr="009668E2">
        <w:rPr>
          <w:rFonts w:ascii="Garamond" w:hAnsi="Garamond"/>
          <w:sz w:val="24"/>
          <w:szCs w:val="24"/>
          <w:lang w:val="en-GB"/>
        </w:rPr>
        <w:t xml:space="preserve">. Thus, </w:t>
      </w:r>
      <w:r w:rsidRPr="009668E2">
        <w:rPr>
          <w:rFonts w:ascii="Garamond" w:hAnsi="Garamond"/>
          <w:sz w:val="24"/>
          <w:szCs w:val="24"/>
          <w:lang w:val="en-GB"/>
        </w:rPr>
        <w:t>the Da</w:t>
      </w:r>
      <w:r w:rsidR="002D4102" w:rsidRPr="009668E2">
        <w:rPr>
          <w:rFonts w:ascii="Garamond" w:hAnsi="Garamond"/>
          <w:sz w:val="24"/>
          <w:szCs w:val="24"/>
          <w:lang w:val="en-GB"/>
        </w:rPr>
        <w:t>’</w:t>
      </w:r>
      <w:r w:rsidRPr="009668E2">
        <w:rPr>
          <w:rFonts w:ascii="Garamond" w:hAnsi="Garamond"/>
          <w:sz w:val="24"/>
          <w:szCs w:val="24"/>
          <w:lang w:val="en-GB"/>
        </w:rPr>
        <w:t>wah community in Indonesia can work to become a tool that will be very helpful in advancing harmony and comprehension between religious communities that are so diverse. If Da</w:t>
      </w:r>
      <w:r w:rsidR="002D4102" w:rsidRPr="009668E2">
        <w:rPr>
          <w:rFonts w:ascii="Garamond" w:hAnsi="Garamond"/>
          <w:sz w:val="24"/>
          <w:szCs w:val="24"/>
          <w:lang w:val="en-GB"/>
        </w:rPr>
        <w:t>’</w:t>
      </w:r>
      <w:r w:rsidRPr="009668E2">
        <w:rPr>
          <w:rFonts w:ascii="Garamond" w:hAnsi="Garamond"/>
          <w:sz w:val="24"/>
          <w:szCs w:val="24"/>
          <w:lang w:val="en-GB"/>
        </w:rPr>
        <w:t>wah is emphasized on empathy, tolerance and peaceful co-existence, it will definitely help building a transparent, more loving society. Yet, it is necessary to carry out Da</w:t>
      </w:r>
      <w:r w:rsidR="002D4102" w:rsidRPr="009668E2">
        <w:rPr>
          <w:rFonts w:ascii="Garamond" w:hAnsi="Garamond"/>
          <w:sz w:val="24"/>
          <w:szCs w:val="24"/>
          <w:lang w:val="en-GB"/>
        </w:rPr>
        <w:t>’</w:t>
      </w:r>
      <w:r w:rsidRPr="009668E2">
        <w:rPr>
          <w:rFonts w:ascii="Garamond" w:hAnsi="Garamond"/>
          <w:sz w:val="24"/>
          <w:szCs w:val="24"/>
          <w:lang w:val="en-GB"/>
        </w:rPr>
        <w:t>wah in a way that respects the beliefs of others and cultivates mutual respect so as not to agitate the situation which ultimately results in tensions or conflict.</w:t>
      </w:r>
    </w:p>
    <w:p w14:paraId="2219141B" w14:textId="100B5B77" w:rsidR="00720101" w:rsidRPr="009668E2" w:rsidRDefault="00720101" w:rsidP="009668E2">
      <w:pPr>
        <w:pStyle w:val="isi"/>
        <w:jc w:val="both"/>
        <w:rPr>
          <w:rFonts w:ascii="Garamond" w:hAnsi="Garamond"/>
          <w:sz w:val="24"/>
          <w:szCs w:val="24"/>
          <w:lang w:val="en-GB"/>
        </w:rPr>
      </w:pPr>
      <w:r w:rsidRPr="009668E2">
        <w:rPr>
          <w:rFonts w:ascii="Garamond" w:hAnsi="Garamond"/>
          <w:sz w:val="24"/>
          <w:szCs w:val="24"/>
          <w:lang w:val="en-GB"/>
        </w:rPr>
        <w:t xml:space="preserve">Education </w:t>
      </w:r>
      <w:r w:rsidR="0033159A" w:rsidRPr="009668E2">
        <w:rPr>
          <w:rFonts w:ascii="Garamond" w:hAnsi="Garamond"/>
          <w:sz w:val="24"/>
          <w:szCs w:val="24"/>
          <w:lang w:val="en-GB"/>
        </w:rPr>
        <w:t>is essential to Da</w:t>
      </w:r>
      <w:r w:rsidR="002D4102" w:rsidRPr="009668E2">
        <w:rPr>
          <w:rFonts w:ascii="Garamond" w:hAnsi="Garamond"/>
          <w:sz w:val="24"/>
          <w:szCs w:val="24"/>
          <w:lang w:val="en-GB"/>
        </w:rPr>
        <w:t>’</w:t>
      </w:r>
      <w:r w:rsidR="0033159A" w:rsidRPr="009668E2">
        <w:rPr>
          <w:rFonts w:ascii="Garamond" w:hAnsi="Garamond"/>
          <w:sz w:val="24"/>
          <w:szCs w:val="24"/>
          <w:lang w:val="en-GB"/>
        </w:rPr>
        <w:t xml:space="preserve">wah in the way it </w:t>
      </w:r>
      <w:proofErr w:type="spellStart"/>
      <w:r w:rsidR="0033159A" w:rsidRPr="009668E2">
        <w:rPr>
          <w:rFonts w:ascii="Garamond" w:hAnsi="Garamond"/>
          <w:sz w:val="24"/>
          <w:szCs w:val="24"/>
          <w:lang w:val="en-GB"/>
        </w:rPr>
        <w:t>molds</w:t>
      </w:r>
      <w:proofErr w:type="spellEnd"/>
      <w:r w:rsidR="0033159A" w:rsidRPr="009668E2">
        <w:rPr>
          <w:rFonts w:ascii="Garamond" w:hAnsi="Garamond"/>
          <w:sz w:val="24"/>
          <w:szCs w:val="24"/>
          <w:lang w:val="en-GB"/>
        </w:rPr>
        <w:t xml:space="preserve"> one</w:t>
      </w:r>
      <w:r w:rsidR="002D4102" w:rsidRPr="009668E2">
        <w:rPr>
          <w:rFonts w:ascii="Garamond" w:hAnsi="Garamond"/>
          <w:sz w:val="24"/>
          <w:szCs w:val="24"/>
          <w:lang w:val="en-GB"/>
        </w:rPr>
        <w:t>’</w:t>
      </w:r>
      <w:r w:rsidR="0033159A" w:rsidRPr="009668E2">
        <w:rPr>
          <w:rFonts w:ascii="Garamond" w:hAnsi="Garamond"/>
          <w:sz w:val="24"/>
          <w:szCs w:val="24"/>
          <w:lang w:val="en-GB"/>
        </w:rPr>
        <w:t>s perception of Islam and how one engages with the progressive multicultural society. Religious education versus fostering a tolerant, multicultural society: The dilemma between the two ideas is one of the most critical issues in educational practice in Indonesia. Some have argued that education plays a key role in fostering tolerance, understanding, and inter-religious harmony between difference religious communities.</w:t>
      </w:r>
      <w:r w:rsidRPr="009668E2">
        <w:rPr>
          <w:rStyle w:val="FootnoteReference"/>
          <w:rFonts w:ascii="Garamond" w:hAnsi="Garamond"/>
          <w:sz w:val="24"/>
          <w:szCs w:val="24"/>
          <w:lang w:val="en-GB"/>
        </w:rPr>
        <w:footnoteReference w:id="71"/>
      </w:r>
      <w:r w:rsidR="0033159A" w:rsidRPr="009668E2">
        <w:rPr>
          <w:rFonts w:ascii="Garamond" w:hAnsi="Garamond"/>
          <w:sz w:val="24"/>
          <w:szCs w:val="24"/>
          <w:lang w:val="en-GB"/>
        </w:rPr>
        <w:t xml:space="preserve"> </w:t>
      </w:r>
    </w:p>
    <w:p w14:paraId="56CBEC38" w14:textId="77777777" w:rsidR="00720101" w:rsidRPr="009668E2" w:rsidRDefault="0033159A" w:rsidP="009668E2">
      <w:pPr>
        <w:pStyle w:val="isi"/>
        <w:jc w:val="both"/>
        <w:rPr>
          <w:rFonts w:ascii="Garamond" w:hAnsi="Garamond"/>
          <w:sz w:val="24"/>
          <w:szCs w:val="24"/>
          <w:lang w:val="en-GB"/>
        </w:rPr>
      </w:pPr>
      <w:r w:rsidRPr="009668E2">
        <w:rPr>
          <w:rFonts w:ascii="Garamond" w:hAnsi="Garamond"/>
          <w:sz w:val="24"/>
          <w:szCs w:val="24"/>
          <w:lang w:val="en-GB"/>
        </w:rPr>
        <w:t xml:space="preserve">In Indonesia, the implementation of religious education in schools, especially Islamic Religious Education (PAI) is important to build up values of peace, tolerance and multiculturalism among students. PAI teachers play a role in guiding students to be respectful of diversity, </w:t>
      </w:r>
      <w:r w:rsidRPr="009668E2">
        <w:rPr>
          <w:rFonts w:ascii="Garamond" w:hAnsi="Garamond"/>
          <w:sz w:val="24"/>
          <w:szCs w:val="24"/>
          <w:lang w:val="en-GB"/>
        </w:rPr>
        <w:lastRenderedPageBreak/>
        <w:t xml:space="preserve">been moderate in understanding religion, and have the importance of living side by side. Other than that, the Islamic curricular could also serve as one medium to build society tolerant and inclusive by emphasizing the significant issues and sparking critical consciousness. </w:t>
      </w:r>
    </w:p>
    <w:p w14:paraId="295211C0" w14:textId="5E7A4190" w:rsidR="0033159A" w:rsidRPr="009668E2" w:rsidRDefault="00720101" w:rsidP="009668E2">
      <w:pPr>
        <w:pStyle w:val="isi"/>
        <w:jc w:val="both"/>
        <w:rPr>
          <w:rFonts w:ascii="Garamond" w:hAnsi="Garamond"/>
          <w:sz w:val="24"/>
          <w:szCs w:val="24"/>
          <w:lang w:val="en-GB"/>
        </w:rPr>
      </w:pPr>
      <w:r w:rsidRPr="009668E2">
        <w:rPr>
          <w:rFonts w:ascii="Garamond" w:hAnsi="Garamond"/>
          <w:sz w:val="24"/>
          <w:szCs w:val="24"/>
          <w:lang w:val="en-GB"/>
        </w:rPr>
        <w:t xml:space="preserve">Universities </w:t>
      </w:r>
      <w:r w:rsidR="0033159A" w:rsidRPr="009668E2">
        <w:rPr>
          <w:rFonts w:ascii="Garamond" w:hAnsi="Garamond"/>
          <w:sz w:val="24"/>
          <w:szCs w:val="24"/>
          <w:lang w:val="en-GB"/>
        </w:rPr>
        <w:t>can contribute to create a harmonious and inclusive society by establishing an environment conducive to religious diversity and encouraging respectful interactions.</w:t>
      </w:r>
      <w:r w:rsidRPr="009668E2">
        <w:rPr>
          <w:rStyle w:val="FootnoteReference"/>
          <w:rFonts w:ascii="Garamond" w:hAnsi="Garamond"/>
          <w:sz w:val="24"/>
          <w:szCs w:val="24"/>
          <w:lang w:val="en-GB"/>
        </w:rPr>
        <w:footnoteReference w:id="72"/>
      </w:r>
      <w:r w:rsidR="0033159A" w:rsidRPr="009668E2">
        <w:rPr>
          <w:rFonts w:ascii="Garamond" w:hAnsi="Garamond"/>
          <w:sz w:val="24"/>
          <w:szCs w:val="24"/>
          <w:lang w:val="en-GB"/>
        </w:rPr>
        <w:t xml:space="preserve"> As important as the above, certainly they contribute </w:t>
      </w:r>
      <w:r w:rsidRPr="009668E2">
        <w:rPr>
          <w:rFonts w:ascii="Garamond" w:hAnsi="Garamond"/>
          <w:sz w:val="24"/>
          <w:szCs w:val="24"/>
          <w:lang w:val="en-GB"/>
        </w:rPr>
        <w:t>a lot</w:t>
      </w:r>
      <w:r w:rsidR="0033159A" w:rsidRPr="009668E2">
        <w:rPr>
          <w:rFonts w:ascii="Garamond" w:hAnsi="Garamond"/>
          <w:sz w:val="24"/>
          <w:szCs w:val="24"/>
          <w:lang w:val="en-GB"/>
        </w:rPr>
        <w:t xml:space="preserve"> about promoting peace and tolerance, to the part of the Islamic boarding schools/</w:t>
      </w:r>
      <w:proofErr w:type="spellStart"/>
      <w:r w:rsidR="0033159A" w:rsidRPr="009668E2">
        <w:rPr>
          <w:rFonts w:ascii="Garamond" w:hAnsi="Garamond"/>
          <w:sz w:val="24"/>
          <w:szCs w:val="24"/>
          <w:lang w:val="en-GB"/>
        </w:rPr>
        <w:t>pesantren</w:t>
      </w:r>
      <w:proofErr w:type="spellEnd"/>
      <w:r w:rsidR="0033159A" w:rsidRPr="009668E2">
        <w:rPr>
          <w:rFonts w:ascii="Garamond" w:hAnsi="Garamond"/>
          <w:sz w:val="24"/>
          <w:szCs w:val="24"/>
          <w:lang w:val="en-GB"/>
        </w:rPr>
        <w:t xml:space="preserve">. </w:t>
      </w:r>
      <w:proofErr w:type="spellStart"/>
      <w:r w:rsidRPr="009668E2">
        <w:rPr>
          <w:rFonts w:ascii="Garamond" w:hAnsi="Garamond"/>
          <w:sz w:val="24"/>
          <w:szCs w:val="24"/>
          <w:lang w:val="en-GB"/>
        </w:rPr>
        <w:t>Pesantren</w:t>
      </w:r>
      <w:proofErr w:type="spellEnd"/>
      <w:r w:rsidRPr="009668E2">
        <w:rPr>
          <w:rFonts w:ascii="Garamond" w:hAnsi="Garamond"/>
          <w:sz w:val="24"/>
          <w:szCs w:val="24"/>
          <w:lang w:val="en-GB"/>
        </w:rPr>
        <w:t xml:space="preserve"> </w:t>
      </w:r>
      <w:r w:rsidR="0033159A" w:rsidRPr="009668E2">
        <w:rPr>
          <w:rFonts w:ascii="Garamond" w:hAnsi="Garamond"/>
          <w:sz w:val="24"/>
          <w:szCs w:val="24"/>
          <w:lang w:val="en-GB"/>
        </w:rPr>
        <w:t>have helped to promote a peaceful relationship and understanding between followers of different faiths.</w:t>
      </w:r>
      <w:r w:rsidRPr="009668E2">
        <w:rPr>
          <w:rStyle w:val="FootnoteReference"/>
          <w:rFonts w:ascii="Garamond" w:hAnsi="Garamond"/>
          <w:sz w:val="24"/>
          <w:szCs w:val="24"/>
          <w:lang w:val="en-GB"/>
        </w:rPr>
        <w:footnoteReference w:id="73"/>
      </w:r>
      <w:r w:rsidR="0033159A" w:rsidRPr="009668E2">
        <w:rPr>
          <w:rFonts w:ascii="Garamond" w:hAnsi="Garamond"/>
          <w:sz w:val="24"/>
          <w:szCs w:val="24"/>
          <w:lang w:val="en-GB"/>
        </w:rPr>
        <w:t xml:space="preserve"> </w:t>
      </w:r>
      <w:proofErr w:type="spellStart"/>
      <w:r w:rsidR="0033159A" w:rsidRPr="009668E2">
        <w:rPr>
          <w:rFonts w:ascii="Garamond" w:hAnsi="Garamond"/>
          <w:sz w:val="24"/>
          <w:szCs w:val="24"/>
          <w:lang w:val="en-GB"/>
        </w:rPr>
        <w:t>Pesantren</w:t>
      </w:r>
      <w:proofErr w:type="spellEnd"/>
      <w:r w:rsidR="0033159A" w:rsidRPr="009668E2">
        <w:rPr>
          <w:rFonts w:ascii="Garamond" w:hAnsi="Garamond"/>
          <w:sz w:val="24"/>
          <w:szCs w:val="24"/>
          <w:lang w:val="en-GB"/>
        </w:rPr>
        <w:t xml:space="preserve"> also build on interfaith cooperation and respect to draw pathways through building community synergy and enhancing peaceful life. It is imperative that the Islamic education curriculum include multicultural values and adhere to them in order to establish a tolerant and accepting culture. So, by incorporating the values of multicultural Islamic Religious Education, educational institutions can form students who are expected to have skills and positive attitudes towards a heterogeneous society.</w:t>
      </w:r>
      <w:r w:rsidRPr="009668E2">
        <w:rPr>
          <w:rStyle w:val="FootnoteReference"/>
          <w:rFonts w:ascii="Garamond" w:hAnsi="Garamond"/>
          <w:sz w:val="24"/>
          <w:szCs w:val="24"/>
          <w:lang w:val="en-GB"/>
        </w:rPr>
        <w:footnoteReference w:id="74"/>
      </w:r>
      <w:r w:rsidR="0033159A" w:rsidRPr="009668E2">
        <w:rPr>
          <w:rFonts w:ascii="Garamond" w:hAnsi="Garamond"/>
          <w:sz w:val="24"/>
          <w:szCs w:val="24"/>
          <w:lang w:val="en-GB"/>
        </w:rPr>
        <w:t xml:space="preserve"> By embracing multicultural-based Islamic education, it can return the spirit of togetherness and trust between diverse religious communities. So, in a nutshell, education is an integral part of the Da</w:t>
      </w:r>
      <w:r w:rsidR="002D4102" w:rsidRPr="009668E2">
        <w:rPr>
          <w:rFonts w:ascii="Garamond" w:hAnsi="Garamond"/>
          <w:sz w:val="24"/>
          <w:szCs w:val="24"/>
          <w:lang w:val="en-GB"/>
        </w:rPr>
        <w:t>’</w:t>
      </w:r>
      <w:r w:rsidR="0033159A" w:rsidRPr="009668E2">
        <w:rPr>
          <w:rFonts w:ascii="Garamond" w:hAnsi="Garamond"/>
          <w:sz w:val="24"/>
          <w:szCs w:val="24"/>
          <w:lang w:val="en-GB"/>
        </w:rPr>
        <w:t xml:space="preserve">wah to not only learn about the religion, but also to </w:t>
      </w:r>
      <w:r w:rsidRPr="009668E2">
        <w:rPr>
          <w:rFonts w:ascii="Garamond" w:hAnsi="Garamond"/>
          <w:sz w:val="24"/>
          <w:szCs w:val="24"/>
          <w:lang w:val="en-GB"/>
        </w:rPr>
        <w:t>instil</w:t>
      </w:r>
      <w:r w:rsidR="0033159A" w:rsidRPr="009668E2">
        <w:rPr>
          <w:rFonts w:ascii="Garamond" w:hAnsi="Garamond"/>
          <w:sz w:val="24"/>
          <w:szCs w:val="24"/>
          <w:lang w:val="en-GB"/>
        </w:rPr>
        <w:t xml:space="preserve"> values of tolerance, respect and understanding in a multicultural society. There are many steps educational institution in Indonesia can take to </w:t>
      </w:r>
      <w:r w:rsidRPr="009668E2">
        <w:rPr>
          <w:rFonts w:ascii="Garamond" w:hAnsi="Garamond"/>
          <w:sz w:val="24"/>
          <w:szCs w:val="24"/>
          <w:lang w:val="en-GB"/>
        </w:rPr>
        <w:t>build</w:t>
      </w:r>
      <w:r w:rsidR="0033159A" w:rsidRPr="009668E2">
        <w:rPr>
          <w:rFonts w:ascii="Garamond" w:hAnsi="Garamond"/>
          <w:sz w:val="24"/>
          <w:szCs w:val="24"/>
          <w:lang w:val="en-GB"/>
        </w:rPr>
        <w:t xml:space="preserve"> a harmonious and inclusive society where different backgrounds can exist, among other is by bringing religious moderation into the education system, promote interfaith dialogue as well as embrace multicultural values.</w:t>
      </w:r>
    </w:p>
    <w:p w14:paraId="471D6247" w14:textId="77777777" w:rsidR="0025226D" w:rsidRPr="009668E2" w:rsidRDefault="0025226D" w:rsidP="009668E2">
      <w:pPr>
        <w:pStyle w:val="isi"/>
        <w:jc w:val="both"/>
        <w:rPr>
          <w:rFonts w:ascii="Garamond" w:hAnsi="Garamond"/>
          <w:sz w:val="24"/>
          <w:szCs w:val="24"/>
          <w:lang w:val="en-GB"/>
        </w:rPr>
      </w:pPr>
    </w:p>
    <w:p w14:paraId="4D5025DE" w14:textId="2EC15406" w:rsidR="0025226D" w:rsidRPr="009668E2" w:rsidRDefault="0025226D" w:rsidP="009668E2">
      <w:pPr>
        <w:pStyle w:val="bag"/>
        <w:spacing w:before="0" w:after="0"/>
        <w:rPr>
          <w:rFonts w:ascii="Garamond" w:hAnsi="Garamond"/>
          <w:sz w:val="24"/>
          <w:szCs w:val="24"/>
          <w:lang w:val="en-GB"/>
        </w:rPr>
      </w:pPr>
      <w:r w:rsidRPr="009668E2">
        <w:rPr>
          <w:rFonts w:ascii="Garamond" w:hAnsi="Garamond"/>
          <w:sz w:val="24"/>
          <w:szCs w:val="24"/>
          <w:lang w:val="en-GB"/>
        </w:rPr>
        <w:t>Conclusion</w:t>
      </w:r>
    </w:p>
    <w:p w14:paraId="0A69D6B4" w14:textId="18A547B8" w:rsidR="00DE13C7" w:rsidRPr="009668E2" w:rsidRDefault="00DE13C7" w:rsidP="009668E2">
      <w:pPr>
        <w:pStyle w:val="isi"/>
        <w:jc w:val="both"/>
        <w:rPr>
          <w:rFonts w:ascii="Garamond" w:hAnsi="Garamond"/>
          <w:sz w:val="24"/>
          <w:szCs w:val="24"/>
          <w:lang w:val="en-GB"/>
        </w:rPr>
      </w:pPr>
      <w:r w:rsidRPr="009668E2">
        <w:rPr>
          <w:rFonts w:ascii="Garamond" w:hAnsi="Garamond"/>
          <w:sz w:val="24"/>
          <w:szCs w:val="24"/>
          <w:lang w:val="en-GB"/>
        </w:rPr>
        <w:t>The historical evolution of da</w:t>
      </w:r>
      <w:r w:rsidR="002D4102" w:rsidRPr="009668E2">
        <w:rPr>
          <w:rFonts w:ascii="Garamond" w:hAnsi="Garamond"/>
          <w:sz w:val="24"/>
          <w:szCs w:val="24"/>
          <w:lang w:val="en-GB"/>
        </w:rPr>
        <w:t>’</w:t>
      </w:r>
      <w:r w:rsidRPr="009668E2">
        <w:rPr>
          <w:rFonts w:ascii="Garamond" w:hAnsi="Garamond"/>
          <w:sz w:val="24"/>
          <w:szCs w:val="24"/>
          <w:lang w:val="en-GB"/>
        </w:rPr>
        <w:t xml:space="preserve">wah in addressing instances of blasphemy in Indonesia illustrates a nuanced and adaptable approach that continues to evolve in response to societal and political dynamics. </w:t>
      </w:r>
      <w:r w:rsidRPr="009668E2">
        <w:rPr>
          <w:rFonts w:ascii="Garamond" w:hAnsi="Garamond"/>
          <w:sz w:val="24"/>
          <w:szCs w:val="24"/>
          <w:lang w:val="en-GB"/>
        </w:rPr>
        <w:lastRenderedPageBreak/>
        <w:t>Studies indicate that da</w:t>
      </w:r>
      <w:r w:rsidR="002D4102" w:rsidRPr="009668E2">
        <w:rPr>
          <w:rFonts w:ascii="Garamond" w:hAnsi="Garamond"/>
          <w:sz w:val="24"/>
          <w:szCs w:val="24"/>
          <w:lang w:val="en-GB"/>
        </w:rPr>
        <w:t>’</w:t>
      </w:r>
      <w:r w:rsidRPr="009668E2">
        <w:rPr>
          <w:rFonts w:ascii="Garamond" w:hAnsi="Garamond"/>
          <w:sz w:val="24"/>
          <w:szCs w:val="24"/>
          <w:lang w:val="en-GB"/>
        </w:rPr>
        <w:t>wah serves not merely to reinforce religious beliefs but also to tackle social concerns, foster tolerance, and promote harmony among different religious communities in Indonesia. Muslim leaders and Islamic organizations employ a variety of strategies, including education, interfaith dialogue, and legal measures, to navigate conflicts surrounding blasphemy while upholding Islamic principles and advocating for peace.</w:t>
      </w:r>
    </w:p>
    <w:p w14:paraId="54848BD9" w14:textId="4AA4B017" w:rsidR="00DE13C7" w:rsidRPr="009668E2" w:rsidRDefault="00DE13C7" w:rsidP="009668E2">
      <w:pPr>
        <w:pStyle w:val="isi"/>
        <w:jc w:val="both"/>
        <w:rPr>
          <w:rFonts w:ascii="Garamond" w:hAnsi="Garamond"/>
          <w:sz w:val="24"/>
          <w:szCs w:val="24"/>
          <w:lang w:val="en-GB"/>
        </w:rPr>
      </w:pPr>
      <w:r w:rsidRPr="009668E2">
        <w:rPr>
          <w:rFonts w:ascii="Garamond" w:hAnsi="Garamond"/>
          <w:sz w:val="24"/>
          <w:szCs w:val="24"/>
          <w:lang w:val="en-GB"/>
        </w:rPr>
        <w:t>From a broader viewpoint, Indonesia</w:t>
      </w:r>
      <w:r w:rsidR="002D4102" w:rsidRPr="009668E2">
        <w:rPr>
          <w:rFonts w:ascii="Garamond" w:hAnsi="Garamond"/>
          <w:sz w:val="24"/>
          <w:szCs w:val="24"/>
          <w:lang w:val="en-GB"/>
        </w:rPr>
        <w:t>’</w:t>
      </w:r>
      <w:r w:rsidRPr="009668E2">
        <w:rPr>
          <w:rFonts w:ascii="Garamond" w:hAnsi="Garamond"/>
          <w:sz w:val="24"/>
          <w:szCs w:val="24"/>
          <w:lang w:val="en-GB"/>
        </w:rPr>
        <w:t>s dynamic approach to preaching offers valuable insights for contemporary society. The integration of religious teachings with multicultural ideals, along with a commitment to interfaith dialogue and religious moderation, can contribute to the establishment of a peaceful and inclusive community. This historical approach to interreligious conflict highlights the significance of responsive adaptations in nurturing mutual respect and understanding within diverse populations.</w:t>
      </w:r>
    </w:p>
    <w:p w14:paraId="046C744A" w14:textId="2A2208B7" w:rsidR="0025226D" w:rsidRPr="009668E2" w:rsidRDefault="00DE13C7" w:rsidP="009668E2">
      <w:pPr>
        <w:pStyle w:val="isi"/>
        <w:jc w:val="both"/>
        <w:rPr>
          <w:rFonts w:ascii="Garamond" w:hAnsi="Garamond"/>
          <w:sz w:val="24"/>
          <w:szCs w:val="24"/>
          <w:lang w:val="en-GB"/>
        </w:rPr>
      </w:pPr>
      <w:r w:rsidRPr="009668E2">
        <w:rPr>
          <w:rFonts w:ascii="Garamond" w:hAnsi="Garamond"/>
          <w:sz w:val="24"/>
          <w:szCs w:val="24"/>
          <w:lang w:val="en-GB"/>
        </w:rPr>
        <w:t>Looking ahead, the practice of da</w:t>
      </w:r>
      <w:r w:rsidR="002D4102" w:rsidRPr="009668E2">
        <w:rPr>
          <w:rFonts w:ascii="Garamond" w:hAnsi="Garamond"/>
          <w:sz w:val="24"/>
          <w:szCs w:val="24"/>
          <w:lang w:val="en-GB"/>
        </w:rPr>
        <w:t>’</w:t>
      </w:r>
      <w:r w:rsidRPr="009668E2">
        <w:rPr>
          <w:rFonts w:ascii="Garamond" w:hAnsi="Garamond"/>
          <w:sz w:val="24"/>
          <w:szCs w:val="24"/>
          <w:lang w:val="en-GB"/>
        </w:rPr>
        <w:t>wah must continue to progress in order to foster religious comprehension and tolerance. This includes utilizing digital platforms and technology to engage a broader audience, engaging in constructive discussions to address current challenges, and emphasizing empathy, tolerance, and peaceful coexistence. Ongoing refinement of da</w:t>
      </w:r>
      <w:r w:rsidR="002D4102" w:rsidRPr="009668E2">
        <w:rPr>
          <w:rFonts w:ascii="Garamond" w:hAnsi="Garamond"/>
          <w:sz w:val="24"/>
          <w:szCs w:val="24"/>
          <w:lang w:val="en-GB"/>
        </w:rPr>
        <w:t>’</w:t>
      </w:r>
      <w:r w:rsidRPr="009668E2">
        <w:rPr>
          <w:rFonts w:ascii="Garamond" w:hAnsi="Garamond"/>
          <w:sz w:val="24"/>
          <w:szCs w:val="24"/>
          <w:lang w:val="en-GB"/>
        </w:rPr>
        <w:t>wah techniques is crucial for cultivating a united and accepting society.</w:t>
      </w:r>
    </w:p>
    <w:p w14:paraId="4F9E145B" w14:textId="77777777" w:rsidR="0025226D" w:rsidRPr="009668E2" w:rsidRDefault="0025226D" w:rsidP="009668E2">
      <w:pPr>
        <w:pStyle w:val="isi"/>
        <w:jc w:val="both"/>
        <w:rPr>
          <w:rFonts w:ascii="Garamond" w:hAnsi="Garamond"/>
          <w:sz w:val="24"/>
          <w:szCs w:val="24"/>
          <w:lang w:val="en-GB"/>
        </w:rPr>
      </w:pPr>
    </w:p>
    <w:p w14:paraId="238CC0C5" w14:textId="77777777" w:rsidR="00696502" w:rsidRPr="009668E2" w:rsidRDefault="00696502" w:rsidP="009668E2">
      <w:pPr>
        <w:pStyle w:val="isi"/>
        <w:rPr>
          <w:rFonts w:ascii="Garamond" w:hAnsi="Garamond"/>
          <w:sz w:val="24"/>
          <w:szCs w:val="24"/>
        </w:rPr>
      </w:pPr>
    </w:p>
    <w:p w14:paraId="69CBFA2A" w14:textId="77777777" w:rsidR="00540569" w:rsidRPr="009668E2" w:rsidRDefault="009749B4" w:rsidP="009668E2">
      <w:pPr>
        <w:pStyle w:val="NoSpacing"/>
        <w:jc w:val="center"/>
        <w:rPr>
          <w:rFonts w:ascii="Garamond" w:hAnsi="Garamond" w:cs="Times New Roman"/>
          <w:b/>
          <w:bCs/>
          <w:sz w:val="24"/>
          <w:szCs w:val="24"/>
          <w:lang w:val="en-GB"/>
        </w:rPr>
      </w:pPr>
      <w:r w:rsidRPr="009668E2">
        <w:rPr>
          <w:rFonts w:ascii="Garamond" w:hAnsi="Garamond" w:cs="Times New Roman"/>
          <w:b/>
          <w:bCs/>
          <w:sz w:val="24"/>
          <w:szCs w:val="24"/>
          <w:lang w:val="en-GB"/>
        </w:rPr>
        <w:t>References</w:t>
      </w:r>
    </w:p>
    <w:p w14:paraId="348F33BD" w14:textId="21E264B4" w:rsidR="002D4102" w:rsidRPr="009668E2" w:rsidRDefault="00880294" w:rsidP="009668E2">
      <w:pPr>
        <w:pStyle w:val="EndNoteBibliography"/>
        <w:spacing w:after="0"/>
        <w:ind w:left="720" w:hanging="720"/>
        <w:jc w:val="both"/>
        <w:rPr>
          <w:rFonts w:ascii="Garamond" w:hAnsi="Garamond"/>
          <w:sz w:val="24"/>
          <w:szCs w:val="24"/>
        </w:rPr>
      </w:pPr>
      <w:r w:rsidRPr="009668E2">
        <w:rPr>
          <w:rFonts w:ascii="Garamond" w:hAnsi="Garamond"/>
          <w:bCs/>
          <w:sz w:val="24"/>
          <w:szCs w:val="24"/>
          <w:lang w:val="fi-FI"/>
        </w:rPr>
        <w:fldChar w:fldCharType="begin"/>
      </w:r>
      <w:r w:rsidRPr="009668E2">
        <w:rPr>
          <w:rFonts w:ascii="Garamond" w:hAnsi="Garamond"/>
          <w:bCs/>
          <w:sz w:val="24"/>
          <w:szCs w:val="24"/>
        </w:rPr>
        <w:instrText xml:space="preserve"> ADDIN EN.REFLIST </w:instrText>
      </w:r>
      <w:r w:rsidRPr="009668E2">
        <w:rPr>
          <w:rFonts w:ascii="Garamond" w:hAnsi="Garamond"/>
          <w:bCs/>
          <w:sz w:val="24"/>
          <w:szCs w:val="24"/>
          <w:lang w:val="fi-FI"/>
        </w:rPr>
        <w:fldChar w:fldCharType="separate"/>
      </w:r>
      <w:r w:rsidR="002D4102" w:rsidRPr="009668E2">
        <w:rPr>
          <w:rFonts w:ascii="Garamond" w:hAnsi="Garamond"/>
          <w:sz w:val="24"/>
          <w:szCs w:val="24"/>
        </w:rPr>
        <w:t xml:space="preserve">A'Yun, Rafiqa Q. "Religion at the Ballot Box: The Politics of Indonesia’s Blasphemy Laws." </w:t>
      </w:r>
      <w:r w:rsidR="002D4102" w:rsidRPr="009668E2">
        <w:rPr>
          <w:rFonts w:ascii="Garamond" w:hAnsi="Garamond"/>
          <w:i/>
          <w:sz w:val="24"/>
          <w:szCs w:val="24"/>
        </w:rPr>
        <w:t>Indonesia</w:t>
      </w:r>
      <w:r w:rsidR="002D4102" w:rsidRPr="009668E2">
        <w:rPr>
          <w:rFonts w:ascii="Garamond" w:hAnsi="Garamond"/>
          <w:sz w:val="24"/>
          <w:szCs w:val="24"/>
        </w:rPr>
        <w:t xml:space="preserve">  (2021). </w:t>
      </w:r>
      <w:hyperlink r:id="rId8" w:history="1">
        <w:r w:rsidR="002D4102" w:rsidRPr="009668E2">
          <w:rPr>
            <w:rStyle w:val="Hyperlink"/>
            <w:rFonts w:ascii="Garamond" w:hAnsi="Garamond"/>
            <w:sz w:val="24"/>
            <w:szCs w:val="24"/>
          </w:rPr>
          <w:t>http://dx.doi.org/10.1353/ind.2021.0005</w:t>
        </w:r>
      </w:hyperlink>
      <w:r w:rsidR="002D4102" w:rsidRPr="009668E2">
        <w:rPr>
          <w:rFonts w:ascii="Garamond" w:hAnsi="Garamond"/>
          <w:sz w:val="24"/>
          <w:szCs w:val="24"/>
        </w:rPr>
        <w:t>.</w:t>
      </w:r>
    </w:p>
    <w:p w14:paraId="5D93B2F1" w14:textId="0C4324C3"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Abdullah, Abdullah. "The Crime of Blasphemy in Indonesia: A Comparative Study." </w:t>
      </w:r>
      <w:r w:rsidRPr="009668E2">
        <w:rPr>
          <w:rFonts w:ascii="Garamond" w:hAnsi="Garamond"/>
          <w:i/>
          <w:sz w:val="24"/>
          <w:szCs w:val="24"/>
        </w:rPr>
        <w:t>Sasi</w:t>
      </w:r>
      <w:r w:rsidRPr="009668E2">
        <w:rPr>
          <w:rFonts w:ascii="Garamond" w:hAnsi="Garamond"/>
          <w:sz w:val="24"/>
          <w:szCs w:val="24"/>
        </w:rPr>
        <w:t xml:space="preserve">  (2023). </w:t>
      </w:r>
      <w:r w:rsidRPr="00EC5A41">
        <w:rPr>
          <w:rFonts w:ascii="Garamond" w:hAnsi="Garamond"/>
          <w:sz w:val="24"/>
          <w:szCs w:val="24"/>
        </w:rPr>
        <w:t>http://dx.doi.org/10.4</w:t>
      </w:r>
      <w:r w:rsidR="00EC5A41" w:rsidRPr="00EC5A41">
        <w:rPr>
          <w:rFonts w:ascii="Garamond" w:hAnsi="Garamond"/>
          <w:sz w:val="24"/>
          <w:szCs w:val="24"/>
        </w:rPr>
        <w:softHyphen/>
      </w:r>
      <w:r w:rsidRPr="00EC5A41">
        <w:rPr>
          <w:rFonts w:ascii="Garamond" w:hAnsi="Garamond"/>
          <w:sz w:val="24"/>
          <w:szCs w:val="24"/>
        </w:rPr>
        <w:t>7268/sasi</w:t>
      </w:r>
      <w:r w:rsidR="00EC5A41" w:rsidRPr="00EC5A41">
        <w:rPr>
          <w:rFonts w:ascii="Garamond" w:hAnsi="Garamond"/>
          <w:sz w:val="24"/>
          <w:szCs w:val="24"/>
        </w:rPr>
        <w:softHyphen/>
      </w:r>
      <w:r w:rsidRPr="00EC5A41">
        <w:rPr>
          <w:rFonts w:ascii="Garamond" w:hAnsi="Garamond"/>
          <w:sz w:val="24"/>
          <w:szCs w:val="24"/>
        </w:rPr>
        <w:t>.v29i2.1374</w:t>
      </w:r>
      <w:r w:rsidRPr="009668E2">
        <w:rPr>
          <w:rFonts w:ascii="Garamond" w:hAnsi="Garamond"/>
          <w:sz w:val="24"/>
          <w:szCs w:val="24"/>
        </w:rPr>
        <w:t>.</w:t>
      </w:r>
    </w:p>
    <w:p w14:paraId="113EF5B1" w14:textId="28110055"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Adawiyyah, Vina R. "The Development of Indonesian Islamic Civilization During the Dutch Colonial Period." </w:t>
      </w:r>
      <w:r w:rsidRPr="009668E2">
        <w:rPr>
          <w:rFonts w:ascii="Garamond" w:hAnsi="Garamond"/>
          <w:i/>
          <w:sz w:val="24"/>
          <w:szCs w:val="24"/>
        </w:rPr>
        <w:t>Iiej</w:t>
      </w:r>
      <w:r w:rsidRPr="009668E2">
        <w:rPr>
          <w:rFonts w:ascii="Garamond" w:hAnsi="Garamond"/>
          <w:sz w:val="24"/>
          <w:szCs w:val="24"/>
        </w:rPr>
        <w:t xml:space="preserve"> 1, no. 2 (2023): 104-15. </w:t>
      </w:r>
      <w:hyperlink r:id="rId9" w:history="1">
        <w:r w:rsidRPr="009668E2">
          <w:rPr>
            <w:rStyle w:val="Hyperlink"/>
            <w:rFonts w:ascii="Garamond" w:hAnsi="Garamond"/>
            <w:sz w:val="24"/>
            <w:szCs w:val="24"/>
          </w:rPr>
          <w:t>http://dx.doi.org/10.37812/iiej.v1i2.915</w:t>
        </w:r>
      </w:hyperlink>
      <w:r w:rsidRPr="009668E2">
        <w:rPr>
          <w:rFonts w:ascii="Garamond" w:hAnsi="Garamond"/>
          <w:sz w:val="24"/>
          <w:szCs w:val="24"/>
        </w:rPr>
        <w:t>.</w:t>
      </w:r>
    </w:p>
    <w:p w14:paraId="03ECAD6E" w14:textId="679A9240"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Adeline, Agnes L. "The Existence of Inheritance in Indonesia against Customary Inheritance Law and Islamic Inheritance Law."  (2023): 4-16. </w:t>
      </w:r>
      <w:hyperlink r:id="rId10" w:history="1">
        <w:r w:rsidRPr="009668E2">
          <w:rPr>
            <w:rStyle w:val="Hyperlink"/>
            <w:rFonts w:ascii="Garamond" w:hAnsi="Garamond"/>
            <w:sz w:val="24"/>
            <w:szCs w:val="24"/>
          </w:rPr>
          <w:t>http://dx.doi.org/10.2991/978-2-38476-164-7_2</w:t>
        </w:r>
      </w:hyperlink>
      <w:r w:rsidRPr="009668E2">
        <w:rPr>
          <w:rFonts w:ascii="Garamond" w:hAnsi="Garamond"/>
          <w:sz w:val="24"/>
          <w:szCs w:val="24"/>
        </w:rPr>
        <w:t>.</w:t>
      </w:r>
    </w:p>
    <w:p w14:paraId="66AB6E69" w14:textId="1F53AD05"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Aksa, Ahmad H. "Santri in the Frame of Religious Harmony." </w:t>
      </w:r>
      <w:r w:rsidRPr="009668E2">
        <w:rPr>
          <w:rFonts w:ascii="Garamond" w:hAnsi="Garamond"/>
          <w:i/>
          <w:sz w:val="24"/>
          <w:szCs w:val="24"/>
        </w:rPr>
        <w:t>Santri Journal of Pesantren and Fiqh Sosial</w:t>
      </w:r>
      <w:r w:rsidRPr="009668E2">
        <w:rPr>
          <w:rFonts w:ascii="Garamond" w:hAnsi="Garamond"/>
          <w:sz w:val="24"/>
          <w:szCs w:val="24"/>
        </w:rPr>
        <w:t xml:space="preserve"> 4, no. 2 (2023): 131-42. </w:t>
      </w:r>
      <w:hyperlink r:id="rId11" w:history="1">
        <w:r w:rsidRPr="009668E2">
          <w:rPr>
            <w:rStyle w:val="Hyperlink"/>
            <w:rFonts w:ascii="Garamond" w:hAnsi="Garamond"/>
            <w:sz w:val="24"/>
            <w:szCs w:val="24"/>
          </w:rPr>
          <w:t>http://dx.doi.org/10.35878/santri.v4i2.958</w:t>
        </w:r>
      </w:hyperlink>
      <w:r w:rsidRPr="009668E2">
        <w:rPr>
          <w:rFonts w:ascii="Garamond" w:hAnsi="Garamond"/>
          <w:sz w:val="24"/>
          <w:szCs w:val="24"/>
        </w:rPr>
        <w:t>.</w:t>
      </w:r>
    </w:p>
    <w:p w14:paraId="71EB331D" w14:textId="77777777"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lastRenderedPageBreak/>
        <w:t xml:space="preserve">Alexanderson, Kris. </w:t>
      </w:r>
      <w:r w:rsidRPr="009668E2">
        <w:rPr>
          <w:rFonts w:ascii="Garamond" w:hAnsi="Garamond"/>
          <w:i/>
          <w:sz w:val="24"/>
          <w:szCs w:val="24"/>
        </w:rPr>
        <w:t>Subversive Seas: Anticolonial Networks across the Twentieth-Century Dutch Empire</w:t>
      </w:r>
      <w:r w:rsidRPr="009668E2">
        <w:rPr>
          <w:rFonts w:ascii="Garamond" w:hAnsi="Garamond"/>
          <w:sz w:val="24"/>
          <w:szCs w:val="24"/>
        </w:rPr>
        <w:t>. Cambridge University Press, 2019.</w:t>
      </w:r>
    </w:p>
    <w:p w14:paraId="63D00CEC" w14:textId="653C1F28"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Amin, Nazrial. "Contemporary Da'wah Strategies to Educate the Religious Life of Minority Muslims." </w:t>
      </w:r>
      <w:r w:rsidRPr="009668E2">
        <w:rPr>
          <w:rFonts w:ascii="Garamond" w:hAnsi="Garamond"/>
          <w:i/>
          <w:sz w:val="24"/>
          <w:szCs w:val="24"/>
        </w:rPr>
        <w:t>Al-Fikru Jurnal Ilmiah</w:t>
      </w:r>
      <w:r w:rsidRPr="009668E2">
        <w:rPr>
          <w:rFonts w:ascii="Garamond" w:hAnsi="Garamond"/>
          <w:sz w:val="24"/>
          <w:szCs w:val="24"/>
        </w:rPr>
        <w:t xml:space="preserve">  (2022). </w:t>
      </w:r>
      <w:hyperlink r:id="rId12" w:history="1">
        <w:r w:rsidRPr="009668E2">
          <w:rPr>
            <w:rStyle w:val="Hyperlink"/>
            <w:rFonts w:ascii="Garamond" w:hAnsi="Garamond"/>
            <w:sz w:val="24"/>
            <w:szCs w:val="24"/>
          </w:rPr>
          <w:t>http://dx.doi.org/10.51672/alfikru.v16i2.107</w:t>
        </w:r>
      </w:hyperlink>
      <w:r w:rsidRPr="009668E2">
        <w:rPr>
          <w:rFonts w:ascii="Garamond" w:hAnsi="Garamond"/>
          <w:sz w:val="24"/>
          <w:szCs w:val="24"/>
        </w:rPr>
        <w:t>.</w:t>
      </w:r>
    </w:p>
    <w:p w14:paraId="74A58543" w14:textId="41377F7D"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Anas, Ahmad. "Contemporary Da’wah Empowerment Institute in Indonesia." </w:t>
      </w:r>
      <w:r w:rsidRPr="009668E2">
        <w:rPr>
          <w:rFonts w:ascii="Garamond" w:hAnsi="Garamond"/>
          <w:i/>
          <w:sz w:val="24"/>
          <w:szCs w:val="24"/>
        </w:rPr>
        <w:t>Jurnal Ilmiah Pendidikan Kebudayaan Dan Agama</w:t>
      </w:r>
      <w:r w:rsidRPr="009668E2">
        <w:rPr>
          <w:rFonts w:ascii="Garamond" w:hAnsi="Garamond"/>
          <w:sz w:val="24"/>
          <w:szCs w:val="24"/>
        </w:rPr>
        <w:t xml:space="preserve">  (2023). </w:t>
      </w:r>
      <w:hyperlink r:id="rId13" w:history="1">
        <w:r w:rsidRPr="009668E2">
          <w:rPr>
            <w:rStyle w:val="Hyperlink"/>
            <w:rFonts w:ascii="Garamond" w:hAnsi="Garamond"/>
            <w:sz w:val="24"/>
            <w:szCs w:val="24"/>
          </w:rPr>
          <w:t>http://dx.doi.org/10.59024/jipa.v1i1.54</w:t>
        </w:r>
      </w:hyperlink>
      <w:r w:rsidRPr="009668E2">
        <w:rPr>
          <w:rFonts w:ascii="Garamond" w:hAnsi="Garamond"/>
          <w:sz w:val="24"/>
          <w:szCs w:val="24"/>
        </w:rPr>
        <w:t>.</w:t>
      </w:r>
    </w:p>
    <w:p w14:paraId="1694990D" w14:textId="06E5FB73"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Aslan, Aslan and Kok S. Pong. "Understanding the Trend of Digital Da'wah among Muslim Housewives in Indonesia." </w:t>
      </w:r>
      <w:r w:rsidRPr="009668E2">
        <w:rPr>
          <w:rFonts w:ascii="Garamond" w:hAnsi="Garamond"/>
          <w:i/>
          <w:sz w:val="24"/>
          <w:szCs w:val="24"/>
        </w:rPr>
        <w:t>Fikroh Jurnal Pemikiran Dan Pendidikan Islam</w:t>
      </w:r>
      <w:r w:rsidRPr="009668E2">
        <w:rPr>
          <w:rFonts w:ascii="Garamond" w:hAnsi="Garamond"/>
          <w:sz w:val="24"/>
          <w:szCs w:val="24"/>
        </w:rPr>
        <w:t xml:space="preserve">  (2023). </w:t>
      </w:r>
      <w:hyperlink r:id="rId14" w:history="1">
        <w:r w:rsidRPr="009668E2">
          <w:rPr>
            <w:rStyle w:val="Hyperlink"/>
            <w:rFonts w:ascii="Garamond" w:hAnsi="Garamond"/>
            <w:sz w:val="24"/>
            <w:szCs w:val="24"/>
          </w:rPr>
          <w:t>http://dx.doi.org/10.3</w:t>
        </w:r>
        <w:r w:rsidR="00EC5A41">
          <w:rPr>
            <w:rStyle w:val="Hyperlink"/>
            <w:rFonts w:ascii="Garamond" w:hAnsi="Garamond"/>
            <w:sz w:val="24"/>
            <w:szCs w:val="24"/>
          </w:rPr>
          <w:softHyphen/>
        </w:r>
        <w:r w:rsidRPr="009668E2">
          <w:rPr>
            <w:rStyle w:val="Hyperlink"/>
            <w:rFonts w:ascii="Garamond" w:hAnsi="Garamond"/>
            <w:sz w:val="24"/>
            <w:szCs w:val="24"/>
          </w:rPr>
          <w:t>7812/fikroh.v16i1.681</w:t>
        </w:r>
      </w:hyperlink>
      <w:r w:rsidRPr="009668E2">
        <w:rPr>
          <w:rFonts w:ascii="Garamond" w:hAnsi="Garamond"/>
          <w:sz w:val="24"/>
          <w:szCs w:val="24"/>
        </w:rPr>
        <w:t>.</w:t>
      </w:r>
    </w:p>
    <w:p w14:paraId="458949F9" w14:textId="1087F683"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Aziz, Muhajir S., Meithiana Indrasari, Eko Pamuji, None E. R. Wulandari, and M. A. Prasnowo. "Systematic Review: Use of Digital Media as a Means of Communication of Da’wah." </w:t>
      </w:r>
      <w:r w:rsidRPr="009668E2">
        <w:rPr>
          <w:rFonts w:ascii="Garamond" w:hAnsi="Garamond"/>
          <w:i/>
          <w:sz w:val="24"/>
          <w:szCs w:val="24"/>
        </w:rPr>
        <w:t>Jurnal Spektrum Komunikasi</w:t>
      </w:r>
      <w:r w:rsidRPr="009668E2">
        <w:rPr>
          <w:rFonts w:ascii="Garamond" w:hAnsi="Garamond"/>
          <w:sz w:val="24"/>
          <w:szCs w:val="24"/>
        </w:rPr>
        <w:t xml:space="preserve">  (2022). </w:t>
      </w:r>
      <w:r w:rsidRPr="00EC5A41">
        <w:rPr>
          <w:rFonts w:ascii="Garamond" w:hAnsi="Garamond"/>
          <w:sz w:val="24"/>
          <w:szCs w:val="24"/>
        </w:rPr>
        <w:t>http://dx.doi.org/10.37826/spe</w:t>
      </w:r>
      <w:r w:rsidR="00EC5A41" w:rsidRPr="00EC5A41">
        <w:rPr>
          <w:rFonts w:ascii="Garamond" w:hAnsi="Garamond"/>
          <w:sz w:val="24"/>
          <w:szCs w:val="24"/>
        </w:rPr>
        <w:softHyphen/>
      </w:r>
      <w:r w:rsidRPr="00EC5A41">
        <w:rPr>
          <w:rFonts w:ascii="Garamond" w:hAnsi="Garamond"/>
          <w:sz w:val="24"/>
          <w:szCs w:val="24"/>
        </w:rPr>
        <w:t>ktrum.v10i2.324</w:t>
      </w:r>
      <w:r w:rsidRPr="009668E2">
        <w:rPr>
          <w:rFonts w:ascii="Garamond" w:hAnsi="Garamond"/>
          <w:sz w:val="24"/>
          <w:szCs w:val="24"/>
        </w:rPr>
        <w:t>.</w:t>
      </w:r>
    </w:p>
    <w:p w14:paraId="5FB459F8" w14:textId="5618E8FA"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Azzahra, Raihan and Farid S. Shuaib. "Religious Courts in Indonesia and Malaysia: History, Structure, and Jurisdiction." </w:t>
      </w:r>
      <w:r w:rsidRPr="009668E2">
        <w:rPr>
          <w:rFonts w:ascii="Garamond" w:hAnsi="Garamond"/>
          <w:i/>
          <w:sz w:val="24"/>
          <w:szCs w:val="24"/>
        </w:rPr>
        <w:t>Indonesian Comparative Law Review</w:t>
      </w:r>
      <w:r w:rsidRPr="009668E2">
        <w:rPr>
          <w:rFonts w:ascii="Garamond" w:hAnsi="Garamond"/>
          <w:sz w:val="24"/>
          <w:szCs w:val="24"/>
        </w:rPr>
        <w:t xml:space="preserve"> 4, no. 2 (2022): 115-30. </w:t>
      </w:r>
      <w:r w:rsidRPr="00EC5A41">
        <w:rPr>
          <w:rFonts w:ascii="Garamond" w:hAnsi="Garamond"/>
          <w:sz w:val="24"/>
          <w:szCs w:val="24"/>
        </w:rPr>
        <w:t>http://dx.doi</w:t>
      </w:r>
      <w:r w:rsidR="00EC5A41" w:rsidRPr="00EC5A41">
        <w:rPr>
          <w:rFonts w:ascii="Garamond" w:hAnsi="Garamond"/>
          <w:sz w:val="24"/>
          <w:szCs w:val="24"/>
        </w:rPr>
        <w:softHyphen/>
      </w:r>
      <w:r w:rsidRPr="00EC5A41">
        <w:rPr>
          <w:rFonts w:ascii="Garamond" w:hAnsi="Garamond"/>
          <w:sz w:val="24"/>
          <w:szCs w:val="24"/>
        </w:rPr>
        <w:t>.org/1</w:t>
      </w:r>
      <w:r w:rsidR="00EC5A41" w:rsidRPr="00EC5A41">
        <w:rPr>
          <w:rFonts w:ascii="Garamond" w:hAnsi="Garamond"/>
          <w:sz w:val="24"/>
          <w:szCs w:val="24"/>
        </w:rPr>
        <w:softHyphen/>
      </w:r>
      <w:r w:rsidRPr="00EC5A41">
        <w:rPr>
          <w:rFonts w:ascii="Garamond" w:hAnsi="Garamond"/>
          <w:sz w:val="24"/>
          <w:szCs w:val="24"/>
        </w:rPr>
        <w:t>0.18196/iclr.v4i2.15911</w:t>
      </w:r>
      <w:r w:rsidRPr="009668E2">
        <w:rPr>
          <w:rFonts w:ascii="Garamond" w:hAnsi="Garamond"/>
          <w:sz w:val="24"/>
          <w:szCs w:val="24"/>
        </w:rPr>
        <w:t>.</w:t>
      </w:r>
    </w:p>
    <w:p w14:paraId="149D61A6" w14:textId="7AF82438"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Cholil, Suhadi. "Freedom of Religion Amid Polarization and Religious Moderation Policy." </w:t>
      </w:r>
      <w:r w:rsidRPr="009668E2">
        <w:rPr>
          <w:rFonts w:ascii="Garamond" w:hAnsi="Garamond"/>
          <w:i/>
          <w:sz w:val="24"/>
          <w:szCs w:val="24"/>
        </w:rPr>
        <w:t>Interreligious Studies and Intercultural Theology</w:t>
      </w:r>
      <w:r w:rsidRPr="009668E2">
        <w:rPr>
          <w:rFonts w:ascii="Garamond" w:hAnsi="Garamond"/>
          <w:sz w:val="24"/>
          <w:szCs w:val="24"/>
        </w:rPr>
        <w:t xml:space="preserve">  (2023). </w:t>
      </w:r>
      <w:hyperlink r:id="rId15" w:history="1">
        <w:r w:rsidRPr="009668E2">
          <w:rPr>
            <w:rStyle w:val="Hyperlink"/>
            <w:rFonts w:ascii="Garamond" w:hAnsi="Garamond"/>
            <w:sz w:val="24"/>
            <w:szCs w:val="24"/>
          </w:rPr>
          <w:t>http://dx.doi.org/10.1558/isit.24603</w:t>
        </w:r>
      </w:hyperlink>
      <w:r w:rsidRPr="009668E2">
        <w:rPr>
          <w:rFonts w:ascii="Garamond" w:hAnsi="Garamond"/>
          <w:sz w:val="24"/>
          <w:szCs w:val="24"/>
        </w:rPr>
        <w:t>.</w:t>
      </w:r>
    </w:p>
    <w:p w14:paraId="51A9D5F5" w14:textId="14AEA759"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Epafras, Leonard C., Hendrikus P. Kaunang, and Syamsul Asri. "Religious Blasphemy and Monitory Society in Indonesian Digital Age." </w:t>
      </w:r>
      <w:r w:rsidRPr="009668E2">
        <w:rPr>
          <w:rFonts w:ascii="Garamond" w:hAnsi="Garamond"/>
          <w:i/>
          <w:sz w:val="24"/>
          <w:szCs w:val="24"/>
        </w:rPr>
        <w:t>Jurnal Kawistara</w:t>
      </w:r>
      <w:r w:rsidRPr="009668E2">
        <w:rPr>
          <w:rFonts w:ascii="Garamond" w:hAnsi="Garamond"/>
          <w:sz w:val="24"/>
          <w:szCs w:val="24"/>
        </w:rPr>
        <w:t xml:space="preserve">  (2019). </w:t>
      </w:r>
      <w:hyperlink r:id="rId16" w:history="1">
        <w:r w:rsidRPr="009668E2">
          <w:rPr>
            <w:rStyle w:val="Hyperlink"/>
            <w:rFonts w:ascii="Garamond" w:hAnsi="Garamond"/>
            <w:sz w:val="24"/>
            <w:szCs w:val="24"/>
          </w:rPr>
          <w:t>http://dx.doi.org/10.2</w:t>
        </w:r>
        <w:r w:rsidR="00EC5A41">
          <w:rPr>
            <w:rStyle w:val="Hyperlink"/>
            <w:rFonts w:ascii="Garamond" w:hAnsi="Garamond"/>
            <w:sz w:val="24"/>
            <w:szCs w:val="24"/>
          </w:rPr>
          <w:softHyphen/>
        </w:r>
        <w:r w:rsidRPr="009668E2">
          <w:rPr>
            <w:rStyle w:val="Hyperlink"/>
            <w:rFonts w:ascii="Garamond" w:hAnsi="Garamond"/>
            <w:sz w:val="24"/>
            <w:szCs w:val="24"/>
          </w:rPr>
          <w:t>2146/kawistara.41169</w:t>
        </w:r>
      </w:hyperlink>
      <w:r w:rsidRPr="009668E2">
        <w:rPr>
          <w:rFonts w:ascii="Garamond" w:hAnsi="Garamond"/>
          <w:sz w:val="24"/>
          <w:szCs w:val="24"/>
        </w:rPr>
        <w:t>.</w:t>
      </w:r>
    </w:p>
    <w:p w14:paraId="1BD3E250" w14:textId="6A92A6A4"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Faiqah, Nurul and Toni Pransiska. "Radikalisme Islam Vs Moderasi Islam: Upaya Membangun Wajah Islam Indonesia Yang Damai." </w:t>
      </w:r>
      <w:r w:rsidRPr="009668E2">
        <w:rPr>
          <w:rFonts w:ascii="Garamond" w:hAnsi="Garamond"/>
          <w:i/>
          <w:sz w:val="24"/>
          <w:szCs w:val="24"/>
        </w:rPr>
        <w:t>Al-Fikra Jurnal Ilmiah Keislaman</w:t>
      </w:r>
      <w:r w:rsidRPr="009668E2">
        <w:rPr>
          <w:rFonts w:ascii="Garamond" w:hAnsi="Garamond"/>
          <w:sz w:val="24"/>
          <w:szCs w:val="24"/>
        </w:rPr>
        <w:t xml:space="preserve"> 17, no. 1 (2018): 33. </w:t>
      </w:r>
      <w:r w:rsidRPr="00EC5A41">
        <w:rPr>
          <w:rFonts w:ascii="Garamond" w:hAnsi="Garamond"/>
          <w:sz w:val="24"/>
          <w:szCs w:val="24"/>
        </w:rPr>
        <w:t>http://dx.d</w:t>
      </w:r>
      <w:r w:rsidR="00EC5A41" w:rsidRPr="00EC5A41">
        <w:rPr>
          <w:rFonts w:ascii="Garamond" w:hAnsi="Garamond"/>
          <w:sz w:val="24"/>
          <w:szCs w:val="24"/>
        </w:rPr>
        <w:softHyphen/>
      </w:r>
      <w:r w:rsidRPr="00EC5A41">
        <w:rPr>
          <w:rFonts w:ascii="Garamond" w:hAnsi="Garamond"/>
          <w:sz w:val="24"/>
          <w:szCs w:val="24"/>
        </w:rPr>
        <w:t>oi.org/10.24014/af.v17i1.5212</w:t>
      </w:r>
      <w:r w:rsidRPr="009668E2">
        <w:rPr>
          <w:rFonts w:ascii="Garamond" w:hAnsi="Garamond"/>
          <w:sz w:val="24"/>
          <w:szCs w:val="24"/>
        </w:rPr>
        <w:t>.</w:t>
      </w:r>
    </w:p>
    <w:p w14:paraId="16FB9DC9" w14:textId="170FD3FF"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Fajar, Mohammad R. "Optimalisasi Dakwah Media Sosial Di Kalangan Mahasiswa Di Masa Pandemi Dalam Dimensi Globalisasi." </w:t>
      </w:r>
      <w:r w:rsidRPr="009668E2">
        <w:rPr>
          <w:rFonts w:ascii="Garamond" w:hAnsi="Garamond"/>
          <w:i/>
          <w:sz w:val="24"/>
          <w:szCs w:val="24"/>
        </w:rPr>
        <w:t>Jurnal Dakwah Dan Komunikasi</w:t>
      </w:r>
      <w:r w:rsidRPr="009668E2">
        <w:rPr>
          <w:rFonts w:ascii="Garamond" w:hAnsi="Garamond"/>
          <w:sz w:val="24"/>
          <w:szCs w:val="24"/>
        </w:rPr>
        <w:t xml:space="preserve">  (2021). </w:t>
      </w:r>
      <w:hyperlink r:id="rId17" w:history="1">
        <w:r w:rsidRPr="009668E2">
          <w:rPr>
            <w:rStyle w:val="Hyperlink"/>
            <w:rFonts w:ascii="Garamond" w:hAnsi="Garamond"/>
            <w:sz w:val="24"/>
            <w:szCs w:val="24"/>
          </w:rPr>
          <w:t>http://dx.doi.org/10</w:t>
        </w:r>
        <w:r w:rsidR="00EC5A41">
          <w:rPr>
            <w:rStyle w:val="Hyperlink"/>
            <w:rFonts w:ascii="Garamond" w:hAnsi="Garamond"/>
            <w:sz w:val="24"/>
            <w:szCs w:val="24"/>
          </w:rPr>
          <w:softHyphen/>
        </w:r>
        <w:r w:rsidRPr="009668E2">
          <w:rPr>
            <w:rStyle w:val="Hyperlink"/>
            <w:rFonts w:ascii="Garamond" w:hAnsi="Garamond"/>
            <w:sz w:val="24"/>
            <w:szCs w:val="24"/>
          </w:rPr>
          <w:t>.29240/jdk.v6i1.2954</w:t>
        </w:r>
      </w:hyperlink>
      <w:r w:rsidRPr="009668E2">
        <w:rPr>
          <w:rFonts w:ascii="Garamond" w:hAnsi="Garamond"/>
          <w:sz w:val="24"/>
          <w:szCs w:val="24"/>
        </w:rPr>
        <w:t>.</w:t>
      </w:r>
    </w:p>
    <w:p w14:paraId="1F7728D3" w14:textId="4ADF3F32"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Fenton, Adam J. "Faith, Intolerance, Violence and Bigotry: Legal and Constitutional Issues of Freedom of Religion in Indonesia." </w:t>
      </w:r>
      <w:r w:rsidRPr="009668E2">
        <w:rPr>
          <w:rFonts w:ascii="Garamond" w:hAnsi="Garamond"/>
          <w:i/>
          <w:sz w:val="24"/>
          <w:szCs w:val="24"/>
        </w:rPr>
        <w:t>JOURNAL OF INDONESIAN ISLAM</w:t>
      </w:r>
      <w:r w:rsidRPr="009668E2">
        <w:rPr>
          <w:rFonts w:ascii="Garamond" w:hAnsi="Garamond"/>
          <w:sz w:val="24"/>
          <w:szCs w:val="24"/>
        </w:rPr>
        <w:t xml:space="preserve">  (2016). </w:t>
      </w:r>
      <w:r w:rsidRPr="00EC5A41">
        <w:rPr>
          <w:rFonts w:ascii="Garamond" w:hAnsi="Garamond"/>
          <w:sz w:val="24"/>
          <w:szCs w:val="24"/>
        </w:rPr>
        <w:t>http://dx.doi.org/</w:t>
      </w:r>
      <w:r w:rsidR="00EC5A41" w:rsidRPr="00EC5A41">
        <w:rPr>
          <w:rFonts w:ascii="Garamond" w:hAnsi="Garamond"/>
          <w:sz w:val="24"/>
          <w:szCs w:val="24"/>
        </w:rPr>
        <w:softHyphen/>
      </w:r>
      <w:r w:rsidRPr="00EC5A41">
        <w:rPr>
          <w:rFonts w:ascii="Garamond" w:hAnsi="Garamond"/>
          <w:sz w:val="24"/>
          <w:szCs w:val="24"/>
        </w:rPr>
        <w:t>10.15642/jiis.2016.10.2.181-212</w:t>
      </w:r>
      <w:r w:rsidRPr="009668E2">
        <w:rPr>
          <w:rFonts w:ascii="Garamond" w:hAnsi="Garamond"/>
          <w:sz w:val="24"/>
          <w:szCs w:val="24"/>
        </w:rPr>
        <w:t>.</w:t>
      </w:r>
    </w:p>
    <w:p w14:paraId="52301D8A" w14:textId="186D81A8"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lastRenderedPageBreak/>
        <w:t xml:space="preserve">Fikar, Zulfikar. "Dakwah Ulama Dayah Aceh Di Masa Pandemi." </w:t>
      </w:r>
      <w:r w:rsidRPr="009668E2">
        <w:rPr>
          <w:rFonts w:ascii="Garamond" w:hAnsi="Garamond"/>
          <w:i/>
          <w:sz w:val="24"/>
          <w:szCs w:val="24"/>
        </w:rPr>
        <w:t>Panangkaran Jurnal Penelitian Agama Dan Masyarakat</w:t>
      </w:r>
      <w:r w:rsidRPr="009668E2">
        <w:rPr>
          <w:rFonts w:ascii="Garamond" w:hAnsi="Garamond"/>
          <w:sz w:val="24"/>
          <w:szCs w:val="24"/>
        </w:rPr>
        <w:t xml:space="preserve">  (2022). </w:t>
      </w:r>
      <w:hyperlink r:id="rId18" w:history="1">
        <w:r w:rsidRPr="009668E2">
          <w:rPr>
            <w:rStyle w:val="Hyperlink"/>
            <w:rFonts w:ascii="Garamond" w:hAnsi="Garamond"/>
            <w:sz w:val="24"/>
            <w:szCs w:val="24"/>
          </w:rPr>
          <w:t>http://dx.doi.org/10.14421/panangkaran.v6i1.2788</w:t>
        </w:r>
      </w:hyperlink>
      <w:r w:rsidRPr="009668E2">
        <w:rPr>
          <w:rFonts w:ascii="Garamond" w:hAnsi="Garamond"/>
          <w:sz w:val="24"/>
          <w:szCs w:val="24"/>
        </w:rPr>
        <w:t>.</w:t>
      </w:r>
    </w:p>
    <w:p w14:paraId="32F2AB62" w14:textId="65D82C2F"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Firdaus, Muhamad Y., Muhamad F. Assauri, and Nurul A. T. Haqqi. "The Botram Harmony Tradition: Knitting a Harmonious Life in Frames Islamic Moderation." </w:t>
      </w:r>
      <w:r w:rsidRPr="009668E2">
        <w:rPr>
          <w:rFonts w:ascii="Garamond" w:hAnsi="Garamond"/>
          <w:i/>
          <w:sz w:val="24"/>
          <w:szCs w:val="24"/>
        </w:rPr>
        <w:t>Jurnal Penelitian Ilmu Ushuluddin</w:t>
      </w:r>
      <w:r w:rsidRPr="009668E2">
        <w:rPr>
          <w:rFonts w:ascii="Garamond" w:hAnsi="Garamond"/>
          <w:sz w:val="24"/>
          <w:szCs w:val="24"/>
        </w:rPr>
        <w:t xml:space="preserve"> 3, no. 1 (2023): 120-30. </w:t>
      </w:r>
      <w:r w:rsidRPr="00EC5A41">
        <w:rPr>
          <w:rFonts w:ascii="Garamond" w:hAnsi="Garamond"/>
          <w:sz w:val="24"/>
          <w:szCs w:val="24"/>
        </w:rPr>
        <w:t>http://dx.doi.o</w:t>
      </w:r>
      <w:r w:rsidR="00EC5A41" w:rsidRPr="00EC5A41">
        <w:rPr>
          <w:rFonts w:ascii="Garamond" w:hAnsi="Garamond"/>
          <w:sz w:val="24"/>
          <w:szCs w:val="24"/>
        </w:rPr>
        <w:softHyphen/>
      </w:r>
      <w:r w:rsidRPr="00EC5A41">
        <w:rPr>
          <w:rFonts w:ascii="Garamond" w:hAnsi="Garamond"/>
          <w:sz w:val="24"/>
          <w:szCs w:val="24"/>
        </w:rPr>
        <w:t>rg/10.1557</w:t>
      </w:r>
      <w:r w:rsidR="00EC5A41" w:rsidRPr="00EC5A41">
        <w:rPr>
          <w:rFonts w:ascii="Garamond" w:hAnsi="Garamond"/>
          <w:sz w:val="24"/>
          <w:szCs w:val="24"/>
        </w:rPr>
        <w:softHyphen/>
      </w:r>
      <w:r w:rsidRPr="00EC5A41">
        <w:rPr>
          <w:rFonts w:ascii="Garamond" w:hAnsi="Garamond"/>
          <w:sz w:val="24"/>
          <w:szCs w:val="24"/>
        </w:rPr>
        <w:t>5/jpiu.</w:t>
      </w:r>
      <w:r w:rsidR="00EC5A41" w:rsidRPr="00EC5A41">
        <w:rPr>
          <w:rFonts w:ascii="Garamond" w:hAnsi="Garamond"/>
          <w:sz w:val="24"/>
          <w:szCs w:val="24"/>
        </w:rPr>
        <w:softHyphen/>
      </w:r>
      <w:r w:rsidRPr="00EC5A41">
        <w:rPr>
          <w:rFonts w:ascii="Garamond" w:hAnsi="Garamond"/>
          <w:sz w:val="24"/>
          <w:szCs w:val="24"/>
        </w:rPr>
        <w:t>23344</w:t>
      </w:r>
      <w:r w:rsidRPr="009668E2">
        <w:rPr>
          <w:rFonts w:ascii="Garamond" w:hAnsi="Garamond"/>
          <w:sz w:val="24"/>
          <w:szCs w:val="24"/>
        </w:rPr>
        <w:t>.</w:t>
      </w:r>
    </w:p>
    <w:p w14:paraId="4861AB00" w14:textId="1786FC4C"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Gunawan, Reka and Abdul Muhid. "The Strategy of Da’wah Bil Hal Communication: Literature Review." </w:t>
      </w:r>
      <w:r w:rsidRPr="009668E2">
        <w:rPr>
          <w:rFonts w:ascii="Garamond" w:hAnsi="Garamond"/>
          <w:i/>
          <w:sz w:val="24"/>
          <w:szCs w:val="24"/>
        </w:rPr>
        <w:t>Komunike</w:t>
      </w:r>
      <w:r w:rsidRPr="009668E2">
        <w:rPr>
          <w:rFonts w:ascii="Garamond" w:hAnsi="Garamond"/>
          <w:sz w:val="24"/>
          <w:szCs w:val="24"/>
        </w:rPr>
        <w:t xml:space="preserve">  (2022). </w:t>
      </w:r>
      <w:hyperlink r:id="rId19" w:history="1">
        <w:r w:rsidRPr="009668E2">
          <w:rPr>
            <w:rStyle w:val="Hyperlink"/>
            <w:rFonts w:ascii="Garamond" w:hAnsi="Garamond"/>
            <w:sz w:val="24"/>
            <w:szCs w:val="24"/>
          </w:rPr>
          <w:t>http://dx.doi.org/10.20414/jurkom.v14i1.5270</w:t>
        </w:r>
      </w:hyperlink>
      <w:r w:rsidRPr="009668E2">
        <w:rPr>
          <w:rFonts w:ascii="Garamond" w:hAnsi="Garamond"/>
          <w:sz w:val="24"/>
          <w:szCs w:val="24"/>
        </w:rPr>
        <w:t>.</w:t>
      </w:r>
    </w:p>
    <w:p w14:paraId="37F64FBA" w14:textId="175F92BB"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Haq, Thoriqul and Noor Aqsa Nabila Mat Isa. "Discourse, Law, and Digital Communication: Unraveling the Hate Speech in Basuki Tjahaja Purnama’s Case of Religious Blasphemy." </w:t>
      </w:r>
      <w:r w:rsidR="00E7298E" w:rsidRPr="009668E2">
        <w:rPr>
          <w:rFonts w:ascii="Garamond" w:hAnsi="Garamond"/>
          <w:i/>
          <w:sz w:val="24"/>
          <w:szCs w:val="24"/>
        </w:rPr>
        <w:t>Journal Of Indonesian Islam</w:t>
      </w:r>
      <w:r w:rsidR="00E7298E" w:rsidRPr="009668E2">
        <w:rPr>
          <w:rFonts w:ascii="Garamond" w:hAnsi="Garamond"/>
          <w:sz w:val="24"/>
          <w:szCs w:val="24"/>
        </w:rPr>
        <w:t xml:space="preserve"> </w:t>
      </w:r>
      <w:r w:rsidRPr="009668E2">
        <w:rPr>
          <w:rFonts w:ascii="Garamond" w:hAnsi="Garamond"/>
          <w:sz w:val="24"/>
          <w:szCs w:val="24"/>
        </w:rPr>
        <w:t>17, no. 2 (2023): 376-402.</w:t>
      </w:r>
    </w:p>
    <w:p w14:paraId="30CB1BF0" w14:textId="57E216B0"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Hariyatoni, Hariyatoni and Hasep Saputra. "The Mapping of Dakwah Potencies in Supporting Rejang Lebong to Be a Religious Regency." </w:t>
      </w:r>
      <w:r w:rsidRPr="009668E2">
        <w:rPr>
          <w:rFonts w:ascii="Garamond" w:hAnsi="Garamond"/>
          <w:i/>
          <w:sz w:val="24"/>
          <w:szCs w:val="24"/>
        </w:rPr>
        <w:t>Ajis Academic Journal of Islamic Studies</w:t>
      </w:r>
      <w:r w:rsidRPr="009668E2">
        <w:rPr>
          <w:rFonts w:ascii="Garamond" w:hAnsi="Garamond"/>
          <w:sz w:val="24"/>
          <w:szCs w:val="24"/>
        </w:rPr>
        <w:t xml:space="preserve">  (2018). </w:t>
      </w:r>
      <w:hyperlink r:id="rId20" w:history="1">
        <w:r w:rsidRPr="009668E2">
          <w:rPr>
            <w:rStyle w:val="Hyperlink"/>
            <w:rFonts w:ascii="Garamond" w:hAnsi="Garamond"/>
            <w:sz w:val="24"/>
            <w:szCs w:val="24"/>
          </w:rPr>
          <w:t>http://dx.doi.org/10.29240/ajis.v3i1.485</w:t>
        </w:r>
      </w:hyperlink>
      <w:r w:rsidRPr="009668E2">
        <w:rPr>
          <w:rFonts w:ascii="Garamond" w:hAnsi="Garamond"/>
          <w:sz w:val="24"/>
          <w:szCs w:val="24"/>
        </w:rPr>
        <w:t>.</w:t>
      </w:r>
    </w:p>
    <w:p w14:paraId="0F469411" w14:textId="4C543B83"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Hasani, Ismail and Halili Halili. "Human Rights and Constitutionality Issues of Blasphemy Law in Indonesia." </w:t>
      </w:r>
      <w:r w:rsidRPr="009668E2">
        <w:rPr>
          <w:rFonts w:ascii="Garamond" w:hAnsi="Garamond"/>
          <w:i/>
          <w:sz w:val="24"/>
          <w:szCs w:val="24"/>
        </w:rPr>
        <w:t>Jurnal Konstitusi</w:t>
      </w:r>
      <w:r w:rsidRPr="009668E2">
        <w:rPr>
          <w:rFonts w:ascii="Garamond" w:hAnsi="Garamond"/>
          <w:sz w:val="24"/>
          <w:szCs w:val="24"/>
        </w:rPr>
        <w:t xml:space="preserve">  (2022). </w:t>
      </w:r>
      <w:hyperlink r:id="rId21" w:history="1">
        <w:r w:rsidRPr="009668E2">
          <w:rPr>
            <w:rStyle w:val="Hyperlink"/>
            <w:rFonts w:ascii="Garamond" w:hAnsi="Garamond"/>
            <w:sz w:val="24"/>
            <w:szCs w:val="24"/>
          </w:rPr>
          <w:t>http://dx.doi.org/10.31078/jk1927</w:t>
        </w:r>
      </w:hyperlink>
      <w:r w:rsidRPr="009668E2">
        <w:rPr>
          <w:rFonts w:ascii="Garamond" w:hAnsi="Garamond"/>
          <w:sz w:val="24"/>
          <w:szCs w:val="24"/>
        </w:rPr>
        <w:t>.</w:t>
      </w:r>
    </w:p>
    <w:p w14:paraId="13C2D0C9" w14:textId="3123FC43"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Hopkins, Nick, Ronni M. Greenwood, and Maisha Birchall. "Minority Understandings of the Dynamics to Intergroup Contact Encounters: British Muslims' (Sometimes Ambivalent) Experiences of Representing Their Group to Others." </w:t>
      </w:r>
      <w:r w:rsidRPr="009668E2">
        <w:rPr>
          <w:rFonts w:ascii="Garamond" w:hAnsi="Garamond"/>
          <w:i/>
          <w:sz w:val="24"/>
          <w:szCs w:val="24"/>
        </w:rPr>
        <w:t>South African Journal of Psychology</w:t>
      </w:r>
      <w:r w:rsidRPr="009668E2">
        <w:rPr>
          <w:rFonts w:ascii="Garamond" w:hAnsi="Garamond"/>
          <w:sz w:val="24"/>
          <w:szCs w:val="24"/>
        </w:rPr>
        <w:t xml:space="preserve">  (2007). </w:t>
      </w:r>
      <w:hyperlink r:id="rId22" w:history="1">
        <w:r w:rsidRPr="009668E2">
          <w:rPr>
            <w:rStyle w:val="Hyperlink"/>
            <w:rFonts w:ascii="Garamond" w:hAnsi="Garamond"/>
            <w:sz w:val="24"/>
            <w:szCs w:val="24"/>
          </w:rPr>
          <w:t>http://dx.doi.org/10.1177/</w:t>
        </w:r>
        <w:r w:rsidR="00EC5A41">
          <w:rPr>
            <w:rStyle w:val="Hyperlink"/>
            <w:rFonts w:ascii="Garamond" w:hAnsi="Garamond"/>
            <w:sz w:val="24"/>
            <w:szCs w:val="24"/>
          </w:rPr>
          <w:softHyphen/>
        </w:r>
        <w:r w:rsidRPr="009668E2">
          <w:rPr>
            <w:rStyle w:val="Hyperlink"/>
            <w:rFonts w:ascii="Garamond" w:hAnsi="Garamond"/>
            <w:sz w:val="24"/>
            <w:szCs w:val="24"/>
          </w:rPr>
          <w:t>008124630703700402</w:t>
        </w:r>
      </w:hyperlink>
      <w:r w:rsidRPr="009668E2">
        <w:rPr>
          <w:rFonts w:ascii="Garamond" w:hAnsi="Garamond"/>
          <w:sz w:val="24"/>
          <w:szCs w:val="24"/>
        </w:rPr>
        <w:t>.</w:t>
      </w:r>
    </w:p>
    <w:p w14:paraId="725E2322" w14:textId="322E32A7"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Huda, Miftahul. "The Local Construction of Religious Blasphemy in East Java." </w:t>
      </w:r>
      <w:r w:rsidR="00EC5A41" w:rsidRPr="009668E2">
        <w:rPr>
          <w:rFonts w:ascii="Garamond" w:hAnsi="Garamond"/>
          <w:i/>
          <w:sz w:val="24"/>
          <w:szCs w:val="24"/>
        </w:rPr>
        <w:t>Journal Of Indonesian Islam</w:t>
      </w:r>
      <w:r w:rsidR="00EC5A41" w:rsidRPr="009668E2">
        <w:rPr>
          <w:rFonts w:ascii="Garamond" w:hAnsi="Garamond"/>
          <w:sz w:val="24"/>
          <w:szCs w:val="24"/>
        </w:rPr>
        <w:t xml:space="preserve">  </w:t>
      </w:r>
      <w:r w:rsidRPr="009668E2">
        <w:rPr>
          <w:rFonts w:ascii="Garamond" w:hAnsi="Garamond"/>
          <w:sz w:val="24"/>
          <w:szCs w:val="24"/>
        </w:rPr>
        <w:t xml:space="preserve">(2019). </w:t>
      </w:r>
      <w:r w:rsidRPr="00E7298E">
        <w:rPr>
          <w:rFonts w:ascii="Garamond" w:hAnsi="Garamond"/>
          <w:sz w:val="24"/>
          <w:szCs w:val="24"/>
        </w:rPr>
        <w:t>http://dx.</w:t>
      </w:r>
      <w:r w:rsidR="00E7298E" w:rsidRPr="00E7298E">
        <w:rPr>
          <w:rFonts w:ascii="Garamond" w:hAnsi="Garamond"/>
          <w:sz w:val="24"/>
          <w:szCs w:val="24"/>
        </w:rPr>
        <w:softHyphen/>
      </w:r>
      <w:r w:rsidRPr="00E7298E">
        <w:rPr>
          <w:rFonts w:ascii="Garamond" w:hAnsi="Garamond"/>
          <w:sz w:val="24"/>
          <w:szCs w:val="24"/>
        </w:rPr>
        <w:t>doi</w:t>
      </w:r>
      <w:r w:rsidR="00E7298E" w:rsidRPr="00E7298E">
        <w:rPr>
          <w:rFonts w:ascii="Garamond" w:hAnsi="Garamond"/>
          <w:sz w:val="24"/>
          <w:szCs w:val="24"/>
        </w:rPr>
        <w:softHyphen/>
      </w:r>
      <w:r w:rsidRPr="00E7298E">
        <w:rPr>
          <w:rFonts w:ascii="Garamond" w:hAnsi="Garamond"/>
          <w:sz w:val="24"/>
          <w:szCs w:val="24"/>
        </w:rPr>
        <w:t>.org/10.15642/jiis.2019.13.1.96-114</w:t>
      </w:r>
      <w:r w:rsidRPr="009668E2">
        <w:rPr>
          <w:rFonts w:ascii="Garamond" w:hAnsi="Garamond"/>
          <w:sz w:val="24"/>
          <w:szCs w:val="24"/>
        </w:rPr>
        <w:t>.</w:t>
      </w:r>
    </w:p>
    <w:p w14:paraId="7C1E800A" w14:textId="23B0256D"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Husaini, Husaini and Athoillah Islamy. "Harmonization of Religion and State : Mainstreaming the Values of Religious Moderation in Indonesian Da'wah Orientation." </w:t>
      </w:r>
      <w:r w:rsidRPr="009668E2">
        <w:rPr>
          <w:rFonts w:ascii="Garamond" w:hAnsi="Garamond"/>
          <w:i/>
          <w:sz w:val="24"/>
          <w:szCs w:val="24"/>
        </w:rPr>
        <w:t>Al-Adalah Jurnal Hukum Dan Politik Islam</w:t>
      </w:r>
      <w:r w:rsidRPr="009668E2">
        <w:rPr>
          <w:rFonts w:ascii="Garamond" w:hAnsi="Garamond"/>
          <w:sz w:val="24"/>
          <w:szCs w:val="24"/>
        </w:rPr>
        <w:t xml:space="preserve">  (2022). </w:t>
      </w:r>
      <w:r w:rsidRPr="00EC5A41">
        <w:rPr>
          <w:rFonts w:ascii="Garamond" w:hAnsi="Garamond"/>
          <w:sz w:val="24"/>
          <w:szCs w:val="24"/>
        </w:rPr>
        <w:t>http://dx.doi.org/10.35673/</w:t>
      </w:r>
      <w:r w:rsidR="00EC5A41" w:rsidRPr="00EC5A41">
        <w:rPr>
          <w:rFonts w:ascii="Garamond" w:hAnsi="Garamond"/>
          <w:sz w:val="24"/>
          <w:szCs w:val="24"/>
        </w:rPr>
        <w:softHyphen/>
      </w:r>
      <w:r w:rsidRPr="00EC5A41">
        <w:rPr>
          <w:rFonts w:ascii="Garamond" w:hAnsi="Garamond"/>
          <w:sz w:val="24"/>
          <w:szCs w:val="24"/>
        </w:rPr>
        <w:t>ajhpi</w:t>
      </w:r>
      <w:r w:rsidR="00EC5A41" w:rsidRPr="00EC5A41">
        <w:rPr>
          <w:rFonts w:ascii="Garamond" w:hAnsi="Garamond"/>
          <w:sz w:val="24"/>
          <w:szCs w:val="24"/>
        </w:rPr>
        <w:softHyphen/>
      </w:r>
      <w:r w:rsidRPr="00EC5A41">
        <w:rPr>
          <w:rFonts w:ascii="Garamond" w:hAnsi="Garamond"/>
          <w:sz w:val="24"/>
          <w:szCs w:val="24"/>
        </w:rPr>
        <w:t>.v7i1.2128</w:t>
      </w:r>
      <w:r w:rsidRPr="009668E2">
        <w:rPr>
          <w:rFonts w:ascii="Garamond" w:hAnsi="Garamond"/>
          <w:sz w:val="24"/>
          <w:szCs w:val="24"/>
        </w:rPr>
        <w:t>.</w:t>
      </w:r>
    </w:p>
    <w:p w14:paraId="244E45D8" w14:textId="046A960E"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Husna, Ulfatul and Muhammad Thohir. "Religious Moderation as a New Approach to Learning Islamic Religious Education in Schools." </w:t>
      </w:r>
      <w:r w:rsidRPr="009668E2">
        <w:rPr>
          <w:rFonts w:ascii="Garamond" w:hAnsi="Garamond"/>
          <w:i/>
          <w:sz w:val="24"/>
          <w:szCs w:val="24"/>
        </w:rPr>
        <w:t>Nadwa Jurnal Pendidikan Islam</w:t>
      </w:r>
      <w:r w:rsidRPr="009668E2">
        <w:rPr>
          <w:rFonts w:ascii="Garamond" w:hAnsi="Garamond"/>
          <w:sz w:val="24"/>
          <w:szCs w:val="24"/>
        </w:rPr>
        <w:t xml:space="preserve"> 14, no. 1 (2020): 199-222. </w:t>
      </w:r>
      <w:hyperlink r:id="rId23" w:history="1">
        <w:r w:rsidRPr="009668E2">
          <w:rPr>
            <w:rStyle w:val="Hyperlink"/>
            <w:rFonts w:ascii="Garamond" w:hAnsi="Garamond"/>
            <w:sz w:val="24"/>
            <w:szCs w:val="24"/>
          </w:rPr>
          <w:t>http://dx.doi.org/10.21580/nw.2020.14.1.5766</w:t>
        </w:r>
      </w:hyperlink>
      <w:r w:rsidRPr="009668E2">
        <w:rPr>
          <w:rFonts w:ascii="Garamond" w:hAnsi="Garamond"/>
          <w:sz w:val="24"/>
          <w:szCs w:val="24"/>
        </w:rPr>
        <w:t>.</w:t>
      </w:r>
    </w:p>
    <w:p w14:paraId="671452B0" w14:textId="6422AFCE"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Husni, Husni, Zulfan Zulfan, Teuku Afrizal, Nurarafah Nurarafah, and Sumiadi Sumiadi. "Religious Diversity and Its Legal Problems." </w:t>
      </w:r>
      <w:r w:rsidRPr="009668E2">
        <w:rPr>
          <w:rFonts w:ascii="Garamond" w:hAnsi="Garamond"/>
          <w:i/>
          <w:sz w:val="24"/>
          <w:szCs w:val="24"/>
        </w:rPr>
        <w:lastRenderedPageBreak/>
        <w:t>Journal Research of Social Science Economics and Management</w:t>
      </w:r>
      <w:r w:rsidRPr="009668E2">
        <w:rPr>
          <w:rFonts w:ascii="Garamond" w:hAnsi="Garamond"/>
          <w:sz w:val="24"/>
          <w:szCs w:val="24"/>
        </w:rPr>
        <w:t xml:space="preserve">  (2022). </w:t>
      </w:r>
      <w:hyperlink r:id="rId24" w:history="1">
        <w:r w:rsidRPr="009668E2">
          <w:rPr>
            <w:rStyle w:val="Hyperlink"/>
            <w:rFonts w:ascii="Garamond" w:hAnsi="Garamond"/>
            <w:sz w:val="24"/>
            <w:szCs w:val="24"/>
          </w:rPr>
          <w:t>http://dx.doi.org/10.36418/jrssem.v1i9.149</w:t>
        </w:r>
      </w:hyperlink>
      <w:r w:rsidRPr="009668E2">
        <w:rPr>
          <w:rFonts w:ascii="Garamond" w:hAnsi="Garamond"/>
          <w:sz w:val="24"/>
          <w:szCs w:val="24"/>
        </w:rPr>
        <w:t>.</w:t>
      </w:r>
    </w:p>
    <w:p w14:paraId="1BA9B6F7" w14:textId="3699DFE3"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ikhwan, Nur. "Dakwah Dan Peran Pembelajaran Bahasa Arab Dalam Perubahan Sosial." </w:t>
      </w:r>
      <w:r w:rsidRPr="009668E2">
        <w:rPr>
          <w:rFonts w:ascii="Garamond" w:hAnsi="Garamond"/>
          <w:i/>
          <w:sz w:val="24"/>
          <w:szCs w:val="24"/>
        </w:rPr>
        <w:t>Jkomdis Jurnal Ilmu Komunikasi Dan Media Sosial</w:t>
      </w:r>
      <w:r w:rsidRPr="009668E2">
        <w:rPr>
          <w:rFonts w:ascii="Garamond" w:hAnsi="Garamond"/>
          <w:sz w:val="24"/>
          <w:szCs w:val="24"/>
        </w:rPr>
        <w:t xml:space="preserve">  (2024). </w:t>
      </w:r>
      <w:hyperlink r:id="rId25" w:history="1">
        <w:r w:rsidRPr="009668E2">
          <w:rPr>
            <w:rStyle w:val="Hyperlink"/>
            <w:rFonts w:ascii="Garamond" w:hAnsi="Garamond"/>
            <w:sz w:val="24"/>
            <w:szCs w:val="24"/>
          </w:rPr>
          <w:t>http://dx.doi.org/10.47233/jkomdis.v4i1.1430</w:t>
        </w:r>
      </w:hyperlink>
      <w:r w:rsidRPr="009668E2">
        <w:rPr>
          <w:rFonts w:ascii="Garamond" w:hAnsi="Garamond"/>
          <w:sz w:val="24"/>
          <w:szCs w:val="24"/>
        </w:rPr>
        <w:t>.</w:t>
      </w:r>
    </w:p>
    <w:p w14:paraId="1F4413EE" w14:textId="3798817E"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Inayatillah, Inayatillah, Kamaruddin Kamaruddin, and M. A. M. Anzaikhan. "The History of Moderate Islam in Indonesia and Its Influence on the Content of National Education." </w:t>
      </w:r>
      <w:r w:rsidRPr="009668E2">
        <w:rPr>
          <w:rFonts w:ascii="Garamond" w:hAnsi="Garamond"/>
          <w:i/>
          <w:sz w:val="24"/>
          <w:szCs w:val="24"/>
        </w:rPr>
        <w:t>Journal of Al-Tamaddun</w:t>
      </w:r>
      <w:r w:rsidRPr="009668E2">
        <w:rPr>
          <w:rFonts w:ascii="Garamond" w:hAnsi="Garamond"/>
          <w:sz w:val="24"/>
          <w:szCs w:val="24"/>
        </w:rPr>
        <w:t xml:space="preserve">  (2022). </w:t>
      </w:r>
      <w:hyperlink r:id="rId26" w:history="1">
        <w:r w:rsidRPr="009668E2">
          <w:rPr>
            <w:rStyle w:val="Hyperlink"/>
            <w:rFonts w:ascii="Garamond" w:hAnsi="Garamond"/>
            <w:sz w:val="24"/>
            <w:szCs w:val="24"/>
          </w:rPr>
          <w:t>http://dx.doi.org/10.22452/jat.vol17</w:t>
        </w:r>
        <w:r w:rsidR="00EC5A41">
          <w:rPr>
            <w:rStyle w:val="Hyperlink"/>
            <w:rFonts w:ascii="Garamond" w:hAnsi="Garamond"/>
            <w:sz w:val="24"/>
            <w:szCs w:val="24"/>
          </w:rPr>
          <w:softHyphen/>
        </w:r>
        <w:r w:rsidRPr="009668E2">
          <w:rPr>
            <w:rStyle w:val="Hyperlink"/>
            <w:rFonts w:ascii="Garamond" w:hAnsi="Garamond"/>
            <w:sz w:val="24"/>
            <w:szCs w:val="24"/>
          </w:rPr>
          <w:t>no2.17</w:t>
        </w:r>
      </w:hyperlink>
      <w:r w:rsidRPr="009668E2">
        <w:rPr>
          <w:rFonts w:ascii="Garamond" w:hAnsi="Garamond"/>
          <w:sz w:val="24"/>
          <w:szCs w:val="24"/>
        </w:rPr>
        <w:t>.</w:t>
      </w:r>
    </w:p>
    <w:p w14:paraId="3F863651" w14:textId="2DC3228A"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Iqbal, Moch. "Dualism System of Higher Education in Indonesia."  (2019). </w:t>
      </w:r>
      <w:hyperlink r:id="rId27" w:history="1">
        <w:r w:rsidRPr="009668E2">
          <w:rPr>
            <w:rStyle w:val="Hyperlink"/>
            <w:rFonts w:ascii="Garamond" w:hAnsi="Garamond"/>
            <w:sz w:val="24"/>
            <w:szCs w:val="24"/>
          </w:rPr>
          <w:t>http://dx.doi.org/10.2991/icetep-18.2019.33</w:t>
        </w:r>
      </w:hyperlink>
      <w:r w:rsidRPr="009668E2">
        <w:rPr>
          <w:rFonts w:ascii="Garamond" w:hAnsi="Garamond"/>
          <w:sz w:val="24"/>
          <w:szCs w:val="24"/>
        </w:rPr>
        <w:t>.</w:t>
      </w:r>
    </w:p>
    <w:p w14:paraId="50904814" w14:textId="15F4D73D"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Irwandi, Irwandi. "Da'wah and Religious Harmony, Harmony in the Nation and State." </w:t>
      </w:r>
      <w:r w:rsidRPr="009668E2">
        <w:rPr>
          <w:rFonts w:ascii="Garamond" w:hAnsi="Garamond"/>
          <w:i/>
          <w:sz w:val="24"/>
          <w:szCs w:val="24"/>
        </w:rPr>
        <w:t>Jurnal Dakwah Dan Komunikasi</w:t>
      </w:r>
      <w:r w:rsidRPr="009668E2">
        <w:rPr>
          <w:rFonts w:ascii="Garamond" w:hAnsi="Garamond"/>
          <w:sz w:val="24"/>
          <w:szCs w:val="24"/>
        </w:rPr>
        <w:t xml:space="preserve">  (2023). </w:t>
      </w:r>
      <w:hyperlink r:id="rId28" w:history="1">
        <w:r w:rsidRPr="009668E2">
          <w:rPr>
            <w:rStyle w:val="Hyperlink"/>
            <w:rFonts w:ascii="Garamond" w:hAnsi="Garamond"/>
            <w:sz w:val="24"/>
            <w:szCs w:val="24"/>
          </w:rPr>
          <w:t>http://dx.doi.org/10.29240/jdk.v8i2.8752</w:t>
        </w:r>
      </w:hyperlink>
      <w:r w:rsidRPr="009668E2">
        <w:rPr>
          <w:rFonts w:ascii="Garamond" w:hAnsi="Garamond"/>
          <w:sz w:val="24"/>
          <w:szCs w:val="24"/>
        </w:rPr>
        <w:t>.</w:t>
      </w:r>
    </w:p>
    <w:p w14:paraId="296E874E" w14:textId="7B8EB3F4"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Ishaq, Ropingi el. "Political Da’wah Strategy of Islamic Parties in Indonesia." </w:t>
      </w:r>
      <w:r w:rsidRPr="009668E2">
        <w:rPr>
          <w:rFonts w:ascii="Garamond" w:hAnsi="Garamond"/>
          <w:i/>
          <w:sz w:val="24"/>
          <w:szCs w:val="24"/>
        </w:rPr>
        <w:t>Ilmu Dakwah Academic Journal for Homiletic Studies</w:t>
      </w:r>
      <w:r w:rsidRPr="009668E2">
        <w:rPr>
          <w:rFonts w:ascii="Garamond" w:hAnsi="Garamond"/>
          <w:sz w:val="24"/>
          <w:szCs w:val="24"/>
        </w:rPr>
        <w:t xml:space="preserve">  (2022). </w:t>
      </w:r>
      <w:hyperlink r:id="rId29" w:history="1">
        <w:r w:rsidRPr="009668E2">
          <w:rPr>
            <w:rStyle w:val="Hyperlink"/>
            <w:rFonts w:ascii="Garamond" w:hAnsi="Garamond"/>
            <w:sz w:val="24"/>
            <w:szCs w:val="24"/>
          </w:rPr>
          <w:t>http://dx.doi.org/10.15575/idajhs.v16i2.19861</w:t>
        </w:r>
      </w:hyperlink>
      <w:r w:rsidRPr="009668E2">
        <w:rPr>
          <w:rFonts w:ascii="Garamond" w:hAnsi="Garamond"/>
          <w:sz w:val="24"/>
          <w:szCs w:val="24"/>
        </w:rPr>
        <w:t>.</w:t>
      </w:r>
    </w:p>
    <w:p w14:paraId="4F832A39" w14:textId="3945E2E6"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Karimullah, Suud S. "Da'wah for Social Justice: Creating Awareness of Social Issues through a Religious Approach." </w:t>
      </w:r>
      <w:r w:rsidRPr="009668E2">
        <w:rPr>
          <w:rFonts w:ascii="Garamond" w:hAnsi="Garamond"/>
          <w:i/>
          <w:sz w:val="24"/>
          <w:szCs w:val="24"/>
        </w:rPr>
        <w:t>Jurnal Dakwah Risalah</w:t>
      </w:r>
      <w:r w:rsidRPr="009668E2">
        <w:rPr>
          <w:rFonts w:ascii="Garamond" w:hAnsi="Garamond"/>
          <w:sz w:val="24"/>
          <w:szCs w:val="24"/>
        </w:rPr>
        <w:t xml:space="preserve"> 34, no. 2 (2023): 110. </w:t>
      </w:r>
      <w:r w:rsidRPr="00B12008">
        <w:rPr>
          <w:rFonts w:ascii="Garamond" w:hAnsi="Garamond"/>
          <w:sz w:val="24"/>
          <w:szCs w:val="24"/>
        </w:rPr>
        <w:t>http://dx.doi.org/10.2401</w:t>
      </w:r>
      <w:r w:rsidR="00B12008" w:rsidRPr="00B12008">
        <w:rPr>
          <w:rFonts w:ascii="Garamond" w:hAnsi="Garamond"/>
          <w:sz w:val="24"/>
          <w:szCs w:val="24"/>
        </w:rPr>
        <w:softHyphen/>
      </w:r>
      <w:r w:rsidRPr="00B12008">
        <w:rPr>
          <w:rFonts w:ascii="Garamond" w:hAnsi="Garamond"/>
          <w:sz w:val="24"/>
          <w:szCs w:val="24"/>
        </w:rPr>
        <w:t>4/jdr.v34i2.25373</w:t>
      </w:r>
      <w:r w:rsidRPr="009668E2">
        <w:rPr>
          <w:rFonts w:ascii="Garamond" w:hAnsi="Garamond"/>
          <w:sz w:val="24"/>
          <w:szCs w:val="24"/>
        </w:rPr>
        <w:t>.</w:t>
      </w:r>
    </w:p>
    <w:p w14:paraId="5579A41C" w14:textId="631011D0"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Kusmanto, Hari, Harun J. Prayitno, Isnaeni Sofiana, and Norliza Jamaluddin. "Persuasion Action Strategies in Da'wah Discourse on Social Media in the Global Communication Era." </w:t>
      </w:r>
      <w:r w:rsidRPr="009668E2">
        <w:rPr>
          <w:rFonts w:ascii="Garamond" w:hAnsi="Garamond"/>
          <w:i/>
          <w:sz w:val="24"/>
          <w:szCs w:val="24"/>
        </w:rPr>
        <w:t>Language Circle Journal of Language and Literature</w:t>
      </w:r>
      <w:r w:rsidRPr="009668E2">
        <w:rPr>
          <w:rFonts w:ascii="Garamond" w:hAnsi="Garamond"/>
          <w:sz w:val="24"/>
          <w:szCs w:val="24"/>
        </w:rPr>
        <w:t xml:space="preserve">  (2021). </w:t>
      </w:r>
      <w:hyperlink r:id="rId30" w:history="1">
        <w:r w:rsidRPr="009668E2">
          <w:rPr>
            <w:rStyle w:val="Hyperlink"/>
            <w:rFonts w:ascii="Garamond" w:hAnsi="Garamond"/>
            <w:sz w:val="24"/>
            <w:szCs w:val="24"/>
          </w:rPr>
          <w:t>http://dx.doi.org/10.15294/lc.v15i2.26285</w:t>
        </w:r>
      </w:hyperlink>
      <w:r w:rsidRPr="009668E2">
        <w:rPr>
          <w:rFonts w:ascii="Garamond" w:hAnsi="Garamond"/>
          <w:sz w:val="24"/>
          <w:szCs w:val="24"/>
        </w:rPr>
        <w:t>.</w:t>
      </w:r>
    </w:p>
    <w:p w14:paraId="1A7B3AAA" w14:textId="2B8F44FD"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Lengauer, Dayana. "Sharing Semangat Taqwa: Social Media and Digital Islamic Socialities in Bandung." </w:t>
      </w:r>
      <w:r w:rsidRPr="009668E2">
        <w:rPr>
          <w:rFonts w:ascii="Garamond" w:hAnsi="Garamond"/>
          <w:i/>
          <w:sz w:val="24"/>
          <w:szCs w:val="24"/>
        </w:rPr>
        <w:t>Indonesia and the Malay World</w:t>
      </w:r>
      <w:r w:rsidRPr="009668E2">
        <w:rPr>
          <w:rFonts w:ascii="Garamond" w:hAnsi="Garamond"/>
          <w:sz w:val="24"/>
          <w:szCs w:val="24"/>
        </w:rPr>
        <w:t xml:space="preserve">  (2018). </w:t>
      </w:r>
      <w:hyperlink r:id="rId31" w:history="1">
        <w:r w:rsidRPr="009668E2">
          <w:rPr>
            <w:rStyle w:val="Hyperlink"/>
            <w:rFonts w:ascii="Garamond" w:hAnsi="Garamond"/>
            <w:sz w:val="24"/>
            <w:szCs w:val="24"/>
          </w:rPr>
          <w:t>http://dx.doi.org/10.1080/13639811.2018.1415276</w:t>
        </w:r>
      </w:hyperlink>
      <w:r w:rsidRPr="009668E2">
        <w:rPr>
          <w:rFonts w:ascii="Garamond" w:hAnsi="Garamond"/>
          <w:sz w:val="24"/>
          <w:szCs w:val="24"/>
        </w:rPr>
        <w:t>.</w:t>
      </w:r>
    </w:p>
    <w:p w14:paraId="3B8843C9" w14:textId="1176C1D9"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Lintang, Loresta C., Adriano Martufi, and J. W. Ouwerker. "The Alternative Concepts of Blasphemy Law in Indonesia: Legal Comparison with Ireland and Canada." </w:t>
      </w:r>
      <w:r w:rsidRPr="009668E2">
        <w:rPr>
          <w:rFonts w:ascii="Garamond" w:hAnsi="Garamond"/>
          <w:i/>
          <w:sz w:val="24"/>
          <w:szCs w:val="24"/>
        </w:rPr>
        <w:t>Bestuur</w:t>
      </w:r>
      <w:r w:rsidRPr="009668E2">
        <w:rPr>
          <w:rFonts w:ascii="Garamond" w:hAnsi="Garamond"/>
          <w:sz w:val="24"/>
          <w:szCs w:val="24"/>
        </w:rPr>
        <w:t xml:space="preserve">  (2021). </w:t>
      </w:r>
      <w:hyperlink r:id="rId32" w:history="1">
        <w:r w:rsidRPr="009668E2">
          <w:rPr>
            <w:rStyle w:val="Hyperlink"/>
            <w:rFonts w:ascii="Garamond" w:hAnsi="Garamond"/>
            <w:sz w:val="24"/>
            <w:szCs w:val="24"/>
          </w:rPr>
          <w:t>http://dx.doi.org/10.20961/bestuur.v9i1.51632</w:t>
        </w:r>
      </w:hyperlink>
      <w:r w:rsidRPr="009668E2">
        <w:rPr>
          <w:rFonts w:ascii="Garamond" w:hAnsi="Garamond"/>
          <w:sz w:val="24"/>
          <w:szCs w:val="24"/>
        </w:rPr>
        <w:t>.</w:t>
      </w:r>
    </w:p>
    <w:p w14:paraId="497D5255" w14:textId="299C32D7"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Mahasin, Mohamad Z., Yety Rochwulaningsih, and Singgih T. Sulistiyono. "Ecological Mapping for the Development of Salt Production Centres in Indonesia During the Dutch Colonial Era." </w:t>
      </w:r>
      <w:r w:rsidRPr="009668E2">
        <w:rPr>
          <w:rFonts w:ascii="Garamond" w:hAnsi="Garamond"/>
          <w:i/>
          <w:sz w:val="24"/>
          <w:szCs w:val="24"/>
        </w:rPr>
        <w:t>E3S web of conferences</w:t>
      </w:r>
      <w:r w:rsidRPr="009668E2">
        <w:rPr>
          <w:rFonts w:ascii="Garamond" w:hAnsi="Garamond"/>
          <w:sz w:val="24"/>
          <w:szCs w:val="24"/>
        </w:rPr>
        <w:t xml:space="preserve"> 317 (2021): 04024. </w:t>
      </w:r>
      <w:r w:rsidRPr="00B12008">
        <w:rPr>
          <w:rFonts w:ascii="Garamond" w:hAnsi="Garamond"/>
          <w:sz w:val="24"/>
          <w:szCs w:val="24"/>
        </w:rPr>
        <w:t>http://dx.doi.org</w:t>
      </w:r>
      <w:r w:rsidR="00B12008" w:rsidRPr="00B12008">
        <w:rPr>
          <w:rFonts w:ascii="Garamond" w:hAnsi="Garamond"/>
          <w:sz w:val="24"/>
          <w:szCs w:val="24"/>
        </w:rPr>
        <w:softHyphen/>
      </w:r>
      <w:r w:rsidRPr="00B12008">
        <w:rPr>
          <w:rFonts w:ascii="Garamond" w:hAnsi="Garamond"/>
          <w:sz w:val="24"/>
          <w:szCs w:val="24"/>
        </w:rPr>
        <w:t>/10</w:t>
      </w:r>
      <w:r w:rsidR="00B12008" w:rsidRPr="00B12008">
        <w:rPr>
          <w:rFonts w:ascii="Garamond" w:hAnsi="Garamond"/>
          <w:sz w:val="24"/>
          <w:szCs w:val="24"/>
        </w:rPr>
        <w:softHyphen/>
      </w:r>
      <w:r w:rsidRPr="00B12008">
        <w:rPr>
          <w:rFonts w:ascii="Garamond" w:hAnsi="Garamond"/>
          <w:sz w:val="24"/>
          <w:szCs w:val="24"/>
        </w:rPr>
        <w:t>.1051/e3sconf/202131704024</w:t>
      </w:r>
      <w:r w:rsidRPr="009668E2">
        <w:rPr>
          <w:rFonts w:ascii="Garamond" w:hAnsi="Garamond"/>
          <w:sz w:val="24"/>
          <w:szCs w:val="24"/>
        </w:rPr>
        <w:t>.</w:t>
      </w:r>
    </w:p>
    <w:p w14:paraId="614E353A" w14:textId="0922BB76"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Maryance, Maryance. "The Role of the Principal in Rohis Da'wah Activities in Schools." </w:t>
      </w:r>
      <w:r w:rsidRPr="009668E2">
        <w:rPr>
          <w:rFonts w:ascii="Garamond" w:hAnsi="Garamond"/>
          <w:i/>
          <w:sz w:val="24"/>
          <w:szCs w:val="24"/>
        </w:rPr>
        <w:t>Sustainable Jurnal Kajian Mutu Pendidikan</w:t>
      </w:r>
      <w:r w:rsidRPr="009668E2">
        <w:rPr>
          <w:rFonts w:ascii="Garamond" w:hAnsi="Garamond"/>
          <w:sz w:val="24"/>
          <w:szCs w:val="24"/>
        </w:rPr>
        <w:t xml:space="preserve"> </w:t>
      </w:r>
      <w:r w:rsidRPr="009668E2">
        <w:rPr>
          <w:rFonts w:ascii="Garamond" w:hAnsi="Garamond"/>
          <w:sz w:val="24"/>
          <w:szCs w:val="24"/>
        </w:rPr>
        <w:lastRenderedPageBreak/>
        <w:t xml:space="preserve">6, no. 2 (2023): 602-07. </w:t>
      </w:r>
      <w:r w:rsidRPr="00B12008">
        <w:rPr>
          <w:rFonts w:ascii="Garamond" w:hAnsi="Garamond"/>
          <w:sz w:val="24"/>
          <w:szCs w:val="24"/>
        </w:rPr>
        <w:t>http://dx.doi.org/10.32923</w:t>
      </w:r>
      <w:r w:rsidR="00B12008" w:rsidRPr="00B12008">
        <w:rPr>
          <w:rFonts w:ascii="Garamond" w:hAnsi="Garamond"/>
          <w:sz w:val="24"/>
          <w:szCs w:val="24"/>
        </w:rPr>
        <w:softHyphen/>
      </w:r>
      <w:r w:rsidRPr="00B12008">
        <w:rPr>
          <w:rFonts w:ascii="Garamond" w:hAnsi="Garamond"/>
          <w:sz w:val="24"/>
          <w:szCs w:val="24"/>
        </w:rPr>
        <w:t>/kjmp.v</w:t>
      </w:r>
      <w:r w:rsidR="00B12008" w:rsidRPr="00B12008">
        <w:rPr>
          <w:rFonts w:ascii="Garamond" w:hAnsi="Garamond"/>
          <w:sz w:val="24"/>
          <w:szCs w:val="24"/>
        </w:rPr>
        <w:softHyphen/>
      </w:r>
      <w:r w:rsidRPr="00B12008">
        <w:rPr>
          <w:rFonts w:ascii="Garamond" w:hAnsi="Garamond"/>
          <w:sz w:val="24"/>
          <w:szCs w:val="24"/>
        </w:rPr>
        <w:t>6i2.4068</w:t>
      </w:r>
      <w:r w:rsidRPr="009668E2">
        <w:rPr>
          <w:rFonts w:ascii="Garamond" w:hAnsi="Garamond"/>
          <w:sz w:val="24"/>
          <w:szCs w:val="24"/>
        </w:rPr>
        <w:t>.</w:t>
      </w:r>
    </w:p>
    <w:p w14:paraId="2B372EAB" w14:textId="72729AC7"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Muhammad, Firdaus. "Diseminasi Komunikasi Politik Islam Dan Dakwah Era Konvergensi Media Digital." </w:t>
      </w:r>
      <w:r w:rsidRPr="009668E2">
        <w:rPr>
          <w:rFonts w:ascii="Garamond" w:hAnsi="Garamond"/>
          <w:i/>
          <w:sz w:val="24"/>
          <w:szCs w:val="24"/>
        </w:rPr>
        <w:t>Jurnal Dakwah Tabligh</w:t>
      </w:r>
      <w:r w:rsidRPr="009668E2">
        <w:rPr>
          <w:rFonts w:ascii="Garamond" w:hAnsi="Garamond"/>
          <w:sz w:val="24"/>
          <w:szCs w:val="24"/>
        </w:rPr>
        <w:t xml:space="preserve">  (2023). </w:t>
      </w:r>
      <w:hyperlink r:id="rId33" w:history="1">
        <w:r w:rsidRPr="009668E2">
          <w:rPr>
            <w:rStyle w:val="Hyperlink"/>
            <w:rFonts w:ascii="Garamond" w:hAnsi="Garamond"/>
            <w:sz w:val="24"/>
            <w:szCs w:val="24"/>
          </w:rPr>
          <w:t>http://dx.doi.org/10.24252/jdt.v24i1.41657</w:t>
        </w:r>
      </w:hyperlink>
      <w:r w:rsidRPr="009668E2">
        <w:rPr>
          <w:rFonts w:ascii="Garamond" w:hAnsi="Garamond"/>
          <w:sz w:val="24"/>
          <w:szCs w:val="24"/>
        </w:rPr>
        <w:t>.</w:t>
      </w:r>
    </w:p>
    <w:p w14:paraId="696D96CB" w14:textId="4A737A17"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Muhammad, Helmi and Niki P. Sari. "Implementation of the Synergy of Transformational-Servant Leadership Character in Islamic Boarding School." </w:t>
      </w:r>
      <w:r w:rsidRPr="009668E2">
        <w:rPr>
          <w:rFonts w:ascii="Garamond" w:hAnsi="Garamond"/>
          <w:i/>
          <w:sz w:val="24"/>
          <w:szCs w:val="24"/>
        </w:rPr>
        <w:t>Journal of Leadership in Organizations</w:t>
      </w:r>
      <w:r w:rsidRPr="009668E2">
        <w:rPr>
          <w:rFonts w:ascii="Garamond" w:hAnsi="Garamond"/>
          <w:sz w:val="24"/>
          <w:szCs w:val="24"/>
        </w:rPr>
        <w:t xml:space="preserve">  (2021). </w:t>
      </w:r>
      <w:hyperlink r:id="rId34" w:history="1">
        <w:r w:rsidRPr="009668E2">
          <w:rPr>
            <w:rStyle w:val="Hyperlink"/>
            <w:rFonts w:ascii="Garamond" w:hAnsi="Garamond"/>
            <w:sz w:val="24"/>
            <w:szCs w:val="24"/>
          </w:rPr>
          <w:t>http://dx.doi.org/10.22146/jlo.65642</w:t>
        </w:r>
      </w:hyperlink>
      <w:r w:rsidRPr="009668E2">
        <w:rPr>
          <w:rFonts w:ascii="Garamond" w:hAnsi="Garamond"/>
          <w:sz w:val="24"/>
          <w:szCs w:val="24"/>
        </w:rPr>
        <w:t>.</w:t>
      </w:r>
    </w:p>
    <w:p w14:paraId="5E5A94B5" w14:textId="1B1F40C1"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Muhdi, Muhdi. "Strengthening Movement Ideology through the Management of Campus Da'wah Institutions." </w:t>
      </w:r>
      <w:r w:rsidRPr="009668E2">
        <w:rPr>
          <w:rFonts w:ascii="Garamond" w:hAnsi="Garamond"/>
          <w:i/>
          <w:sz w:val="24"/>
          <w:szCs w:val="24"/>
        </w:rPr>
        <w:t>Al-Tanzim Jurnal Manajemen Pendidikan Islam</w:t>
      </w:r>
      <w:r w:rsidRPr="009668E2">
        <w:rPr>
          <w:rFonts w:ascii="Garamond" w:hAnsi="Garamond"/>
          <w:sz w:val="24"/>
          <w:szCs w:val="24"/>
        </w:rPr>
        <w:t xml:space="preserve"> 7, no. 3 (2023): 779-92. </w:t>
      </w:r>
      <w:hyperlink r:id="rId35" w:history="1">
        <w:r w:rsidRPr="009668E2">
          <w:rPr>
            <w:rStyle w:val="Hyperlink"/>
            <w:rFonts w:ascii="Garamond" w:hAnsi="Garamond"/>
            <w:sz w:val="24"/>
            <w:szCs w:val="24"/>
          </w:rPr>
          <w:t>http://dx.doi.org/10.33650/al-tanzim.v7i3.5244</w:t>
        </w:r>
      </w:hyperlink>
      <w:r w:rsidRPr="009668E2">
        <w:rPr>
          <w:rFonts w:ascii="Garamond" w:hAnsi="Garamond"/>
          <w:sz w:val="24"/>
          <w:szCs w:val="24"/>
        </w:rPr>
        <w:t>.</w:t>
      </w:r>
    </w:p>
    <w:p w14:paraId="3124C6E3" w14:textId="02507329"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Mustakif, Muhammad K. and Mumung Mulyati. "Sarekat Dagang Islam Sdi (1905-1912): Between the Savagery of Vereenigde Oostindische Compagnie (Voc) and the Independence of Indonesia." </w:t>
      </w:r>
      <w:r w:rsidRPr="009668E2">
        <w:rPr>
          <w:rFonts w:ascii="Garamond" w:hAnsi="Garamond"/>
          <w:i/>
          <w:sz w:val="24"/>
          <w:szCs w:val="24"/>
        </w:rPr>
        <w:t>International Journal of Nusantara Islam</w:t>
      </w:r>
      <w:r w:rsidRPr="009668E2">
        <w:rPr>
          <w:rFonts w:ascii="Garamond" w:hAnsi="Garamond"/>
          <w:sz w:val="24"/>
          <w:szCs w:val="24"/>
        </w:rPr>
        <w:t xml:space="preserve">  (2019). </w:t>
      </w:r>
      <w:hyperlink r:id="rId36" w:history="1">
        <w:r w:rsidRPr="009668E2">
          <w:rPr>
            <w:rStyle w:val="Hyperlink"/>
            <w:rFonts w:ascii="Garamond" w:hAnsi="Garamond"/>
            <w:sz w:val="24"/>
            <w:szCs w:val="24"/>
          </w:rPr>
          <w:t>http://dx.doi.org/10.15575/ijni.v7i1.4807</w:t>
        </w:r>
      </w:hyperlink>
      <w:r w:rsidRPr="009668E2">
        <w:rPr>
          <w:rFonts w:ascii="Garamond" w:hAnsi="Garamond"/>
          <w:sz w:val="24"/>
          <w:szCs w:val="24"/>
        </w:rPr>
        <w:t>.</w:t>
      </w:r>
    </w:p>
    <w:p w14:paraId="35F0D520" w14:textId="233B2B11"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Mustika, Rita, Hiroshi Nishigori, Sjamsuhidajat Ronokusumo, and Albert J. Scherpbier. "The Odyssey of Medical Education in Indonesia." </w:t>
      </w:r>
      <w:r w:rsidRPr="009668E2">
        <w:rPr>
          <w:rFonts w:ascii="Garamond" w:hAnsi="Garamond"/>
          <w:i/>
          <w:sz w:val="24"/>
          <w:szCs w:val="24"/>
        </w:rPr>
        <w:t>The Asia Pacific Scholar</w:t>
      </w:r>
      <w:r w:rsidRPr="009668E2">
        <w:rPr>
          <w:rFonts w:ascii="Garamond" w:hAnsi="Garamond"/>
          <w:sz w:val="24"/>
          <w:szCs w:val="24"/>
        </w:rPr>
        <w:t xml:space="preserve"> 4, no. 1 (2019): 4-8. </w:t>
      </w:r>
      <w:hyperlink r:id="rId37" w:history="1">
        <w:r w:rsidRPr="009668E2">
          <w:rPr>
            <w:rStyle w:val="Hyperlink"/>
            <w:rFonts w:ascii="Garamond" w:hAnsi="Garamond"/>
            <w:sz w:val="24"/>
            <w:szCs w:val="24"/>
          </w:rPr>
          <w:t>http://dx.doi.org/10.29060/taps.2019-4-1/gp1077</w:t>
        </w:r>
      </w:hyperlink>
      <w:r w:rsidRPr="009668E2">
        <w:rPr>
          <w:rFonts w:ascii="Garamond" w:hAnsi="Garamond"/>
          <w:sz w:val="24"/>
          <w:szCs w:val="24"/>
        </w:rPr>
        <w:t>.</w:t>
      </w:r>
    </w:p>
    <w:p w14:paraId="3BA039BC" w14:textId="147E5086"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Nasir, Muhammad and Muhammad Rijal. "Keeping the Middle Path: Mainstreaming Religious Moderation through Islamic Higher Education Institutions in Indonesia." </w:t>
      </w:r>
      <w:r w:rsidRPr="009668E2">
        <w:rPr>
          <w:rFonts w:ascii="Garamond" w:hAnsi="Garamond"/>
          <w:i/>
          <w:sz w:val="24"/>
          <w:szCs w:val="24"/>
        </w:rPr>
        <w:t>Indonesian Journal of Islam and Muslim Societies</w:t>
      </w:r>
      <w:r w:rsidRPr="009668E2">
        <w:rPr>
          <w:rFonts w:ascii="Garamond" w:hAnsi="Garamond"/>
          <w:sz w:val="24"/>
          <w:szCs w:val="24"/>
        </w:rPr>
        <w:t xml:space="preserve">  (2021). </w:t>
      </w:r>
      <w:hyperlink r:id="rId38" w:history="1">
        <w:r w:rsidRPr="009668E2">
          <w:rPr>
            <w:rStyle w:val="Hyperlink"/>
            <w:rFonts w:ascii="Garamond" w:hAnsi="Garamond"/>
            <w:sz w:val="24"/>
            <w:szCs w:val="24"/>
          </w:rPr>
          <w:t>http://dx.doi.org/10.18326/iji</w:t>
        </w:r>
        <w:r w:rsidR="00B12008">
          <w:rPr>
            <w:rStyle w:val="Hyperlink"/>
            <w:rFonts w:ascii="Garamond" w:hAnsi="Garamond"/>
            <w:sz w:val="24"/>
            <w:szCs w:val="24"/>
          </w:rPr>
          <w:softHyphen/>
        </w:r>
        <w:r w:rsidRPr="009668E2">
          <w:rPr>
            <w:rStyle w:val="Hyperlink"/>
            <w:rFonts w:ascii="Garamond" w:hAnsi="Garamond"/>
            <w:sz w:val="24"/>
            <w:szCs w:val="24"/>
          </w:rPr>
          <w:t>ms.v11i2.213-241</w:t>
        </w:r>
      </w:hyperlink>
      <w:r w:rsidRPr="009668E2">
        <w:rPr>
          <w:rFonts w:ascii="Garamond" w:hAnsi="Garamond"/>
          <w:sz w:val="24"/>
          <w:szCs w:val="24"/>
        </w:rPr>
        <w:t>.</w:t>
      </w:r>
    </w:p>
    <w:p w14:paraId="1199FCD0" w14:textId="7C45DE7B"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Nasution, Muhammad S. A., Syafruddin Syam, Hasan Matsum, Putra A. Siregar, and Wulan Dayu. "Hifz Al-Din (Maintaining Religion) and Hifz Al-Ummah (Developing National Integration): Resistance of Muslim Youth to Non-Muslim Leader Candidates in Election." </w:t>
      </w:r>
      <w:r w:rsidRPr="009668E2">
        <w:rPr>
          <w:rFonts w:ascii="Garamond" w:hAnsi="Garamond"/>
          <w:i/>
          <w:sz w:val="24"/>
          <w:szCs w:val="24"/>
        </w:rPr>
        <w:t>HTS Teologiese Studies / Theological Studies</w:t>
      </w:r>
      <w:r w:rsidRPr="009668E2">
        <w:rPr>
          <w:rFonts w:ascii="Garamond" w:hAnsi="Garamond"/>
          <w:sz w:val="24"/>
          <w:szCs w:val="24"/>
        </w:rPr>
        <w:t xml:space="preserve">  (2022). </w:t>
      </w:r>
      <w:r w:rsidRPr="00B12008">
        <w:rPr>
          <w:rFonts w:ascii="Garamond" w:hAnsi="Garamond"/>
          <w:sz w:val="24"/>
          <w:szCs w:val="24"/>
        </w:rPr>
        <w:t>http://dx.doi.org/1</w:t>
      </w:r>
      <w:r w:rsidR="00B12008" w:rsidRPr="00B12008">
        <w:rPr>
          <w:rFonts w:ascii="Garamond" w:hAnsi="Garamond"/>
          <w:sz w:val="24"/>
          <w:szCs w:val="24"/>
        </w:rPr>
        <w:softHyphen/>
      </w:r>
      <w:r w:rsidRPr="00B12008">
        <w:rPr>
          <w:rFonts w:ascii="Garamond" w:hAnsi="Garamond"/>
          <w:sz w:val="24"/>
          <w:szCs w:val="24"/>
        </w:rPr>
        <w:t>0.4102/hts.v7</w:t>
      </w:r>
      <w:r w:rsidR="00B12008" w:rsidRPr="00B12008">
        <w:rPr>
          <w:rFonts w:ascii="Garamond" w:hAnsi="Garamond"/>
          <w:sz w:val="24"/>
          <w:szCs w:val="24"/>
        </w:rPr>
        <w:softHyphen/>
      </w:r>
      <w:r w:rsidRPr="00B12008">
        <w:rPr>
          <w:rFonts w:ascii="Garamond" w:hAnsi="Garamond"/>
          <w:sz w:val="24"/>
          <w:szCs w:val="24"/>
        </w:rPr>
        <w:t>8i4.7526</w:t>
      </w:r>
      <w:r w:rsidRPr="009668E2">
        <w:rPr>
          <w:rFonts w:ascii="Garamond" w:hAnsi="Garamond"/>
          <w:sz w:val="24"/>
          <w:szCs w:val="24"/>
        </w:rPr>
        <w:t>.</w:t>
      </w:r>
    </w:p>
    <w:p w14:paraId="6FE30E19" w14:textId="3414DC03"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Octaviani, Adelia. "From Cafe to the Mosque: The Construction of Dakwah Digital Communication of Shift Community." </w:t>
      </w:r>
      <w:r w:rsidRPr="009668E2">
        <w:rPr>
          <w:rFonts w:ascii="Garamond" w:hAnsi="Garamond"/>
          <w:i/>
          <w:sz w:val="24"/>
          <w:szCs w:val="24"/>
        </w:rPr>
        <w:t>Dimas Jurnal Pemikiran Agama Untuk Pemberdayaan</w:t>
      </w:r>
      <w:r w:rsidRPr="009668E2">
        <w:rPr>
          <w:rFonts w:ascii="Garamond" w:hAnsi="Garamond"/>
          <w:sz w:val="24"/>
          <w:szCs w:val="24"/>
        </w:rPr>
        <w:t xml:space="preserve">  (2022). </w:t>
      </w:r>
      <w:hyperlink r:id="rId39" w:history="1">
        <w:r w:rsidRPr="009668E2">
          <w:rPr>
            <w:rStyle w:val="Hyperlink"/>
            <w:rFonts w:ascii="Garamond" w:hAnsi="Garamond"/>
            <w:sz w:val="24"/>
            <w:szCs w:val="24"/>
          </w:rPr>
          <w:t>http://dx.doi.org/10.21580/dms.2021.212.9429</w:t>
        </w:r>
      </w:hyperlink>
      <w:r w:rsidRPr="009668E2">
        <w:rPr>
          <w:rFonts w:ascii="Garamond" w:hAnsi="Garamond"/>
          <w:sz w:val="24"/>
          <w:szCs w:val="24"/>
        </w:rPr>
        <w:t>.</w:t>
      </w:r>
    </w:p>
    <w:p w14:paraId="652AC478" w14:textId="4B6E6E91"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Pajarianto, Hadi, Imam Pribadi, and Puspa Sari. "Tolerance between Religions through the Role of Local Wisdom and Religious Moderation." </w:t>
      </w:r>
      <w:r w:rsidRPr="009668E2">
        <w:rPr>
          <w:rFonts w:ascii="Garamond" w:hAnsi="Garamond"/>
          <w:i/>
          <w:sz w:val="24"/>
          <w:szCs w:val="24"/>
        </w:rPr>
        <w:t>HTS Teologiese Studies / Theological Studies</w:t>
      </w:r>
      <w:r w:rsidRPr="009668E2">
        <w:rPr>
          <w:rFonts w:ascii="Garamond" w:hAnsi="Garamond"/>
          <w:sz w:val="24"/>
          <w:szCs w:val="24"/>
        </w:rPr>
        <w:t xml:space="preserve"> 78, no. 4 (2022). </w:t>
      </w:r>
      <w:hyperlink r:id="rId40" w:history="1">
        <w:r w:rsidRPr="009668E2">
          <w:rPr>
            <w:rStyle w:val="Hyperlink"/>
            <w:rFonts w:ascii="Garamond" w:hAnsi="Garamond"/>
            <w:sz w:val="24"/>
            <w:szCs w:val="24"/>
          </w:rPr>
          <w:t>http://dx.doi.org/10.4102/hts.v78i4.7043</w:t>
        </w:r>
      </w:hyperlink>
      <w:r w:rsidRPr="009668E2">
        <w:rPr>
          <w:rFonts w:ascii="Garamond" w:hAnsi="Garamond"/>
          <w:sz w:val="24"/>
          <w:szCs w:val="24"/>
        </w:rPr>
        <w:t>.</w:t>
      </w:r>
    </w:p>
    <w:p w14:paraId="1E1CA54C" w14:textId="32E1DC52"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lastRenderedPageBreak/>
        <w:t xml:space="preserve">Pratama, Arizqi I., Deni Rusman, and Mustofa Zahir. "Educational Da'wah Strategy for Increasing Religious Activities." </w:t>
      </w:r>
      <w:r w:rsidRPr="009668E2">
        <w:rPr>
          <w:rFonts w:ascii="Garamond" w:hAnsi="Garamond"/>
          <w:i/>
          <w:sz w:val="24"/>
          <w:szCs w:val="24"/>
        </w:rPr>
        <w:t>Atthulab Islamic Religion Teaching and Learning Journal</w:t>
      </w:r>
      <w:r w:rsidRPr="009668E2">
        <w:rPr>
          <w:rFonts w:ascii="Garamond" w:hAnsi="Garamond"/>
          <w:sz w:val="24"/>
          <w:szCs w:val="24"/>
        </w:rPr>
        <w:t xml:space="preserve">  (2022). </w:t>
      </w:r>
      <w:hyperlink r:id="rId41" w:history="1">
        <w:r w:rsidRPr="009668E2">
          <w:rPr>
            <w:rStyle w:val="Hyperlink"/>
            <w:rFonts w:ascii="Garamond" w:hAnsi="Garamond"/>
            <w:sz w:val="24"/>
            <w:szCs w:val="24"/>
          </w:rPr>
          <w:t>http://dx.doi.org/10.15575/ath.v7i2.20901</w:t>
        </w:r>
      </w:hyperlink>
      <w:r w:rsidRPr="009668E2">
        <w:rPr>
          <w:rFonts w:ascii="Garamond" w:hAnsi="Garamond"/>
          <w:sz w:val="24"/>
          <w:szCs w:val="24"/>
        </w:rPr>
        <w:t>.</w:t>
      </w:r>
    </w:p>
    <w:p w14:paraId="170EB2F4" w14:textId="1F750381"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Protschky, Susanne. "Seductive Landscapes: Gender, Race and European Representations of Nature in the Dutch East Indies During the Late Colonial Period." </w:t>
      </w:r>
      <w:r w:rsidRPr="009668E2">
        <w:rPr>
          <w:rFonts w:ascii="Garamond" w:hAnsi="Garamond"/>
          <w:i/>
          <w:sz w:val="24"/>
          <w:szCs w:val="24"/>
        </w:rPr>
        <w:t>Gender &amp; History</w:t>
      </w:r>
      <w:r w:rsidRPr="009668E2">
        <w:rPr>
          <w:rFonts w:ascii="Garamond" w:hAnsi="Garamond"/>
          <w:sz w:val="24"/>
          <w:szCs w:val="24"/>
        </w:rPr>
        <w:t xml:space="preserve"> 20, no. 2 (2008): 372-98. </w:t>
      </w:r>
      <w:hyperlink r:id="rId42" w:history="1">
        <w:r w:rsidRPr="009668E2">
          <w:rPr>
            <w:rStyle w:val="Hyperlink"/>
            <w:rFonts w:ascii="Garamond" w:hAnsi="Garamond"/>
            <w:sz w:val="24"/>
            <w:szCs w:val="24"/>
          </w:rPr>
          <w:t>http://dx.doi.org/10.1111/j.1468-0424.20</w:t>
        </w:r>
        <w:r w:rsidR="00B12008">
          <w:rPr>
            <w:rStyle w:val="Hyperlink"/>
            <w:rFonts w:ascii="Garamond" w:hAnsi="Garamond"/>
            <w:sz w:val="24"/>
            <w:szCs w:val="24"/>
          </w:rPr>
          <w:softHyphen/>
        </w:r>
        <w:r w:rsidRPr="009668E2">
          <w:rPr>
            <w:rStyle w:val="Hyperlink"/>
            <w:rFonts w:ascii="Garamond" w:hAnsi="Garamond"/>
            <w:sz w:val="24"/>
            <w:szCs w:val="24"/>
          </w:rPr>
          <w:t>08.00530.x</w:t>
        </w:r>
      </w:hyperlink>
      <w:r w:rsidRPr="009668E2">
        <w:rPr>
          <w:rFonts w:ascii="Garamond" w:hAnsi="Garamond"/>
          <w:sz w:val="24"/>
          <w:szCs w:val="24"/>
        </w:rPr>
        <w:t>.</w:t>
      </w:r>
    </w:p>
    <w:p w14:paraId="65BF5D80" w14:textId="40994FBB"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Putra, Idhamsyah E., Peter Holtz, and Any Rufaedah. "Who Is to Blame, the Victims or the Perpetrators? A Study to Understand a Series of Violence Targeting the Accused Heretic Group Ahmadiyya." </w:t>
      </w:r>
      <w:r w:rsidRPr="009668E2">
        <w:rPr>
          <w:rFonts w:ascii="Garamond" w:hAnsi="Garamond"/>
          <w:i/>
          <w:sz w:val="24"/>
          <w:szCs w:val="24"/>
        </w:rPr>
        <w:t>Psychology of Religion and Spirituality</w:t>
      </w:r>
      <w:r w:rsidRPr="009668E2">
        <w:rPr>
          <w:rFonts w:ascii="Garamond" w:hAnsi="Garamond"/>
          <w:sz w:val="24"/>
          <w:szCs w:val="24"/>
        </w:rPr>
        <w:t xml:space="preserve">  (2018). </w:t>
      </w:r>
      <w:hyperlink r:id="rId43" w:history="1">
        <w:r w:rsidRPr="009668E2">
          <w:rPr>
            <w:rStyle w:val="Hyperlink"/>
            <w:rFonts w:ascii="Garamond" w:hAnsi="Garamond"/>
            <w:sz w:val="24"/>
            <w:szCs w:val="24"/>
          </w:rPr>
          <w:t>http://dx.doi.org/10.1037/rel0000186</w:t>
        </w:r>
      </w:hyperlink>
      <w:r w:rsidRPr="009668E2">
        <w:rPr>
          <w:rFonts w:ascii="Garamond" w:hAnsi="Garamond"/>
          <w:sz w:val="24"/>
          <w:szCs w:val="24"/>
        </w:rPr>
        <w:t>.</w:t>
      </w:r>
    </w:p>
    <w:p w14:paraId="0715D69D" w14:textId="7D5E78FB"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Putra, Idhamsyah Eka, Wolfgang Wagner, Peter Holtz, and Any Rufaedah. "Accounting for a Riot: Religious Identity, Denying One's Prejudice, and the Tool of Blasphemy." </w:t>
      </w:r>
      <w:r w:rsidRPr="009668E2">
        <w:rPr>
          <w:rFonts w:ascii="Garamond" w:hAnsi="Garamond"/>
          <w:i/>
          <w:sz w:val="24"/>
          <w:szCs w:val="24"/>
        </w:rPr>
        <w:t>Journal of Social and Political Psychology</w:t>
      </w:r>
      <w:r w:rsidRPr="009668E2">
        <w:rPr>
          <w:rFonts w:ascii="Garamond" w:hAnsi="Garamond"/>
          <w:sz w:val="24"/>
          <w:szCs w:val="24"/>
        </w:rPr>
        <w:t xml:space="preserve"> 9, no. 1 (02/19 2021): 69-85. Accessed 2024/02/28. </w:t>
      </w:r>
      <w:hyperlink r:id="rId44" w:history="1">
        <w:r w:rsidRPr="009668E2">
          <w:rPr>
            <w:rStyle w:val="Hyperlink"/>
            <w:rFonts w:ascii="Garamond" w:hAnsi="Garamond"/>
            <w:sz w:val="24"/>
            <w:szCs w:val="24"/>
          </w:rPr>
          <w:t>http://dx.doi.org/10.5964/jspp.5565</w:t>
        </w:r>
      </w:hyperlink>
      <w:r w:rsidRPr="009668E2">
        <w:rPr>
          <w:rFonts w:ascii="Garamond" w:hAnsi="Garamond"/>
          <w:sz w:val="24"/>
          <w:szCs w:val="24"/>
        </w:rPr>
        <w:t>.</w:t>
      </w:r>
    </w:p>
    <w:p w14:paraId="03E4CF2A" w14:textId="155229BE"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Qarni, Waizul, Mhd Syahnan, Isnaini Harahap, Sahkholid Nasution, and Rahmah Fithriani. "Verbal and Nonverbal Factors Influencing the Success of Da’wah Communication by Ustadz Abdul Somad." </w:t>
      </w:r>
      <w:r w:rsidRPr="009668E2">
        <w:rPr>
          <w:rFonts w:ascii="Garamond" w:hAnsi="Garamond"/>
          <w:i/>
          <w:sz w:val="24"/>
          <w:szCs w:val="24"/>
        </w:rPr>
        <w:t>KnE Social Sciences</w:t>
      </w:r>
      <w:r w:rsidRPr="009668E2">
        <w:rPr>
          <w:rFonts w:ascii="Garamond" w:hAnsi="Garamond"/>
          <w:sz w:val="24"/>
          <w:szCs w:val="24"/>
        </w:rPr>
        <w:t xml:space="preserve">  (2019). </w:t>
      </w:r>
      <w:hyperlink r:id="rId45" w:history="1">
        <w:r w:rsidRPr="009668E2">
          <w:rPr>
            <w:rStyle w:val="Hyperlink"/>
            <w:rFonts w:ascii="Garamond" w:hAnsi="Garamond"/>
            <w:sz w:val="24"/>
            <w:szCs w:val="24"/>
          </w:rPr>
          <w:t>http://dx.doi.org/10.18502/kss.v3i19.4906</w:t>
        </w:r>
      </w:hyperlink>
      <w:r w:rsidRPr="009668E2">
        <w:rPr>
          <w:rFonts w:ascii="Garamond" w:hAnsi="Garamond"/>
          <w:sz w:val="24"/>
          <w:szCs w:val="24"/>
        </w:rPr>
        <w:t>.</w:t>
      </w:r>
    </w:p>
    <w:p w14:paraId="74D21A30" w14:textId="3755343C"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Qornain, Dzul. "Fostering Islamic Education: Embracing Multicultural Islamic Religious Education Values." </w:t>
      </w:r>
      <w:r w:rsidRPr="009668E2">
        <w:rPr>
          <w:rFonts w:ascii="Garamond" w:hAnsi="Garamond"/>
          <w:i/>
          <w:sz w:val="24"/>
          <w:szCs w:val="24"/>
        </w:rPr>
        <w:t>Jurnal Islam Nusantara</w:t>
      </w:r>
      <w:r w:rsidRPr="009668E2">
        <w:rPr>
          <w:rFonts w:ascii="Garamond" w:hAnsi="Garamond"/>
          <w:sz w:val="24"/>
          <w:szCs w:val="24"/>
        </w:rPr>
        <w:t xml:space="preserve"> 6, no. 2 (2022): 94. </w:t>
      </w:r>
      <w:r w:rsidRPr="00B12008">
        <w:rPr>
          <w:rFonts w:ascii="Garamond" w:hAnsi="Garamond"/>
          <w:sz w:val="24"/>
          <w:szCs w:val="24"/>
        </w:rPr>
        <w:t>http://dx.doi.org/10.33852/</w:t>
      </w:r>
      <w:r w:rsidR="00B12008" w:rsidRPr="00B12008">
        <w:rPr>
          <w:rFonts w:ascii="Garamond" w:hAnsi="Garamond"/>
          <w:sz w:val="24"/>
          <w:szCs w:val="24"/>
        </w:rPr>
        <w:softHyphen/>
      </w:r>
      <w:r w:rsidRPr="00B12008">
        <w:rPr>
          <w:rFonts w:ascii="Garamond" w:hAnsi="Garamond"/>
          <w:sz w:val="24"/>
          <w:szCs w:val="24"/>
        </w:rPr>
        <w:t>jurnal</w:t>
      </w:r>
      <w:r w:rsidR="00B12008" w:rsidRPr="00B12008">
        <w:rPr>
          <w:rFonts w:ascii="Garamond" w:hAnsi="Garamond"/>
          <w:sz w:val="24"/>
          <w:szCs w:val="24"/>
        </w:rPr>
        <w:softHyphen/>
      </w:r>
      <w:r w:rsidRPr="00B12008">
        <w:rPr>
          <w:rFonts w:ascii="Garamond" w:hAnsi="Garamond"/>
          <w:sz w:val="24"/>
          <w:szCs w:val="24"/>
        </w:rPr>
        <w:t>nu.v6i</w:t>
      </w:r>
      <w:r w:rsidR="00B12008" w:rsidRPr="00B12008">
        <w:rPr>
          <w:rFonts w:ascii="Garamond" w:hAnsi="Garamond"/>
          <w:sz w:val="24"/>
          <w:szCs w:val="24"/>
        </w:rPr>
        <w:softHyphen/>
      </w:r>
      <w:r w:rsidRPr="00B12008">
        <w:rPr>
          <w:rFonts w:ascii="Garamond" w:hAnsi="Garamond"/>
          <w:sz w:val="24"/>
          <w:szCs w:val="24"/>
        </w:rPr>
        <w:t>2.339</w:t>
      </w:r>
      <w:r w:rsidRPr="009668E2">
        <w:rPr>
          <w:rFonts w:ascii="Garamond" w:hAnsi="Garamond"/>
          <w:sz w:val="24"/>
          <w:szCs w:val="24"/>
        </w:rPr>
        <w:t>.</w:t>
      </w:r>
    </w:p>
    <w:p w14:paraId="6A8EACF1" w14:textId="76F8AB15"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Rachmanto, Arif F. "The Formation of Islamic Parties in Post-Independence Indonesia." </w:t>
      </w:r>
      <w:r w:rsidRPr="009668E2">
        <w:rPr>
          <w:rFonts w:ascii="Garamond" w:hAnsi="Garamond"/>
          <w:i/>
          <w:sz w:val="24"/>
          <w:szCs w:val="24"/>
        </w:rPr>
        <w:t>Jsi Jurnal Sejarah Islam</w:t>
      </w:r>
      <w:r w:rsidRPr="009668E2">
        <w:rPr>
          <w:rFonts w:ascii="Garamond" w:hAnsi="Garamond"/>
          <w:sz w:val="24"/>
          <w:szCs w:val="24"/>
        </w:rPr>
        <w:t xml:space="preserve">  (2023). </w:t>
      </w:r>
      <w:hyperlink r:id="rId46" w:history="1">
        <w:r w:rsidRPr="009668E2">
          <w:rPr>
            <w:rStyle w:val="Hyperlink"/>
            <w:rFonts w:ascii="Garamond" w:hAnsi="Garamond"/>
            <w:sz w:val="24"/>
            <w:szCs w:val="24"/>
          </w:rPr>
          <w:t>http://dx.doi.org/10.24090/jsij.v2i02.8213</w:t>
        </w:r>
      </w:hyperlink>
      <w:r w:rsidRPr="009668E2">
        <w:rPr>
          <w:rFonts w:ascii="Garamond" w:hAnsi="Garamond"/>
          <w:sz w:val="24"/>
          <w:szCs w:val="24"/>
        </w:rPr>
        <w:t>.</w:t>
      </w:r>
    </w:p>
    <w:p w14:paraId="1E6AFA0F" w14:textId="42DCE705"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Rahmah, St and Rabiatul Aslamiah. "Understanding the Urgency of Da'wah of Islam in the Context of Peace in the Nuances of Pluralism in Indonesia." </w:t>
      </w:r>
      <w:r w:rsidRPr="009668E2">
        <w:rPr>
          <w:rFonts w:ascii="Garamond" w:hAnsi="Garamond"/>
          <w:i/>
          <w:sz w:val="24"/>
          <w:szCs w:val="24"/>
        </w:rPr>
        <w:t>International Research Journal of Management It and Social Sciences</w:t>
      </w:r>
      <w:r w:rsidRPr="009668E2">
        <w:rPr>
          <w:rFonts w:ascii="Garamond" w:hAnsi="Garamond"/>
          <w:sz w:val="24"/>
          <w:szCs w:val="24"/>
        </w:rPr>
        <w:t xml:space="preserve">  (2023). </w:t>
      </w:r>
      <w:r w:rsidRPr="00B12008">
        <w:rPr>
          <w:rFonts w:ascii="Garamond" w:hAnsi="Garamond"/>
          <w:sz w:val="24"/>
          <w:szCs w:val="24"/>
        </w:rPr>
        <w:t>http://dx.doi.org/1</w:t>
      </w:r>
      <w:r w:rsidR="00B12008" w:rsidRPr="00B12008">
        <w:rPr>
          <w:rFonts w:ascii="Garamond" w:hAnsi="Garamond"/>
          <w:sz w:val="24"/>
          <w:szCs w:val="24"/>
        </w:rPr>
        <w:softHyphen/>
      </w:r>
      <w:r w:rsidRPr="00B12008">
        <w:rPr>
          <w:rFonts w:ascii="Garamond" w:hAnsi="Garamond"/>
          <w:sz w:val="24"/>
          <w:szCs w:val="24"/>
        </w:rPr>
        <w:t>0.21744/irj</w:t>
      </w:r>
      <w:r w:rsidR="00B12008" w:rsidRPr="00B12008">
        <w:rPr>
          <w:rFonts w:ascii="Garamond" w:hAnsi="Garamond"/>
          <w:sz w:val="24"/>
          <w:szCs w:val="24"/>
        </w:rPr>
        <w:softHyphen/>
      </w:r>
      <w:r w:rsidRPr="00B12008">
        <w:rPr>
          <w:rFonts w:ascii="Garamond" w:hAnsi="Garamond"/>
          <w:sz w:val="24"/>
          <w:szCs w:val="24"/>
        </w:rPr>
        <w:t>mis.v10n2.2295</w:t>
      </w:r>
      <w:r w:rsidRPr="009668E2">
        <w:rPr>
          <w:rFonts w:ascii="Garamond" w:hAnsi="Garamond"/>
          <w:sz w:val="24"/>
          <w:szCs w:val="24"/>
        </w:rPr>
        <w:t>.</w:t>
      </w:r>
    </w:p>
    <w:p w14:paraId="7F7929E3" w14:textId="57437D58"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Regus, Maksimus. "Interreligious Conflicts in Post-Authoritarian Indonesia: Assumptions, Causes, and Implications." </w:t>
      </w:r>
      <w:r w:rsidRPr="009668E2">
        <w:rPr>
          <w:rFonts w:ascii="Garamond" w:hAnsi="Garamond"/>
          <w:i/>
          <w:sz w:val="24"/>
          <w:szCs w:val="24"/>
        </w:rPr>
        <w:t>Jurnal Politik</w:t>
      </w:r>
      <w:r w:rsidRPr="009668E2">
        <w:rPr>
          <w:rFonts w:ascii="Garamond" w:hAnsi="Garamond"/>
          <w:sz w:val="24"/>
          <w:szCs w:val="24"/>
        </w:rPr>
        <w:t xml:space="preserve">  (2020). </w:t>
      </w:r>
      <w:hyperlink r:id="rId47" w:history="1">
        <w:r w:rsidRPr="009668E2">
          <w:rPr>
            <w:rStyle w:val="Hyperlink"/>
            <w:rFonts w:ascii="Garamond" w:hAnsi="Garamond"/>
            <w:sz w:val="24"/>
            <w:szCs w:val="24"/>
          </w:rPr>
          <w:t>http://dx.doi.org/10.7454/jp.v5i2.267</w:t>
        </w:r>
      </w:hyperlink>
      <w:r w:rsidRPr="009668E2">
        <w:rPr>
          <w:rFonts w:ascii="Garamond" w:hAnsi="Garamond"/>
          <w:sz w:val="24"/>
          <w:szCs w:val="24"/>
        </w:rPr>
        <w:t>.</w:t>
      </w:r>
    </w:p>
    <w:p w14:paraId="6FD89673" w14:textId="77777777"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Ridwan, Auliya. "Colonial Politics of Power and Cultural Identity Development of Islamic Education Vis-a-Vis European </w:t>
      </w:r>
      <w:r w:rsidRPr="009668E2">
        <w:rPr>
          <w:rFonts w:ascii="Garamond" w:hAnsi="Garamond"/>
          <w:sz w:val="24"/>
          <w:szCs w:val="24"/>
        </w:rPr>
        <w:lastRenderedPageBreak/>
        <w:t xml:space="preserve">Education in the Netherlands East Indies Periods." </w:t>
      </w:r>
      <w:r w:rsidRPr="009668E2">
        <w:rPr>
          <w:rFonts w:ascii="Garamond" w:hAnsi="Garamond"/>
          <w:i/>
          <w:sz w:val="24"/>
          <w:szCs w:val="24"/>
        </w:rPr>
        <w:t>Marâji`: Jurnal Ilmu Keislaman</w:t>
      </w:r>
      <w:r w:rsidRPr="009668E2">
        <w:rPr>
          <w:rFonts w:ascii="Garamond" w:hAnsi="Garamond"/>
          <w:sz w:val="24"/>
          <w:szCs w:val="24"/>
        </w:rPr>
        <w:t xml:space="preserve"> 2, no. 2 (2016): 227-47.</w:t>
      </w:r>
    </w:p>
    <w:p w14:paraId="46B5A6FC" w14:textId="6CA9F1CD"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Ridwan, Auliya. "The Dynamics of Pesantren Leadership from the Dutch Ethical Policy to the Reformation Periods." </w:t>
      </w:r>
      <w:r w:rsidRPr="009668E2">
        <w:rPr>
          <w:rFonts w:ascii="Garamond" w:hAnsi="Garamond"/>
          <w:i/>
          <w:sz w:val="24"/>
          <w:szCs w:val="24"/>
        </w:rPr>
        <w:t>Epistemé: Jurnal Pengembangan Ilmu Keislaman</w:t>
      </w:r>
      <w:r w:rsidRPr="009668E2">
        <w:rPr>
          <w:rFonts w:ascii="Garamond" w:hAnsi="Garamond"/>
          <w:sz w:val="24"/>
          <w:szCs w:val="24"/>
        </w:rPr>
        <w:t xml:space="preserve"> 15, no. 02 (2020): 365-400. </w:t>
      </w:r>
      <w:hyperlink r:id="rId48" w:history="1">
        <w:r w:rsidRPr="009668E2">
          <w:rPr>
            <w:rStyle w:val="Hyperlink"/>
            <w:rFonts w:ascii="Garamond" w:hAnsi="Garamond"/>
            <w:sz w:val="24"/>
            <w:szCs w:val="24"/>
          </w:rPr>
          <w:t>http://dx.doi.org/https://doi.org/10.21274/epis.2020.15.02.365-400</w:t>
        </w:r>
      </w:hyperlink>
      <w:r w:rsidRPr="009668E2">
        <w:rPr>
          <w:rFonts w:ascii="Garamond" w:hAnsi="Garamond"/>
          <w:sz w:val="24"/>
          <w:szCs w:val="24"/>
        </w:rPr>
        <w:t>.</w:t>
      </w:r>
    </w:p>
    <w:p w14:paraId="3FEA6502" w14:textId="2F977812"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Rosidin, Didin N., Mila Amalia, Ihsan Sa'dudin, and Eka Safitri. "Muslim Social Movements in Cirebon and the Emergence of National Resistance Movements against the Dutch Colonial Government in the Early 20th Century Indonesia." </w:t>
      </w:r>
      <w:r w:rsidRPr="009668E2">
        <w:rPr>
          <w:rFonts w:ascii="Garamond" w:hAnsi="Garamond"/>
          <w:i/>
          <w:sz w:val="24"/>
          <w:szCs w:val="24"/>
        </w:rPr>
        <w:t>Journal of Asian Social Science Research</w:t>
      </w:r>
      <w:r w:rsidRPr="009668E2">
        <w:rPr>
          <w:rFonts w:ascii="Garamond" w:hAnsi="Garamond"/>
          <w:sz w:val="24"/>
          <w:szCs w:val="24"/>
        </w:rPr>
        <w:t xml:space="preserve">  (2022). </w:t>
      </w:r>
      <w:hyperlink r:id="rId49" w:history="1">
        <w:r w:rsidRPr="009668E2">
          <w:rPr>
            <w:rStyle w:val="Hyperlink"/>
            <w:rFonts w:ascii="Garamond" w:hAnsi="Garamond"/>
            <w:sz w:val="24"/>
            <w:szCs w:val="24"/>
          </w:rPr>
          <w:t>http://dx.doi.org/</w:t>
        </w:r>
        <w:r w:rsidR="00B12008">
          <w:rPr>
            <w:rStyle w:val="Hyperlink"/>
            <w:rFonts w:ascii="Garamond" w:hAnsi="Garamond"/>
            <w:sz w:val="24"/>
            <w:szCs w:val="24"/>
          </w:rPr>
          <w:softHyphen/>
        </w:r>
        <w:r w:rsidRPr="009668E2">
          <w:rPr>
            <w:rStyle w:val="Hyperlink"/>
            <w:rFonts w:ascii="Garamond" w:hAnsi="Garamond"/>
            <w:sz w:val="24"/>
            <w:szCs w:val="24"/>
          </w:rPr>
          <w:t>10.15575/jassr.v4i1.64</w:t>
        </w:r>
      </w:hyperlink>
      <w:r w:rsidRPr="009668E2">
        <w:rPr>
          <w:rFonts w:ascii="Garamond" w:hAnsi="Garamond"/>
          <w:sz w:val="24"/>
          <w:szCs w:val="24"/>
        </w:rPr>
        <w:t>.</w:t>
      </w:r>
    </w:p>
    <w:p w14:paraId="042F4A1E" w14:textId="3CE0A092"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Saefudin, Ahmad, Abdul Munip, and Khoirotul L. Ulfa. "Internalization of Multicultural-Based Islamic Education: Sunni-Shia Synergy in Banjaran Bangsri Village, Jepara." </w:t>
      </w:r>
      <w:r w:rsidRPr="009668E2">
        <w:rPr>
          <w:rFonts w:ascii="Garamond" w:hAnsi="Garamond"/>
          <w:i/>
          <w:sz w:val="24"/>
          <w:szCs w:val="24"/>
        </w:rPr>
        <w:t>Edukasia Jurnal Penelitian Pendidikan Islam</w:t>
      </w:r>
      <w:r w:rsidRPr="009668E2">
        <w:rPr>
          <w:rFonts w:ascii="Garamond" w:hAnsi="Garamond"/>
          <w:sz w:val="24"/>
          <w:szCs w:val="24"/>
        </w:rPr>
        <w:t xml:space="preserve"> 16, no. 1 (2021): 37. </w:t>
      </w:r>
      <w:hyperlink r:id="rId50" w:history="1">
        <w:r w:rsidRPr="009668E2">
          <w:rPr>
            <w:rStyle w:val="Hyperlink"/>
            <w:rFonts w:ascii="Garamond" w:hAnsi="Garamond"/>
            <w:sz w:val="24"/>
            <w:szCs w:val="24"/>
          </w:rPr>
          <w:t>http://dx.doi.org/10.21043/edukasia.v16i1.8803</w:t>
        </w:r>
      </w:hyperlink>
      <w:r w:rsidRPr="009668E2">
        <w:rPr>
          <w:rFonts w:ascii="Garamond" w:hAnsi="Garamond"/>
          <w:sz w:val="24"/>
          <w:szCs w:val="24"/>
        </w:rPr>
        <w:t>.</w:t>
      </w:r>
    </w:p>
    <w:p w14:paraId="2E879D4A" w14:textId="0EDE227D"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Saputra, Rahmat and Ummi H. Islamiyah. "Da’wah Strategy through Google Search Engine Optimization." </w:t>
      </w:r>
      <w:r w:rsidRPr="009668E2">
        <w:rPr>
          <w:rFonts w:ascii="Garamond" w:hAnsi="Garamond"/>
          <w:i/>
          <w:sz w:val="24"/>
          <w:szCs w:val="24"/>
        </w:rPr>
        <w:t>Islam Universalia International Journal of Islamic Studies and Social Sciences</w:t>
      </w:r>
      <w:r w:rsidRPr="009668E2">
        <w:rPr>
          <w:rFonts w:ascii="Garamond" w:hAnsi="Garamond"/>
          <w:sz w:val="24"/>
          <w:szCs w:val="24"/>
        </w:rPr>
        <w:t xml:space="preserve">  (2019). </w:t>
      </w:r>
      <w:hyperlink r:id="rId51" w:history="1">
        <w:r w:rsidRPr="009668E2">
          <w:rPr>
            <w:rStyle w:val="Hyperlink"/>
            <w:rFonts w:ascii="Garamond" w:hAnsi="Garamond"/>
            <w:sz w:val="24"/>
            <w:szCs w:val="24"/>
          </w:rPr>
          <w:t>http://dx.doi.org/10.56613/islam-universalia.v1i1.111</w:t>
        </w:r>
      </w:hyperlink>
      <w:r w:rsidRPr="009668E2">
        <w:rPr>
          <w:rFonts w:ascii="Garamond" w:hAnsi="Garamond"/>
          <w:sz w:val="24"/>
          <w:szCs w:val="24"/>
        </w:rPr>
        <w:t>.</w:t>
      </w:r>
    </w:p>
    <w:p w14:paraId="4F57127A" w14:textId="302970D1"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Silvianetri, Silvianetri, Irman Irman, Khairunnas Rajab, Zulamri Zulamri, Zubaidah Zubaidah, and Zulfikar Zulfikar. "The Effectiveness of Islamic Counseling as a Dakwah Approach to Increase the Religious Awareness of Ex-Prostitute." </w:t>
      </w:r>
      <w:r w:rsidRPr="009668E2">
        <w:rPr>
          <w:rFonts w:ascii="Garamond" w:hAnsi="Garamond"/>
          <w:i/>
          <w:sz w:val="24"/>
          <w:szCs w:val="24"/>
        </w:rPr>
        <w:t>Jurnal Dakwah Risalah</w:t>
      </w:r>
      <w:r w:rsidRPr="009668E2">
        <w:rPr>
          <w:rFonts w:ascii="Garamond" w:hAnsi="Garamond"/>
          <w:sz w:val="24"/>
          <w:szCs w:val="24"/>
        </w:rPr>
        <w:t xml:space="preserve"> 33, no. 1 (2022). </w:t>
      </w:r>
      <w:r w:rsidRPr="00B12008">
        <w:rPr>
          <w:rFonts w:ascii="Garamond" w:hAnsi="Garamond"/>
          <w:sz w:val="24"/>
          <w:szCs w:val="24"/>
        </w:rPr>
        <w:t>http://dx.doi.org/10.24</w:t>
      </w:r>
      <w:r w:rsidR="00B12008" w:rsidRPr="00B12008">
        <w:rPr>
          <w:rFonts w:ascii="Garamond" w:hAnsi="Garamond"/>
          <w:sz w:val="24"/>
          <w:szCs w:val="24"/>
        </w:rPr>
        <w:softHyphen/>
      </w:r>
      <w:r w:rsidRPr="00B12008">
        <w:rPr>
          <w:rFonts w:ascii="Garamond" w:hAnsi="Garamond"/>
          <w:sz w:val="24"/>
          <w:szCs w:val="24"/>
        </w:rPr>
        <w:t>014/jdr.v33i1.15879</w:t>
      </w:r>
      <w:r w:rsidRPr="009668E2">
        <w:rPr>
          <w:rFonts w:ascii="Garamond" w:hAnsi="Garamond"/>
          <w:sz w:val="24"/>
          <w:szCs w:val="24"/>
        </w:rPr>
        <w:t>.</w:t>
      </w:r>
    </w:p>
    <w:p w14:paraId="2865644A" w14:textId="40D9DDDD"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Suradi, Ahmad. "The Social, Political, and Cultural Perspective of Islamic Education in Palembang Malay: A Continuous Evaluation from the Dutch Colonial Period to Today." </w:t>
      </w:r>
      <w:r w:rsidRPr="009668E2">
        <w:rPr>
          <w:rFonts w:ascii="Garamond" w:hAnsi="Garamond"/>
          <w:i/>
          <w:sz w:val="24"/>
          <w:szCs w:val="24"/>
        </w:rPr>
        <w:t>Journal of Ethnic and Cultural Studies</w:t>
      </w:r>
      <w:r w:rsidRPr="009668E2">
        <w:rPr>
          <w:rFonts w:ascii="Garamond" w:hAnsi="Garamond"/>
          <w:sz w:val="24"/>
          <w:szCs w:val="24"/>
        </w:rPr>
        <w:t xml:space="preserve"> 9, no. 3 (2022): 56-71. </w:t>
      </w:r>
      <w:hyperlink r:id="rId52" w:history="1">
        <w:r w:rsidRPr="009668E2">
          <w:rPr>
            <w:rStyle w:val="Hyperlink"/>
            <w:rFonts w:ascii="Garamond" w:hAnsi="Garamond"/>
            <w:sz w:val="24"/>
            <w:szCs w:val="24"/>
          </w:rPr>
          <w:t>http://dx.doi</w:t>
        </w:r>
        <w:r w:rsidR="00B12008">
          <w:rPr>
            <w:rStyle w:val="Hyperlink"/>
            <w:rFonts w:ascii="Garamond" w:hAnsi="Garamond"/>
            <w:sz w:val="24"/>
            <w:szCs w:val="24"/>
          </w:rPr>
          <w:softHyphen/>
        </w:r>
        <w:r w:rsidRPr="009668E2">
          <w:rPr>
            <w:rStyle w:val="Hyperlink"/>
            <w:rFonts w:ascii="Garamond" w:hAnsi="Garamond"/>
            <w:sz w:val="24"/>
            <w:szCs w:val="24"/>
          </w:rPr>
          <w:t>.org/10.29333/ejecs/1200</w:t>
        </w:r>
      </w:hyperlink>
      <w:r w:rsidRPr="009668E2">
        <w:rPr>
          <w:rFonts w:ascii="Garamond" w:hAnsi="Garamond"/>
          <w:sz w:val="24"/>
          <w:szCs w:val="24"/>
        </w:rPr>
        <w:t>.</w:t>
      </w:r>
    </w:p>
    <w:p w14:paraId="0B733040" w14:textId="2DB42F96"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Tyson, Adam. "Blasphemy and Judicial Legitimacy in Indonesia." </w:t>
      </w:r>
      <w:r w:rsidRPr="009668E2">
        <w:rPr>
          <w:rFonts w:ascii="Garamond" w:hAnsi="Garamond"/>
          <w:i/>
          <w:sz w:val="24"/>
          <w:szCs w:val="24"/>
        </w:rPr>
        <w:t>Politics and Religion</w:t>
      </w:r>
      <w:r w:rsidRPr="009668E2">
        <w:rPr>
          <w:rFonts w:ascii="Garamond" w:hAnsi="Garamond"/>
          <w:sz w:val="24"/>
          <w:szCs w:val="24"/>
        </w:rPr>
        <w:t xml:space="preserve">  (2020). </w:t>
      </w:r>
      <w:r w:rsidRPr="00B12008">
        <w:rPr>
          <w:rFonts w:ascii="Garamond" w:hAnsi="Garamond"/>
          <w:sz w:val="24"/>
          <w:szCs w:val="24"/>
        </w:rPr>
        <w:t>http://dx.doi.org/</w:t>
      </w:r>
      <w:r w:rsidR="00B12008" w:rsidRPr="00B12008">
        <w:rPr>
          <w:rFonts w:ascii="Garamond" w:hAnsi="Garamond"/>
          <w:sz w:val="24"/>
          <w:szCs w:val="24"/>
        </w:rPr>
        <w:softHyphen/>
      </w:r>
      <w:r w:rsidRPr="00B12008">
        <w:rPr>
          <w:rFonts w:ascii="Garamond" w:hAnsi="Garamond"/>
          <w:sz w:val="24"/>
          <w:szCs w:val="24"/>
        </w:rPr>
        <w:t>10.1017/</w:t>
      </w:r>
      <w:r w:rsidR="00B12008" w:rsidRPr="00B12008">
        <w:rPr>
          <w:rFonts w:ascii="Garamond" w:hAnsi="Garamond"/>
          <w:sz w:val="24"/>
          <w:szCs w:val="24"/>
        </w:rPr>
        <w:softHyphen/>
      </w:r>
      <w:r w:rsidRPr="00B12008">
        <w:rPr>
          <w:rFonts w:ascii="Garamond" w:hAnsi="Garamond"/>
          <w:sz w:val="24"/>
          <w:szCs w:val="24"/>
        </w:rPr>
        <w:t>s1755048319000427</w:t>
      </w:r>
      <w:r w:rsidRPr="009668E2">
        <w:rPr>
          <w:rFonts w:ascii="Garamond" w:hAnsi="Garamond"/>
          <w:sz w:val="24"/>
          <w:szCs w:val="24"/>
        </w:rPr>
        <w:t>.</w:t>
      </w:r>
    </w:p>
    <w:p w14:paraId="02F68A57" w14:textId="4FC61346"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Wibisono, Susilo, Winnifred R. Louis, and Jolanda Jetten. "The Role of Religious Fundamentalism in the Intersection of National and Religious Identities." </w:t>
      </w:r>
      <w:r w:rsidRPr="009668E2">
        <w:rPr>
          <w:rFonts w:ascii="Garamond" w:hAnsi="Garamond"/>
          <w:i/>
          <w:sz w:val="24"/>
          <w:szCs w:val="24"/>
        </w:rPr>
        <w:t>Journal of Pacific Rim Psychology</w:t>
      </w:r>
      <w:r w:rsidRPr="009668E2">
        <w:rPr>
          <w:rFonts w:ascii="Garamond" w:hAnsi="Garamond"/>
          <w:sz w:val="24"/>
          <w:szCs w:val="24"/>
        </w:rPr>
        <w:t xml:space="preserve">  (2019). </w:t>
      </w:r>
      <w:hyperlink r:id="rId53" w:history="1">
        <w:r w:rsidRPr="009668E2">
          <w:rPr>
            <w:rStyle w:val="Hyperlink"/>
            <w:rFonts w:ascii="Garamond" w:hAnsi="Garamond"/>
            <w:sz w:val="24"/>
            <w:szCs w:val="24"/>
          </w:rPr>
          <w:t>http://dx.doi.org/10.1017/prp.2018.25</w:t>
        </w:r>
      </w:hyperlink>
      <w:r w:rsidRPr="009668E2">
        <w:rPr>
          <w:rFonts w:ascii="Garamond" w:hAnsi="Garamond"/>
          <w:sz w:val="24"/>
          <w:szCs w:val="24"/>
        </w:rPr>
        <w:t>.</w:t>
      </w:r>
    </w:p>
    <w:p w14:paraId="3FF62314" w14:textId="749256FE"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Yuliasih, Muzayyanah and Tri Rahyu. "Da'wah Strategy in Preventing Apostasy in Cisantana Village, Cigugur District, Kuningan </w:t>
      </w:r>
      <w:r w:rsidRPr="009668E2">
        <w:rPr>
          <w:rFonts w:ascii="Garamond" w:hAnsi="Garamond"/>
          <w:sz w:val="24"/>
          <w:szCs w:val="24"/>
        </w:rPr>
        <w:lastRenderedPageBreak/>
        <w:t xml:space="preserve">District." </w:t>
      </w:r>
      <w:r w:rsidRPr="009668E2">
        <w:rPr>
          <w:rFonts w:ascii="Garamond" w:hAnsi="Garamond"/>
          <w:i/>
          <w:sz w:val="24"/>
          <w:szCs w:val="24"/>
        </w:rPr>
        <w:t>Jurnal Bina Ummat Membina Dan Membentengi Ummat</w:t>
      </w:r>
      <w:r w:rsidRPr="009668E2">
        <w:rPr>
          <w:rFonts w:ascii="Garamond" w:hAnsi="Garamond"/>
          <w:sz w:val="24"/>
          <w:szCs w:val="24"/>
        </w:rPr>
        <w:t xml:space="preserve">  (2022). </w:t>
      </w:r>
      <w:hyperlink r:id="rId54" w:history="1">
        <w:r w:rsidRPr="009668E2">
          <w:rPr>
            <w:rStyle w:val="Hyperlink"/>
            <w:rFonts w:ascii="Garamond" w:hAnsi="Garamond"/>
            <w:sz w:val="24"/>
            <w:szCs w:val="24"/>
          </w:rPr>
          <w:t>http://dx.doi.org/10.38214/jurnalbinaummatstidnat</w:t>
        </w:r>
        <w:r w:rsidR="00B12008">
          <w:rPr>
            <w:rStyle w:val="Hyperlink"/>
            <w:rFonts w:ascii="Garamond" w:hAnsi="Garamond"/>
            <w:sz w:val="24"/>
            <w:szCs w:val="24"/>
          </w:rPr>
          <w:softHyphen/>
        </w:r>
        <w:r w:rsidRPr="009668E2">
          <w:rPr>
            <w:rStyle w:val="Hyperlink"/>
            <w:rFonts w:ascii="Garamond" w:hAnsi="Garamond"/>
            <w:sz w:val="24"/>
            <w:szCs w:val="24"/>
          </w:rPr>
          <w:t>sir.v5i2.150</w:t>
        </w:r>
      </w:hyperlink>
      <w:r w:rsidRPr="009668E2">
        <w:rPr>
          <w:rFonts w:ascii="Garamond" w:hAnsi="Garamond"/>
          <w:sz w:val="24"/>
          <w:szCs w:val="24"/>
        </w:rPr>
        <w:t>.</w:t>
      </w:r>
    </w:p>
    <w:p w14:paraId="77B273E7" w14:textId="47854676" w:rsidR="002E11F7" w:rsidRPr="009668E2" w:rsidRDefault="00880294" w:rsidP="009668E2">
      <w:pPr>
        <w:pStyle w:val="Heading1"/>
        <w:tabs>
          <w:tab w:val="left" w:pos="720"/>
        </w:tabs>
        <w:spacing w:before="0" w:beforeAutospacing="0" w:after="0" w:afterAutospacing="0"/>
        <w:jc w:val="both"/>
        <w:rPr>
          <w:rFonts w:ascii="Garamond" w:hAnsi="Garamond"/>
          <w:b w:val="0"/>
          <w:bCs w:val="0"/>
          <w:sz w:val="24"/>
          <w:szCs w:val="24"/>
        </w:rPr>
      </w:pPr>
      <w:r w:rsidRPr="009668E2">
        <w:rPr>
          <w:rFonts w:ascii="Garamond" w:hAnsi="Garamond"/>
          <w:b w:val="0"/>
          <w:bCs w:val="0"/>
          <w:sz w:val="24"/>
          <w:szCs w:val="24"/>
          <w:lang w:val="fi-FI"/>
        </w:rPr>
        <w:fldChar w:fldCharType="end"/>
      </w:r>
    </w:p>
    <w:sectPr w:rsidR="002E11F7" w:rsidRPr="009668E2" w:rsidSect="00F833AB">
      <w:footerReference w:type="default" r:id="rId55"/>
      <w:pgSz w:w="9072" w:h="13892" w:code="9"/>
      <w:pgMar w:top="1276" w:right="1276" w:bottom="1276" w:left="1276" w:header="765" w:footer="45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F46349" w14:textId="77777777" w:rsidR="00C640A1" w:rsidRDefault="00C640A1" w:rsidP="00BF1779">
      <w:pPr>
        <w:spacing w:after="0" w:line="240" w:lineRule="auto"/>
      </w:pPr>
      <w:r>
        <w:separator/>
      </w:r>
    </w:p>
  </w:endnote>
  <w:endnote w:type="continuationSeparator" w:id="0">
    <w:p w14:paraId="352FD510" w14:textId="77777777" w:rsidR="00C640A1" w:rsidRDefault="00C640A1" w:rsidP="00BF1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ode">
    <w:altName w:val="Code"/>
    <w:panose1 w:val="00000000000000000000"/>
    <w:charset w:val="00"/>
    <w:family w:val="swiss"/>
    <w:notTrueType/>
    <w:pitch w:val="default"/>
    <w:sig w:usb0="00000003" w:usb1="00000000" w:usb2="00000000" w:usb3="00000000" w:csb0="00000001" w:csb1="00000000"/>
  </w:font>
  <w:font w:name="Abali">
    <w:altName w:val="Garamond"/>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akkal Majalla">
    <w:panose1 w:val="02000000000000000000"/>
    <w:charset w:val="00"/>
    <w:family w:val="auto"/>
    <w:pitch w:val="variable"/>
    <w:sig w:usb0="A0002027" w:usb1="80000000" w:usb2="00000108" w:usb3="00000000" w:csb0="000000D3"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szCs w:val="18"/>
      </w:rPr>
      <w:id w:val="616337391"/>
      <w:docPartObj>
        <w:docPartGallery w:val="Page Numbers (Bottom of Page)"/>
        <w:docPartUnique/>
      </w:docPartObj>
    </w:sdtPr>
    <w:sdtEndPr>
      <w:rPr>
        <w:noProof/>
      </w:rPr>
    </w:sdtEndPr>
    <w:sdtContent>
      <w:p w14:paraId="5D82DC86" w14:textId="10C36E70" w:rsidR="00B77ACF" w:rsidRPr="00B77ACF" w:rsidRDefault="00B77ACF" w:rsidP="00B77ACF">
        <w:pPr>
          <w:pStyle w:val="Footer"/>
          <w:jc w:val="center"/>
          <w:rPr>
            <w:sz w:val="18"/>
            <w:szCs w:val="18"/>
          </w:rPr>
        </w:pPr>
        <w:r w:rsidRPr="00B77ACF">
          <w:rPr>
            <w:sz w:val="18"/>
            <w:szCs w:val="18"/>
          </w:rPr>
          <w:fldChar w:fldCharType="begin"/>
        </w:r>
        <w:r w:rsidRPr="00B77ACF">
          <w:rPr>
            <w:sz w:val="18"/>
            <w:szCs w:val="18"/>
          </w:rPr>
          <w:instrText xml:space="preserve"> PAGE   \* MERGEFORMAT </w:instrText>
        </w:r>
        <w:r w:rsidRPr="00B77ACF">
          <w:rPr>
            <w:sz w:val="18"/>
            <w:szCs w:val="18"/>
          </w:rPr>
          <w:fldChar w:fldCharType="separate"/>
        </w:r>
        <w:r w:rsidRPr="00B77ACF">
          <w:rPr>
            <w:noProof/>
            <w:sz w:val="18"/>
            <w:szCs w:val="18"/>
          </w:rPr>
          <w:t>2</w:t>
        </w:r>
        <w:r w:rsidRPr="00B77ACF">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55A607" w14:textId="77777777" w:rsidR="00C640A1" w:rsidRDefault="00C640A1" w:rsidP="00BF1779">
      <w:pPr>
        <w:spacing w:after="0" w:line="240" w:lineRule="auto"/>
      </w:pPr>
      <w:r>
        <w:separator/>
      </w:r>
    </w:p>
  </w:footnote>
  <w:footnote w:type="continuationSeparator" w:id="0">
    <w:p w14:paraId="518A02C2" w14:textId="77777777" w:rsidR="00C640A1" w:rsidRDefault="00C640A1" w:rsidP="00726FC1">
      <w:pPr>
        <w:spacing w:after="0" w:line="240" w:lineRule="auto"/>
      </w:pPr>
      <w:r>
        <w:separator/>
      </w:r>
    </w:p>
  </w:footnote>
  <w:footnote w:id="1">
    <w:p w14:paraId="56C4FBB8" w14:textId="056698BD" w:rsidR="000B3929" w:rsidRPr="009668E2" w:rsidRDefault="000B3929"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880294" w:rsidRPr="009668E2">
        <w:rPr>
          <w:rFonts w:ascii="Garamond" w:hAnsi="Garamond"/>
        </w:rPr>
        <w:fldChar w:fldCharType="begin"/>
      </w:r>
      <w:r w:rsidR="00E35E17" w:rsidRPr="009668E2">
        <w:rPr>
          <w:rFonts w:ascii="Garamond" w:hAnsi="Garamond"/>
        </w:rPr>
        <w:instrText xml:space="preserve"> ADDIN EN.CITE &lt;EndNote&gt;&lt;Cite&gt;&lt;Author&gt;Ishaq&lt;/Author&gt;&lt;Year&gt;2022&lt;/Year&gt;&lt;RecNum&gt;1725&lt;/RecNum&gt;&lt;DisplayText&gt;Ropingi el Ishaq, &amp;quot;Political Da’wah Strategy of Islamic Parties in Indonesia,&amp;quot; &lt;style face="italic"&gt;Ilmu Dakwah Academic Journal for Homiletic Studies&lt;/style&gt;  (2022), http://dx.doi.org/10.15575/idajhs.v16i2.19861.&lt;/DisplayText&gt;&lt;record&gt;&lt;rec-number&gt;1725&lt;/rec-number&gt;&lt;foreign-keys&gt;&lt;key app="EN" db-id="wrez22watfrfanevx2zx2wps9sefrp09axse" timestamp="1714904348"&gt;1725&lt;/key&gt;&lt;/foreign-keys&gt;&lt;ref-type name="Journal Article"&gt;17&lt;/ref-type&gt;&lt;contributors&gt;&lt;authors&gt;&lt;author&gt;Ishaq, Ropingi el&lt;/author&gt;&lt;/authors&gt;&lt;/contributors&gt;&lt;titles&gt;&lt;title&gt;Political Da’wah Strategy of Islamic Parties in Indonesia&lt;/title&gt;&lt;secondary-title&gt;Ilmu Dakwah Academic Journal for Homiletic Studies&lt;/secondary-title&gt;&lt;/titles&gt;&lt;periodical&gt;&lt;full-title&gt;Ilmu Dakwah Academic Journal for Homiletic Studies&lt;/full-title&gt;&lt;/periodical&gt;&lt;dates&gt;&lt;year&gt;2022&lt;/year&gt;&lt;/dates&gt;&lt;urls&gt;&lt;/urls&gt;&lt;electronic-resource-num&gt;10.15575/idajhs.v16i2.19861&lt;/electronic-resource-num&gt;&lt;/record&gt;&lt;/Cite&gt;&lt;/EndNote&gt;</w:instrText>
      </w:r>
      <w:r w:rsidR="00880294" w:rsidRPr="009668E2">
        <w:rPr>
          <w:rFonts w:ascii="Garamond" w:hAnsi="Garamond"/>
        </w:rPr>
        <w:fldChar w:fldCharType="separate"/>
      </w:r>
      <w:r w:rsidR="00E35E17" w:rsidRPr="009668E2">
        <w:rPr>
          <w:rFonts w:ascii="Garamond" w:hAnsi="Garamond"/>
          <w:noProof/>
        </w:rPr>
        <w:t xml:space="preserve">Ropingi el Ishaq, "Political </w:t>
      </w:r>
      <w:r w:rsidR="00E25CF5" w:rsidRPr="009668E2">
        <w:rPr>
          <w:rFonts w:ascii="Garamond" w:hAnsi="Garamond"/>
          <w:noProof/>
        </w:rPr>
        <w:t>Da</w:t>
      </w:r>
      <w:r w:rsidR="002D4102" w:rsidRPr="009668E2">
        <w:rPr>
          <w:rFonts w:ascii="Garamond" w:hAnsi="Garamond"/>
          <w:noProof/>
        </w:rPr>
        <w:t>’</w:t>
      </w:r>
      <w:r w:rsidR="00E25CF5" w:rsidRPr="009668E2">
        <w:rPr>
          <w:rFonts w:ascii="Garamond" w:hAnsi="Garamond"/>
          <w:noProof/>
        </w:rPr>
        <w:t>wah</w:t>
      </w:r>
      <w:r w:rsidR="00E35E17" w:rsidRPr="009668E2">
        <w:rPr>
          <w:rFonts w:ascii="Garamond" w:hAnsi="Garamond"/>
          <w:noProof/>
        </w:rPr>
        <w:t xml:space="preserve"> Strategy of Islamic Parties in Indonesia," </w:t>
      </w:r>
      <w:r w:rsidR="00E35E17" w:rsidRPr="009668E2">
        <w:rPr>
          <w:rFonts w:ascii="Garamond" w:hAnsi="Garamond"/>
          <w:i/>
          <w:noProof/>
        </w:rPr>
        <w:t>Ilmu Dakwah Academic Journal for Homiletic Studies</w:t>
      </w:r>
      <w:r w:rsidR="00E35E17" w:rsidRPr="009668E2">
        <w:rPr>
          <w:rFonts w:ascii="Garamond" w:hAnsi="Garamond"/>
          <w:noProof/>
        </w:rPr>
        <w:t xml:space="preserve">  (2022), http://dx.doi.org/</w:t>
      </w:r>
      <w:r w:rsidR="001B36CC">
        <w:rPr>
          <w:rFonts w:ascii="Garamond" w:hAnsi="Garamond"/>
          <w:noProof/>
        </w:rPr>
        <w:softHyphen/>
      </w:r>
      <w:r w:rsidR="00E35E17" w:rsidRPr="009668E2">
        <w:rPr>
          <w:rFonts w:ascii="Garamond" w:hAnsi="Garamond"/>
          <w:noProof/>
        </w:rPr>
        <w:t>10.15575/idajhs.v16i2.19861.</w:t>
      </w:r>
      <w:r w:rsidR="00880294" w:rsidRPr="009668E2">
        <w:rPr>
          <w:rFonts w:ascii="Garamond" w:hAnsi="Garamond"/>
        </w:rPr>
        <w:fldChar w:fldCharType="end"/>
      </w:r>
    </w:p>
  </w:footnote>
  <w:footnote w:id="2">
    <w:p w14:paraId="59BF8960" w14:textId="4C4B4260" w:rsidR="00E35E17" w:rsidRPr="009668E2" w:rsidRDefault="00E35E17"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&lt;EndNote&gt;&lt;Cite&gt;&lt;Author&gt;Ridwan&lt;/Author&gt;&lt;Year&gt;2020&lt;/Year&gt;&lt;RecNum&gt;695&lt;/RecNum&gt;&lt;DisplayText&gt;Auliya Ridwan, &amp;quot;The Dynamics of Pesantren Leadership from the Dutch Ethical Policy to the Reformation Periods,&amp;quot; &lt;style face="italic"&gt;Epistemé: Jurnal Pengembangan Ilmu Keislaman&lt;/style&gt; 15, no. 02 (2020), http://dx.doi.org/https://doi.org/10.21274/epis.2020.15.02.365-400.&lt;/DisplayText&gt;&lt;record&gt;&lt;rec-number&gt;695&lt;/rec-number&gt;&lt;foreign-keys&gt;&lt;key app="EN" db-id="wrez22watfrfanevx2zx2wps9sefrp09axse" timestamp="1609952601"&gt;695&lt;/key&gt;&lt;/foreign-keys&gt;&lt;ref-type name="Journal Article"&gt;17&lt;/ref-type&gt;&lt;contributors&gt;&lt;authors&gt;&lt;author&gt;Ridwan, Auliya&lt;/author&gt;&lt;/authors&gt;&lt;/contributors&gt;&lt;titles&gt;&lt;title&gt;The Dynamics of Pesantren Leadership from the Dutch Ethical Policy to the Reformation Periods&lt;/title&gt;&lt;secondary-title&gt;Epistemé: Jurnal Pengembangan Ilmu Keislaman&lt;/secondary-title&gt;&lt;/titles&gt;&lt;periodical&gt;&lt;full-title&gt;Epistemé: Jurnal Pengembangan Ilmu Keislaman&lt;/full-title&gt;&lt;/periodical&gt;&lt;pages&gt;365-400&lt;/pages&gt;&lt;volume&gt;15&lt;/volume&gt;&lt;number&gt;02&lt;/number&gt;&lt;dates&gt;&lt;year&gt;2020&lt;/year&gt;&lt;/dates&gt;&lt;urls&gt;&lt;related-urls&gt;&lt;url&gt;http://ejournal.iain-tulungagung.ac.id/index.php/epis/article/view/3529&lt;/url&gt;&lt;/related-urls&gt;&lt;/urls&gt;&lt;electronic-resource-num&gt;https://doi.org/10.21274/epis.2020.15.02.365-400&lt;/electronic-resource-num&gt;&lt;/record&gt;&lt;/Cite&gt;&lt;/EndNote&gt;</w:instrText>
      </w:r>
      <w:r w:rsidRPr="009668E2">
        <w:rPr>
          <w:rFonts w:ascii="Garamond" w:hAnsi="Garamond"/>
        </w:rPr>
        <w:fldChar w:fldCharType="separate"/>
      </w:r>
      <w:r w:rsidRPr="009668E2">
        <w:rPr>
          <w:rFonts w:ascii="Garamond" w:hAnsi="Garamond"/>
          <w:noProof/>
        </w:rPr>
        <w:t xml:space="preserve">Auliya Ridwan, "The Dynamics of Pesantren Leadership from the Dutch Ethical Policy to the Reformation Periods," </w:t>
      </w:r>
      <w:r w:rsidRPr="009668E2">
        <w:rPr>
          <w:rFonts w:ascii="Garamond" w:hAnsi="Garamond"/>
          <w:i/>
          <w:noProof/>
        </w:rPr>
        <w:t>Epistemé: Jurnal Pengembangan Ilmu Keislaman</w:t>
      </w:r>
      <w:r w:rsidRPr="009668E2">
        <w:rPr>
          <w:rFonts w:ascii="Garamond" w:hAnsi="Garamond"/>
          <w:noProof/>
        </w:rPr>
        <w:t xml:space="preserve"> 15, no. 02 (2020), http://dx.doi.org/https://doi.org/10.21274/epis.2020.15.02.365-400.</w:t>
      </w:r>
      <w:r w:rsidRPr="009668E2">
        <w:rPr>
          <w:rFonts w:ascii="Garamond" w:hAnsi="Garamond"/>
        </w:rPr>
        <w:fldChar w:fldCharType="end"/>
      </w:r>
    </w:p>
  </w:footnote>
  <w:footnote w:id="3">
    <w:p w14:paraId="153C2C32" w14:textId="5FD7DBD9" w:rsidR="000B3929" w:rsidRPr="009668E2" w:rsidRDefault="000B3929"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43FDE" w:rsidRPr="009668E2">
        <w:rPr>
          <w:rFonts w:ascii="Garamond" w:hAnsi="Garamond"/>
        </w:rPr>
        <w:fldChar w:fldCharType="begin"/>
      </w:r>
      <w:r w:rsidR="00643FDE" w:rsidRPr="009668E2">
        <w:rPr>
          <w:rFonts w:ascii="Garamond" w:hAnsi="Garamond"/>
        </w:rPr>
        <w:instrText xml:space="preserve"> ADDIN EN.CITE &lt;EndNote&gt;&lt;Cite&gt;&lt;Author&gt;ikhwan&lt;/Author&gt;&lt;Year&gt;2024&lt;/Year&gt;&lt;RecNum&gt;1726&lt;/RecNum&gt;&lt;DisplayText&gt;Nur ikhwan, &amp;quot;Dakwah Dan Peran Pembelajaran Bahasa Arab Dalam Perubahan Sosial,&amp;quot; &lt;style face="italic"&gt;Jkomdis Jurnal Ilmu Komunikasi Dan Media Sosial&lt;/style&gt;  (2024), http://dx.doi.org/10.47233/jkomdis.v4i1.1430.&lt;/DisplayText&gt;&lt;record&gt;&lt;rec-number&gt;1726&lt;/rec-number&gt;&lt;foreign-keys&gt;&lt;key app="EN" db-id="wrez22watfrfanevx2zx2wps9sefrp09axse" timestamp="1714904348"&gt;1726&lt;/key&gt;&lt;/foreign-keys&gt;&lt;ref-type name="Journal Article"&gt;17&lt;/ref-type&gt;&lt;contributors&gt;&lt;authors&gt;&lt;author&gt;ikhwan, Nur&lt;/author&gt;&lt;/authors&gt;&lt;/contributors&gt;&lt;titles&gt;&lt;title&gt;Dakwah Dan Peran Pembelajaran Bahasa Arab Dalam Perubahan Sosial&lt;/title&gt;&lt;secondary-title&gt;Jkomdis Jurnal Ilmu Komunikasi Dan Media Sosial&lt;/secondary-title&gt;&lt;/titles&gt;&lt;periodical&gt;&lt;full-title&gt;Jkomdis Jurnal Ilmu Komunikasi Dan Media Sosial&lt;/full-title&gt;&lt;/periodical&gt;&lt;dates&gt;&lt;year&gt;2024&lt;/year&gt;&lt;/dates&gt;&lt;urls&gt;&lt;/urls&gt;&lt;electronic-resource-num&gt;10.47233/jkomdis.v4i1.1430&lt;/electronic-resource-num&gt;&lt;/record&gt;&lt;/Cite&gt;&lt;/EndNote&gt;</w:instrText>
      </w:r>
      <w:r w:rsidR="00643FDE" w:rsidRPr="009668E2">
        <w:rPr>
          <w:rFonts w:ascii="Garamond" w:hAnsi="Garamond"/>
        </w:rPr>
        <w:fldChar w:fldCharType="separate"/>
      </w:r>
      <w:r w:rsidR="00643FDE" w:rsidRPr="009668E2">
        <w:rPr>
          <w:rFonts w:ascii="Garamond" w:hAnsi="Garamond"/>
          <w:noProof/>
        </w:rPr>
        <w:t xml:space="preserve">Nur ikhwan, "Dakwah Dan Peran Pembelajaran Bahasa Arab Dalam Perubahan Sosial," </w:t>
      </w:r>
      <w:r w:rsidR="00643FDE" w:rsidRPr="009668E2">
        <w:rPr>
          <w:rFonts w:ascii="Garamond" w:hAnsi="Garamond"/>
          <w:i/>
          <w:noProof/>
        </w:rPr>
        <w:t>Jkomdis Jurnal Ilmu Komunikasi Dan Media Sosial</w:t>
      </w:r>
      <w:r w:rsidR="00643FDE" w:rsidRPr="009668E2">
        <w:rPr>
          <w:rFonts w:ascii="Garamond" w:hAnsi="Garamond"/>
          <w:noProof/>
        </w:rPr>
        <w:t xml:space="preserve">  (2024), http://dx.doi.org/10.47233/jkomdis.v4i1.1430.</w:t>
      </w:r>
      <w:r w:rsidR="00643FDE" w:rsidRPr="009668E2">
        <w:rPr>
          <w:rFonts w:ascii="Garamond" w:hAnsi="Garamond"/>
        </w:rPr>
        <w:fldChar w:fldCharType="end"/>
      </w:r>
    </w:p>
  </w:footnote>
  <w:footnote w:id="4">
    <w:p w14:paraId="5167DF74" w14:textId="3E96D4C2" w:rsidR="000B3929" w:rsidRPr="009668E2" w:rsidRDefault="000B3929"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43FDE" w:rsidRPr="009668E2">
        <w:rPr>
          <w:rFonts w:ascii="Garamond" w:hAnsi="Garamond"/>
        </w:rPr>
        <w:fldChar w:fldCharType="begin"/>
      </w:r>
      <w:r w:rsidR="002D4102" w:rsidRPr="009668E2">
        <w:rPr>
          <w:rFonts w:ascii="Garamond" w:hAnsi="Garamond"/>
        </w:rPr>
        <w:instrText xml:space="preserve"> ADDIN EN.CITE &lt;EndNote&gt;&lt;Cite&gt;&lt;Author&gt;Hopkins&lt;/Author&gt;&lt;Year&gt;2007&lt;/Year&gt;&lt;RecNum&gt;1727&lt;/RecNum&gt;&lt;DisplayText&gt;Nick Hopkins, Ronni M. Greenwood, and Maisha Birchall, &amp;quot;Minority Understandings of the Dynamics to Intergroup Contact Encounters: British Muslims&amp;apos; (Sometimes Ambivalent) Experiences of Representing Their Group to Others,&amp;quot; &lt;style face="italic"&gt;South African Journal of Psychology&lt;/style&gt;  (2007), http://dx.doi.org/10.1177/008124630703700402.&lt;/DisplayText&gt;&lt;record&gt;&lt;rec-number&gt;1727&lt;/rec-number&gt;&lt;foreign-keys&gt;&lt;key app="EN" db-id="wrez22watfrfanevx2zx2wps9sefrp09axse" timestamp="1714904348"&gt;1727&lt;/key&gt;&lt;/foreign-keys&gt;&lt;ref-type name="Journal Article"&gt;17&lt;/ref-type&gt;&lt;contributors&gt;&lt;authors&gt;&lt;author&gt;Hopkins, Nick&lt;/author&gt;&lt;author&gt;Greenwood, Ronni M.&lt;/author&gt;&lt;author&gt;Birchall, Maisha&lt;/author&gt;&lt;/authors&gt;&lt;/contributors&gt;&lt;titles&gt;&lt;title&gt;Minority Understandings of the Dynamics to Intergroup Contact Encounters: British Muslims&amp;apos; (Sometimes Ambivalent) Experiences of Representing Their Group to Others&lt;/title&gt;&lt;secondary-title&gt;South African Journal of Psychology&lt;/secondary-title&gt;&lt;/titles&gt;&lt;periodical&gt;&lt;full-title&gt;South African Journal of Psychology&lt;/full-title&gt;&lt;/periodical&gt;&lt;dates&gt;&lt;year&gt;2007&lt;/year&gt;&lt;/dates&gt;&lt;urls&gt;&lt;/urls&gt;&lt;electronic-resource-num&gt;10.1177/008124630703700402&lt;/electronic-resource-num&gt;&lt;/record&gt;&lt;/Cite&gt;&lt;/EndNote&gt;</w:instrText>
      </w:r>
      <w:r w:rsidR="00643FDE" w:rsidRPr="009668E2">
        <w:rPr>
          <w:rFonts w:ascii="Garamond" w:hAnsi="Garamond"/>
        </w:rPr>
        <w:fldChar w:fldCharType="separate"/>
      </w:r>
      <w:r w:rsidR="002D4102" w:rsidRPr="009668E2">
        <w:rPr>
          <w:rFonts w:ascii="Garamond" w:hAnsi="Garamond"/>
          <w:noProof/>
        </w:rPr>
        <w:t xml:space="preserve">Nick Hopkins, Ronni M. Greenwood, and Maisha Birchall, "Minority Understandings of the Dynamics to Intergroup Contact Encounters: British Muslims' (Sometimes Ambivalent) Experiences of Representing Their Group to Others," </w:t>
      </w:r>
      <w:r w:rsidR="002D4102" w:rsidRPr="009668E2">
        <w:rPr>
          <w:rFonts w:ascii="Garamond" w:hAnsi="Garamond"/>
          <w:i/>
          <w:noProof/>
        </w:rPr>
        <w:t>South African Journal of Psychology</w:t>
      </w:r>
      <w:r w:rsidR="002D4102" w:rsidRPr="009668E2">
        <w:rPr>
          <w:rFonts w:ascii="Garamond" w:hAnsi="Garamond"/>
          <w:noProof/>
        </w:rPr>
        <w:t xml:space="preserve">  (2007), http://dx.doi.org/10.1177/008124630703700402.</w:t>
      </w:r>
      <w:r w:rsidR="00643FDE" w:rsidRPr="009668E2">
        <w:rPr>
          <w:rFonts w:ascii="Garamond" w:hAnsi="Garamond"/>
        </w:rPr>
        <w:fldChar w:fldCharType="end"/>
      </w:r>
    </w:p>
  </w:footnote>
  <w:footnote w:id="5">
    <w:p w14:paraId="374544CA" w14:textId="1F9CCE0D" w:rsidR="000B3929" w:rsidRPr="009668E2" w:rsidRDefault="000B3929"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43FDE" w:rsidRPr="009668E2">
        <w:rPr>
          <w:rFonts w:ascii="Garamond" w:hAnsi="Garamond"/>
        </w:rPr>
        <w:fldChar w:fldCharType="begin"/>
      </w:r>
      <w:r w:rsidR="00643FDE" w:rsidRPr="009668E2">
        <w:rPr>
          <w:rFonts w:ascii="Garamond" w:hAnsi="Garamond"/>
        </w:rPr>
        <w:instrText xml:space="preserve"> ADDIN EN.CITE &lt;EndNote&gt;&lt;Cite&gt;&lt;Author&gt;Hariyatoni&lt;/Author&gt;&lt;Year&gt;2018&lt;/Year&gt;&lt;RecNum&gt;1729&lt;/RecNum&gt;&lt;DisplayText&gt;Hariyatoni Hariyatoni and Hasep Saputra, &amp;quot;The Mapping of Dakwah Potencies in Supporting Rejang Lebong to Be a Religious Regency,&amp;quot; &lt;style face="italic"&gt;Ajis Academic Journal of Islamic Studies&lt;/style&gt;  (2018), http://dx.doi.org/10.29240/ajis.v3i1.485.&lt;/DisplayText&gt;&lt;record&gt;&lt;rec-number&gt;1729&lt;/rec-number&gt;&lt;foreign-keys&gt;&lt;key app="EN" db-id="wrez22watfrfanevx2zx2wps9sefrp09axse" timestamp="1714904348"&gt;1729&lt;/key&gt;&lt;/foreign-keys&gt;&lt;ref-type name="Journal Article"&gt;17&lt;/ref-type&gt;&lt;contributors&gt;&lt;authors&gt;&lt;author&gt;Hariyatoni, Hariyatoni&lt;/author&gt;&lt;author&gt;Saputra, Hasep&lt;/author&gt;&lt;/authors&gt;&lt;/contributors&gt;&lt;titles&gt;&lt;title&gt;The Mapping of Dakwah Potencies in Supporting Rejang Lebong to Be a Religious Regency&lt;/title&gt;&lt;secondary-title&gt;Ajis Academic Journal of Islamic Studies&lt;/secondary-title&gt;&lt;/titles&gt;&lt;periodical&gt;&lt;full-title&gt;Ajis Academic Journal of Islamic Studies&lt;/full-title&gt;&lt;/periodical&gt;&lt;dates&gt;&lt;year&gt;2018&lt;/year&gt;&lt;/dates&gt;&lt;urls&gt;&lt;/urls&gt;&lt;electronic-resource-num&gt;10.29240/ajis.v3i1.485&lt;/electronic-resource-num&gt;&lt;/record&gt;&lt;/Cite&gt;&lt;/EndNote&gt;</w:instrText>
      </w:r>
      <w:r w:rsidR="00643FDE" w:rsidRPr="009668E2">
        <w:rPr>
          <w:rFonts w:ascii="Garamond" w:hAnsi="Garamond"/>
        </w:rPr>
        <w:fldChar w:fldCharType="separate"/>
      </w:r>
      <w:r w:rsidR="00643FDE" w:rsidRPr="009668E2">
        <w:rPr>
          <w:rFonts w:ascii="Garamond" w:hAnsi="Garamond"/>
          <w:noProof/>
        </w:rPr>
        <w:t xml:space="preserve">Hariyatoni Hariyatoni and Hasep Saputra, "The Mapping of Dakwah Potencies in Supporting Rejang Lebong to Be a Religious Regency," </w:t>
      </w:r>
      <w:r w:rsidR="00643FDE" w:rsidRPr="009668E2">
        <w:rPr>
          <w:rFonts w:ascii="Garamond" w:hAnsi="Garamond"/>
          <w:i/>
          <w:noProof/>
        </w:rPr>
        <w:t>Ajis Academic Journal of Islamic Studies</w:t>
      </w:r>
      <w:r w:rsidR="00643FDE" w:rsidRPr="009668E2">
        <w:rPr>
          <w:rFonts w:ascii="Garamond" w:hAnsi="Garamond"/>
          <w:noProof/>
        </w:rPr>
        <w:t xml:space="preserve">  (2018), http://dx.doi.org/10.29240/ajis.v3i1.485.</w:t>
      </w:r>
      <w:r w:rsidR="00643FDE" w:rsidRPr="009668E2">
        <w:rPr>
          <w:rFonts w:ascii="Garamond" w:hAnsi="Garamond"/>
        </w:rPr>
        <w:fldChar w:fldCharType="end"/>
      </w:r>
    </w:p>
  </w:footnote>
  <w:footnote w:id="6">
    <w:p w14:paraId="1020CD8F" w14:textId="4BFE36A5" w:rsidR="000B3929" w:rsidRPr="009668E2" w:rsidRDefault="000B3929"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43FDE" w:rsidRPr="009668E2">
        <w:rPr>
          <w:rFonts w:ascii="Garamond" w:hAnsi="Garamond"/>
        </w:rPr>
        <w:fldChar w:fldCharType="begin"/>
      </w:r>
      <w:r w:rsidR="00643FDE" w:rsidRPr="009668E2">
        <w:rPr>
          <w:rFonts w:ascii="Garamond" w:hAnsi="Garamond"/>
        </w:rPr>
        <w:instrText xml:space="preserve"> ADDIN EN.CITE &lt;EndNote&gt;&lt;Cite&gt;&lt;Author&gt;Gunawan&lt;/Author&gt;&lt;Year&gt;2022&lt;/Year&gt;&lt;RecNum&gt;1728&lt;/RecNum&gt;&lt;DisplayText&gt;Reka Gunawan and Abdul Muhid, &amp;quot;The Strategy of Da’wah Bil Hal Communication: Literature Review,&amp;quot; &lt;style face="italic"&gt;Komunike&lt;/style&gt;  (2022), http://dx.doi.org/10.20414/jurkom.v14i1.5270.&lt;/DisplayText&gt;&lt;record&gt;&lt;rec-number&gt;1728&lt;/rec-number&gt;&lt;foreign-keys&gt;&lt;key app="EN" db-id="wrez22watfrfanevx2zx2wps9sefrp09axse" timestamp="1714904348"&gt;1728&lt;/key&gt;&lt;/foreign-keys&gt;&lt;ref-type name="Journal Article"&gt;17&lt;/ref-type&gt;&lt;contributors&gt;&lt;authors&gt;&lt;author&gt;Gunawan, Reka&lt;/author&gt;&lt;author&gt;Muhid, Abdul&lt;/author&gt;&lt;/authors&gt;&lt;/contributors&gt;&lt;titles&gt;&lt;title&gt;The Strategy of Da’wah Bil Hal Communication: Literature Review&lt;/title&gt;&lt;secondary-title&gt;Komunike&lt;/secondary-title&gt;&lt;/titles&gt;&lt;periodical&gt;&lt;full-title&gt;Komunike&lt;/full-title&gt;&lt;/periodical&gt;&lt;dates&gt;&lt;year&gt;2022&lt;/year&gt;&lt;/dates&gt;&lt;urls&gt;&lt;/urls&gt;&lt;electronic-resource-num&gt;10.20414/jurkom.v14i1.5270&lt;/electronic-resource-num&gt;&lt;/record&gt;&lt;/Cite&gt;&lt;/EndNote&gt;</w:instrText>
      </w:r>
      <w:r w:rsidR="00643FDE" w:rsidRPr="009668E2">
        <w:rPr>
          <w:rFonts w:ascii="Garamond" w:hAnsi="Garamond"/>
        </w:rPr>
        <w:fldChar w:fldCharType="separate"/>
      </w:r>
      <w:r w:rsidR="00643FDE" w:rsidRPr="009668E2">
        <w:rPr>
          <w:rFonts w:ascii="Garamond" w:hAnsi="Garamond"/>
          <w:noProof/>
        </w:rPr>
        <w:t xml:space="preserve">Reka Gunawan and Abdul Muhid, "The Strategy of </w:t>
      </w:r>
      <w:r w:rsidR="00E25CF5" w:rsidRPr="009668E2">
        <w:rPr>
          <w:rFonts w:ascii="Garamond" w:hAnsi="Garamond"/>
          <w:noProof/>
        </w:rPr>
        <w:t>Da</w:t>
      </w:r>
      <w:r w:rsidR="002D4102" w:rsidRPr="009668E2">
        <w:rPr>
          <w:rFonts w:ascii="Garamond" w:hAnsi="Garamond"/>
          <w:noProof/>
        </w:rPr>
        <w:t>’</w:t>
      </w:r>
      <w:r w:rsidR="00E25CF5" w:rsidRPr="009668E2">
        <w:rPr>
          <w:rFonts w:ascii="Garamond" w:hAnsi="Garamond"/>
          <w:noProof/>
        </w:rPr>
        <w:t>wah</w:t>
      </w:r>
      <w:r w:rsidR="00643FDE" w:rsidRPr="009668E2">
        <w:rPr>
          <w:rFonts w:ascii="Garamond" w:hAnsi="Garamond"/>
          <w:noProof/>
        </w:rPr>
        <w:t xml:space="preserve"> Bil Hal Communication: Literature Review," </w:t>
      </w:r>
      <w:r w:rsidR="00643FDE" w:rsidRPr="009668E2">
        <w:rPr>
          <w:rFonts w:ascii="Garamond" w:hAnsi="Garamond"/>
          <w:i/>
          <w:noProof/>
        </w:rPr>
        <w:t>Komunike</w:t>
      </w:r>
      <w:r w:rsidR="00643FDE" w:rsidRPr="009668E2">
        <w:rPr>
          <w:rFonts w:ascii="Garamond" w:hAnsi="Garamond"/>
          <w:noProof/>
        </w:rPr>
        <w:t xml:space="preserve">  (2022), http://dx.doi.org/10</w:t>
      </w:r>
      <w:r w:rsidR="001B36CC">
        <w:rPr>
          <w:rFonts w:ascii="Garamond" w:hAnsi="Garamond"/>
          <w:noProof/>
        </w:rPr>
        <w:softHyphen/>
      </w:r>
      <w:r w:rsidR="00643FDE" w:rsidRPr="009668E2">
        <w:rPr>
          <w:rFonts w:ascii="Garamond" w:hAnsi="Garamond"/>
          <w:noProof/>
        </w:rPr>
        <w:t>.20414/jurkom.v14i1.5270.</w:t>
      </w:r>
      <w:r w:rsidR="00643FDE" w:rsidRPr="009668E2">
        <w:rPr>
          <w:rFonts w:ascii="Garamond" w:hAnsi="Garamond"/>
        </w:rPr>
        <w:fldChar w:fldCharType="end"/>
      </w:r>
    </w:p>
  </w:footnote>
  <w:footnote w:id="7">
    <w:p w14:paraId="4C9A63C4" w14:textId="22A88F42" w:rsidR="000B3929" w:rsidRPr="009668E2" w:rsidRDefault="000B3929"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43FDE" w:rsidRPr="009668E2">
        <w:rPr>
          <w:rFonts w:ascii="Garamond" w:hAnsi="Garamond"/>
        </w:rPr>
        <w:fldChar w:fldCharType="begin"/>
      </w:r>
      <w:r w:rsidR="00643FDE" w:rsidRPr="009668E2">
        <w:rPr>
          <w:rFonts w:ascii="Garamond" w:hAnsi="Garamond"/>
        </w:rPr>
        <w:instrText xml:space="preserve"> ADDIN EN.CITE &lt;EndNote&gt;&lt;Cite&gt;&lt;Author&gt;Muhammad&lt;/Author&gt;&lt;Year&gt;2021&lt;/Year&gt;&lt;RecNum&gt;1730&lt;/RecNum&gt;&lt;DisplayText&gt;Helmi Muhammad and Niki P. Sari, &amp;quot;Implementation of the Synergy of Transformational-Servant Leadership Character in Islamic Boarding School,&amp;quot; &lt;style face="italic"&gt;Journal of Leadership in Organizations&lt;/style&gt;  (2021), http://dx.doi.org/10.22146/jlo.65642.&lt;/DisplayText&gt;&lt;record&gt;&lt;rec-number&gt;1730&lt;/rec-number&gt;&lt;foreign-keys&gt;&lt;key app="EN" db-id="wrez22watfrfanevx2zx2wps9sefrp09axse" timestamp="1714904348"&gt;1730&lt;/key&gt;&lt;/foreign-keys&gt;&lt;ref-type name="Journal Article"&gt;17&lt;/ref-type&gt;&lt;contributors&gt;&lt;authors&gt;&lt;author&gt;Muhammad, Helmi&lt;/author&gt;&lt;author&gt;Sari, Niki P.&lt;/author&gt;&lt;/authors&gt;&lt;/contributors&gt;&lt;titles&gt;&lt;title&gt;Implementation of the Synergy of Transformational-Servant Leadership Character in Islamic Boarding School&lt;/title&gt;&lt;secondary-title&gt;Journal of Leadership in Organizations&lt;/secondary-title&gt;&lt;/titles&gt;&lt;periodical&gt;&lt;full-title&gt;Journal of Leadership in Organizations&lt;/full-title&gt;&lt;/periodical&gt;&lt;dates&gt;&lt;year&gt;2021&lt;/year&gt;&lt;/dates&gt;&lt;urls&gt;&lt;/urls&gt;&lt;electronic-resource-num&gt;10.22146/jlo.65642&lt;/electronic-resource-num&gt;&lt;/record&gt;&lt;/Cite&gt;&lt;/EndNote&gt;</w:instrText>
      </w:r>
      <w:r w:rsidR="00643FDE" w:rsidRPr="009668E2">
        <w:rPr>
          <w:rFonts w:ascii="Garamond" w:hAnsi="Garamond"/>
        </w:rPr>
        <w:fldChar w:fldCharType="separate"/>
      </w:r>
      <w:r w:rsidR="00643FDE" w:rsidRPr="009668E2">
        <w:rPr>
          <w:rFonts w:ascii="Garamond" w:hAnsi="Garamond"/>
          <w:noProof/>
        </w:rPr>
        <w:t xml:space="preserve">Helmi Muhammad and Niki P. Sari, "Implementation of the Synergy of Transformational-Servant Leadership Character in Islamic Boarding School," </w:t>
      </w:r>
      <w:r w:rsidR="00643FDE" w:rsidRPr="009668E2">
        <w:rPr>
          <w:rFonts w:ascii="Garamond" w:hAnsi="Garamond"/>
          <w:i/>
          <w:noProof/>
        </w:rPr>
        <w:t>Journal of Leadership in Organizations</w:t>
      </w:r>
      <w:r w:rsidR="00643FDE" w:rsidRPr="009668E2">
        <w:rPr>
          <w:rFonts w:ascii="Garamond" w:hAnsi="Garamond"/>
          <w:noProof/>
        </w:rPr>
        <w:t xml:space="preserve">  (2021), http://dx.doi.org/10.22146/jlo.65642.</w:t>
      </w:r>
      <w:r w:rsidR="00643FDE" w:rsidRPr="009668E2">
        <w:rPr>
          <w:rFonts w:ascii="Garamond" w:hAnsi="Garamond"/>
        </w:rPr>
        <w:fldChar w:fldCharType="end"/>
      </w:r>
    </w:p>
  </w:footnote>
  <w:footnote w:id="8">
    <w:p w14:paraId="7169EA98" w14:textId="72832351"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43FDE" w:rsidRPr="009668E2">
        <w:rPr>
          <w:rFonts w:ascii="Garamond" w:hAnsi="Garamond"/>
        </w:rPr>
        <w:fldChar w:fldCharType="begin"/>
      </w:r>
      <w:r w:rsidR="00643FDE" w:rsidRPr="009668E2">
        <w:rPr>
          <w:rFonts w:ascii="Garamond" w:hAnsi="Garamond"/>
        </w:rPr>
        <w:instrText xml:space="preserve"> ADDIN EN.CITE &lt;EndNote&gt;&lt;Cite&gt;&lt;Author&gt;Aziz&lt;/Author&gt;&lt;Year&gt;2022&lt;/Year&gt;&lt;RecNum&gt;1731&lt;/RecNum&gt;&lt;DisplayText&gt;Muhajir S. Aziz et al., &amp;quot;Systematic Review: Use of Digital Media as a Means of Communication of Da’wah,&amp;quot; &lt;style face="italic"&gt;Jurnal Spektrum Komunikasi&lt;/style&gt;  (2022), http://dx.doi.org/10.37826/spektrum.v10i2.324.&lt;/DisplayText&gt;&lt;record&gt;&lt;rec-number&gt;1731&lt;/rec-number&gt;&lt;foreign-keys&gt;&lt;key app="EN" db-id="wrez22watfrfanevx2zx2wps9sefrp09axse" timestamp="1714904348"&gt;1731&lt;/key&gt;&lt;/foreign-keys&gt;&lt;ref-type name="Journal Article"&gt;17&lt;/ref-type&gt;&lt;contributors&gt;&lt;authors&gt;&lt;author&gt;Aziz, Muhajir S.&lt;/author&gt;&lt;author&gt;Indrasari, Meithiana&lt;/author&gt;&lt;author&gt;Pamuji, Eko&lt;/author&gt;&lt;author&gt;Wulandari, None E. R.&lt;/author&gt;&lt;author&gt;Prasnowo, M. A.&lt;/author&gt;&lt;/authors&gt;&lt;/contributors&gt;&lt;titles&gt;&lt;title&gt;Systematic Review: Use of Digital Media as a Means of Communication of Da’wah&lt;/title&gt;&lt;secondary-title&gt;Jurnal Spektrum Komunikasi&lt;/secondary-title&gt;&lt;/titles&gt;&lt;periodical&gt;&lt;full-title&gt;Jurnal Spektrum Komunikasi&lt;/full-title&gt;&lt;/periodical&gt;&lt;dates&gt;&lt;year&gt;2022&lt;/year&gt;&lt;/dates&gt;&lt;urls&gt;&lt;/urls&gt;&lt;electronic-resource-num&gt;10.37826/spektrum.v10i2.324&lt;/electronic-resource-num&gt;&lt;/record&gt;&lt;/Cite&gt;&lt;/EndNote&gt;</w:instrText>
      </w:r>
      <w:r w:rsidR="00643FDE" w:rsidRPr="009668E2">
        <w:rPr>
          <w:rFonts w:ascii="Garamond" w:hAnsi="Garamond"/>
        </w:rPr>
        <w:fldChar w:fldCharType="separate"/>
      </w:r>
      <w:r w:rsidR="00643FDE" w:rsidRPr="009668E2">
        <w:rPr>
          <w:rFonts w:ascii="Garamond" w:hAnsi="Garamond"/>
          <w:noProof/>
        </w:rPr>
        <w:t xml:space="preserve">Muhajir S. Aziz et al., "Systematic Review: Use of Digital Media as a Means of Communication of </w:t>
      </w:r>
      <w:r w:rsidR="00E25CF5" w:rsidRPr="009668E2">
        <w:rPr>
          <w:rFonts w:ascii="Garamond" w:hAnsi="Garamond"/>
          <w:noProof/>
        </w:rPr>
        <w:t>Da</w:t>
      </w:r>
      <w:r w:rsidR="002D4102" w:rsidRPr="009668E2">
        <w:rPr>
          <w:rFonts w:ascii="Garamond" w:hAnsi="Garamond"/>
          <w:noProof/>
        </w:rPr>
        <w:t>’</w:t>
      </w:r>
      <w:r w:rsidR="00E25CF5" w:rsidRPr="009668E2">
        <w:rPr>
          <w:rFonts w:ascii="Garamond" w:hAnsi="Garamond"/>
          <w:noProof/>
        </w:rPr>
        <w:t>wah</w:t>
      </w:r>
      <w:r w:rsidR="00643FDE" w:rsidRPr="009668E2">
        <w:rPr>
          <w:rFonts w:ascii="Garamond" w:hAnsi="Garamond"/>
          <w:noProof/>
        </w:rPr>
        <w:t xml:space="preserve">," </w:t>
      </w:r>
      <w:r w:rsidR="00643FDE" w:rsidRPr="009668E2">
        <w:rPr>
          <w:rFonts w:ascii="Garamond" w:hAnsi="Garamond"/>
          <w:i/>
          <w:noProof/>
        </w:rPr>
        <w:t>Jurnal Spektrum Komunikasi</w:t>
      </w:r>
      <w:r w:rsidR="00643FDE" w:rsidRPr="009668E2">
        <w:rPr>
          <w:rFonts w:ascii="Garamond" w:hAnsi="Garamond"/>
          <w:noProof/>
        </w:rPr>
        <w:t xml:space="preserve">  (2022), http://dx.doi.org/</w:t>
      </w:r>
      <w:r w:rsidR="001B36CC">
        <w:rPr>
          <w:rFonts w:ascii="Garamond" w:hAnsi="Garamond"/>
          <w:noProof/>
        </w:rPr>
        <w:softHyphen/>
      </w:r>
      <w:r w:rsidR="00643FDE" w:rsidRPr="009668E2">
        <w:rPr>
          <w:rFonts w:ascii="Garamond" w:hAnsi="Garamond"/>
          <w:noProof/>
        </w:rPr>
        <w:t>10.37826/spektrum.v10i2.324.</w:t>
      </w:r>
      <w:r w:rsidR="00643FDE" w:rsidRPr="009668E2">
        <w:rPr>
          <w:rFonts w:ascii="Garamond" w:hAnsi="Garamond"/>
        </w:rPr>
        <w:fldChar w:fldCharType="end"/>
      </w:r>
    </w:p>
  </w:footnote>
  <w:footnote w:id="9">
    <w:p w14:paraId="2D708E72" w14:textId="5A61BF7F"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43FDE" w:rsidRPr="009668E2">
        <w:rPr>
          <w:rFonts w:ascii="Garamond" w:hAnsi="Garamond"/>
        </w:rPr>
        <w:fldChar w:fldCharType="begin"/>
      </w:r>
      <w:r w:rsidR="00643FDE" w:rsidRPr="009668E2">
        <w:rPr>
          <w:rFonts w:ascii="Garamond" w:hAnsi="Garamond"/>
        </w:rPr>
        <w:instrText xml:space="preserve"> ADDIN EN.CITE &lt;EndNote&gt;&lt;Cite&gt;&lt;Author&gt;Octaviani&lt;/Author&gt;&lt;Year&gt;2022&lt;/Year&gt;&lt;RecNum&gt;1732&lt;/RecNum&gt;&lt;DisplayText&gt;Adelia Octaviani, &amp;quot;From Cafe to the Mosque: The Construction of Dakwah Digital Communication of Shift Community,&amp;quot; &lt;style face="italic"&gt;Dimas Jurnal Pemikiran Agama Untuk Pemberdayaan&lt;/style&gt;  (2022), http://dx.doi.org/10.21580/dms.2021.212.9429.&lt;/DisplayText&gt;&lt;record&gt;&lt;rec-number&gt;1732&lt;/rec-number&gt;&lt;foreign-keys&gt;&lt;key app="EN" db-id="wrez22watfrfanevx2zx2wps9sefrp09axse" timestamp="1714904348"&gt;1732&lt;/key&gt;&lt;/foreign-keys&gt;&lt;ref-type name="Journal Article"&gt;17&lt;/ref-type&gt;&lt;contributors&gt;&lt;authors&gt;&lt;author&gt;Octaviani, Adelia&lt;/author&gt;&lt;/authors&gt;&lt;/contributors&gt;&lt;titles&gt;&lt;title&gt;From Cafe to the Mosque: The Construction of Dakwah Digital Communication of Shift Community&lt;/title&gt;&lt;secondary-title&gt;Dimas Jurnal Pemikiran Agama Untuk Pemberdayaan&lt;/secondary-title&gt;&lt;/titles&gt;&lt;periodical&gt;&lt;full-title&gt;Dimas Jurnal Pemikiran Agama Untuk Pemberdayaan&lt;/full-title&gt;&lt;/periodical&gt;&lt;dates&gt;&lt;year&gt;2022&lt;/year&gt;&lt;/dates&gt;&lt;urls&gt;&lt;/urls&gt;&lt;electronic-resource-num&gt;10.21580/dms.2021.212.9429&lt;/electronic-resource-num&gt;&lt;/record&gt;&lt;/Cite&gt;&lt;/EndNote&gt;</w:instrText>
      </w:r>
      <w:r w:rsidR="00643FDE" w:rsidRPr="009668E2">
        <w:rPr>
          <w:rFonts w:ascii="Garamond" w:hAnsi="Garamond"/>
        </w:rPr>
        <w:fldChar w:fldCharType="separate"/>
      </w:r>
      <w:r w:rsidR="00643FDE" w:rsidRPr="009668E2">
        <w:rPr>
          <w:rFonts w:ascii="Garamond" w:hAnsi="Garamond"/>
          <w:noProof/>
        </w:rPr>
        <w:t xml:space="preserve">Adelia Octaviani, "From Cafe to the Mosque: The Construction of Dakwah Digital Communication of Shift Community," </w:t>
      </w:r>
      <w:r w:rsidR="00643FDE" w:rsidRPr="009668E2">
        <w:rPr>
          <w:rFonts w:ascii="Garamond" w:hAnsi="Garamond"/>
          <w:i/>
          <w:noProof/>
        </w:rPr>
        <w:t>Dimas Jurnal Pemikiran Agama Untuk Pemberdayaan</w:t>
      </w:r>
      <w:r w:rsidR="00643FDE" w:rsidRPr="009668E2">
        <w:rPr>
          <w:rFonts w:ascii="Garamond" w:hAnsi="Garamond"/>
          <w:noProof/>
        </w:rPr>
        <w:t xml:space="preserve">  (2022), http://dx.doi.org/10.21580/dms.2021.212.9429.</w:t>
      </w:r>
      <w:r w:rsidR="00643FDE" w:rsidRPr="009668E2">
        <w:rPr>
          <w:rFonts w:ascii="Garamond" w:hAnsi="Garamond"/>
        </w:rPr>
        <w:fldChar w:fldCharType="end"/>
      </w:r>
    </w:p>
  </w:footnote>
  <w:footnote w:id="10">
    <w:p w14:paraId="335B1007" w14:textId="06123779"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43FDE" w:rsidRPr="009668E2">
        <w:rPr>
          <w:rFonts w:ascii="Garamond" w:hAnsi="Garamond"/>
        </w:rPr>
        <w:fldChar w:fldCharType="begin"/>
      </w:r>
      <w:r w:rsidR="00643FDE" w:rsidRPr="009668E2">
        <w:rPr>
          <w:rFonts w:ascii="Garamond" w:hAnsi="Garamond"/>
        </w:rPr>
        <w:instrText xml:space="preserve"> ADDIN EN.CITE &lt;EndNote&gt;&lt;Cite&gt;&lt;Author&gt;Tyson&lt;/Author&gt;&lt;Year&gt;2020&lt;/Year&gt;&lt;RecNum&gt;1733&lt;/RecNum&gt;&lt;DisplayText&gt;Adam Tyson, &amp;quot;Blasphemy and Judicial Legitimacy in Indonesia,&amp;quot; &lt;style face="italic"&gt;Politics and Religion&lt;/style&gt;  (2020), http://dx.doi.org/10.1017/s1755048319000427.&lt;/DisplayText&gt;&lt;record&gt;&lt;rec-number&gt;1733&lt;/rec-number&gt;&lt;foreign-keys&gt;&lt;key app="EN" db-id="wrez22watfrfanevx2zx2wps9sefrp09axse" timestamp="1714904348"&gt;1733&lt;/key&gt;&lt;/foreign-keys&gt;&lt;ref-type name="Journal Article"&gt;17&lt;/ref-type&gt;&lt;contributors&gt;&lt;authors&gt;&lt;author&gt;Tyson, Adam&lt;/author&gt;&lt;/authors&gt;&lt;/contributors&gt;&lt;titles&gt;&lt;title&gt;Blasphemy and Judicial Legitimacy in Indonesia&lt;/title&gt;&lt;secondary-title&gt;Politics and Religion&lt;/secondary-title&gt;&lt;/titles&gt;&lt;periodical&gt;&lt;full-title&gt;Politics and Religion&lt;/full-title&gt;&lt;/periodical&gt;&lt;dates&gt;&lt;year&gt;2020&lt;/year&gt;&lt;/dates&gt;&lt;urls&gt;&lt;/urls&gt;&lt;electronic-resource-num&gt;10.1017/s1755048319000427&lt;/electronic-resource-num&gt;&lt;/record&gt;&lt;/Cite&gt;&lt;/EndNote&gt;</w:instrText>
      </w:r>
      <w:r w:rsidR="00643FDE" w:rsidRPr="009668E2">
        <w:rPr>
          <w:rFonts w:ascii="Garamond" w:hAnsi="Garamond"/>
        </w:rPr>
        <w:fldChar w:fldCharType="separate"/>
      </w:r>
      <w:r w:rsidR="00643FDE" w:rsidRPr="009668E2">
        <w:rPr>
          <w:rFonts w:ascii="Garamond" w:hAnsi="Garamond"/>
          <w:noProof/>
        </w:rPr>
        <w:t xml:space="preserve">Adam Tyson, "Blasphemy and Judicial Legitimacy in Indonesia," </w:t>
      </w:r>
      <w:r w:rsidR="00643FDE" w:rsidRPr="009668E2">
        <w:rPr>
          <w:rFonts w:ascii="Garamond" w:hAnsi="Garamond"/>
          <w:i/>
          <w:noProof/>
        </w:rPr>
        <w:t>Politics and Religion</w:t>
      </w:r>
      <w:r w:rsidR="00643FDE" w:rsidRPr="009668E2">
        <w:rPr>
          <w:rFonts w:ascii="Garamond" w:hAnsi="Garamond"/>
          <w:noProof/>
        </w:rPr>
        <w:t xml:space="preserve">  (2020), http://dx.doi.org/10.1017/s1755048319000427.</w:t>
      </w:r>
      <w:r w:rsidR="00643FDE" w:rsidRPr="009668E2">
        <w:rPr>
          <w:rFonts w:ascii="Garamond" w:hAnsi="Garamond"/>
        </w:rPr>
        <w:fldChar w:fldCharType="end"/>
      </w:r>
    </w:p>
  </w:footnote>
  <w:footnote w:id="11">
    <w:p w14:paraId="58F27578" w14:textId="54334B5A"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679FA" w:rsidRPr="009668E2">
        <w:rPr>
          <w:rFonts w:ascii="Garamond" w:hAnsi="Garamond"/>
        </w:rPr>
        <w:fldChar w:fldCharType="begin"/>
      </w:r>
      <w:r w:rsidR="006679FA" w:rsidRPr="009668E2">
        <w:rPr>
          <w:rFonts w:ascii="Garamond" w:hAnsi="Garamond"/>
        </w:rPr>
        <w:instrText xml:space="preserve"> ADDIN EN.CITE &lt;EndNote&gt;&lt;Cite&gt;&lt;Author&gt;Tyson&lt;/Author&gt;&lt;Year&gt;2020&lt;/Year&gt;&lt;RecNum&gt;1733&lt;/RecNum&gt;&lt;DisplayText&gt;Ibid.&lt;/DisplayText&gt;&lt;record&gt;&lt;rec-number&gt;1733&lt;/rec-number&gt;&lt;foreign-keys&gt;&lt;key app="EN" db-id="wrez22watfrfanevx2zx2wps9sefrp09axse" timestamp="1714904348"&gt;1733&lt;/key&gt;&lt;/foreign-keys&gt;&lt;ref-type name="Journal Article"&gt;17&lt;/ref-type&gt;&lt;contributors&gt;&lt;authors&gt;&lt;author&gt;Tyson, Adam&lt;/author&gt;&lt;/authors&gt;&lt;/contributors&gt;&lt;titles&gt;&lt;title&gt;Blasphemy and Judicial Legitimacy in Indonesia&lt;/title&gt;&lt;secondary-title&gt;Politics and Religion&lt;/secondary-title&gt;&lt;/titles&gt;&lt;periodical&gt;&lt;full-title&gt;Politics and Religion&lt;/full-title&gt;&lt;/periodical&gt;&lt;dates&gt;&lt;year&gt;2020&lt;/year&gt;&lt;/dates&gt;&lt;urls&gt;&lt;/urls&gt;&lt;electronic-resource-num&gt;10.1017/s1755048319000427&lt;/electronic-resource-num&gt;&lt;/record&gt;&lt;/Cite&gt;&lt;/EndNote&gt;</w:instrText>
      </w:r>
      <w:r w:rsidR="006679FA" w:rsidRPr="009668E2">
        <w:rPr>
          <w:rFonts w:ascii="Garamond" w:hAnsi="Garamond"/>
        </w:rPr>
        <w:fldChar w:fldCharType="separate"/>
      </w:r>
      <w:r w:rsidR="006679FA" w:rsidRPr="009668E2">
        <w:rPr>
          <w:rFonts w:ascii="Garamond" w:hAnsi="Garamond"/>
          <w:noProof/>
        </w:rPr>
        <w:t>Ibid.</w:t>
      </w:r>
      <w:r w:rsidR="006679FA" w:rsidRPr="009668E2">
        <w:rPr>
          <w:rFonts w:ascii="Garamond" w:hAnsi="Garamond"/>
        </w:rPr>
        <w:fldChar w:fldCharType="end"/>
      </w:r>
    </w:p>
  </w:footnote>
  <w:footnote w:id="12">
    <w:p w14:paraId="7742463D" w14:textId="74F5CC7B" w:rsidR="009D13B5" w:rsidRPr="009668E2" w:rsidRDefault="009D13B5"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&lt;EndNote&gt;&lt;Cite&gt;&lt;Author&gt;Haq&lt;/Author&gt;&lt;Year&gt;2023&lt;/Year&gt;&lt;RecNum&gt;2237&lt;/RecNum&gt;&lt;DisplayText&gt;Thoriqul Haq and Noor Aqsa Nabila Mat Isa, &amp;quot;Discourse, Law, and Digital Communication: Unraveling the Hate Speech in Basuki Tjahaja Purnama’s Case of Religious Blasphemy,&amp;quot; &lt;style face="italic"&gt;JOURNAL OF INDONESIAN ISLAM&lt;/style&gt; 17, no. 2 (2023).&lt;/DisplayText&gt;&lt;record&gt;&lt;rec-number&gt;2237&lt;/rec-number&gt;&lt;foreign-keys&gt;&lt;key app="EN" db-id="wrez22watfrfanevx2zx2wps9sefrp09axse" timestamp="1717942101"&gt;2237&lt;/key&gt;&lt;/foreign-keys&gt;&lt;ref-type name="Journal Article"&gt;17&lt;/ref-type&gt;&lt;contributors&gt;&lt;authors&gt;&lt;author&gt;Haq, Thoriqul&lt;/author&gt;&lt;author&gt;Isa, Noor Aqsa Nabila Mat&lt;/author&gt;&lt;/authors&gt;&lt;/contributors&gt;&lt;titles&gt;&lt;title&gt;Discourse, Law, and Digital Communication: Unraveling the Hate Speech in Basuki Tjahaja Purnama’s Case of Religious Blasphemy&lt;/title&gt;&lt;secondary-title&gt;Journal of Indonesian islam&lt;/secondary-title&gt;&lt;/titles&gt;&lt;periodical&gt;&lt;full-title&gt;JOURNAL OF INDONESIAN ISLAM&lt;/full-title&gt;&lt;/periodical&gt;&lt;pages&gt;376-402&lt;/pages&gt;&lt;volume&gt;17&lt;/volume&gt;&lt;number&gt;2&lt;/number&gt;&lt;dates&gt;&lt;year&gt;2023&lt;/year&gt;&lt;/dates&gt;&lt;isbn&gt;2355-6994&lt;/isbn&gt;&lt;urls&gt;&lt;/urls&gt;&lt;/record&gt;&lt;/Cite&gt;&lt;/EndNote&gt;</w:instrText>
      </w:r>
      <w:r w:rsidRPr="009668E2">
        <w:rPr>
          <w:rFonts w:ascii="Garamond" w:hAnsi="Garamond"/>
        </w:rPr>
        <w:fldChar w:fldCharType="separate"/>
      </w:r>
      <w:r w:rsidRPr="009668E2">
        <w:rPr>
          <w:rFonts w:ascii="Garamond" w:hAnsi="Garamond"/>
          <w:noProof/>
        </w:rPr>
        <w:t>Thoriqul Haq and Noor Aqsa Nabila Mat Isa, "Discourse, Law, and Digital Communication: Unraveling the Hate Speech in Basuki Tjahaja Purnama</w:t>
      </w:r>
      <w:r w:rsidR="002D4102" w:rsidRPr="009668E2">
        <w:rPr>
          <w:rFonts w:ascii="Garamond" w:hAnsi="Garamond"/>
          <w:noProof/>
        </w:rPr>
        <w:t>’</w:t>
      </w:r>
      <w:r w:rsidRPr="009668E2">
        <w:rPr>
          <w:rFonts w:ascii="Garamond" w:hAnsi="Garamond"/>
          <w:noProof/>
        </w:rPr>
        <w:t xml:space="preserve">s Case of Religious Blasphemy," </w:t>
      </w:r>
      <w:r w:rsidRPr="009668E2">
        <w:rPr>
          <w:rFonts w:ascii="Garamond" w:hAnsi="Garamond"/>
          <w:i/>
          <w:noProof/>
        </w:rPr>
        <w:t>JOURNAL OF INDONESIAN ISLAM</w:t>
      </w:r>
      <w:r w:rsidRPr="009668E2">
        <w:rPr>
          <w:rFonts w:ascii="Garamond" w:hAnsi="Garamond"/>
          <w:noProof/>
        </w:rPr>
        <w:t xml:space="preserve"> 17, no. 2 (2023).</w:t>
      </w:r>
      <w:r w:rsidRPr="009668E2">
        <w:rPr>
          <w:rFonts w:ascii="Garamond" w:hAnsi="Garamond"/>
        </w:rPr>
        <w:fldChar w:fldCharType="end"/>
      </w:r>
    </w:p>
  </w:footnote>
  <w:footnote w:id="13">
    <w:p w14:paraId="5B5B8B79" w14:textId="2BEED04A"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679FA" w:rsidRPr="009668E2">
        <w:rPr>
          <w:rFonts w:ascii="Garamond" w:hAnsi="Garamond"/>
        </w:rPr>
        <w:fldChar w:fldCharType="begin"/>
      </w:r>
      <w:r w:rsidR="006679FA" w:rsidRPr="009668E2">
        <w:rPr>
          <w:rFonts w:ascii="Garamond" w:hAnsi="Garamond"/>
        </w:rPr>
        <w:instrText xml:space="preserve"> ADDIN EN.CITE &lt;EndNote&gt;&lt;Cite&gt;&lt;Author&gt;Hasani&lt;/Author&gt;&lt;Year&gt;2022&lt;/Year&gt;&lt;RecNum&gt;1734&lt;/RecNum&gt;&lt;DisplayText&gt;Ismail Hasani and Halili Halili, &amp;quot;Human Rights and Constitutionality Issues of Blasphemy Law in Indonesia,&amp;quot; &lt;style face="italic"&gt;Jurnal Konstitusi&lt;/style&gt;  (2022), http://dx.doi.org/10.31078/jk1927.&lt;/DisplayText&gt;&lt;record&gt;&lt;rec-number&gt;1734&lt;/rec-number&gt;&lt;foreign-keys&gt;&lt;key app="EN" db-id="wrez22watfrfanevx2zx2wps9sefrp09axse" timestamp="1714904348"&gt;1734&lt;/key&gt;&lt;/foreign-keys&gt;&lt;ref-type name="Journal Article"&gt;17&lt;/ref-type&gt;&lt;contributors&gt;&lt;authors&gt;&lt;author&gt;Hasani, Ismail&lt;/author&gt;&lt;author&gt;Halili, Halili&lt;/author&gt;&lt;/authors&gt;&lt;/contributors&gt;&lt;titles&gt;&lt;title&gt;Human Rights and Constitutionality Issues of Blasphemy Law in Indonesia&lt;/title&gt;&lt;secondary-title&gt;Jurnal Konstitusi&lt;/secondary-title&gt;&lt;/titles&gt;&lt;periodical&gt;&lt;full-title&gt;Jurnal Konstitusi&lt;/full-title&gt;&lt;/periodical&gt;&lt;dates&gt;&lt;year&gt;2022&lt;/year&gt;&lt;/dates&gt;&lt;urls&gt;&lt;/urls&gt;&lt;electronic-resource-num&gt;10.31078/jk1927&lt;/electronic-resource-num&gt;&lt;/record&gt;&lt;/Cite&gt;&lt;/EndNote&gt;</w:instrText>
      </w:r>
      <w:r w:rsidR="006679FA" w:rsidRPr="009668E2">
        <w:rPr>
          <w:rFonts w:ascii="Garamond" w:hAnsi="Garamond"/>
        </w:rPr>
        <w:fldChar w:fldCharType="separate"/>
      </w:r>
      <w:r w:rsidR="006679FA" w:rsidRPr="009668E2">
        <w:rPr>
          <w:rFonts w:ascii="Garamond" w:hAnsi="Garamond"/>
          <w:noProof/>
        </w:rPr>
        <w:t xml:space="preserve">Ismail Hasani and Halili Halili, "Human Rights and Constitutionality Issues of Blasphemy Law in Indonesia," </w:t>
      </w:r>
      <w:r w:rsidR="006679FA" w:rsidRPr="009668E2">
        <w:rPr>
          <w:rFonts w:ascii="Garamond" w:hAnsi="Garamond"/>
          <w:i/>
          <w:noProof/>
        </w:rPr>
        <w:t>Jurnal Konstitusi</w:t>
      </w:r>
      <w:r w:rsidR="006679FA" w:rsidRPr="009668E2">
        <w:rPr>
          <w:rFonts w:ascii="Garamond" w:hAnsi="Garamond"/>
          <w:noProof/>
        </w:rPr>
        <w:t xml:space="preserve">  (2022), http://dx.doi.org/10.3</w:t>
      </w:r>
      <w:r w:rsidR="001B36CC">
        <w:rPr>
          <w:rFonts w:ascii="Garamond" w:hAnsi="Garamond"/>
          <w:noProof/>
        </w:rPr>
        <w:softHyphen/>
      </w:r>
      <w:r w:rsidR="006679FA" w:rsidRPr="009668E2">
        <w:rPr>
          <w:rFonts w:ascii="Garamond" w:hAnsi="Garamond"/>
          <w:noProof/>
        </w:rPr>
        <w:t>1078/jk1927.</w:t>
      </w:r>
      <w:r w:rsidR="006679FA" w:rsidRPr="009668E2">
        <w:rPr>
          <w:rFonts w:ascii="Garamond" w:hAnsi="Garamond"/>
        </w:rPr>
        <w:fldChar w:fldCharType="end"/>
      </w:r>
    </w:p>
  </w:footnote>
  <w:footnote w:id="14">
    <w:p w14:paraId="6A5C3096" w14:textId="635A653D"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679FA" w:rsidRPr="009668E2">
        <w:rPr>
          <w:rFonts w:ascii="Garamond" w:hAnsi="Garamond"/>
        </w:rPr>
        <w:fldChar w:fldCharType="begin"/>
      </w:r>
      <w:r w:rsidR="006679FA" w:rsidRPr="009668E2">
        <w:rPr>
          <w:rFonts w:ascii="Garamond" w:hAnsi="Garamond"/>
        </w:rPr>
        <w:instrText xml:space="preserve"> ADDIN EN.CITE &lt;EndNote&gt;&lt;Cite&gt;&lt;Author&gt;Abdullah&lt;/Author&gt;&lt;Year&gt;2023&lt;/Year&gt;&lt;RecNum&gt;1735&lt;/RecNum&gt;&lt;DisplayText&gt;Abdullah Abdullah, &amp;quot;The Crime of Blasphemy in Indonesia: A Comparative Study,&amp;quot; &lt;style face="italic"&gt;Sasi&lt;/style&gt;  (2023), http://dx.doi.org/10.47268/sasi.v29i2.1374.&lt;/DisplayText&gt;&lt;record&gt;&lt;rec-number&gt;1735&lt;/rec-number&gt;&lt;foreign-keys&gt;&lt;key app="EN" db-id="wrez22watfrfanevx2zx2wps9sefrp09axse" timestamp="1714904348"&gt;1735&lt;/key&gt;&lt;/foreign-keys&gt;&lt;ref-type name="Journal Article"&gt;17&lt;/ref-type&gt;&lt;contributors&gt;&lt;authors&gt;&lt;author&gt;Abdullah, Abdullah&lt;/author&gt;&lt;/authors&gt;&lt;/contributors&gt;&lt;titles&gt;&lt;title&gt;The Crime of Blasphemy in Indonesia: a Comparative Study&lt;/title&gt;&lt;secondary-title&gt;Sasi&lt;/secondary-title&gt;&lt;/titles&gt;&lt;periodical&gt;&lt;full-title&gt;Sasi&lt;/full-title&gt;&lt;/periodical&gt;&lt;dates&gt;&lt;year&gt;2023&lt;/year&gt;&lt;/dates&gt;&lt;urls&gt;&lt;/urls&gt;&lt;electronic-resource-num&gt;10.47268/sasi.v29i2.1374&lt;/electronic-resource-num&gt;&lt;/record&gt;&lt;/Cite&gt;&lt;/EndNote&gt;</w:instrText>
      </w:r>
      <w:r w:rsidR="006679FA" w:rsidRPr="009668E2">
        <w:rPr>
          <w:rFonts w:ascii="Garamond" w:hAnsi="Garamond"/>
        </w:rPr>
        <w:fldChar w:fldCharType="separate"/>
      </w:r>
      <w:r w:rsidR="006679FA" w:rsidRPr="009668E2">
        <w:rPr>
          <w:rFonts w:ascii="Garamond" w:hAnsi="Garamond"/>
          <w:noProof/>
        </w:rPr>
        <w:t xml:space="preserve">Abdullah Abdullah, "The Crime of Blasphemy in Indonesia: A Comparative Study," </w:t>
      </w:r>
      <w:r w:rsidR="006679FA" w:rsidRPr="009668E2">
        <w:rPr>
          <w:rFonts w:ascii="Garamond" w:hAnsi="Garamond"/>
          <w:i/>
          <w:noProof/>
        </w:rPr>
        <w:t>Sasi</w:t>
      </w:r>
      <w:r w:rsidR="006679FA" w:rsidRPr="009668E2">
        <w:rPr>
          <w:rFonts w:ascii="Garamond" w:hAnsi="Garamond"/>
          <w:noProof/>
        </w:rPr>
        <w:t xml:space="preserve">  (2023), http://dx.doi.org/10.47268/sasi.v29i2.1374.</w:t>
      </w:r>
      <w:r w:rsidR="006679FA" w:rsidRPr="009668E2">
        <w:rPr>
          <w:rFonts w:ascii="Garamond" w:hAnsi="Garamond"/>
        </w:rPr>
        <w:fldChar w:fldCharType="end"/>
      </w:r>
    </w:p>
  </w:footnote>
  <w:footnote w:id="15">
    <w:p w14:paraId="6C913073" w14:textId="3FFDED9C"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F24312" w:rsidRPr="009668E2">
        <w:rPr>
          <w:rFonts w:ascii="Garamond" w:hAnsi="Garamond"/>
        </w:rPr>
        <w:fldChar w:fldCharType="begin"/>
      </w:r>
      <w:r w:rsidR="002D4102" w:rsidRPr="009668E2">
        <w:rPr>
          <w:rFonts w:ascii="Garamond" w:hAnsi="Garamond"/>
        </w:rPr>
        <w:instrText xml:space="preserve"> ADDIN EN.CITE &lt;EndNote&gt;&lt;Cite&gt;&lt;Author&gt;Putra&lt;/Author&gt;&lt;Year&gt;2021&lt;/Year&gt;&lt;RecNum&gt;1473&lt;/RecNum&gt;&lt;DisplayText&gt;Idhamsyah Eka Putra et al., &amp;quot;Accounting for a Riot: Religious Identity, Denying One&amp;apos;s Prejudice, and the Tool of Blasphemy,&amp;quot; &lt;style face="italic"&gt;Journal of Social and Political Psychology&lt;/style&gt; 9, no. 1 (02/19 2021), accessed 2024/02/28, http://dx.doi.org/10.5964/jspp.5565.&lt;/DisplayText&gt;&lt;record&gt;&lt;rec-number&gt;1473&lt;/rec-number&gt;&lt;foreign-keys&gt;&lt;key app="EN" db-id="wrez22watfrfanevx2zx2wps9sefrp09axse" timestamp="1709133760"&gt;1473&lt;/key&gt;&lt;/foreign-keys&gt;&lt;ref-type name="Journal Article"&gt;17&lt;/ref-type&gt;&lt;contributors&gt;&lt;authors&gt;&lt;author&gt;Putra, Idhamsyah Eka&lt;/author&gt;&lt;author&gt;Wagner, Wolfgang&lt;/author&gt;&lt;author&gt;Holtz, Peter&lt;/author&gt;&lt;author&gt;Rufaedah, Any&lt;/author&gt;&lt;/authors&gt;&lt;/contributors&gt;&lt;titles&gt;&lt;title&gt;Accounting for a Riot: Religious Identity, Denying One&amp;apos;s Prejudice, and the Tool of Blasphemy&lt;/title&gt;&lt;secondary-title&gt;Journal of Social and Political Psychology&lt;/secondary-title&gt;&lt;/titles&gt;&lt;periodical&gt;&lt;full-title&gt;Journal of Social and Political Psychology&lt;/full-title&gt;&lt;/periodical&gt;&lt;pages&gt;69-85&lt;/pages&gt;&lt;volume&gt;9&lt;/volume&gt;&lt;number&gt;1&lt;/number&gt;&lt;section&gt;Original Research Reports&lt;/section&gt;&lt;dates&gt;&lt;year&gt;2021&lt;/year&gt;&lt;pub-dates&gt;&lt;date&gt;02/19&lt;/date&gt;&lt;/pub-dates&gt;&lt;/dates&gt;&lt;urls&gt;&lt;related-urls&gt;&lt;url&gt;https://jspp.psychopen.eu/index.php/jspp/article/view/5565&lt;/url&gt;&lt;/related-urls&gt;&lt;/urls&gt;&lt;electronic-resource-num&gt;10.5964/jspp.5565&lt;/electronic-resource-num&gt;&lt;access-date&gt;2024/02/28&lt;/access-date&gt;&lt;/record&gt;&lt;/Cite&gt;&lt;/EndNote&gt;</w:instrText>
      </w:r>
      <w:r w:rsidR="00F24312" w:rsidRPr="009668E2">
        <w:rPr>
          <w:rFonts w:ascii="Garamond" w:hAnsi="Garamond"/>
        </w:rPr>
        <w:fldChar w:fldCharType="separate"/>
      </w:r>
      <w:r w:rsidR="002D4102" w:rsidRPr="009668E2">
        <w:rPr>
          <w:rFonts w:ascii="Garamond" w:hAnsi="Garamond"/>
          <w:noProof/>
        </w:rPr>
        <w:t xml:space="preserve">Idhamsyah Eka Putra et al., "Accounting for a Riot: Religious Identity, Denying One's Prejudice, and the Tool of Blasphemy," </w:t>
      </w:r>
      <w:r w:rsidR="002D4102" w:rsidRPr="009668E2">
        <w:rPr>
          <w:rFonts w:ascii="Garamond" w:hAnsi="Garamond"/>
          <w:i/>
          <w:noProof/>
        </w:rPr>
        <w:t>Journal of Social and Political Psychology</w:t>
      </w:r>
      <w:r w:rsidR="002D4102" w:rsidRPr="009668E2">
        <w:rPr>
          <w:rFonts w:ascii="Garamond" w:hAnsi="Garamond"/>
          <w:noProof/>
        </w:rPr>
        <w:t xml:space="preserve"> 9, no. 1 (02/19 2021), accessed 2024/02/28, http://dx.doi.org/10.5964/jspp.5565.</w:t>
      </w:r>
      <w:r w:rsidR="00F24312" w:rsidRPr="009668E2">
        <w:rPr>
          <w:rFonts w:ascii="Garamond" w:hAnsi="Garamond"/>
        </w:rPr>
        <w:fldChar w:fldCharType="end"/>
      </w:r>
    </w:p>
  </w:footnote>
  <w:footnote w:id="16">
    <w:p w14:paraId="21716235" w14:textId="48529FBE"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E35E17" w:rsidRPr="009668E2">
        <w:rPr>
          <w:rFonts w:ascii="Garamond" w:hAnsi="Garamond"/>
        </w:rPr>
        <w:fldChar w:fldCharType="begin"/>
      </w:r>
      <w:r w:rsidR="00E35E17" w:rsidRPr="009668E2">
        <w:rPr>
          <w:rFonts w:ascii="Garamond" w:hAnsi="Garamond"/>
        </w:rPr>
        <w:instrText xml:space="preserve"> ADDIN EN.CITE &lt;EndNote&gt;&lt;Cite&gt;&lt;Author&gt;Fenton&lt;/Author&gt;&lt;Year&gt;2016&lt;/Year&gt;&lt;RecNum&gt;1737&lt;/RecNum&gt;&lt;DisplayText&gt;Adam J. Fenton, &amp;quot;Faith, Intolerance, Violence and Bigotry: Legal and Constitutional Issues of Freedom of Religion in Indonesia,&amp;quot; &lt;style face="italic"&gt;JOURNAL OF INDONESIAN ISLAM&lt;/style&gt;  (2016), http://dx.doi.org/10.15642/jiis.2016.10.2.181-212.&lt;/DisplayText&gt;&lt;record&gt;&lt;rec-number&gt;1737&lt;/rec-number&gt;&lt;foreign-keys&gt;&lt;key app="EN" db-id="wrez22watfrfanevx2zx2wps9sefrp09axse" timestamp="1714904348"&gt;1737&lt;/key&gt;&lt;/foreign-keys&gt;&lt;ref-type name="Journal Article"&gt;17&lt;/ref-type&gt;&lt;contributors&gt;&lt;authors&gt;&lt;author&gt;Fenton, Adam J.&lt;/author&gt;&lt;/authors&gt;&lt;/contributors&gt;&lt;titles&gt;&lt;title&gt;FAITH, INTOLERANCE, VIOLENCE AND BIGOTRY: Legal and Constitutional Issues of Freedom of Religion in Indonesia&lt;/title&gt;&lt;secondary-title&gt;Journal of Indonesian Islam&lt;/secondary-title&gt;&lt;/titles&gt;&lt;periodical&gt;&lt;full-title&gt;JOURNAL OF INDONESIAN ISLAM&lt;/full-title&gt;&lt;/periodical&gt;&lt;dates&gt;&lt;year&gt;2016&lt;/year&gt;&lt;/dates&gt;&lt;urls&gt;&lt;/urls&gt;&lt;electronic-resource-num&gt;10.15642/jiis.2016.10.2.181-212&lt;/electronic-resource-num&gt;&lt;/record&gt;&lt;/Cite&gt;&lt;/EndNote&gt;</w:instrText>
      </w:r>
      <w:r w:rsidR="00E35E17" w:rsidRPr="009668E2">
        <w:rPr>
          <w:rFonts w:ascii="Garamond" w:hAnsi="Garamond"/>
        </w:rPr>
        <w:fldChar w:fldCharType="separate"/>
      </w:r>
      <w:r w:rsidR="00E35E17" w:rsidRPr="009668E2">
        <w:rPr>
          <w:rFonts w:ascii="Garamond" w:hAnsi="Garamond"/>
          <w:noProof/>
        </w:rPr>
        <w:t xml:space="preserve">Adam J. Fenton, "Faith, Intolerance, Violence and Bigotry: Legal and Constitutional Issues of Freedom of Religion in Indonesia," </w:t>
      </w:r>
      <w:r w:rsidR="001B36CC" w:rsidRPr="009668E2">
        <w:rPr>
          <w:rFonts w:ascii="Garamond" w:hAnsi="Garamond"/>
          <w:i/>
          <w:noProof/>
        </w:rPr>
        <w:t>Journal Of Indonesian Islam</w:t>
      </w:r>
      <w:r w:rsidR="001B36CC" w:rsidRPr="009668E2">
        <w:rPr>
          <w:rFonts w:ascii="Garamond" w:hAnsi="Garamond"/>
          <w:noProof/>
        </w:rPr>
        <w:t xml:space="preserve">  </w:t>
      </w:r>
      <w:r w:rsidR="00E35E17" w:rsidRPr="009668E2">
        <w:rPr>
          <w:rFonts w:ascii="Garamond" w:hAnsi="Garamond"/>
          <w:noProof/>
        </w:rPr>
        <w:t>(2016), http://dx.doi.org/10.15642/jiis.2016.10.2.181-212.</w:t>
      </w:r>
      <w:r w:rsidR="00E35E17" w:rsidRPr="009668E2">
        <w:rPr>
          <w:rFonts w:ascii="Garamond" w:hAnsi="Garamond"/>
        </w:rPr>
        <w:fldChar w:fldCharType="end"/>
      </w:r>
    </w:p>
  </w:footnote>
  <w:footnote w:id="17">
    <w:p w14:paraId="7A49596A" w14:textId="5EDE8A39"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E35E17" w:rsidRPr="009668E2">
        <w:rPr>
          <w:rFonts w:ascii="Garamond" w:hAnsi="Garamond"/>
        </w:rPr>
        <w:fldChar w:fldCharType="begin"/>
      </w:r>
      <w:r w:rsidR="00E35E17" w:rsidRPr="009668E2">
        <w:rPr>
          <w:rFonts w:ascii="Garamond" w:hAnsi="Garamond"/>
        </w:rPr>
        <w:instrText xml:space="preserve"> ADDIN EN.CITE &lt;EndNote&gt;&lt;Cite&gt;&lt;Author&gt;Epafras&lt;/Author&gt;&lt;Year&gt;2019&lt;/Year&gt;&lt;RecNum&gt;1738&lt;/RecNum&gt;&lt;DisplayText&gt;Leonard C. Epafras, Hendrikus P. Kaunang, and Syamsul Asri, &amp;quot;Religious Blasphemy and Monitory Society in Indonesian Digital Age,&amp;quot; &lt;style face="italic"&gt;Jurnal Kawistara&lt;/style&gt;  (2019), http://dx.doi.org/10.22146/kawistara.41169.&lt;/DisplayText&gt;&lt;record&gt;&lt;rec-number&gt;1738&lt;/rec-number&gt;&lt;foreign-keys&gt;&lt;key app="EN" db-id="wrez22watfrfanevx2zx2wps9sefrp09axse" timestamp="1714904348"&gt;1738&lt;/key&gt;&lt;/foreign-keys&gt;&lt;ref-type name="Journal Article"&gt;17&lt;/ref-type&gt;&lt;contributors&gt;&lt;authors&gt;&lt;author&gt;Epafras, Leonard C.&lt;/author&gt;&lt;author&gt;Kaunang, Hendrikus P.&lt;/author&gt;&lt;author&gt;Asri, Syamsul&lt;/author&gt;&lt;/authors&gt;&lt;/contributors&gt;&lt;titles&gt;&lt;title&gt;Religious Blasphemy and Monitory Society in Indonesian Digital Age&lt;/title&gt;&lt;secondary-title&gt;Jurnal Kawistara&lt;/secondary-title&gt;&lt;/titles&gt;&lt;periodical&gt;&lt;full-title&gt;Jurnal Kawistara&lt;/full-title&gt;&lt;/periodical&gt;&lt;dates&gt;&lt;year&gt;2019&lt;/year&gt;&lt;/dates&gt;&lt;urls&gt;&lt;/urls&gt;&lt;electronic-resource-num&gt;10.22146/kawistara.41169&lt;/electronic-resource-num&gt;&lt;/record&gt;&lt;/Cite&gt;&lt;/EndNote&gt;</w:instrText>
      </w:r>
      <w:r w:rsidR="00E35E17" w:rsidRPr="009668E2">
        <w:rPr>
          <w:rFonts w:ascii="Garamond" w:hAnsi="Garamond"/>
        </w:rPr>
        <w:fldChar w:fldCharType="separate"/>
      </w:r>
      <w:r w:rsidR="00E35E17" w:rsidRPr="009668E2">
        <w:rPr>
          <w:rFonts w:ascii="Garamond" w:hAnsi="Garamond"/>
          <w:noProof/>
        </w:rPr>
        <w:t xml:space="preserve">Leonard C. Epafras, Hendrikus P. Kaunang, and Syamsul Asri, "Religious Blasphemy and Monitory Society in Indonesian Digital Age," </w:t>
      </w:r>
      <w:r w:rsidR="00E35E17" w:rsidRPr="009668E2">
        <w:rPr>
          <w:rFonts w:ascii="Garamond" w:hAnsi="Garamond"/>
          <w:i/>
          <w:noProof/>
        </w:rPr>
        <w:t>Jurnal Kawistara</w:t>
      </w:r>
      <w:r w:rsidR="00E35E17" w:rsidRPr="009668E2">
        <w:rPr>
          <w:rFonts w:ascii="Garamond" w:hAnsi="Garamond"/>
          <w:noProof/>
        </w:rPr>
        <w:t xml:space="preserve">  (2019), http://dx.doi.org/10.22146/kawistara.41169.</w:t>
      </w:r>
      <w:r w:rsidR="00E35E17" w:rsidRPr="009668E2">
        <w:rPr>
          <w:rFonts w:ascii="Garamond" w:hAnsi="Garamond"/>
        </w:rPr>
        <w:fldChar w:fldCharType="end"/>
      </w:r>
    </w:p>
  </w:footnote>
  <w:footnote w:id="18">
    <w:p w14:paraId="0CEBD8E6" w14:textId="63BA3314"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E35E17" w:rsidRPr="009668E2">
        <w:rPr>
          <w:rFonts w:ascii="Garamond" w:hAnsi="Garamond"/>
        </w:rPr>
        <w:fldChar w:fldCharType="begin"/>
      </w:r>
      <w:r w:rsidR="00E35E17" w:rsidRPr="009668E2">
        <w:rPr>
          <w:rFonts w:ascii="Garamond" w:hAnsi="Garamond"/>
        </w:rPr>
        <w:instrText xml:space="preserve"> ADDIN EN.CITE &lt;EndNote&gt;&lt;Cite&gt;&lt;Author&gt;Lintang&lt;/Author&gt;&lt;Year&gt;2021&lt;/Year&gt;&lt;RecNum&gt;1740&lt;/RecNum&gt;&lt;DisplayText&gt;Loresta C. Lintang, Adriano Martufi, and J. W. Ouwerker, &amp;quot;The Alternative Concepts of Blasphemy Law in Indonesia: Legal Comparison with Ireland and Canada,&amp;quot; &lt;style face="italic"&gt;Bestuur&lt;/style&gt;  (2021), http://dx.doi.org/10.20961/bestuur.v9i1.51632.&lt;/DisplayText&gt;&lt;record&gt;&lt;rec-number&gt;1740&lt;/rec-number&gt;&lt;foreign-keys&gt;&lt;key app="EN" db-id="wrez22watfrfanevx2zx2wps9sefrp09axse" timestamp="1714904348"&gt;1740&lt;/key&gt;&lt;/foreign-keys&gt;&lt;ref-type name="Journal Article"&gt;17&lt;/ref-type&gt;&lt;contributors&gt;&lt;authors&gt;&lt;author&gt;Lintang, Loresta C.&lt;/author&gt;&lt;author&gt;Martufi, Adriano&lt;/author&gt;&lt;author&gt;Ouwerker, J. W.&lt;/author&gt;&lt;/authors&gt;&lt;/contributors&gt;&lt;titles&gt;&lt;title&gt;The Alternative Concepts of Blasphemy Law in Indonesia: Legal Comparison With Ireland and Canada&lt;/title&gt;&lt;secondary-title&gt;Bestuur&lt;/secondary-title&gt;&lt;/titles&gt;&lt;periodical&gt;&lt;full-title&gt;Bestuur&lt;/full-title&gt;&lt;/periodical&gt;&lt;dates&gt;&lt;year&gt;2021&lt;/year&gt;&lt;/dates&gt;&lt;urls&gt;&lt;/urls&gt;&lt;electronic-resource-num&gt;10.20961/bestuur.v9i1.51632&lt;/electronic-resource-num&gt;&lt;/record&gt;&lt;/Cite&gt;&lt;/EndNote&gt;</w:instrText>
      </w:r>
      <w:r w:rsidR="00E35E17" w:rsidRPr="009668E2">
        <w:rPr>
          <w:rFonts w:ascii="Garamond" w:hAnsi="Garamond"/>
        </w:rPr>
        <w:fldChar w:fldCharType="separate"/>
      </w:r>
      <w:r w:rsidR="00E35E17" w:rsidRPr="009668E2">
        <w:rPr>
          <w:rFonts w:ascii="Garamond" w:hAnsi="Garamond"/>
          <w:noProof/>
        </w:rPr>
        <w:t xml:space="preserve">Loresta C. Lintang, Adriano Martufi, and J. W. Ouwerker, "The Alternative Concepts of Blasphemy Law in Indonesia: Legal Comparison with Ireland and Canada," </w:t>
      </w:r>
      <w:r w:rsidR="00E35E17" w:rsidRPr="009668E2">
        <w:rPr>
          <w:rFonts w:ascii="Garamond" w:hAnsi="Garamond"/>
          <w:i/>
          <w:noProof/>
        </w:rPr>
        <w:t>Bestuur</w:t>
      </w:r>
      <w:r w:rsidR="00E35E17" w:rsidRPr="009668E2">
        <w:rPr>
          <w:rFonts w:ascii="Garamond" w:hAnsi="Garamond"/>
          <w:noProof/>
        </w:rPr>
        <w:t xml:space="preserve">  (2021), http://dx.doi.org/10.20961/bestuur.v9i1.51632.</w:t>
      </w:r>
      <w:r w:rsidR="00E35E17" w:rsidRPr="009668E2">
        <w:rPr>
          <w:rFonts w:ascii="Garamond" w:hAnsi="Garamond"/>
        </w:rPr>
        <w:fldChar w:fldCharType="end"/>
      </w:r>
    </w:p>
  </w:footnote>
  <w:footnote w:id="19">
    <w:p w14:paraId="41E4277A" w14:textId="4B01770D"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3F3DBB" w:rsidRPr="009668E2">
        <w:rPr>
          <w:rFonts w:ascii="Garamond" w:hAnsi="Garamond"/>
        </w:rPr>
        <w:fldChar w:fldCharType="begin"/>
      </w:r>
      <w:r w:rsidR="002D4102" w:rsidRPr="009668E2">
        <w:rPr>
          <w:rFonts w:ascii="Garamond" w:hAnsi="Garamond"/>
        </w:rPr>
        <w:instrText xml:space="preserve"> ADDIN EN.CITE &lt;EndNote&gt;&lt;Cite&gt;&lt;Author&gt;A&amp;apos;Yun&lt;/Author&gt;&lt;Year&gt;2021&lt;/Year&gt;&lt;RecNum&gt;1741&lt;/RecNum&gt;&lt;DisplayText&gt;Rafiqa Q. A&amp;apos;Yun, &amp;quot;Religion at the Ballot Box: The Politics of Indonesia’s Blasphemy Laws,&amp;quot; &lt;style face="italic"&gt;Indonesia&lt;/style&gt;  (2021), http://dx.doi.org/10.1353/ind.2021.0005.&lt;/DisplayText&gt;&lt;record&gt;&lt;rec-number&gt;1741&lt;/rec-number&gt;&lt;foreign-keys&gt;&lt;key app="EN" db-id="wrez22watfrfanevx2zx2wps9sefrp09axse" timestamp="1714904348"&gt;1741&lt;/key&gt;&lt;/foreign-keys&gt;&lt;ref-type name="Journal Article"&gt;17&lt;/ref-type&gt;&lt;contributors&gt;&lt;authors&gt;&lt;author&gt;A&amp;apos;Yun, Rafiqa Q.&lt;/author&gt;&lt;/authors&gt;&lt;/contributors&gt;&lt;titles&gt;&lt;title&gt;Religion at the Ballot Box: The Politics of Indonesia’s Blasphemy Laws&lt;/title&gt;&lt;secondary-title&gt;Indonesia&lt;/secondary-title&gt;&lt;/titles&gt;&lt;periodical&gt;&lt;full-title&gt;Indonesia&lt;/full-title&gt;&lt;/periodical&gt;&lt;dates&gt;&lt;year&gt;2021&lt;/year&gt;&lt;/dates&gt;&lt;urls&gt;&lt;/urls&gt;&lt;electronic-resource-num&gt;10.1353/ind.2021.0005&lt;/electronic-resource-num&gt;&lt;/record&gt;&lt;/Cite&gt;&lt;/EndNote&gt;</w:instrText>
      </w:r>
      <w:r w:rsidR="003F3DBB" w:rsidRPr="009668E2">
        <w:rPr>
          <w:rFonts w:ascii="Garamond" w:hAnsi="Garamond"/>
        </w:rPr>
        <w:fldChar w:fldCharType="separate"/>
      </w:r>
      <w:r w:rsidR="002D4102" w:rsidRPr="009668E2">
        <w:rPr>
          <w:rFonts w:ascii="Garamond" w:hAnsi="Garamond"/>
          <w:noProof/>
        </w:rPr>
        <w:t xml:space="preserve">Rafiqa Q. A'Yun, "Religion at the Ballot Box: The Politics of Indonesia’s Blasphemy Laws," </w:t>
      </w:r>
      <w:r w:rsidR="002D4102" w:rsidRPr="009668E2">
        <w:rPr>
          <w:rFonts w:ascii="Garamond" w:hAnsi="Garamond"/>
          <w:i/>
          <w:noProof/>
        </w:rPr>
        <w:t>Indonesia</w:t>
      </w:r>
      <w:r w:rsidR="002D4102" w:rsidRPr="009668E2">
        <w:rPr>
          <w:rFonts w:ascii="Garamond" w:hAnsi="Garamond"/>
          <w:noProof/>
        </w:rPr>
        <w:t xml:space="preserve">  (2021), http://dx.doi.org/10.1353/ind.2021.0005.</w:t>
      </w:r>
      <w:r w:rsidR="003F3DBB" w:rsidRPr="009668E2">
        <w:rPr>
          <w:rFonts w:ascii="Garamond" w:hAnsi="Garamond"/>
        </w:rPr>
        <w:fldChar w:fldCharType="end"/>
      </w:r>
    </w:p>
  </w:footnote>
  <w:footnote w:id="20">
    <w:p w14:paraId="21017C72" w14:textId="0F975EA9"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147508" w:rsidRPr="009668E2">
        <w:rPr>
          <w:rFonts w:ascii="Garamond" w:hAnsi="Garamond"/>
        </w:rPr>
        <w:fldChar w:fldCharType="begin">
          <w:fldData xml:space="preserve">PEVuZE5vdGU+PENpdGU+PEF1dGhvcj5IdWRhPC9BdXRob3I+PFllYXI+MjAxOTwvWWVhcj48UmVj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</w:fldData>
        </w:fldChar>
      </w:r>
      <w:r w:rsidR="00147508" w:rsidRPr="009668E2">
        <w:rPr>
          <w:rFonts w:ascii="Garamond" w:hAnsi="Garamond"/>
        </w:rPr>
        <w:instrText xml:space="preserve"> ADDIN EN.CITE </w:instrText>
      </w:r>
      <w:r w:rsidR="00147508" w:rsidRPr="009668E2">
        <w:rPr>
          <w:rFonts w:ascii="Garamond" w:hAnsi="Garamond"/>
        </w:rPr>
        <w:fldChar w:fldCharType="begin">
          <w:fldData xml:space="preserve">PEVuZE5vdGU+PENpdGU+PEF1dGhvcj5IdWRhPC9BdXRob3I+PFllYXI+MjAxOTwvWWVhcj48UmVj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</w:fldData>
        </w:fldChar>
      </w:r>
      <w:r w:rsidR="00147508" w:rsidRPr="009668E2">
        <w:rPr>
          <w:rFonts w:ascii="Garamond" w:hAnsi="Garamond"/>
        </w:rPr>
        <w:instrText xml:space="preserve"> ADDIN EN.CITE.DATA </w:instrText>
      </w:r>
      <w:r w:rsidR="00147508" w:rsidRPr="009668E2">
        <w:rPr>
          <w:rFonts w:ascii="Garamond" w:hAnsi="Garamond"/>
        </w:rPr>
      </w:r>
      <w:r w:rsidR="00147508" w:rsidRPr="009668E2">
        <w:rPr>
          <w:rFonts w:ascii="Garamond" w:hAnsi="Garamond"/>
        </w:rPr>
        <w:fldChar w:fldCharType="end"/>
      </w:r>
      <w:r w:rsidR="00147508" w:rsidRPr="009668E2">
        <w:rPr>
          <w:rFonts w:ascii="Garamond" w:hAnsi="Garamond"/>
        </w:rPr>
      </w:r>
      <w:r w:rsidR="00147508" w:rsidRPr="009668E2">
        <w:rPr>
          <w:rFonts w:ascii="Garamond" w:hAnsi="Garamond"/>
        </w:rPr>
        <w:fldChar w:fldCharType="separate"/>
      </w:r>
      <w:r w:rsidR="00147508" w:rsidRPr="009668E2">
        <w:rPr>
          <w:rFonts w:ascii="Garamond" w:hAnsi="Garamond"/>
          <w:noProof/>
        </w:rPr>
        <w:t xml:space="preserve">Miftahul Huda, "The Local Construction of Religious Blasphemy in East Java," </w:t>
      </w:r>
      <w:r w:rsidR="00496A63" w:rsidRPr="009668E2">
        <w:rPr>
          <w:rFonts w:ascii="Garamond" w:hAnsi="Garamond"/>
          <w:i/>
          <w:noProof/>
        </w:rPr>
        <w:t>Journal Of Indonesian Islam</w:t>
      </w:r>
      <w:r w:rsidR="00496A63" w:rsidRPr="009668E2">
        <w:rPr>
          <w:rFonts w:ascii="Garamond" w:hAnsi="Garamond"/>
          <w:noProof/>
        </w:rPr>
        <w:t xml:space="preserve">  </w:t>
      </w:r>
      <w:r w:rsidR="00147508" w:rsidRPr="009668E2">
        <w:rPr>
          <w:rFonts w:ascii="Garamond" w:hAnsi="Garamond"/>
          <w:noProof/>
        </w:rPr>
        <w:t>(2019), http://dx.doi.org/10.15</w:t>
      </w:r>
      <w:r w:rsidR="00496A63">
        <w:rPr>
          <w:rFonts w:ascii="Garamond" w:hAnsi="Garamond"/>
          <w:noProof/>
        </w:rPr>
        <w:softHyphen/>
      </w:r>
      <w:r w:rsidR="00147508" w:rsidRPr="009668E2">
        <w:rPr>
          <w:rFonts w:ascii="Garamond" w:hAnsi="Garamond"/>
          <w:noProof/>
        </w:rPr>
        <w:t xml:space="preserve">642/jiis.2019.13.1.96-114; Husni Husni et al., "Religious Diversity and Its Legal Problems," </w:t>
      </w:r>
      <w:r w:rsidR="00147508" w:rsidRPr="009668E2">
        <w:rPr>
          <w:rFonts w:ascii="Garamond" w:hAnsi="Garamond"/>
          <w:i/>
          <w:noProof/>
        </w:rPr>
        <w:t>Journal Research of Social Science Economics and Management</w:t>
      </w:r>
      <w:r w:rsidR="00147508" w:rsidRPr="009668E2">
        <w:rPr>
          <w:rFonts w:ascii="Garamond" w:hAnsi="Garamond"/>
          <w:noProof/>
        </w:rPr>
        <w:t xml:space="preserve">  (2022), http://dx.doi.org/10.364</w:t>
      </w:r>
      <w:r w:rsidR="00496A63">
        <w:rPr>
          <w:rFonts w:ascii="Garamond" w:hAnsi="Garamond"/>
          <w:noProof/>
        </w:rPr>
        <w:softHyphen/>
      </w:r>
      <w:r w:rsidR="00147508" w:rsidRPr="009668E2">
        <w:rPr>
          <w:rFonts w:ascii="Garamond" w:hAnsi="Garamond"/>
          <w:noProof/>
        </w:rPr>
        <w:t>18/jrssem.v1i9.149.</w:t>
      </w:r>
      <w:r w:rsidR="00147508" w:rsidRPr="009668E2">
        <w:rPr>
          <w:rFonts w:ascii="Garamond" w:hAnsi="Garamond"/>
        </w:rPr>
        <w:fldChar w:fldCharType="end"/>
      </w:r>
    </w:p>
  </w:footnote>
  <w:footnote w:id="21">
    <w:p w14:paraId="4BE86DEA" w14:textId="6C367EEF" w:rsidR="00880294" w:rsidRPr="009668E2" w:rsidRDefault="008802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&lt;EndNote&gt;&lt;Cite&gt;&lt;Author&gt;Ridwan&lt;/Author&gt;&lt;Year&gt;2016&lt;/Year&gt;&lt;RecNum&gt;146&lt;/RecNum&gt;&lt;DisplayText&gt;Auliya Ridwan, &amp;quot;Colonial Politics of Power and Cultural Identity Development of Islamic Education Vis-a-Vis European Education in the Netherlands East Indies Periods,&amp;quot; &lt;style face="italic"&gt;Marâji`: Jurnal Ilmu Keislaman&lt;/style&gt; 2, no. 2 (2016).&lt;/DisplayText&gt;&lt;record&gt;&lt;rec-number&gt;146&lt;/rec-number&gt;&lt;foreign-keys&gt;&lt;key app="EN" db-id="wrez22watfrfanevx2zx2wps9sefrp09axse" timestamp="1489736726"&gt;146&lt;/key&gt;&lt;/foreign-keys&gt;&lt;ref-type name="Journal Article"&gt;17&lt;/ref-type&gt;&lt;contributors&gt;&lt;authors&gt;&lt;author&gt;Ridwan, Auliya&lt;/author&gt;&lt;/authors&gt;&lt;/contributors&gt;&lt;titles&gt;&lt;title&gt;Colonial Politics of Power and Cultural Identity Development of Islamic Education Vis-a-Vis European Education in The Netherlands East Indies Periods&lt;/title&gt;&lt;secondary-title&gt;Marâji`: Jurnal Ilmu Keislaman&lt;/secondary-title&gt;&lt;/titles&gt;&lt;periodical&gt;&lt;full-title&gt;Marâji`: Jurnal Ilmu Keislaman&lt;/full-title&gt;&lt;/periodical&gt;&lt;pages&gt;227-247&lt;/pages&gt;&lt;volume&gt;2&lt;/volume&gt;&lt;number&gt;2&lt;/number&gt;&lt;dates&gt;&lt;year&gt;2016&lt;/year&gt;&lt;/dates&gt;&lt;urls&gt;&lt;/urls&gt;&lt;/record&gt;&lt;/Cite&gt;&lt;/EndNote&gt;</w:instrText>
      </w:r>
      <w:r w:rsidRPr="009668E2">
        <w:rPr>
          <w:rFonts w:ascii="Garamond" w:hAnsi="Garamond"/>
        </w:rPr>
        <w:fldChar w:fldCharType="separate"/>
      </w:r>
      <w:r w:rsidRPr="009668E2">
        <w:rPr>
          <w:rFonts w:ascii="Garamond" w:hAnsi="Garamond"/>
          <w:noProof/>
        </w:rPr>
        <w:t xml:space="preserve">Auliya Ridwan, "Colonial Politics of Power and Cultural Identity Development of Islamic Education Vis-a-Vis European Education in the Netherlands East Indies Periods," </w:t>
      </w:r>
      <w:r w:rsidRPr="009668E2">
        <w:rPr>
          <w:rFonts w:ascii="Garamond" w:hAnsi="Garamond"/>
          <w:i/>
          <w:noProof/>
        </w:rPr>
        <w:t>Marâji`: Jurnal Ilmu Keislaman</w:t>
      </w:r>
      <w:r w:rsidRPr="009668E2">
        <w:rPr>
          <w:rFonts w:ascii="Garamond" w:hAnsi="Garamond"/>
          <w:noProof/>
        </w:rPr>
        <w:t xml:space="preserve"> 2, no. 2 (2016).</w:t>
      </w:r>
      <w:r w:rsidRPr="009668E2">
        <w:rPr>
          <w:rFonts w:ascii="Garamond" w:hAnsi="Garamond"/>
        </w:rPr>
        <w:fldChar w:fldCharType="end"/>
      </w:r>
    </w:p>
  </w:footnote>
  <w:footnote w:id="22">
    <w:p w14:paraId="1C1B1C32" w14:textId="47DC26B4" w:rsidR="00880294" w:rsidRPr="009668E2" w:rsidRDefault="008802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277F88" w:rsidRPr="009668E2">
        <w:rPr>
          <w:rFonts w:ascii="Garamond" w:hAnsi="Garamond"/>
        </w:rPr>
        <w:fldChar w:fldCharType="begin"/>
      </w:r>
      <w:r w:rsidR="00277F88" w:rsidRPr="009668E2">
        <w:rPr>
          <w:rFonts w:ascii="Garamond" w:hAnsi="Garamond"/>
        </w:rPr>
        <w:instrText xml:space="preserve"> ADDIN EN.CITE &lt;EndNote&gt;&lt;Cite&gt;&lt;Author&gt;Azzahra&lt;/Author&gt;&lt;Year&gt;2022&lt;/Year&gt;&lt;RecNum&gt;2259&lt;/RecNum&gt;&lt;DisplayText&gt;Raihan Azzahra and Farid S. Shuaib, &amp;quot;Religious Courts in Indonesia and Malaysia: History, Structure, and Jurisdiction,&amp;quot; &lt;style face="italic"&gt;Indonesian Comparative Law Review&lt;/style&gt; 4, no. 2 (2022), http://dx.doi.org/10.18196/iclr.v4i2.15911.&lt;/DisplayText&gt;&lt;record&gt;&lt;rec-number&gt;2259&lt;/rec-number&gt;&lt;foreign-keys&gt;&lt;key app="EN" db-id="wrez22watfrfanevx2zx2wps9sefrp09axse" timestamp="1717942300"&gt;2259&lt;/key&gt;&lt;/foreign-keys&gt;&lt;ref-type name="Journal Article"&gt;17&lt;/ref-type&gt;&lt;contributors&gt;&lt;authors&gt;&lt;author&gt;Azzahra, Raihan&lt;/author&gt;&lt;author&gt;Shuaib, Farid S.&lt;/author&gt;&lt;/authors&gt;&lt;/contributors&gt;&lt;titles&gt;&lt;title&gt;Religious Courts in Indonesia and Malaysia: History, Structure, and Jurisdiction&lt;/title&gt;&lt;secondary-title&gt;Indonesian Comparative Law Review&lt;/secondary-title&gt;&lt;/titles&gt;&lt;periodical&gt;&lt;full-title&gt;Indonesian Comparative Law Review&lt;/full-title&gt;&lt;/periodical&gt;&lt;pages&gt;115-130&lt;/pages&gt;&lt;volume&gt;4&lt;/volume&gt;&lt;number&gt;2&lt;/number&gt;&lt;dates&gt;&lt;year&gt;2022&lt;/year&gt;&lt;/dates&gt;&lt;urls&gt;&lt;/urls&gt;&lt;electronic-resource-num&gt;10.18196/iclr.v4i2.15911&lt;/electronic-resource-num&gt;&lt;/record&gt;&lt;/Cite&gt;&lt;/EndNote&gt;</w:instrText>
      </w:r>
      <w:r w:rsidR="00277F88" w:rsidRPr="009668E2">
        <w:rPr>
          <w:rFonts w:ascii="Garamond" w:hAnsi="Garamond"/>
        </w:rPr>
        <w:fldChar w:fldCharType="separate"/>
      </w:r>
      <w:r w:rsidR="00277F88" w:rsidRPr="009668E2">
        <w:rPr>
          <w:rFonts w:ascii="Garamond" w:hAnsi="Garamond"/>
          <w:noProof/>
        </w:rPr>
        <w:t xml:space="preserve">Raihan Azzahra and Farid S. Shuaib, "Religious Courts in Indonesia and Malaysia: History, Structure, and Jurisdiction," </w:t>
      </w:r>
      <w:r w:rsidR="00277F88" w:rsidRPr="009668E2">
        <w:rPr>
          <w:rFonts w:ascii="Garamond" w:hAnsi="Garamond"/>
          <w:i/>
          <w:noProof/>
        </w:rPr>
        <w:t>Indonesian Comparative Law Review</w:t>
      </w:r>
      <w:r w:rsidR="00277F88" w:rsidRPr="009668E2">
        <w:rPr>
          <w:rFonts w:ascii="Garamond" w:hAnsi="Garamond"/>
          <w:noProof/>
        </w:rPr>
        <w:t xml:space="preserve"> 4, no. 2 (2022), http://dx.doi.org/10.18196/iclr.v4i2.15911.</w:t>
      </w:r>
      <w:r w:rsidR="00277F88" w:rsidRPr="009668E2">
        <w:rPr>
          <w:rFonts w:ascii="Garamond" w:hAnsi="Garamond"/>
        </w:rPr>
        <w:fldChar w:fldCharType="end"/>
      </w:r>
    </w:p>
  </w:footnote>
  <w:footnote w:id="23">
    <w:p w14:paraId="558A4358" w14:textId="3D1727DA" w:rsidR="00880294" w:rsidRPr="009668E2" w:rsidRDefault="008802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277F88" w:rsidRPr="009668E2">
        <w:rPr>
          <w:rFonts w:ascii="Garamond" w:hAnsi="Garamond"/>
        </w:rPr>
        <w:fldChar w:fldCharType="begin"/>
      </w:r>
      <w:r w:rsidR="00277F88" w:rsidRPr="009668E2">
        <w:rPr>
          <w:rFonts w:ascii="Garamond" w:hAnsi="Garamond"/>
        </w:rPr>
        <w:instrText xml:space="preserve"> ADDIN EN.CITE &lt;EndNote&gt;&lt;Cite&gt;&lt;Author&gt;Suradi&lt;/Author&gt;&lt;Year&gt;2022&lt;/Year&gt;&lt;RecNum&gt;2260&lt;/RecNum&gt;&lt;DisplayText&gt;Ahmad Suradi, &amp;quot;The Social, Political, and Cultural Perspective of Islamic Education in Palembang Malay: A Continuous Evaluation from the Dutch Colonial Period to Today,&amp;quot; &lt;style face="italic"&gt;Journal of Ethnic and Cultural Studies&lt;/style&gt; 9, no. 3 (2022), http://dx.doi.org/10.29333/ejecs/1200.&lt;/DisplayText&gt;&lt;record&gt;&lt;rec-number&gt;2260&lt;/rec-number&gt;&lt;foreign-keys&gt;&lt;key app="EN" db-id="wrez22watfrfanevx2zx2wps9sefrp09axse" timestamp="1717942300"&gt;2260&lt;/key&gt;&lt;/foreign-keys&gt;&lt;ref-type name="Journal Article"&gt;17&lt;/ref-type&gt;&lt;contributors&gt;&lt;authors&gt;&lt;author&gt;Suradi, Ahmad&lt;/author&gt;&lt;/authors&gt;&lt;/contributors&gt;&lt;titles&gt;&lt;title&gt;The Social, Political, and Cultural Perspective of Islamic Education in Palembang Malay: A Continuous Evaluation From the Dutch Colonial Period to Today&lt;/title&gt;&lt;secondary-title&gt;Journal of Ethnic and Cultural Studies&lt;/secondary-title&gt;&lt;/titles&gt;&lt;periodical&gt;&lt;full-title&gt;Journal of Ethnic and Cultural Studies&lt;/full-title&gt;&lt;/periodical&gt;&lt;pages&gt;56-71&lt;/pages&gt;&lt;volume&gt;9&lt;/volume&gt;&lt;number&gt;3&lt;/number&gt;&lt;dates&gt;&lt;year&gt;2022&lt;/year&gt;&lt;/dates&gt;&lt;urls&gt;&lt;/urls&gt;&lt;electronic-resource-num&gt;10.29333/ejecs/1200&lt;/electronic-resource-num&gt;&lt;/record&gt;&lt;/Cite&gt;&lt;/EndNote&gt;</w:instrText>
      </w:r>
      <w:r w:rsidR="00277F88" w:rsidRPr="009668E2">
        <w:rPr>
          <w:rFonts w:ascii="Garamond" w:hAnsi="Garamond"/>
        </w:rPr>
        <w:fldChar w:fldCharType="separate"/>
      </w:r>
      <w:r w:rsidR="00277F88" w:rsidRPr="009668E2">
        <w:rPr>
          <w:rFonts w:ascii="Garamond" w:hAnsi="Garamond"/>
          <w:noProof/>
        </w:rPr>
        <w:t xml:space="preserve">Ahmad Suradi, "The Social, Political, and Cultural Perspective of Islamic Education in Palembang Malay: A Continuous Evaluation from the Dutch Colonial Period to Today," </w:t>
      </w:r>
      <w:r w:rsidR="00277F88" w:rsidRPr="009668E2">
        <w:rPr>
          <w:rFonts w:ascii="Garamond" w:hAnsi="Garamond"/>
          <w:i/>
          <w:noProof/>
        </w:rPr>
        <w:t>Journal of Ethnic and Cultural Studies</w:t>
      </w:r>
      <w:r w:rsidR="00277F88" w:rsidRPr="009668E2">
        <w:rPr>
          <w:rFonts w:ascii="Garamond" w:hAnsi="Garamond"/>
          <w:noProof/>
        </w:rPr>
        <w:t xml:space="preserve"> 9, no. 3 (2022), http://dx.doi.org</w:t>
      </w:r>
      <w:r w:rsidR="00496A63">
        <w:rPr>
          <w:rFonts w:ascii="Garamond" w:hAnsi="Garamond"/>
          <w:noProof/>
        </w:rPr>
        <w:softHyphen/>
      </w:r>
      <w:r w:rsidR="00277F88" w:rsidRPr="009668E2">
        <w:rPr>
          <w:rFonts w:ascii="Garamond" w:hAnsi="Garamond"/>
          <w:noProof/>
        </w:rPr>
        <w:t>/10.29333/ejecs/1200.</w:t>
      </w:r>
      <w:r w:rsidR="00277F88" w:rsidRPr="009668E2">
        <w:rPr>
          <w:rFonts w:ascii="Garamond" w:hAnsi="Garamond"/>
        </w:rPr>
        <w:fldChar w:fldCharType="end"/>
      </w:r>
    </w:p>
  </w:footnote>
  <w:footnote w:id="24">
    <w:p w14:paraId="591827D8" w14:textId="621AB44A" w:rsidR="00880294" w:rsidRPr="009668E2" w:rsidRDefault="008802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277F88" w:rsidRPr="009668E2">
        <w:rPr>
          <w:rFonts w:ascii="Garamond" w:hAnsi="Garamond"/>
        </w:rPr>
        <w:fldChar w:fldCharType="begin"/>
      </w:r>
      <w:r w:rsidR="00277F88" w:rsidRPr="009668E2">
        <w:rPr>
          <w:rFonts w:ascii="Garamond" w:hAnsi="Garamond"/>
        </w:rPr>
        <w:instrText xml:space="preserve"> ADDIN EN.CITE &lt;EndNote&gt;&lt;Cite&gt;&lt;Author&gt;Iqbal&lt;/Author&gt;&lt;Year&gt;2019&lt;/Year&gt;&lt;RecNum&gt;2261&lt;/RecNum&gt;&lt;DisplayText&gt;Moch Iqbal, &amp;quot;Dualism System of Higher Education in Indonesia,&amp;quot;  (2019), http://dx.doi.org/10.2991/icetep-18.2019.33.&lt;/DisplayText&gt;&lt;record&gt;&lt;rec-number&gt;2261&lt;/rec-number&gt;&lt;foreign-keys&gt;&lt;key app="EN" db-id="wrez22watfrfanevx2zx2wps9sefrp09axse" timestamp="1717942300"&gt;2261&lt;/key&gt;&lt;/foreign-keys&gt;&lt;ref-type name="Journal Article"&gt;17&lt;/ref-type&gt;&lt;contributors&gt;&lt;authors&gt;&lt;author&gt;Iqbal, Moch&lt;/author&gt;&lt;/authors&gt;&lt;/contributors&gt;&lt;titles&gt;&lt;title&gt;Dualism System of Higher Education in Indonesia&lt;/title&gt;&lt;/titles&gt;&lt;dates&gt;&lt;year&gt;2019&lt;/year&gt;&lt;/dates&gt;&lt;urls&gt;&lt;/urls&gt;&lt;electronic-resource-num&gt;10.2991/icetep-18.2019.33&lt;/electronic-resource-num&gt;&lt;/record&gt;&lt;/Cite&gt;&lt;/EndNote&gt;</w:instrText>
      </w:r>
      <w:r w:rsidR="00277F88" w:rsidRPr="009668E2">
        <w:rPr>
          <w:rFonts w:ascii="Garamond" w:hAnsi="Garamond"/>
        </w:rPr>
        <w:fldChar w:fldCharType="separate"/>
      </w:r>
      <w:r w:rsidR="00277F88" w:rsidRPr="009668E2">
        <w:rPr>
          <w:rFonts w:ascii="Garamond" w:hAnsi="Garamond"/>
          <w:noProof/>
        </w:rPr>
        <w:t>Moch Iqbal, "Dualism System of Higher Education in Indonesia,"  (2019), http://dx.doi.</w:t>
      </w:r>
      <w:r w:rsidR="00496A63">
        <w:rPr>
          <w:rFonts w:ascii="Garamond" w:hAnsi="Garamond"/>
          <w:noProof/>
        </w:rPr>
        <w:softHyphen/>
      </w:r>
      <w:r w:rsidR="00277F88" w:rsidRPr="009668E2">
        <w:rPr>
          <w:rFonts w:ascii="Garamond" w:hAnsi="Garamond"/>
          <w:noProof/>
        </w:rPr>
        <w:t>org/10.2991/icetep-18.2019.33.</w:t>
      </w:r>
      <w:r w:rsidR="00277F88" w:rsidRPr="009668E2">
        <w:rPr>
          <w:rFonts w:ascii="Garamond" w:hAnsi="Garamond"/>
        </w:rPr>
        <w:fldChar w:fldCharType="end"/>
      </w:r>
    </w:p>
  </w:footnote>
  <w:footnote w:id="25">
    <w:p w14:paraId="3525AC4F" w14:textId="69F8F42C" w:rsidR="00880294" w:rsidRPr="009668E2" w:rsidRDefault="008802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277F88" w:rsidRPr="009668E2">
        <w:rPr>
          <w:rFonts w:ascii="Garamond" w:hAnsi="Garamond"/>
        </w:rPr>
        <w:fldChar w:fldCharType="begin"/>
      </w:r>
      <w:r w:rsidR="00277F88" w:rsidRPr="009668E2">
        <w:rPr>
          <w:rFonts w:ascii="Garamond" w:hAnsi="Garamond"/>
        </w:rPr>
        <w:instrText xml:space="preserve"> ADDIN EN.CITE &lt;EndNote&gt;&lt;Cite&gt;&lt;Author&gt;Mustika&lt;/Author&gt;&lt;Year&gt;2019&lt;/Year&gt;&lt;RecNum&gt;2262&lt;/RecNum&gt;&lt;DisplayText&gt;Rita Mustika et al., &amp;quot;The Odyssey of Medical Education in Indonesia,&amp;quot; &lt;style face="italic"&gt;The Asia Pacific Scholar&lt;/style&gt; 4, no. 1 (2019), http://dx.doi.org/10.29060/taps.2019-4-1/gp1077.&lt;/DisplayText&gt;&lt;record&gt;&lt;rec-number&gt;2262&lt;/rec-number&gt;&lt;foreign-keys&gt;&lt;key app="EN" db-id="wrez22watfrfanevx2zx2wps9sefrp09axse" timestamp="1717942300"&gt;2262&lt;/key&gt;&lt;/foreign-keys&gt;&lt;ref-type name="Journal Article"&gt;17&lt;/ref-type&gt;&lt;contributors&gt;&lt;authors&gt;&lt;author&gt;Mustika, Rita&lt;/author&gt;&lt;author&gt;Nishigori, Hiroshi&lt;/author&gt;&lt;author&gt;Ronokusumo, Sjamsuhidajat&lt;/author&gt;&lt;author&gt;Scherpbier, Albert J.&lt;/author&gt;&lt;/authors&gt;&lt;/contributors&gt;&lt;titles&gt;&lt;title&gt;The Odyssey of Medical Education in Indonesia&lt;/title&gt;&lt;secondary-title&gt;The Asia Pacific Scholar&lt;/secondary-title&gt;&lt;/titles&gt;&lt;periodical&gt;&lt;full-title&gt;The Asia Pacific Scholar&lt;/full-title&gt;&lt;/periodical&gt;&lt;pages&gt;4-8&lt;/pages&gt;&lt;volume&gt;4&lt;/volume&gt;&lt;number&gt;1&lt;/number&gt;&lt;dates&gt;&lt;year&gt;2019&lt;/year&gt;&lt;/dates&gt;&lt;urls&gt;&lt;/urls&gt;&lt;electronic-resource-num&gt;10.29060/taps.2019-4-1/gp1077&lt;/electronic-resource-num&gt;&lt;/record&gt;&lt;/Cite&gt;&lt;/EndNote&gt;</w:instrText>
      </w:r>
      <w:r w:rsidR="00277F88" w:rsidRPr="009668E2">
        <w:rPr>
          <w:rFonts w:ascii="Garamond" w:hAnsi="Garamond"/>
        </w:rPr>
        <w:fldChar w:fldCharType="separate"/>
      </w:r>
      <w:r w:rsidR="00277F88" w:rsidRPr="009668E2">
        <w:rPr>
          <w:rFonts w:ascii="Garamond" w:hAnsi="Garamond"/>
          <w:noProof/>
        </w:rPr>
        <w:t xml:space="preserve">Rita Mustika et al., "The Odyssey of Medical Education in Indonesia," </w:t>
      </w:r>
      <w:r w:rsidR="00277F88" w:rsidRPr="009668E2">
        <w:rPr>
          <w:rFonts w:ascii="Garamond" w:hAnsi="Garamond"/>
          <w:i/>
          <w:noProof/>
        </w:rPr>
        <w:t>The Asia Pacific Scholar</w:t>
      </w:r>
      <w:r w:rsidR="00277F88" w:rsidRPr="009668E2">
        <w:rPr>
          <w:rFonts w:ascii="Garamond" w:hAnsi="Garamond"/>
          <w:noProof/>
        </w:rPr>
        <w:t xml:space="preserve"> 4, no. 1 (2019), http://dx.doi.org/10.29060/taps.2019-4-1/gp1077.</w:t>
      </w:r>
      <w:r w:rsidR="00277F88" w:rsidRPr="009668E2">
        <w:rPr>
          <w:rFonts w:ascii="Garamond" w:hAnsi="Garamond"/>
        </w:rPr>
        <w:fldChar w:fldCharType="end"/>
      </w:r>
    </w:p>
  </w:footnote>
  <w:footnote w:id="26">
    <w:p w14:paraId="0794DB21" w14:textId="3C60A159" w:rsidR="00880294" w:rsidRPr="009668E2" w:rsidRDefault="008802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277F88" w:rsidRPr="009668E2">
        <w:rPr>
          <w:rFonts w:ascii="Garamond" w:hAnsi="Garamond"/>
        </w:rPr>
        <w:fldChar w:fldCharType="begin"/>
      </w:r>
      <w:r w:rsidR="00277F88" w:rsidRPr="009668E2">
        <w:rPr>
          <w:rFonts w:ascii="Garamond" w:hAnsi="Garamond"/>
        </w:rPr>
        <w:instrText xml:space="preserve"> ADDIN EN.CITE &lt;EndNote&gt;&lt;Cite&gt;&lt;Author&gt;Adeline&lt;/Author&gt;&lt;Year&gt;2023&lt;/Year&gt;&lt;RecNum&gt;2263&lt;/RecNum&gt;&lt;DisplayText&gt;Agnes L. Adeline, &amp;quot;The Existence of Inheritance in Indonesia against Customary Inheritance Law and Islamic Inheritance Law,&amp;quot;  (2023), http://dx.doi.org/10.2991/978-2-38476-164-7_2.&lt;/DisplayText&gt;&lt;record&gt;&lt;rec-number&gt;2263&lt;/rec-number&gt;&lt;foreign-keys&gt;&lt;key app="EN" db-id="wrez22watfrfanevx2zx2wps9sefrp09axse" timestamp="1717942300"&gt;2263&lt;/key&gt;&lt;/foreign-keys&gt;&lt;ref-type name="Journal Article"&gt;17&lt;/ref-type&gt;&lt;contributors&gt;&lt;authors&gt;&lt;author&gt;Adeline, Agnes L.&lt;/author&gt;&lt;/authors&gt;&lt;/contributors&gt;&lt;titles&gt;&lt;title&gt;The Existence of Inheritance in Indonesia Against Customary Inheritance Law and Islamic Inheritance Law&lt;/title&gt;&lt;/titles&gt;&lt;pages&gt;4-16&lt;/pages&gt;&lt;dates&gt;&lt;year&gt;2023&lt;/year&gt;&lt;/dates&gt;&lt;urls&gt;&lt;/urls&gt;&lt;electronic-resource-num&gt;10.2991/978-2-38476-164-7_2&lt;/electronic-resource-num&gt;&lt;/record&gt;&lt;/Cite&gt;&lt;/EndNote&gt;</w:instrText>
      </w:r>
      <w:r w:rsidR="00277F88" w:rsidRPr="009668E2">
        <w:rPr>
          <w:rFonts w:ascii="Garamond" w:hAnsi="Garamond"/>
        </w:rPr>
        <w:fldChar w:fldCharType="separate"/>
      </w:r>
      <w:r w:rsidR="00277F88" w:rsidRPr="009668E2">
        <w:rPr>
          <w:rFonts w:ascii="Garamond" w:hAnsi="Garamond"/>
          <w:noProof/>
        </w:rPr>
        <w:t>Agnes L. Adeline, "The Existence of Inheritance in Indonesia against Customary Inheritance Law and Islamic Inheritance Law,"  (2023), http://dx.doi.org/10.2991</w:t>
      </w:r>
      <w:r w:rsidR="00496A63">
        <w:rPr>
          <w:rFonts w:ascii="Garamond" w:hAnsi="Garamond"/>
          <w:noProof/>
        </w:rPr>
        <w:softHyphen/>
      </w:r>
      <w:r w:rsidR="00277F88" w:rsidRPr="009668E2">
        <w:rPr>
          <w:rFonts w:ascii="Garamond" w:hAnsi="Garamond"/>
          <w:noProof/>
        </w:rPr>
        <w:t>/978-2-38476-164-7_2.</w:t>
      </w:r>
      <w:r w:rsidR="00277F88" w:rsidRPr="009668E2">
        <w:rPr>
          <w:rFonts w:ascii="Garamond" w:hAnsi="Garamond"/>
        </w:rPr>
        <w:fldChar w:fldCharType="end"/>
      </w:r>
    </w:p>
  </w:footnote>
  <w:footnote w:id="27">
    <w:p w14:paraId="5874C659" w14:textId="7EF70D71" w:rsidR="00880294" w:rsidRPr="009668E2" w:rsidRDefault="008802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277F88" w:rsidRPr="009668E2">
        <w:rPr>
          <w:rFonts w:ascii="Garamond" w:hAnsi="Garamond"/>
        </w:rPr>
        <w:fldChar w:fldCharType="begin"/>
      </w:r>
      <w:r w:rsidR="00277F88" w:rsidRPr="009668E2">
        <w:rPr>
          <w:rFonts w:ascii="Garamond" w:hAnsi="Garamond"/>
        </w:rPr>
        <w:instrText xml:space="preserve"> ADDIN EN.CITE &lt;EndNote&gt;&lt;Cite&gt;&lt;Author&gt;Mahasin&lt;/Author&gt;&lt;Year&gt;2021&lt;/Year&gt;&lt;RecNum&gt;2264&lt;/RecNum&gt;&lt;DisplayText&gt;Mohamad Z. Mahasin, Yety Rochwulaningsih, and Singgih T. Sulistiyono, &amp;quot;Ecological Mapping for the Development of Salt Production Centres in Indonesia During the Dutch Colonial Era,&amp;quot; &lt;style face="italic"&gt;E3S web of conferences&lt;/style&gt; 317 (2021), http://dx.doi.org/10.1051/e3sconf/202131704024.&lt;/DisplayText&gt;&lt;record&gt;&lt;rec-number&gt;2264&lt;/rec-number&gt;&lt;foreign-keys&gt;&lt;key app="EN" db-id="wrez22watfrfanevx2zx2wps9sefrp09axse" timestamp="1717942300"&gt;2264&lt;/key&gt;&lt;/foreign-keys&gt;&lt;ref-type name="Journal Article"&gt;17&lt;/ref-type&gt;&lt;contributors&gt;&lt;authors&gt;&lt;author&gt;Mahasin, Mohamad Z.&lt;/author&gt;&lt;author&gt;Rochwulaningsih, Yety&lt;/author&gt;&lt;author&gt;Sulistiyono, Singgih T.&lt;/author&gt;&lt;/authors&gt;&lt;/contributors&gt;&lt;titles&gt;&lt;title&gt;Ecological Mapping for the Development of Salt Production Centres in Indonesia During the Dutch Colonial Era&lt;/title&gt;&lt;secondary-title&gt;E3s Web of Conferences&lt;/secondary-title&gt;&lt;/titles&gt;&lt;periodical&gt;&lt;full-title&gt;E3S web of conferences&lt;/full-title&gt;&lt;/periodical&gt;&lt;pages&gt;04024&lt;/pages&gt;&lt;volume&gt;317&lt;/volume&gt;&lt;dates&gt;&lt;year&gt;2021&lt;/year&gt;&lt;/dates&gt;&lt;urls&gt;&lt;/urls&gt;&lt;electronic-resource-num&gt;10.1051/e3sconf/202131704024&lt;/electronic-resource-num&gt;&lt;/record&gt;&lt;/Cite&gt;&lt;/EndNote&gt;</w:instrText>
      </w:r>
      <w:r w:rsidR="00277F88" w:rsidRPr="009668E2">
        <w:rPr>
          <w:rFonts w:ascii="Garamond" w:hAnsi="Garamond"/>
        </w:rPr>
        <w:fldChar w:fldCharType="separate"/>
      </w:r>
      <w:r w:rsidR="00277F88" w:rsidRPr="009668E2">
        <w:rPr>
          <w:rFonts w:ascii="Garamond" w:hAnsi="Garamond"/>
          <w:noProof/>
        </w:rPr>
        <w:t xml:space="preserve">Mohamad Z. Mahasin, Yety Rochwulaningsih, and Singgih T. Sulistiyono, "Ecological Mapping for the Development of Salt Production Centres in Indonesia During the Dutch Colonial Era," </w:t>
      </w:r>
      <w:r w:rsidR="00277F88" w:rsidRPr="009668E2">
        <w:rPr>
          <w:rFonts w:ascii="Garamond" w:hAnsi="Garamond"/>
          <w:i/>
          <w:noProof/>
        </w:rPr>
        <w:t>E3S web of conferences</w:t>
      </w:r>
      <w:r w:rsidR="00277F88" w:rsidRPr="009668E2">
        <w:rPr>
          <w:rFonts w:ascii="Garamond" w:hAnsi="Garamond"/>
          <w:noProof/>
        </w:rPr>
        <w:t xml:space="preserve"> 317 (2021), http://dx.doi.org/10.1051/e3sconf/202131704024.</w:t>
      </w:r>
      <w:r w:rsidR="00277F88" w:rsidRPr="009668E2">
        <w:rPr>
          <w:rFonts w:ascii="Garamond" w:hAnsi="Garamond"/>
        </w:rPr>
        <w:fldChar w:fldCharType="end"/>
      </w:r>
    </w:p>
  </w:footnote>
  <w:footnote w:id="28">
    <w:p w14:paraId="1BB3FB62" w14:textId="0753D124" w:rsidR="00880294" w:rsidRPr="009668E2" w:rsidRDefault="008802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277F88" w:rsidRPr="009668E2">
        <w:rPr>
          <w:rFonts w:ascii="Garamond" w:hAnsi="Garamond"/>
        </w:rPr>
        <w:fldChar w:fldCharType="begin"/>
      </w:r>
      <w:r w:rsidR="00277F88" w:rsidRPr="009668E2">
        <w:rPr>
          <w:rFonts w:ascii="Garamond" w:hAnsi="Garamond"/>
        </w:rPr>
        <w:instrText xml:space="preserve"> ADDIN EN.CITE &lt;EndNote&gt;&lt;Cite&gt;&lt;Author&gt;Protschky&lt;/Author&gt;&lt;Year&gt;2008&lt;/Year&gt;&lt;RecNum&gt;2265&lt;/RecNum&gt;&lt;DisplayText&gt;Susanne Protschky, &amp;quot;Seductive Landscapes: Gender, Race and European Representations of Nature in the Dutch East Indies During the Late Colonial Period,&amp;quot; &lt;style face="italic"&gt;Gender &amp;amp; History&lt;/style&gt; 20, no. 2 (2008), http://dx.doi.org/10.1111/j.1468-0424.2008.00530.x.&lt;/DisplayText&gt;&lt;record&gt;&lt;rec-number&gt;2265&lt;/rec-number&gt;&lt;foreign-keys&gt;&lt;key app="EN" db-id="wrez22watfrfanevx2zx2wps9sefrp09axse" timestamp="1717942300"&gt;2265&lt;/key&gt;&lt;/foreign-keys&gt;&lt;ref-type name="Journal Article"&gt;17&lt;/ref-type&gt;&lt;contributors&gt;&lt;authors&gt;&lt;author&gt;Protschky, Susanne&lt;/author&gt;&lt;/authors&gt;&lt;/contributors&gt;&lt;titles&gt;&lt;title&gt;Seductive Landscapes: Gender, Race and European Representations of Nature in the Dutch East Indies During the Late Colonial Period&lt;/title&gt;&lt;secondary-title&gt;Gender &amp;amp; History&lt;/secondary-title&gt;&lt;/titles&gt;&lt;periodical&gt;&lt;full-title&gt;Gender &amp;amp; History&lt;/full-title&gt;&lt;/periodical&gt;&lt;pages&gt;372-398&lt;/pages&gt;&lt;volume&gt;20&lt;/volume&gt;&lt;number&gt;2&lt;/number&gt;&lt;dates&gt;&lt;year&gt;2008&lt;/year&gt;&lt;/dates&gt;&lt;urls&gt;&lt;/urls&gt;&lt;electronic-resource-num&gt;10.1111/j.1468-0424.2008.00530.x&lt;/electronic-resource-num&gt;&lt;/record&gt;&lt;/Cite&gt;&lt;/EndNote&gt;</w:instrText>
      </w:r>
      <w:r w:rsidR="00277F88" w:rsidRPr="009668E2">
        <w:rPr>
          <w:rFonts w:ascii="Garamond" w:hAnsi="Garamond"/>
        </w:rPr>
        <w:fldChar w:fldCharType="separate"/>
      </w:r>
      <w:r w:rsidR="00277F88" w:rsidRPr="009668E2">
        <w:rPr>
          <w:rFonts w:ascii="Garamond" w:hAnsi="Garamond"/>
          <w:noProof/>
        </w:rPr>
        <w:t xml:space="preserve">Susanne Protschky, "Seductive Landscapes: Gender, Race and European Representations of Nature in the Dutch East Indies During the Late Colonial Period," </w:t>
      </w:r>
      <w:r w:rsidR="00277F88" w:rsidRPr="009668E2">
        <w:rPr>
          <w:rFonts w:ascii="Garamond" w:hAnsi="Garamond"/>
          <w:i/>
          <w:noProof/>
        </w:rPr>
        <w:t>Gender &amp; History</w:t>
      </w:r>
      <w:r w:rsidR="00277F88" w:rsidRPr="009668E2">
        <w:rPr>
          <w:rFonts w:ascii="Garamond" w:hAnsi="Garamond"/>
          <w:noProof/>
        </w:rPr>
        <w:t xml:space="preserve"> 20, no. 2 (2008), http://dx.doi.org/10.1111/j.1468-0424.2008.00530.x.</w:t>
      </w:r>
      <w:r w:rsidR="00277F88" w:rsidRPr="009668E2">
        <w:rPr>
          <w:rFonts w:ascii="Garamond" w:hAnsi="Garamond"/>
        </w:rPr>
        <w:fldChar w:fldCharType="end"/>
      </w:r>
    </w:p>
  </w:footnote>
  <w:footnote w:id="29">
    <w:p w14:paraId="4890F342" w14:textId="0B77BCD6" w:rsidR="00AF022E" w:rsidRPr="009668E2" w:rsidRDefault="00AF022E"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175C4D" w:rsidRPr="009668E2">
        <w:rPr>
          <w:rFonts w:ascii="Garamond" w:hAnsi="Garamond"/>
        </w:rPr>
        <w:fldChar w:fldCharType="begin"/>
      </w:r>
      <w:r w:rsidR="00175C4D" w:rsidRPr="009668E2">
        <w:rPr>
          <w:rFonts w:ascii="Garamond" w:hAnsi="Garamond"/>
        </w:rPr>
        <w:instrText xml:space="preserve"> ADDIN EN.CITE &lt;EndNote&gt;&lt;Cite&gt;&lt;Author&gt;Wibisono&lt;/Author&gt;&lt;Year&gt;2019&lt;/Year&gt;&lt;RecNum&gt;1750&lt;/RecNum&gt;&lt;DisplayText&gt;Susilo Wibisono, Winnifred R. Louis, and Jolanda Jetten, &amp;quot;The Role of Religious Fundamentalism in the Intersection of National and Religious Identities,&amp;quot; &lt;style face="italic"&gt;Journal of Pacific Rim Psychology&lt;/style&gt;  (2019), http://dx.doi.org/10.1017/prp.2018.25.&lt;/DisplayText&gt;&lt;record&gt;&lt;rec-number&gt;1750&lt;/rec-number&gt;&lt;foreign-keys&gt;&lt;key app="EN" db-id="wrez22watfrfanevx2zx2wps9sefrp09axse" timestamp="1714904348"&gt;1750&lt;/key&gt;&lt;/foreign-keys&gt;&lt;ref-type name="Journal Article"&gt;17&lt;/ref-type&gt;&lt;contributors&gt;&lt;authors&gt;&lt;author&gt;Wibisono, Susilo&lt;/author&gt;&lt;author&gt;Louis, Winnifred R.&lt;/author&gt;&lt;author&gt;Jetten, Jolanda&lt;/author&gt;&lt;/authors&gt;&lt;/contributors&gt;&lt;titles&gt;&lt;title&gt;The Role of Religious Fundamentalism in the Intersection of National and Religious Identities&lt;/title&gt;&lt;secondary-title&gt;Journal of Pacific Rim Psychology&lt;/secondary-title&gt;&lt;/titles&gt;&lt;periodical&gt;&lt;full-title&gt;Journal of Pacific Rim Psychology&lt;/full-title&gt;&lt;/periodical&gt;&lt;dates&gt;&lt;year&gt;2019&lt;/year&gt;&lt;/dates&gt;&lt;urls&gt;&lt;/urls&gt;&lt;electronic-resource-num&gt;10.1017/prp.2018.25&lt;/electronic-resource-num&gt;&lt;/record&gt;&lt;/Cite&gt;&lt;/EndNote&gt;</w:instrText>
      </w:r>
      <w:r w:rsidR="00175C4D" w:rsidRPr="009668E2">
        <w:rPr>
          <w:rFonts w:ascii="Garamond" w:hAnsi="Garamond"/>
        </w:rPr>
        <w:fldChar w:fldCharType="separate"/>
      </w:r>
      <w:r w:rsidR="00175C4D" w:rsidRPr="009668E2">
        <w:rPr>
          <w:rFonts w:ascii="Garamond" w:hAnsi="Garamond"/>
          <w:noProof/>
        </w:rPr>
        <w:t xml:space="preserve">Susilo Wibisono, Winnifred R. Louis, and Jolanda Jetten, "The Role of Religious Fundamentalism in the Intersection of National and Religious Identities," </w:t>
      </w:r>
      <w:r w:rsidR="00175C4D" w:rsidRPr="009668E2">
        <w:rPr>
          <w:rFonts w:ascii="Garamond" w:hAnsi="Garamond"/>
          <w:i/>
          <w:noProof/>
        </w:rPr>
        <w:t>Journal of Pacific Rim Psychology</w:t>
      </w:r>
      <w:r w:rsidR="00175C4D" w:rsidRPr="009668E2">
        <w:rPr>
          <w:rFonts w:ascii="Garamond" w:hAnsi="Garamond"/>
          <w:noProof/>
        </w:rPr>
        <w:t xml:space="preserve">  (2019), http://dx.doi.org/10.1017/prp.2018.25.</w:t>
      </w:r>
      <w:r w:rsidR="00175C4D" w:rsidRPr="009668E2">
        <w:rPr>
          <w:rFonts w:ascii="Garamond" w:hAnsi="Garamond"/>
        </w:rPr>
        <w:fldChar w:fldCharType="end"/>
      </w:r>
    </w:p>
  </w:footnote>
  <w:footnote w:id="30">
    <w:p w14:paraId="32EC92DB" w14:textId="77777777" w:rsidR="00B576ED" w:rsidRPr="009668E2" w:rsidRDefault="00B576ED"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&lt;EndNote&gt;&lt;Cite&gt;&lt;Author&gt;Wibisono&lt;/Author&gt;&lt;Year&gt;2019&lt;/Year&gt;&lt;RecNum&gt;1750&lt;/RecNum&gt;&lt;DisplayText&gt;Ibid.&lt;/DisplayText&gt;&lt;record&gt;&lt;rec-number&gt;1750&lt;/rec-number&gt;&lt;foreign-keys&gt;&lt;key app="EN" db-id="wrez22watfrfanevx2zx2wps9sefrp09axse" timestamp="1714904348"&gt;1750&lt;/key&gt;&lt;/foreign-keys&gt;&lt;ref-type name="Journal Article"&gt;17&lt;/ref-type&gt;&lt;contributors&gt;&lt;authors&gt;&lt;author&gt;Wibisono, Susilo&lt;/author&gt;&lt;author&gt;Louis, Winnifred R.&lt;/author&gt;&lt;author&gt;Jetten, Jolanda&lt;/author&gt;&lt;/authors&gt;&lt;/contributors&gt;&lt;titles&gt;&lt;title&gt;The Role of Religious Fundamentalism in the Intersection of National and Religious Identities&lt;/title&gt;&lt;secondary-title&gt;Journal of Pacific Rim Psychology&lt;/secondary-title&gt;&lt;/titles&gt;&lt;periodical&gt;&lt;full-title&gt;Journal of Pacific Rim Psychology&lt;/full-title&gt;&lt;/periodical&gt;&lt;dates&gt;&lt;year&gt;2019&lt;/year&gt;&lt;/dates&gt;&lt;urls&gt;&lt;/urls&gt;&lt;electronic-resource-num&gt;10.1017/prp.2018.25&lt;/electronic-resource-num&gt;&lt;/record&gt;&lt;/Cite&gt;&lt;/EndNote&gt;</w:instrText>
      </w:r>
      <w:r w:rsidRPr="009668E2">
        <w:rPr>
          <w:rFonts w:ascii="Garamond" w:hAnsi="Garamond"/>
        </w:rPr>
        <w:fldChar w:fldCharType="separate"/>
      </w:r>
      <w:r w:rsidRPr="009668E2">
        <w:rPr>
          <w:rFonts w:ascii="Garamond" w:hAnsi="Garamond"/>
          <w:noProof/>
        </w:rPr>
        <w:t>Ibid.</w:t>
      </w:r>
      <w:r w:rsidRPr="009668E2">
        <w:rPr>
          <w:rFonts w:ascii="Garamond" w:hAnsi="Garamond"/>
        </w:rPr>
        <w:fldChar w:fldCharType="end"/>
      </w:r>
    </w:p>
  </w:footnote>
  <w:footnote w:id="31">
    <w:p w14:paraId="63B2E642" w14:textId="3583565F" w:rsidR="00B576ED" w:rsidRPr="009668E2" w:rsidRDefault="00B576ED"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&lt;EndNote&gt;&lt;Cite&gt;&lt;Author&gt;Cholil&lt;/Author&gt;&lt;Year&gt;2023&lt;/Year&gt;&lt;RecNum&gt;1751&lt;/RecNum&gt;&lt;DisplayText&gt;Suhadi Cholil, &amp;quot;Freedom of Religion Amid Polarization and Religious Moderation Policy,&amp;quot; &lt;style face="italic"&gt;Interreligious Studies and Intercultural Theology&lt;/style&gt;  (2023), http://dx.doi.org/10.1558/isit.24603.&lt;/DisplayText&gt;&lt;record&gt;&lt;rec-number&gt;1751&lt;/rec-number&gt;&lt;foreign-keys&gt;&lt;key app="EN" db-id="wrez22watfrfanevx2zx2wps9sefrp09axse" timestamp="1714904348"&gt;1751&lt;/key&gt;&lt;/foreign-keys&gt;&lt;ref-type name="Journal Article"&gt;17&lt;/ref-type&gt;&lt;contributors&gt;&lt;authors&gt;&lt;author&gt;Cholil, Suhadi&lt;/author&gt;&lt;/authors&gt;&lt;/contributors&gt;&lt;titles&gt;&lt;title&gt;Freedom of Religion Amid Polarization and Religious Moderation Policy&lt;/title&gt;&lt;secondary-title&gt;Interreligious Studies and Intercultural Theology&lt;/secondary-title&gt;&lt;/titles&gt;&lt;periodical&gt;&lt;full-title&gt;Interreligious Studies and Intercultural Theology&lt;/full-title&gt;&lt;/periodical&gt;&lt;dates&gt;&lt;year&gt;2023&lt;/year&gt;&lt;/dates&gt;&lt;urls&gt;&lt;/urls&gt;&lt;electronic-resource-num&gt;10.1558/isit.24603&lt;/electronic-resource-num&gt;&lt;/record&gt;&lt;/Cite&gt;&lt;/EndNote&gt;</w:instrText>
      </w:r>
      <w:r w:rsidRPr="009668E2">
        <w:rPr>
          <w:rFonts w:ascii="Garamond" w:hAnsi="Garamond"/>
        </w:rPr>
        <w:fldChar w:fldCharType="separate"/>
      </w:r>
      <w:r w:rsidRPr="009668E2">
        <w:rPr>
          <w:rFonts w:ascii="Garamond" w:hAnsi="Garamond"/>
          <w:noProof/>
        </w:rPr>
        <w:t xml:space="preserve">Suhadi Cholil, "Freedom of Religion Amid Polarization and Religious Moderation Policy," </w:t>
      </w:r>
      <w:r w:rsidRPr="009668E2">
        <w:rPr>
          <w:rFonts w:ascii="Garamond" w:hAnsi="Garamond"/>
          <w:i/>
          <w:noProof/>
        </w:rPr>
        <w:t>Interreligious Studies and Intercultural Theology</w:t>
      </w:r>
      <w:r w:rsidRPr="009668E2">
        <w:rPr>
          <w:rFonts w:ascii="Garamond" w:hAnsi="Garamond"/>
          <w:noProof/>
        </w:rPr>
        <w:t xml:space="preserve">  (2023), http://dx.doi.org/10.1</w:t>
      </w:r>
      <w:r w:rsidR="00496A63">
        <w:rPr>
          <w:rFonts w:ascii="Garamond" w:hAnsi="Garamond"/>
          <w:noProof/>
        </w:rPr>
        <w:softHyphen/>
      </w:r>
      <w:r w:rsidRPr="009668E2">
        <w:rPr>
          <w:rFonts w:ascii="Garamond" w:hAnsi="Garamond"/>
          <w:noProof/>
        </w:rPr>
        <w:t>558/isit.24603.</w:t>
      </w:r>
      <w:r w:rsidRPr="009668E2">
        <w:rPr>
          <w:rFonts w:ascii="Garamond" w:hAnsi="Garamond"/>
        </w:rPr>
        <w:fldChar w:fldCharType="end"/>
      </w:r>
    </w:p>
  </w:footnote>
  <w:footnote w:id="32">
    <w:p w14:paraId="7A1A6617" w14:textId="77777777" w:rsidR="00B576ED" w:rsidRPr="009668E2" w:rsidRDefault="00B576ED"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&lt;EndNote&gt;&lt;Cite&gt;&lt;Author&gt;Nasir&lt;/Author&gt;&lt;Year&gt;2021&lt;/Year&gt;&lt;RecNum&gt;1752&lt;/RecNum&gt;&lt;DisplayText&gt;Muhammad Nasir and Muhammad Rijal, &amp;quot;Keeping the Middle Path: Mainstreaming Religious Moderation through Islamic Higher Education Institutions in Indonesia,&amp;quot; &lt;style face="italic"&gt;Indonesian Journal of Islam and Muslim Societies&lt;/style&gt;  (2021), http://dx.doi.org/10.18326/ijims.v11i2.213-241.&lt;/DisplayText&gt;&lt;record&gt;&lt;rec-number&gt;1752&lt;/rec-number&gt;&lt;foreign-keys&gt;&lt;key app="EN" db-id="wrez22watfrfanevx2zx2wps9sefrp09axse" timestamp="1714904348"&gt;1752&lt;/key&gt;&lt;/foreign-keys&gt;&lt;ref-type name="Journal Article"&gt;17&lt;/ref-type&gt;&lt;contributors&gt;&lt;authors&gt;&lt;author&gt;Nasir, Muhammad&lt;/author&gt;&lt;author&gt;Rijal, Muhammad&lt;/author&gt;&lt;/authors&gt;&lt;/contributors&gt;&lt;titles&gt;&lt;title&gt;Keeping the Middle Path: Mainstreaming Religious Moderation Through Islamic Higher Education Institutions in Indonesia&lt;/title&gt;&lt;secondary-title&gt;Indonesian Journal of Islam and Muslim Societies&lt;/secondary-title&gt;&lt;/titles&gt;&lt;periodical&gt;&lt;full-title&gt;Indonesian Journal of Islam and Muslim Societies&lt;/full-title&gt;&lt;/periodical&gt;&lt;dates&gt;&lt;year&gt;2021&lt;/year&gt;&lt;/dates&gt;&lt;urls&gt;&lt;/urls&gt;&lt;electronic-resource-num&gt;10.18326/ijims.v11i2.213-241&lt;/electronic-resource-num&gt;&lt;/record&gt;&lt;/Cite&gt;&lt;/EndNote&gt;</w:instrText>
      </w:r>
      <w:r w:rsidRPr="009668E2">
        <w:rPr>
          <w:rFonts w:ascii="Garamond" w:hAnsi="Garamond"/>
        </w:rPr>
        <w:fldChar w:fldCharType="separate"/>
      </w:r>
      <w:r w:rsidRPr="009668E2">
        <w:rPr>
          <w:rFonts w:ascii="Garamond" w:hAnsi="Garamond"/>
          <w:noProof/>
        </w:rPr>
        <w:t xml:space="preserve">Muhammad Nasir and Muhammad Rijal, "Keeping the Middle Path: Mainstreaming Religious Moderation through Islamic Higher Education Institutions in Indonesia," </w:t>
      </w:r>
      <w:r w:rsidRPr="009668E2">
        <w:rPr>
          <w:rFonts w:ascii="Garamond" w:hAnsi="Garamond"/>
          <w:i/>
          <w:noProof/>
        </w:rPr>
        <w:t>Indonesian Journal of Islam and Muslim Societies</w:t>
      </w:r>
      <w:r w:rsidRPr="009668E2">
        <w:rPr>
          <w:rFonts w:ascii="Garamond" w:hAnsi="Garamond"/>
          <w:noProof/>
        </w:rPr>
        <w:t xml:space="preserve">  (2021), http://dx.doi.org/10.18326/ijims.v11i2.213-241.</w:t>
      </w:r>
      <w:r w:rsidRPr="009668E2">
        <w:rPr>
          <w:rFonts w:ascii="Garamond" w:hAnsi="Garamond"/>
        </w:rPr>
        <w:fldChar w:fldCharType="end"/>
      </w:r>
    </w:p>
  </w:footnote>
  <w:footnote w:id="33">
    <w:p w14:paraId="5AF9059E" w14:textId="586BE453" w:rsidR="00B576ED" w:rsidRPr="009668E2" w:rsidRDefault="00B576ED"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&lt;EndNote&gt;&lt;Cite&gt;&lt;Author&gt;Regus&lt;/Author&gt;&lt;Year&gt;2020&lt;/Year&gt;&lt;RecNum&gt;1754&lt;/RecNum&gt;&lt;DisplayText&gt;Maksimus Regus, &amp;quot;Interreligious Conflicts in Post-Authoritarian Indonesia: Assumptions, Causes, and Implications,&amp;quot; &lt;style face="italic"&gt;Jurnal Politik&lt;/style&gt;  (2020), http://dx.doi.org/10.7454/jp.v5i2.267.&lt;/DisplayText&gt;&lt;record&gt;&lt;rec-number&gt;1754&lt;/rec-number&gt;&lt;foreign-keys&gt;&lt;key app="EN" db-id="wrez22watfrfanevx2zx2wps9sefrp09axse" timestamp="1714904348"&gt;1754&lt;/key&gt;&lt;/foreign-keys&gt;&lt;ref-type name="Journal Article"&gt;17&lt;/ref-type&gt;&lt;contributors&gt;&lt;authors&gt;&lt;author&gt;Regus, Maksimus&lt;/author&gt;&lt;/authors&gt;&lt;/contributors&gt;&lt;titles&gt;&lt;title&gt;Interreligious Conflicts in Post-Authoritarian Indonesia: Assumptions, Causes, and Implications&lt;/title&gt;&lt;secondary-title&gt;Jurnal Politik&lt;/secondary-title&gt;&lt;/titles&gt;&lt;periodical&gt;&lt;full-title&gt;Jurnal Politik&lt;/full-title&gt;&lt;/periodical&gt;&lt;dates&gt;&lt;year&gt;2020&lt;/year&gt;&lt;/dates&gt;&lt;urls&gt;&lt;/urls&gt;&lt;electronic-resource-num&gt;10.7454/jp.v5i2.267&lt;/electronic-resource-num&gt;&lt;/record&gt;&lt;/Cite&gt;&lt;/EndNote&gt;</w:instrText>
      </w:r>
      <w:r w:rsidRPr="009668E2">
        <w:rPr>
          <w:rFonts w:ascii="Garamond" w:hAnsi="Garamond"/>
        </w:rPr>
        <w:fldChar w:fldCharType="separate"/>
      </w:r>
      <w:r w:rsidRPr="009668E2">
        <w:rPr>
          <w:rFonts w:ascii="Garamond" w:hAnsi="Garamond"/>
          <w:noProof/>
        </w:rPr>
        <w:t xml:space="preserve">Maksimus Regus, "Interreligious Conflicts in Post-Authoritarian Indonesia: Assumptions, Causes, and Implications," </w:t>
      </w:r>
      <w:r w:rsidRPr="009668E2">
        <w:rPr>
          <w:rFonts w:ascii="Garamond" w:hAnsi="Garamond"/>
          <w:i/>
          <w:noProof/>
        </w:rPr>
        <w:t>Jurnal Politik</w:t>
      </w:r>
      <w:r w:rsidRPr="009668E2">
        <w:rPr>
          <w:rFonts w:ascii="Garamond" w:hAnsi="Garamond"/>
          <w:noProof/>
        </w:rPr>
        <w:t xml:space="preserve">  (2020), http://dx.doi.org/</w:t>
      </w:r>
      <w:r w:rsidR="00496A63">
        <w:rPr>
          <w:rFonts w:ascii="Garamond" w:hAnsi="Garamond"/>
          <w:noProof/>
        </w:rPr>
        <w:softHyphen/>
      </w:r>
      <w:r w:rsidRPr="009668E2">
        <w:rPr>
          <w:rFonts w:ascii="Garamond" w:hAnsi="Garamond"/>
          <w:noProof/>
        </w:rPr>
        <w:t>10.7454</w:t>
      </w:r>
      <w:r w:rsidR="00496A63">
        <w:rPr>
          <w:rFonts w:ascii="Garamond" w:hAnsi="Garamond"/>
          <w:noProof/>
        </w:rPr>
        <w:softHyphen/>
      </w:r>
      <w:r w:rsidRPr="009668E2">
        <w:rPr>
          <w:rFonts w:ascii="Garamond" w:hAnsi="Garamond"/>
          <w:noProof/>
        </w:rPr>
        <w:t>/jp.v5i2.267.</w:t>
      </w:r>
      <w:r w:rsidRPr="009668E2">
        <w:rPr>
          <w:rFonts w:ascii="Garamond" w:hAnsi="Garamond"/>
        </w:rPr>
        <w:fldChar w:fldCharType="end"/>
      </w:r>
    </w:p>
  </w:footnote>
  <w:footnote w:id="34">
    <w:p w14:paraId="21E08562" w14:textId="1E6221B6" w:rsidR="004B7A59" w:rsidRPr="009668E2" w:rsidRDefault="004B7A59"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&lt;EndNote&gt;&lt;Cite&gt;&lt;Author&gt;Inayatillah&lt;/Author&gt;&lt;Year&gt;2022&lt;/Year&gt;&lt;RecNum&gt;1755&lt;/RecNum&gt;&lt;DisplayText&gt;Inayatillah Inayatillah, Kamaruddin Kamaruddin, and M. A. M. Anzaikhan, &amp;quot;The History of Moderate Islam in Indonesia and Its Influence on the Content of National Education,&amp;quot; &lt;style face="italic"&gt;Journal of Al-Tamaddun&lt;/style&gt;  (2022), http://dx.doi.org/10.22452/jat.vol17no2.17.&lt;/DisplayText&gt;&lt;record&gt;&lt;rec-number&gt;1755&lt;/rec-number&gt;&lt;foreign-keys&gt;&lt;key app="EN" db-id="wrez22watfrfanevx2zx2wps9sefrp09axse" timestamp="1714904348"&gt;1755&lt;/key&gt;&lt;/foreign-keys&gt;&lt;ref-type name="Journal Article"&gt;17&lt;/ref-type&gt;&lt;contributors&gt;&lt;authors&gt;&lt;author&gt;Inayatillah, Inayatillah&lt;/author&gt;&lt;author&gt;Kamaruddin, Kamaruddin&lt;/author&gt;&lt;author&gt;Anzaikhan, M. A. M.&lt;/author&gt;&lt;/authors&gt;&lt;/contributors&gt;&lt;titles&gt;&lt;title&gt;The History of Moderate Islam in Indonesia and Its Influence on the Content of National Education&lt;/title&gt;&lt;secondary-title&gt;Journal of Al-Tamaddun&lt;/secondary-title&gt;&lt;/titles&gt;&lt;periodical&gt;&lt;full-title&gt;Journal of Al-Tamaddun&lt;/full-title&gt;&lt;/periodical&gt;&lt;dates&gt;&lt;year&gt;2022&lt;/year&gt;&lt;/dates&gt;&lt;urls&gt;&lt;/urls&gt;&lt;electronic-resource-num&gt;10.22452/jat.vol17no2.17&lt;/electronic-resource-num&gt;&lt;/record&gt;&lt;/Cite&gt;&lt;/EndNote&gt;</w:instrText>
      </w:r>
      <w:r w:rsidRPr="009668E2">
        <w:rPr>
          <w:rFonts w:ascii="Garamond" w:hAnsi="Garamond"/>
        </w:rPr>
        <w:fldChar w:fldCharType="separate"/>
      </w:r>
      <w:r w:rsidRPr="009668E2">
        <w:rPr>
          <w:rFonts w:ascii="Garamond" w:hAnsi="Garamond"/>
          <w:noProof/>
        </w:rPr>
        <w:t xml:space="preserve">Inayatillah Inayatillah, Kamaruddin Kamaruddin, and M. A. M. Anzaikhan, "The History of Moderate Islam in Indonesia and Its Influence on the Content of National Education," </w:t>
      </w:r>
      <w:r w:rsidRPr="009668E2">
        <w:rPr>
          <w:rFonts w:ascii="Garamond" w:hAnsi="Garamond"/>
          <w:i/>
          <w:noProof/>
        </w:rPr>
        <w:t>Journal of Al-Tamaddun</w:t>
      </w:r>
      <w:r w:rsidRPr="009668E2">
        <w:rPr>
          <w:rFonts w:ascii="Garamond" w:hAnsi="Garamond"/>
          <w:noProof/>
        </w:rPr>
        <w:t xml:space="preserve">  (2022), http://dx.doi.org/10.22452/jat</w:t>
      </w:r>
      <w:r w:rsidR="00496A63">
        <w:rPr>
          <w:rFonts w:ascii="Garamond" w:hAnsi="Garamond"/>
          <w:noProof/>
        </w:rPr>
        <w:softHyphen/>
      </w:r>
      <w:r w:rsidRPr="009668E2">
        <w:rPr>
          <w:rFonts w:ascii="Garamond" w:hAnsi="Garamond"/>
          <w:noProof/>
        </w:rPr>
        <w:t>.vol17</w:t>
      </w:r>
      <w:r w:rsidR="00496A63">
        <w:rPr>
          <w:rFonts w:ascii="Garamond" w:hAnsi="Garamond"/>
          <w:noProof/>
        </w:rPr>
        <w:softHyphen/>
      </w:r>
      <w:r w:rsidRPr="009668E2">
        <w:rPr>
          <w:rFonts w:ascii="Garamond" w:hAnsi="Garamond"/>
          <w:noProof/>
        </w:rPr>
        <w:t>no2.17.</w:t>
      </w:r>
      <w:r w:rsidRPr="009668E2">
        <w:rPr>
          <w:rFonts w:ascii="Garamond" w:hAnsi="Garamond"/>
        </w:rPr>
        <w:fldChar w:fldCharType="end"/>
      </w:r>
    </w:p>
  </w:footnote>
  <w:footnote w:id="35">
    <w:p w14:paraId="01FD5522" w14:textId="71DD2E39" w:rsidR="00390EB6" w:rsidRPr="009668E2" w:rsidRDefault="00390EB6"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&lt;EndNote&gt;&lt;Cite&gt;&lt;Author&gt;Ridwan&lt;/Author&gt;&lt;Year&gt;2016&lt;/Year&gt;&lt;RecNum&gt;146&lt;/RecNum&gt;&lt;Prefix&gt;e.g. &lt;/Prefix&gt;&lt;DisplayText&gt;e.g. Ridwan, &amp;quot;Colonial Politics of Power and Cultural Identity Development of Islamic Education Vis-a-Vis European Education in the Netherlands East Indies Periods.&amp;quot;&lt;/DisplayText&gt;&lt;record&gt;&lt;rec-number&gt;146&lt;/rec-number&gt;&lt;foreign-keys&gt;&lt;key app="EN" db-id="wrez22watfrfanevx2zx2wps9sefrp09axse" timestamp="1489736726"&gt;146&lt;/key&gt;&lt;/foreign-keys&gt;&lt;ref-type name="Journal Article"&gt;17&lt;/ref-type&gt;&lt;contributors&gt;&lt;authors&gt;&lt;author&gt;Ridwan, Auliya&lt;/author&gt;&lt;/authors&gt;&lt;/contributors&gt;&lt;titles&gt;&lt;title&gt;Colonial Politics of Power and Cultural Identity Development of Islamic Education Vis-a-Vis European Education in The Netherlands East Indies Periods&lt;/title&gt;&lt;secondary-title&gt;Marâji`: Jurnal Ilmu Keislaman&lt;/secondary-title&gt;&lt;/titles&gt;&lt;periodical&gt;&lt;full-title&gt;Marâji`: Jurnal Ilmu Keislaman&lt;/full-title&gt;&lt;/periodical&gt;&lt;pages&gt;227-247&lt;/pages&gt;&lt;volume&gt;2&lt;/volume&gt;&lt;number&gt;2&lt;/number&gt;&lt;dates&gt;&lt;year&gt;2016&lt;/year&gt;&lt;/dates&gt;&lt;urls&gt;&lt;/urls&gt;&lt;/record&gt;&lt;/Cite&gt;&lt;/EndNote&gt;</w:instrText>
      </w:r>
      <w:r w:rsidRPr="009668E2">
        <w:rPr>
          <w:rFonts w:ascii="Garamond" w:hAnsi="Garamond"/>
        </w:rPr>
        <w:fldChar w:fldCharType="separate"/>
      </w:r>
      <w:r w:rsidRPr="009668E2">
        <w:rPr>
          <w:rFonts w:ascii="Garamond" w:hAnsi="Garamond"/>
          <w:noProof/>
        </w:rPr>
        <w:t>e.g. Ridwan, "Colonial Politics of Power and Cultural Identity Development of Islamic Education Vis-a-Vis European Education in the Netherlands East Indies Periods."</w:t>
      </w:r>
      <w:r w:rsidRPr="009668E2">
        <w:rPr>
          <w:rFonts w:ascii="Garamond" w:hAnsi="Garamond"/>
        </w:rPr>
        <w:fldChar w:fldCharType="end"/>
      </w:r>
    </w:p>
  </w:footnote>
  <w:footnote w:id="36">
    <w:p w14:paraId="0EB76041" w14:textId="2CD21291" w:rsidR="00390EB6" w:rsidRPr="009668E2" w:rsidRDefault="00390EB6"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&lt;EndNote&gt;&lt;Cite&gt;&lt;Author&gt;Mustakif&lt;/Author&gt;&lt;Year&gt;2019&lt;/Year&gt;&lt;RecNum&gt;1756&lt;/RecNum&gt;&lt;DisplayText&gt;Muhammad K. Mustakif and Mumung Mulyati, &amp;quot;Sarekat Dagang Islam Sdi (1905-1912): Between the Savagery of Vereenigde Oostindische Compagnie (Voc) and the Independence of Indonesia,&amp;quot; &lt;style face="italic"&gt;International Journal of Nusantara Islam&lt;/style&gt;  (2019), http://dx.doi.org/10.15575/ijni.v7i1.4807.&lt;/DisplayText&gt;&lt;record&gt;&lt;rec-number&gt;1756&lt;/rec-number&gt;&lt;foreign-keys&gt;&lt;key app="EN" db-id="wrez22watfrfanevx2zx2wps9sefrp09axse" timestamp="1714904348"&gt;1756&lt;/key&gt;&lt;/foreign-keys&gt;&lt;ref-type name="Journal Article"&gt;17&lt;/ref-type&gt;&lt;contributors&gt;&lt;authors&gt;&lt;author&gt;Mustakif, Muhammad K.&lt;/author&gt;&lt;author&gt;Mulyati, Mumung&lt;/author&gt;&lt;/authors&gt;&lt;/contributors&gt;&lt;titles&gt;&lt;title&gt;Sarekat Dagang Islam SDI (1905-1912): Between the Savagery of Vereenigde Oostindische Compagnie (VOC) and the Independence of Indonesia&lt;/title&gt;&lt;secondary-title&gt;International Journal of Nusantara Islam&lt;/secondary-title&gt;&lt;/titles&gt;&lt;periodical&gt;&lt;full-title&gt;International Journal of Nusantara Islam&lt;/full-title&gt;&lt;/periodical&gt;&lt;dates&gt;&lt;year&gt;2019&lt;/year&gt;&lt;/dates&gt;&lt;urls&gt;&lt;/urls&gt;&lt;electronic-resource-num&gt;10.15575/ijni.v7i1.4807&lt;/electronic-resource-num&gt;&lt;/record&gt;&lt;/Cite&gt;&lt;/EndNote&gt;</w:instrText>
      </w:r>
      <w:r w:rsidRPr="009668E2">
        <w:rPr>
          <w:rFonts w:ascii="Garamond" w:hAnsi="Garamond"/>
        </w:rPr>
        <w:fldChar w:fldCharType="separate"/>
      </w:r>
      <w:r w:rsidRPr="009668E2">
        <w:rPr>
          <w:rFonts w:ascii="Garamond" w:hAnsi="Garamond"/>
          <w:noProof/>
        </w:rPr>
        <w:t xml:space="preserve">Muhammad K. Mustakif and Mumung Mulyati, "Sarekat Dagang Islam Sdi (1905-1912): Between the Savagery of Vereenigde Oostindische Compagnie (Voc) and the Independence of Indonesia," </w:t>
      </w:r>
      <w:r w:rsidRPr="009668E2">
        <w:rPr>
          <w:rFonts w:ascii="Garamond" w:hAnsi="Garamond"/>
          <w:i/>
          <w:noProof/>
        </w:rPr>
        <w:t>International Journal of Nusantara Islam</w:t>
      </w:r>
      <w:r w:rsidRPr="009668E2">
        <w:rPr>
          <w:rFonts w:ascii="Garamond" w:hAnsi="Garamond"/>
          <w:noProof/>
        </w:rPr>
        <w:t xml:space="preserve">  (2019), http://dx.doi.org/10.15575/ijni.v7i1.4807.</w:t>
      </w:r>
      <w:r w:rsidRPr="009668E2">
        <w:rPr>
          <w:rFonts w:ascii="Garamond" w:hAnsi="Garamond"/>
        </w:rPr>
        <w:fldChar w:fldCharType="end"/>
      </w:r>
    </w:p>
  </w:footnote>
  <w:footnote w:id="37">
    <w:p w14:paraId="496DB73C" w14:textId="70E98024" w:rsidR="00AD26CE" w:rsidRPr="009668E2" w:rsidRDefault="00AD26CE"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&lt;EndNote&gt;&lt;Cite&gt;&lt;Author&gt;Rosidin&lt;/Author&gt;&lt;Year&gt;2022&lt;/Year&gt;&lt;RecNum&gt;1757&lt;/RecNum&gt;&lt;DisplayText&gt;Didin N. Rosidin et al., &amp;quot;Muslim Social Movements in Cirebon and the Emergence of National Resistance Movements against the Dutch Colonial Government in the Early 20th Century Indonesia,&amp;quot; &lt;style face="italic"&gt;Journal of Asian Social Science Research&lt;/style&gt;  (2022), http://dx.doi.org/10.15575/jassr.v4i1.64.&lt;/DisplayText&gt;&lt;record&gt;&lt;rec-number&gt;1757&lt;/rec-number&gt;&lt;foreign-keys&gt;&lt;key app="EN" db-id="wrez22watfrfanevx2zx2wps9sefrp09axse" timestamp="1714904348"&gt;1757&lt;/key&gt;&lt;/foreign-keys&gt;&lt;ref-type name="Journal Article"&gt;17&lt;/ref-type&gt;&lt;contributors&gt;&lt;authors&gt;&lt;author&gt;Rosidin, Didin N.&lt;/author&gt;&lt;author&gt;Amalia, Mila&lt;/author&gt;&lt;author&gt;Sa&amp;apos;dudin, Ihsan&lt;/author&gt;&lt;author&gt;Safitri, Eka&lt;/author&gt;&lt;/authors&gt;&lt;/contributors&gt;&lt;titles&gt;&lt;title&gt;Muslim Social Movements in Cirebon and the Emergence of National Resistance Movements Against the Dutch Colonial Government in the Early 20th Century Indonesia&lt;/title&gt;&lt;secondary-title&gt;Journal of Asian Social Science Research&lt;/secondary-title&gt;&lt;/titles&gt;&lt;periodical&gt;&lt;full-title&gt;Journal of Asian Social Science Research&lt;/full-title&gt;&lt;/periodical&gt;&lt;dates&gt;&lt;year&gt;2022&lt;/year&gt;&lt;/dates&gt;&lt;urls&gt;&lt;/urls&gt;&lt;electronic-resource-num&gt;10.15575/jassr.v4i1.64&lt;/electronic-resource-num&gt;&lt;/record&gt;&lt;/Cite&gt;&lt;/EndNote&gt;</w:instrText>
      </w:r>
      <w:r w:rsidRPr="009668E2">
        <w:rPr>
          <w:rFonts w:ascii="Garamond" w:hAnsi="Garamond"/>
        </w:rPr>
        <w:fldChar w:fldCharType="separate"/>
      </w:r>
      <w:r w:rsidRPr="009668E2">
        <w:rPr>
          <w:rFonts w:ascii="Garamond" w:hAnsi="Garamond"/>
          <w:noProof/>
        </w:rPr>
        <w:t xml:space="preserve">Didin N. Rosidin et al., "Muslim Social Movements in Cirebon and the Emergence of National Resistance Movements against the Dutch Colonial Government in the Early 20th Century Indonesia," </w:t>
      </w:r>
      <w:r w:rsidRPr="009668E2">
        <w:rPr>
          <w:rFonts w:ascii="Garamond" w:hAnsi="Garamond"/>
          <w:i/>
          <w:noProof/>
        </w:rPr>
        <w:t>Journal of Asian Social Science Research</w:t>
      </w:r>
      <w:r w:rsidRPr="009668E2">
        <w:rPr>
          <w:rFonts w:ascii="Garamond" w:hAnsi="Garamond"/>
          <w:noProof/>
        </w:rPr>
        <w:t xml:space="preserve">  (2022), http://dx.doi.org/10.15575/jassr.v4i1.64.</w:t>
      </w:r>
      <w:r w:rsidRPr="009668E2">
        <w:rPr>
          <w:rFonts w:ascii="Garamond" w:hAnsi="Garamond"/>
        </w:rPr>
        <w:fldChar w:fldCharType="end"/>
      </w:r>
    </w:p>
  </w:footnote>
  <w:footnote w:id="38">
    <w:p w14:paraId="551A5F41" w14:textId="435BEA98" w:rsidR="00B97B80" w:rsidRPr="009668E2" w:rsidRDefault="00B97B80"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&lt;EndNote&gt;&lt;Cite&gt;&lt;Author&gt;Alexanderson&lt;/Author&gt;&lt;Year&gt;2019&lt;/Year&gt;&lt;RecNum&gt;2275&lt;/RecNum&gt;&lt;DisplayText&gt;Kris Alexanderson, &lt;style face="italic"&gt;Subversive Seas: Anticolonial Networks across the Twentieth-Century Dutch Empire&lt;/style&gt; (Cambridge University Press, 2019).&lt;/DisplayText&gt;&lt;record&gt;&lt;rec-number&gt;2275&lt;/rec-number&gt;&lt;foreign-keys&gt;&lt;key app="EN" db-id="wrez22watfrfanevx2zx2wps9sefrp09axse" timestamp="1718926815"&gt;2275&lt;/key&gt;&lt;/foreign-keys&gt;&lt;ref-type name="Book"&gt;6&lt;/ref-type&gt;&lt;contributors&gt;&lt;authors&gt;&lt;author&gt;Alexanderson, Kris&lt;/author&gt;&lt;/authors&gt;&lt;/contributors&gt;&lt;titles&gt;&lt;title&gt;Subversive seas: Anticolonial networks across the twentieth-century Dutch empire&lt;/title&gt;&lt;/titles&gt;&lt;dates&gt;&lt;year&gt;2019&lt;/year&gt;&lt;/dates&gt;&lt;publisher&gt;Cambridge University Press&lt;/publisher&gt;&lt;isbn&gt;1108472028&lt;/isbn&gt;&lt;urls&gt;&lt;/urls&gt;&lt;/record&gt;&lt;/Cite&gt;&lt;/EndNote&gt;</w:instrText>
      </w:r>
      <w:r w:rsidRPr="009668E2">
        <w:rPr>
          <w:rFonts w:ascii="Garamond" w:hAnsi="Garamond"/>
        </w:rPr>
        <w:fldChar w:fldCharType="separate"/>
      </w:r>
      <w:r w:rsidRPr="009668E2">
        <w:rPr>
          <w:rFonts w:ascii="Garamond" w:hAnsi="Garamond"/>
          <w:noProof/>
        </w:rPr>
        <w:t xml:space="preserve">Kris Alexanderson, </w:t>
      </w:r>
      <w:r w:rsidRPr="009668E2">
        <w:rPr>
          <w:rFonts w:ascii="Garamond" w:hAnsi="Garamond"/>
          <w:i/>
          <w:noProof/>
        </w:rPr>
        <w:t>Subversive Seas: Anticolonial Networks across the Twentieth-Century Dutch Empire</w:t>
      </w:r>
      <w:r w:rsidRPr="009668E2">
        <w:rPr>
          <w:rFonts w:ascii="Garamond" w:hAnsi="Garamond"/>
          <w:noProof/>
        </w:rPr>
        <w:t xml:space="preserve"> (Cambridge University Press, 2019).</w:t>
      </w:r>
      <w:r w:rsidRPr="009668E2">
        <w:rPr>
          <w:rFonts w:ascii="Garamond" w:hAnsi="Garamond"/>
        </w:rPr>
        <w:fldChar w:fldCharType="end"/>
      </w:r>
    </w:p>
  </w:footnote>
  <w:footnote w:id="39">
    <w:p w14:paraId="7D16A5D6" w14:textId="306C1ADA" w:rsidR="004B7A59" w:rsidRPr="009668E2" w:rsidRDefault="004B7A59"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&lt;EndNote&gt;&lt;Cite&gt;&lt;Author&gt;Adawiyyah&lt;/Author&gt;&lt;Year&gt;2023&lt;/Year&gt;&lt;RecNum&gt;2273&lt;/RecNum&gt;&lt;DisplayText&gt;Vina R. Adawiyyah, &amp;quot;The Development of Indonesian Islamic Civilization During the Dutch Colonial Period,&amp;quot; &lt;style face="italic"&gt;Iiej&lt;/style&gt; 1, no. 2 (2023), http://dx.doi.org/10.37812/iiej.v1i2.915.&lt;/DisplayText&gt;&lt;record&gt;&lt;rec-number&gt;2273&lt;/rec-number&gt;&lt;foreign-keys&gt;&lt;key app="EN" db-id="wrez22watfrfanevx2zx2wps9sefrp09axse" timestamp="1718926501"&gt;2273&lt;/key&gt;&lt;/foreign-keys&gt;&lt;ref-type name="Journal Article"&gt;17&lt;/ref-type&gt;&lt;contributors&gt;&lt;authors&gt;&lt;author&gt;Adawiyyah, Vina R.&lt;/author&gt;&lt;/authors&gt;&lt;/contributors&gt;&lt;titles&gt;&lt;title&gt;The Development of Indonesian Islamic Civilization During the Dutch Colonial Period&lt;/title&gt;&lt;secondary-title&gt;Iiej&lt;/secondary-title&gt;&lt;/titles&gt;&lt;periodical&gt;&lt;full-title&gt;Iiej&lt;/full-title&gt;&lt;/periodical&gt;&lt;pages&gt;104-115&lt;/pages&gt;&lt;volume&gt;1&lt;/volume&gt;&lt;number&gt;2&lt;/number&gt;&lt;dates&gt;&lt;year&gt;2023&lt;/year&gt;&lt;/dates&gt;&lt;urls&gt;&lt;/urls&gt;&lt;electronic-resource-num&gt;10.37812/iiej.v1i2.915&lt;/electronic-resource-num&gt;&lt;/record&gt;&lt;/Cite&gt;&lt;/EndNote&gt;</w:instrText>
      </w:r>
      <w:r w:rsidRPr="009668E2">
        <w:rPr>
          <w:rFonts w:ascii="Garamond" w:hAnsi="Garamond"/>
        </w:rPr>
        <w:fldChar w:fldCharType="separate"/>
      </w:r>
      <w:r w:rsidRPr="009668E2">
        <w:rPr>
          <w:rFonts w:ascii="Garamond" w:hAnsi="Garamond"/>
          <w:noProof/>
        </w:rPr>
        <w:t xml:space="preserve">Vina R. Adawiyyah, "The Development of Indonesian Islamic Civilization During the Dutch Colonial Period," </w:t>
      </w:r>
      <w:r w:rsidRPr="009668E2">
        <w:rPr>
          <w:rFonts w:ascii="Garamond" w:hAnsi="Garamond"/>
          <w:i/>
          <w:noProof/>
        </w:rPr>
        <w:t>Iiej</w:t>
      </w:r>
      <w:r w:rsidRPr="009668E2">
        <w:rPr>
          <w:rFonts w:ascii="Garamond" w:hAnsi="Garamond"/>
          <w:noProof/>
        </w:rPr>
        <w:t xml:space="preserve"> 1, no. 2 (2023), http://dx.doi.org/10.37812/</w:t>
      </w:r>
      <w:r w:rsidR="00EC5A41">
        <w:rPr>
          <w:rFonts w:ascii="Garamond" w:hAnsi="Garamond"/>
          <w:noProof/>
        </w:rPr>
        <w:softHyphen/>
      </w:r>
      <w:r w:rsidRPr="009668E2">
        <w:rPr>
          <w:rFonts w:ascii="Garamond" w:hAnsi="Garamond"/>
          <w:noProof/>
        </w:rPr>
        <w:t>iiej.v1i2.915.</w:t>
      </w:r>
      <w:r w:rsidRPr="009668E2">
        <w:rPr>
          <w:rFonts w:ascii="Garamond" w:hAnsi="Garamond"/>
        </w:rPr>
        <w:fldChar w:fldCharType="end"/>
      </w:r>
    </w:p>
  </w:footnote>
  <w:footnote w:id="40">
    <w:p w14:paraId="635AC71F" w14:textId="71D31AB4" w:rsidR="009040D4" w:rsidRPr="009668E2" w:rsidRDefault="009040D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&lt;EndNote&gt;&lt;Cite&gt;&lt;Author&gt;Rachmanto&lt;/Author&gt;&lt;Year&gt;2023&lt;/Year&gt;&lt;RecNum&gt;1758&lt;/RecNum&gt;&lt;DisplayText&gt;Arif F. Rachmanto, &amp;quot;The Formation of Islamic Parties in Post-Independence Indonesia,&amp;quot; &lt;style face="italic"&gt;Jsi Jurnal Sejarah Islam&lt;/style&gt;  (2023), http://dx.doi.org/10.24090/jsij.v2i02.8213.&lt;/DisplayText&gt;&lt;record&gt;&lt;rec-number&gt;1758&lt;/rec-number&gt;&lt;foreign-keys&gt;&lt;key app="EN" db-id="wrez22watfrfanevx2zx2wps9sefrp09axse" timestamp="1714904348"&gt;1758&lt;/key&gt;&lt;/foreign-keys&gt;&lt;ref-type name="Journal Article"&gt;17&lt;/ref-type&gt;&lt;contributors&gt;&lt;authors&gt;&lt;author&gt;Rachmanto, Arif F.&lt;/author&gt;&lt;/authors&gt;&lt;/contributors&gt;&lt;titles&gt;&lt;title&gt;The Formation of Islamic Parties in Post-Independence Indonesia&lt;/title&gt;&lt;secondary-title&gt;Jsi Jurnal Sejarah Islam&lt;/secondary-title&gt;&lt;/titles&gt;&lt;periodical&gt;&lt;full-title&gt;Jsi Jurnal Sejarah Islam&lt;/full-title&gt;&lt;/periodical&gt;&lt;dates&gt;&lt;year&gt;2023&lt;/year&gt;&lt;/dates&gt;&lt;urls&gt;&lt;/urls&gt;&lt;electronic-resource-num&gt;10.24090/jsij.v2i02.8213&lt;/electronic-resource-num&gt;&lt;/record&gt;&lt;/Cite&gt;&lt;/EndNote&gt;</w:instrText>
      </w:r>
      <w:r w:rsidRPr="009668E2">
        <w:rPr>
          <w:rFonts w:ascii="Garamond" w:hAnsi="Garamond"/>
        </w:rPr>
        <w:fldChar w:fldCharType="separate"/>
      </w:r>
      <w:r w:rsidRPr="009668E2">
        <w:rPr>
          <w:rFonts w:ascii="Garamond" w:hAnsi="Garamond"/>
          <w:noProof/>
        </w:rPr>
        <w:t xml:space="preserve">Arif F. Rachmanto, "The Formation of Islamic Parties in Post-Independence Indonesia," </w:t>
      </w:r>
      <w:r w:rsidRPr="009668E2">
        <w:rPr>
          <w:rFonts w:ascii="Garamond" w:hAnsi="Garamond"/>
          <w:i/>
          <w:noProof/>
        </w:rPr>
        <w:t>Jsi Jurnal Sejarah Islam</w:t>
      </w:r>
      <w:r w:rsidRPr="009668E2">
        <w:rPr>
          <w:rFonts w:ascii="Garamond" w:hAnsi="Garamond"/>
          <w:noProof/>
        </w:rPr>
        <w:t xml:space="preserve">  (2023), http://dx.doi.org/10.240</w:t>
      </w:r>
      <w:r w:rsidR="00EC5A41">
        <w:rPr>
          <w:rFonts w:ascii="Garamond" w:hAnsi="Garamond"/>
          <w:noProof/>
        </w:rPr>
        <w:softHyphen/>
      </w:r>
      <w:r w:rsidRPr="009668E2">
        <w:rPr>
          <w:rFonts w:ascii="Garamond" w:hAnsi="Garamond"/>
          <w:noProof/>
        </w:rPr>
        <w:t>90/jsij.v2</w:t>
      </w:r>
      <w:r w:rsidR="00EC5A41">
        <w:rPr>
          <w:rFonts w:ascii="Garamond" w:hAnsi="Garamond"/>
          <w:noProof/>
        </w:rPr>
        <w:softHyphen/>
      </w:r>
      <w:r w:rsidRPr="009668E2">
        <w:rPr>
          <w:rFonts w:ascii="Garamond" w:hAnsi="Garamond"/>
          <w:noProof/>
        </w:rPr>
        <w:t>i02.8213.</w:t>
      </w:r>
      <w:r w:rsidRPr="009668E2">
        <w:rPr>
          <w:rFonts w:ascii="Garamond" w:hAnsi="Garamond"/>
        </w:rPr>
        <w:fldChar w:fldCharType="end"/>
      </w:r>
    </w:p>
  </w:footnote>
  <w:footnote w:id="41">
    <w:p w14:paraId="6A099B96" w14:textId="4AB4648D" w:rsidR="009040D4" w:rsidRPr="009668E2" w:rsidRDefault="009040D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&lt;EndNote&gt;&lt;Cite&gt;&lt;Author&gt;Anas&lt;/Author&gt;&lt;Year&gt;2023&lt;/Year&gt;&lt;RecNum&gt;1759&lt;/RecNum&gt;&lt;DisplayText&gt;Ahmad Anas, &amp;quot;Contemporary Da’wah Empowerment Institute in Indonesia,&amp;quot; &lt;style face="italic"&gt;Jurnal Ilmiah Pendidikan Kebudayaan Dan Agama&lt;/style&gt;  (2023), http://dx.doi.org/10.59024/jipa.v1i1.54.&lt;/DisplayText&gt;&lt;record&gt;&lt;rec-number&gt;1759&lt;/rec-number&gt;&lt;foreign-keys&gt;&lt;key app="EN" db-id="wrez22watfrfanevx2zx2wps9sefrp09axse" timestamp="1714904348"&gt;1759&lt;/key&gt;&lt;/foreign-keys&gt;&lt;ref-type name="Journal Article"&gt;17&lt;/ref-type&gt;&lt;contributors&gt;&lt;authors&gt;&lt;author&gt;Anas, Ahmad&lt;/author&gt;&lt;/authors&gt;&lt;/contributors&gt;&lt;titles&gt;&lt;title&gt;Contemporary Da’wah Empowerment Institute in Indonesia&lt;/title&gt;&lt;secondary-title&gt;Jurnal Ilmiah Pendidikan Kebudayaan Dan Agama&lt;/secondary-title&gt;&lt;/titles&gt;&lt;periodical&gt;&lt;full-title&gt;Jurnal Ilmiah Pendidikan Kebudayaan Dan Agama&lt;/full-title&gt;&lt;/periodical&gt;&lt;dates&gt;&lt;year&gt;2023&lt;/year&gt;&lt;/dates&gt;&lt;urls&gt;&lt;/urls&gt;&lt;electronic-resource-num&gt;10.59024/jipa.v1i1.54&lt;/electronic-resource-num&gt;&lt;/record&gt;&lt;/Cite&gt;&lt;/EndNote&gt;</w:instrText>
      </w:r>
      <w:r w:rsidRPr="009668E2">
        <w:rPr>
          <w:rFonts w:ascii="Garamond" w:hAnsi="Garamond"/>
        </w:rPr>
        <w:fldChar w:fldCharType="separate"/>
      </w:r>
      <w:r w:rsidRPr="009668E2">
        <w:rPr>
          <w:rFonts w:ascii="Garamond" w:hAnsi="Garamond"/>
          <w:noProof/>
        </w:rPr>
        <w:t>Ahmad Anas, "Contemporary Da</w:t>
      </w:r>
      <w:r w:rsidR="002D4102" w:rsidRPr="009668E2">
        <w:rPr>
          <w:rFonts w:ascii="Garamond" w:hAnsi="Garamond"/>
          <w:noProof/>
        </w:rPr>
        <w:t>’</w:t>
      </w:r>
      <w:r w:rsidRPr="009668E2">
        <w:rPr>
          <w:rFonts w:ascii="Garamond" w:hAnsi="Garamond"/>
          <w:noProof/>
        </w:rPr>
        <w:t xml:space="preserve">wah Empowerment Institute in Indonesia," </w:t>
      </w:r>
      <w:r w:rsidRPr="009668E2">
        <w:rPr>
          <w:rFonts w:ascii="Garamond" w:hAnsi="Garamond"/>
          <w:i/>
          <w:noProof/>
        </w:rPr>
        <w:t>Jurnal Ilmiah Pendidikan Kebudayaan Dan Agama</w:t>
      </w:r>
      <w:r w:rsidRPr="009668E2">
        <w:rPr>
          <w:rFonts w:ascii="Garamond" w:hAnsi="Garamond"/>
          <w:noProof/>
        </w:rPr>
        <w:t xml:space="preserve">  (2023), http://dx.doi.org/10.59</w:t>
      </w:r>
      <w:r w:rsidR="00EC5A41">
        <w:rPr>
          <w:rFonts w:ascii="Garamond" w:hAnsi="Garamond"/>
          <w:noProof/>
        </w:rPr>
        <w:softHyphen/>
      </w:r>
      <w:r w:rsidRPr="009668E2">
        <w:rPr>
          <w:rFonts w:ascii="Garamond" w:hAnsi="Garamond"/>
          <w:noProof/>
        </w:rPr>
        <w:t>024/jipa.v1i1.54.</w:t>
      </w:r>
      <w:r w:rsidRPr="009668E2">
        <w:rPr>
          <w:rFonts w:ascii="Garamond" w:hAnsi="Garamond"/>
        </w:rPr>
        <w:fldChar w:fldCharType="end"/>
      </w:r>
    </w:p>
  </w:footnote>
  <w:footnote w:id="42">
    <w:p w14:paraId="5F62676F" w14:textId="5083BC31" w:rsidR="003C0536" w:rsidRPr="009668E2" w:rsidRDefault="003C0536"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&lt;EndNote&gt;&lt;Cite&gt;&lt;Author&gt;Hasani&lt;/Author&gt;&lt;Year&gt;2022&lt;/Year&gt;&lt;RecNum&gt;1734&lt;/RecNum&gt;&lt;DisplayText&gt;Hasani and Halili.&lt;/DisplayText&gt;&lt;record&gt;&lt;rec-number&gt;1734&lt;/rec-number&gt;&lt;foreign-keys&gt;&lt;key app="EN" db-id="wrez22watfrfanevx2zx2wps9sefrp09axse" timestamp="1714904348"&gt;1734&lt;/key&gt;&lt;/foreign-keys&gt;&lt;ref-type name="Journal Article"&gt;17&lt;/ref-type&gt;&lt;contributors&gt;&lt;authors&gt;&lt;author&gt;Hasani, Ismail&lt;/author&gt;&lt;author&gt;Halili, Halili&lt;/author&gt;&lt;/authors&gt;&lt;/contributors&gt;&lt;titles&gt;&lt;title&gt;Human Rights and Constitutionality Issues of Blasphemy Law in Indonesia&lt;/title&gt;&lt;secondary-title&gt;Jurnal Konstitusi&lt;/secondary-title&gt;&lt;/titles&gt;&lt;periodical&gt;&lt;full-title&gt;Jurnal Konstitusi&lt;/full-title&gt;&lt;/periodical&gt;&lt;dates&gt;&lt;year&gt;2022&lt;/year&gt;&lt;/dates&gt;&lt;urls&gt;&lt;/urls&gt;&lt;electronic-resource-num&gt;10.31078/jk1927&lt;/electronic-resource-num&gt;&lt;/record&gt;&lt;/Cite&gt;&lt;/EndNote&gt;</w:instrText>
      </w:r>
      <w:r w:rsidRPr="009668E2">
        <w:rPr>
          <w:rFonts w:ascii="Garamond" w:hAnsi="Garamond"/>
        </w:rPr>
        <w:fldChar w:fldCharType="separate"/>
      </w:r>
      <w:r w:rsidRPr="009668E2">
        <w:rPr>
          <w:rFonts w:ascii="Garamond" w:hAnsi="Garamond"/>
          <w:noProof/>
        </w:rPr>
        <w:t>Hasani and Halili.</w:t>
      </w:r>
      <w:r w:rsidRPr="009668E2">
        <w:rPr>
          <w:rFonts w:ascii="Garamond" w:hAnsi="Garamond"/>
        </w:rPr>
        <w:fldChar w:fldCharType="end"/>
      </w:r>
    </w:p>
  </w:footnote>
  <w:footnote w:id="43">
    <w:p w14:paraId="77EEB3F9" w14:textId="29E4E94C" w:rsidR="003C0536" w:rsidRPr="009668E2" w:rsidRDefault="003C0536"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&lt;EndNote&gt;&lt;Cite&gt;&lt;Author&gt;Hasani&lt;/Author&gt;&lt;Year&gt;2022&lt;/Year&gt;&lt;RecNum&gt;1734&lt;/RecNum&gt;&lt;DisplayText&gt;Ibid.&lt;/DisplayText&gt;&lt;record&gt;&lt;rec-number&gt;1734&lt;/rec-number&gt;&lt;foreign-keys&gt;&lt;key app="EN" db-id="wrez22watfrfanevx2zx2wps9sefrp09axse" timestamp="1714904348"&gt;1734&lt;/key&gt;&lt;/foreign-keys&gt;&lt;ref-type name="Journal Article"&gt;17&lt;/ref-type&gt;&lt;contributors&gt;&lt;authors&gt;&lt;author&gt;Hasani, Ismail&lt;/author&gt;&lt;author&gt;Halili, Halili&lt;/author&gt;&lt;/authors&gt;&lt;/contributors&gt;&lt;titles&gt;&lt;title&gt;Human Rights and Constitutionality Issues of Blasphemy Law in Indonesia&lt;/title&gt;&lt;secondary-title&gt;Jurnal Konstitusi&lt;/secondary-title&gt;&lt;/titles&gt;&lt;periodical&gt;&lt;full-title&gt;Jurnal Konstitusi&lt;/full-title&gt;&lt;/periodical&gt;&lt;dates&gt;&lt;year&gt;2022&lt;/year&gt;&lt;/dates&gt;&lt;urls&gt;&lt;/urls&gt;&lt;electronic-resource-num&gt;10.31078/jk1927&lt;/electronic-resource-num&gt;&lt;/record&gt;&lt;/Cite&gt;&lt;/EndNote&gt;</w:instrText>
      </w:r>
      <w:r w:rsidRPr="009668E2">
        <w:rPr>
          <w:rFonts w:ascii="Garamond" w:hAnsi="Garamond"/>
        </w:rPr>
        <w:fldChar w:fldCharType="separate"/>
      </w:r>
      <w:r w:rsidRPr="009668E2">
        <w:rPr>
          <w:rFonts w:ascii="Garamond" w:hAnsi="Garamond"/>
          <w:noProof/>
        </w:rPr>
        <w:t>Ibid.</w:t>
      </w:r>
      <w:r w:rsidRPr="009668E2">
        <w:rPr>
          <w:rFonts w:ascii="Garamond" w:hAnsi="Garamond"/>
        </w:rPr>
        <w:fldChar w:fldCharType="end"/>
      </w:r>
    </w:p>
  </w:footnote>
  <w:footnote w:id="44">
    <w:p w14:paraId="56932871" w14:textId="719477C1" w:rsidR="003C0536" w:rsidRPr="009668E2" w:rsidRDefault="003C0536"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&lt;EndNote&gt;&lt;Cite&gt;&lt;Author&gt;Tyson&lt;/Author&gt;&lt;Year&gt;2020&lt;/Year&gt;&lt;RecNum&gt;1733&lt;/RecNum&gt;&lt;DisplayText&gt;Tyson.&lt;/DisplayText&gt;&lt;record&gt;&lt;rec-number&gt;1733&lt;/rec-number&gt;&lt;foreign-keys&gt;&lt;key app="EN" db-id="wrez22watfrfanevx2zx2wps9sefrp09axse" timestamp="1714904348"&gt;1733&lt;/key&gt;&lt;/foreign-keys&gt;&lt;ref-type name="Journal Article"&gt;17&lt;/ref-type&gt;&lt;contributors&gt;&lt;authors&gt;&lt;author&gt;Tyson, Adam&lt;/author&gt;&lt;/authors&gt;&lt;/contributors&gt;&lt;titles&gt;&lt;title&gt;Blasphemy and Judicial Legitimacy in Indonesia&lt;/title&gt;&lt;secondary-title&gt;Politics and Religion&lt;/secondary-title&gt;&lt;/titles&gt;&lt;periodical&gt;&lt;full-title&gt;Politics and Religion&lt;/full-title&gt;&lt;/periodical&gt;&lt;dates&gt;&lt;year&gt;2020&lt;/year&gt;&lt;/dates&gt;&lt;urls&gt;&lt;/urls&gt;&lt;electronic-resource-num&gt;10.1017/s1755048319000427&lt;/electronic-resource-num&gt;&lt;/record&gt;&lt;/Cite&gt;&lt;/EndNote&gt;</w:instrText>
      </w:r>
      <w:r w:rsidRPr="009668E2">
        <w:rPr>
          <w:rFonts w:ascii="Garamond" w:hAnsi="Garamond"/>
        </w:rPr>
        <w:fldChar w:fldCharType="separate"/>
      </w:r>
      <w:r w:rsidRPr="009668E2">
        <w:rPr>
          <w:rFonts w:ascii="Garamond" w:hAnsi="Garamond"/>
          <w:noProof/>
        </w:rPr>
        <w:t>Tyson.</w:t>
      </w:r>
      <w:r w:rsidRPr="009668E2">
        <w:rPr>
          <w:rFonts w:ascii="Garamond" w:hAnsi="Garamond"/>
        </w:rPr>
        <w:fldChar w:fldCharType="end"/>
      </w:r>
    </w:p>
  </w:footnote>
  <w:footnote w:id="45">
    <w:p w14:paraId="5351DE84" w14:textId="717C3D5D" w:rsidR="00FA5394" w:rsidRPr="009668E2" w:rsidRDefault="00FA53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fldData xml:space="preserve">PEVuZE5vdGU+PENpdGU+PEF1dGhvcj5BbWluPC9BdXRob3I+PFllYXI+MjAyMjwvWWVhcj48UmVj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</w:fldData>
        </w:fldChar>
      </w:r>
      <w:r w:rsidR="002D4102" w:rsidRPr="009668E2">
        <w:rPr>
          <w:rFonts w:ascii="Garamond" w:hAnsi="Garamond"/>
        </w:rPr>
        <w:instrText xml:space="preserve"> ADDIN EN.CITE </w:instrText>
      </w:r>
      <w:r w:rsidR="002D4102" w:rsidRPr="009668E2">
        <w:rPr>
          <w:rFonts w:ascii="Garamond" w:hAnsi="Garamond"/>
        </w:rPr>
        <w:fldChar w:fldCharType="begin">
          <w:fldData xml:space="preserve">PEVuZE5vdGU+PENpdGU+PEF1dGhvcj5BbWluPC9BdXRob3I+PFllYXI+MjAyMjwvWWVhcj48UmVj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</w:fldData>
        </w:fldChar>
      </w:r>
      <w:r w:rsidR="002D4102" w:rsidRPr="009668E2">
        <w:rPr>
          <w:rFonts w:ascii="Garamond" w:hAnsi="Garamond"/>
        </w:rPr>
        <w:instrText xml:space="preserve"> ADDIN EN.CITE.DATA </w:instrText>
      </w:r>
      <w:r w:rsidR="002D4102" w:rsidRPr="009668E2">
        <w:rPr>
          <w:rFonts w:ascii="Garamond" w:hAnsi="Garamond"/>
        </w:rPr>
      </w:r>
      <w:r w:rsidR="002D4102" w:rsidRPr="009668E2">
        <w:rPr>
          <w:rFonts w:ascii="Garamond" w:hAnsi="Garamond"/>
        </w:rPr>
        <w:fldChar w:fldCharType="end"/>
      </w:r>
      <w:r w:rsidRPr="009668E2">
        <w:rPr>
          <w:rFonts w:ascii="Garamond" w:hAnsi="Garamond"/>
        </w:rPr>
      </w:r>
      <w:r w:rsidRPr="009668E2">
        <w:rPr>
          <w:rFonts w:ascii="Garamond" w:hAnsi="Garamond"/>
        </w:rPr>
        <w:fldChar w:fldCharType="separate"/>
      </w:r>
      <w:r w:rsidR="002D4102" w:rsidRPr="009668E2">
        <w:rPr>
          <w:rFonts w:ascii="Garamond" w:hAnsi="Garamond"/>
          <w:noProof/>
        </w:rPr>
        <w:t xml:space="preserve">Nazrial Amin, "Contemporary Da'wah Strategies to Educate the Religious Life of Minority Muslims," </w:t>
      </w:r>
      <w:r w:rsidR="002D4102" w:rsidRPr="009668E2">
        <w:rPr>
          <w:rFonts w:ascii="Garamond" w:hAnsi="Garamond"/>
          <w:i/>
          <w:noProof/>
        </w:rPr>
        <w:t>Al-Fikru Jurnal Ilmiah</w:t>
      </w:r>
      <w:r w:rsidR="002D4102" w:rsidRPr="009668E2">
        <w:rPr>
          <w:rFonts w:ascii="Garamond" w:hAnsi="Garamond"/>
          <w:noProof/>
        </w:rPr>
        <w:t xml:space="preserve">  (2022), http://dx.doi.org/10.51672/</w:t>
      </w:r>
      <w:r w:rsidR="00EC5A41">
        <w:rPr>
          <w:rFonts w:ascii="Garamond" w:hAnsi="Garamond"/>
          <w:noProof/>
        </w:rPr>
        <w:softHyphen/>
      </w:r>
      <w:r w:rsidR="002D4102" w:rsidRPr="009668E2">
        <w:rPr>
          <w:rFonts w:ascii="Garamond" w:hAnsi="Garamond"/>
          <w:noProof/>
        </w:rPr>
        <w:t xml:space="preserve">alfikru.v16i2.107; St Rahmah and Rabiatul Aslamiah, "Understanding the Urgency of Da'wah of Islam in the Context of Peace in the Nuances of Pluralism in Indonesia," </w:t>
      </w:r>
      <w:r w:rsidR="002D4102" w:rsidRPr="009668E2">
        <w:rPr>
          <w:rFonts w:ascii="Garamond" w:hAnsi="Garamond"/>
          <w:i/>
          <w:noProof/>
        </w:rPr>
        <w:t>International Research Journal of Management It and Social Sciences</w:t>
      </w:r>
      <w:r w:rsidR="002D4102" w:rsidRPr="009668E2">
        <w:rPr>
          <w:rFonts w:ascii="Garamond" w:hAnsi="Garamond"/>
          <w:noProof/>
        </w:rPr>
        <w:t xml:space="preserve">  (2023), http://dx.doi.org/10.21744/irjmis.v10n2.2295; Arizqi I. Pratama, Deni Rusman, and Mustofa Zahir, "Educational Da'wah Strategy for Increasing Religious Activities," </w:t>
      </w:r>
      <w:r w:rsidR="002D4102" w:rsidRPr="009668E2">
        <w:rPr>
          <w:rFonts w:ascii="Garamond" w:hAnsi="Garamond"/>
          <w:i/>
          <w:noProof/>
        </w:rPr>
        <w:t>Atthulab Islamic Religion Teaching and Learning Journal</w:t>
      </w:r>
      <w:r w:rsidR="002D4102" w:rsidRPr="009668E2">
        <w:rPr>
          <w:rFonts w:ascii="Garamond" w:hAnsi="Garamond"/>
          <w:noProof/>
        </w:rPr>
        <w:t xml:space="preserve">  (2022), http://dx.doi.org/10.15</w:t>
      </w:r>
      <w:r w:rsidR="00EC5A41">
        <w:rPr>
          <w:rFonts w:ascii="Garamond" w:hAnsi="Garamond"/>
          <w:noProof/>
        </w:rPr>
        <w:softHyphen/>
      </w:r>
      <w:r w:rsidR="002D4102" w:rsidRPr="009668E2">
        <w:rPr>
          <w:rFonts w:ascii="Garamond" w:hAnsi="Garamond"/>
          <w:noProof/>
        </w:rPr>
        <w:t>575/ath.v7i2.20901.</w:t>
      </w:r>
      <w:r w:rsidRPr="009668E2">
        <w:rPr>
          <w:rFonts w:ascii="Garamond" w:hAnsi="Garamond"/>
        </w:rPr>
        <w:fldChar w:fldCharType="end"/>
      </w:r>
    </w:p>
  </w:footnote>
  <w:footnote w:id="46">
    <w:p w14:paraId="6A25D428" w14:textId="2FCE56C2" w:rsidR="00FA5394" w:rsidRPr="009668E2" w:rsidRDefault="00FA53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fldData xml:space="preserve">PEVuZE5vdGU+PENpdGU+PEF1dGhvcj5ZdWxpYXNpaDwvQXV0aG9yPjxZZWFyPjIwMjI8L1llYXI+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</w:fldData>
        </w:fldChar>
      </w:r>
      <w:r w:rsidR="002D4102" w:rsidRPr="009668E2">
        <w:rPr>
          <w:rFonts w:ascii="Garamond" w:hAnsi="Garamond"/>
        </w:rPr>
        <w:instrText xml:space="preserve"> ADDIN EN.CITE </w:instrText>
      </w:r>
      <w:r w:rsidR="002D4102" w:rsidRPr="009668E2">
        <w:rPr>
          <w:rFonts w:ascii="Garamond" w:hAnsi="Garamond"/>
        </w:rPr>
        <w:fldChar w:fldCharType="begin">
          <w:fldData xml:space="preserve">PEVuZE5vdGU+PENpdGU+PEF1dGhvcj5ZdWxpYXNpaDwvQXV0aG9yPjxZZWFyPjIwMjI8L1llYXI+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</w:fldData>
        </w:fldChar>
      </w:r>
      <w:r w:rsidR="002D4102" w:rsidRPr="009668E2">
        <w:rPr>
          <w:rFonts w:ascii="Garamond" w:hAnsi="Garamond"/>
        </w:rPr>
        <w:instrText xml:space="preserve"> ADDIN EN.CITE.DATA </w:instrText>
      </w:r>
      <w:r w:rsidR="002D4102" w:rsidRPr="009668E2">
        <w:rPr>
          <w:rFonts w:ascii="Garamond" w:hAnsi="Garamond"/>
        </w:rPr>
      </w:r>
      <w:r w:rsidR="002D4102" w:rsidRPr="009668E2">
        <w:rPr>
          <w:rFonts w:ascii="Garamond" w:hAnsi="Garamond"/>
        </w:rPr>
        <w:fldChar w:fldCharType="end"/>
      </w:r>
      <w:r w:rsidRPr="009668E2">
        <w:rPr>
          <w:rFonts w:ascii="Garamond" w:hAnsi="Garamond"/>
        </w:rPr>
      </w:r>
      <w:r w:rsidRPr="009668E2">
        <w:rPr>
          <w:rFonts w:ascii="Garamond" w:hAnsi="Garamond"/>
        </w:rPr>
        <w:fldChar w:fldCharType="separate"/>
      </w:r>
      <w:r w:rsidR="002D4102" w:rsidRPr="009668E2">
        <w:rPr>
          <w:rFonts w:ascii="Garamond" w:hAnsi="Garamond"/>
          <w:noProof/>
        </w:rPr>
        <w:t xml:space="preserve">Muzayyanah Yuliasih and Tri Rahyu, "Da'wah Strategy in Preventing Apostasy in Cisantana Village, Cigugur District, Kuningan District," </w:t>
      </w:r>
      <w:r w:rsidR="002D4102" w:rsidRPr="009668E2">
        <w:rPr>
          <w:rFonts w:ascii="Garamond" w:hAnsi="Garamond"/>
          <w:i/>
          <w:noProof/>
        </w:rPr>
        <w:t>Jurnal Bina Ummat Membina Dan Membentengi Ummat</w:t>
      </w:r>
      <w:r w:rsidR="002D4102" w:rsidRPr="009668E2">
        <w:rPr>
          <w:rFonts w:ascii="Garamond" w:hAnsi="Garamond"/>
          <w:noProof/>
        </w:rPr>
        <w:t xml:space="preserve">  (2022), http://dx.doi.org/10.38214/jurna</w:t>
      </w:r>
      <w:r w:rsidR="00EC5A41">
        <w:rPr>
          <w:rFonts w:ascii="Garamond" w:hAnsi="Garamond"/>
          <w:noProof/>
        </w:rPr>
        <w:softHyphen/>
      </w:r>
      <w:r w:rsidR="002D4102" w:rsidRPr="009668E2">
        <w:rPr>
          <w:rFonts w:ascii="Garamond" w:hAnsi="Garamond"/>
          <w:noProof/>
        </w:rPr>
        <w:t>lbinaumma</w:t>
      </w:r>
      <w:r w:rsidR="00EC5A41">
        <w:rPr>
          <w:rFonts w:ascii="Garamond" w:hAnsi="Garamond"/>
          <w:noProof/>
        </w:rPr>
        <w:softHyphen/>
      </w:r>
      <w:r w:rsidR="002D4102" w:rsidRPr="009668E2">
        <w:rPr>
          <w:rFonts w:ascii="Garamond" w:hAnsi="Garamond"/>
          <w:noProof/>
        </w:rPr>
        <w:t>tstidn</w:t>
      </w:r>
      <w:r w:rsidR="00EC5A41">
        <w:rPr>
          <w:rFonts w:ascii="Garamond" w:hAnsi="Garamond"/>
          <w:noProof/>
        </w:rPr>
        <w:softHyphen/>
      </w:r>
      <w:r w:rsidR="002D4102" w:rsidRPr="009668E2">
        <w:rPr>
          <w:rFonts w:ascii="Garamond" w:hAnsi="Garamond"/>
          <w:noProof/>
        </w:rPr>
        <w:t xml:space="preserve">atsir.v5i2.150; Hari Kusmanto et al., "Persuasion Action Strategies in Da'wah Discourse on Social Media in the Global Communication Era," </w:t>
      </w:r>
      <w:r w:rsidR="002D4102" w:rsidRPr="009668E2">
        <w:rPr>
          <w:rFonts w:ascii="Garamond" w:hAnsi="Garamond"/>
          <w:i/>
          <w:noProof/>
        </w:rPr>
        <w:t>Language Circle Journal of Language and Literature</w:t>
      </w:r>
      <w:r w:rsidR="002D4102" w:rsidRPr="009668E2">
        <w:rPr>
          <w:rFonts w:ascii="Garamond" w:hAnsi="Garamond"/>
          <w:noProof/>
        </w:rPr>
        <w:t xml:space="preserve">  (2021), http://dx.doi.org/10.15294/lc.v15i2.26285.</w:t>
      </w:r>
      <w:r w:rsidRPr="009668E2">
        <w:rPr>
          <w:rFonts w:ascii="Garamond" w:hAnsi="Garamond"/>
        </w:rPr>
        <w:fldChar w:fldCharType="end"/>
      </w:r>
    </w:p>
  </w:footnote>
  <w:footnote w:id="47">
    <w:p w14:paraId="22B3AD29" w14:textId="46101980" w:rsidR="00FA5394" w:rsidRPr="009668E2" w:rsidRDefault="00FA53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fldData xml:space="preserve">PEVuZE5vdGU+PENpdGU+PEF1dGhvcj5TYXB1dHJhPC9BdXRob3I+PFllYXI+MjAxOTwvWWVhcj48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</w:fldData>
        </w:fldChar>
      </w:r>
      <w:r w:rsidR="002D4102" w:rsidRPr="009668E2">
        <w:rPr>
          <w:rFonts w:ascii="Garamond" w:hAnsi="Garamond"/>
        </w:rPr>
        <w:instrText xml:space="preserve"> ADDIN EN.CITE </w:instrText>
      </w:r>
      <w:r w:rsidR="002D4102" w:rsidRPr="009668E2">
        <w:rPr>
          <w:rFonts w:ascii="Garamond" w:hAnsi="Garamond"/>
        </w:rPr>
        <w:fldChar w:fldCharType="begin">
          <w:fldData xml:space="preserve">PEVuZE5vdGU+PENpdGU+PEF1dGhvcj5TYXB1dHJhPC9BdXRob3I+PFllYXI+MjAxOTwvWWVhcj48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</w:fldData>
        </w:fldChar>
      </w:r>
      <w:r w:rsidR="002D4102" w:rsidRPr="009668E2">
        <w:rPr>
          <w:rFonts w:ascii="Garamond" w:hAnsi="Garamond"/>
        </w:rPr>
        <w:instrText xml:space="preserve"> ADDIN EN.CITE.DATA </w:instrText>
      </w:r>
      <w:r w:rsidR="002D4102" w:rsidRPr="009668E2">
        <w:rPr>
          <w:rFonts w:ascii="Garamond" w:hAnsi="Garamond"/>
        </w:rPr>
      </w:r>
      <w:r w:rsidR="002D4102" w:rsidRPr="009668E2">
        <w:rPr>
          <w:rFonts w:ascii="Garamond" w:hAnsi="Garamond"/>
        </w:rPr>
        <w:fldChar w:fldCharType="end"/>
      </w:r>
      <w:r w:rsidRPr="009668E2">
        <w:rPr>
          <w:rFonts w:ascii="Garamond" w:hAnsi="Garamond"/>
        </w:rPr>
      </w:r>
      <w:r w:rsidRPr="009668E2">
        <w:rPr>
          <w:rFonts w:ascii="Garamond" w:hAnsi="Garamond"/>
        </w:rPr>
        <w:fldChar w:fldCharType="separate"/>
      </w:r>
      <w:r w:rsidR="002D4102" w:rsidRPr="009668E2">
        <w:rPr>
          <w:rFonts w:ascii="Garamond" w:hAnsi="Garamond"/>
          <w:noProof/>
        </w:rPr>
        <w:t xml:space="preserve">Rahmat Saputra and Ummi H. Islamiyah, "Da’wah Strategy through Google Search Engine Optimization," </w:t>
      </w:r>
      <w:r w:rsidR="002D4102" w:rsidRPr="009668E2">
        <w:rPr>
          <w:rFonts w:ascii="Garamond" w:hAnsi="Garamond"/>
          <w:i/>
          <w:noProof/>
        </w:rPr>
        <w:t>Islam Universalia International Journal of Islamic Studies and Social Sciences</w:t>
      </w:r>
      <w:r w:rsidR="002D4102" w:rsidRPr="009668E2">
        <w:rPr>
          <w:rFonts w:ascii="Garamond" w:hAnsi="Garamond"/>
          <w:noProof/>
        </w:rPr>
        <w:t xml:space="preserve">  (2019), http://dx.doi.org/10.56613/islam-universalia.v1i1.111; Aslan Aslan and Kok S. Pong, "Understanding the Trend of Digital Da'wah among Muslim Housewives in Indonesia," </w:t>
      </w:r>
      <w:r w:rsidR="002D4102" w:rsidRPr="009668E2">
        <w:rPr>
          <w:rFonts w:ascii="Garamond" w:hAnsi="Garamond"/>
          <w:i/>
          <w:noProof/>
        </w:rPr>
        <w:t>Fikroh Jurnal Pemikiran Dan Pendidikan Islam</w:t>
      </w:r>
      <w:r w:rsidR="002D4102" w:rsidRPr="009668E2">
        <w:rPr>
          <w:rFonts w:ascii="Garamond" w:hAnsi="Garamond"/>
          <w:noProof/>
        </w:rPr>
        <w:t xml:space="preserve">  (2023), http://dx.doi.org/10.37812/fikroh.v16i1.681.</w:t>
      </w:r>
      <w:r w:rsidRPr="009668E2">
        <w:rPr>
          <w:rFonts w:ascii="Garamond" w:hAnsi="Garamond"/>
        </w:rPr>
        <w:fldChar w:fldCharType="end"/>
      </w:r>
    </w:p>
  </w:footnote>
  <w:footnote w:id="48">
    <w:p w14:paraId="7AC7A247" w14:textId="331201E0" w:rsidR="008F12B5" w:rsidRPr="009668E2" w:rsidRDefault="008F12B5"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&lt;EndNote&gt;&lt;Cite&gt;&lt;Author&gt;Kusmanto&lt;/Author&gt;&lt;Year&gt;2021&lt;/Year&gt;&lt;RecNum&gt;1764&lt;/RecNum&gt;&lt;DisplayText&gt;Kusmanto et al.&lt;/DisplayText&gt;&lt;record&gt;&lt;rec-number&gt;1764&lt;/rec-number&gt;&lt;foreign-keys&gt;&lt;key app="EN" db-id="wrez22watfrfanevx2zx2wps9sefrp09axse" timestamp="1714904348"&gt;1764&lt;/key&gt;&lt;/foreign-keys&gt;&lt;ref-type name="Journal Article"&gt;17&lt;/ref-type&gt;&lt;contributors&gt;&lt;authors&gt;&lt;author&gt;Kusmanto, Hari&lt;/author&gt;&lt;author&gt;Prayitno, Harun J.&lt;/author&gt;&lt;author&gt;Sofiana, Isnaeni&lt;/author&gt;&lt;author&gt;Jamaluddin, Norliza&lt;/author&gt;&lt;/authors&gt;&lt;/contributors&gt;&lt;titles&gt;&lt;title&gt;Persuasion Action Strategies in Da&amp;apos;wah Discourse on Social Media in the Global Communication Era&lt;/title&gt;&lt;secondary-title&gt;Language Circle Journal of Language and Literature&lt;/secondary-title&gt;&lt;/titles&gt;&lt;periodical&gt;&lt;full-title&gt;Language Circle Journal of Language and Literature&lt;/full-title&gt;&lt;/periodical&gt;&lt;dates&gt;&lt;year&gt;2021&lt;/year&gt;&lt;/dates&gt;&lt;urls&gt;&lt;/urls&gt;&lt;electronic-resource-num&gt;10.15294/lc.v15i2.26285&lt;/electronic-resource-num&gt;&lt;/record&gt;&lt;/Cite&gt;&lt;/EndNote&gt;</w:instrText>
      </w:r>
      <w:r w:rsidRPr="009668E2">
        <w:rPr>
          <w:rFonts w:ascii="Garamond" w:hAnsi="Garamond"/>
        </w:rPr>
        <w:fldChar w:fldCharType="separate"/>
      </w:r>
      <w:r w:rsidRPr="009668E2">
        <w:rPr>
          <w:rFonts w:ascii="Garamond" w:hAnsi="Garamond"/>
          <w:noProof/>
        </w:rPr>
        <w:t>Kusmanto et al.</w:t>
      </w:r>
      <w:r w:rsidRPr="009668E2">
        <w:rPr>
          <w:rFonts w:ascii="Garamond" w:hAnsi="Garamond"/>
        </w:rPr>
        <w:fldChar w:fldCharType="end"/>
      </w:r>
    </w:p>
  </w:footnote>
  <w:footnote w:id="49">
    <w:p w14:paraId="30870BE3" w14:textId="25874D51" w:rsidR="008F12B5" w:rsidRPr="009668E2" w:rsidRDefault="008F12B5"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&lt;EndNote&gt;&lt;Cite&gt;&lt;Author&gt;Nasution&lt;/Author&gt;&lt;Year&gt;2022&lt;/Year&gt;&lt;RecNum&gt;1772&lt;/RecNum&gt;&lt;DisplayText&gt;Muhammad S. A. Nasution et al., &amp;quot;Hifz Al-Din (Maintaining Religion) and Hifz Al-Ummah (Developing National Integration): Resistance of Muslim Youth to Non-Muslim Leader Candidates in Election,&amp;quot; &lt;style face="italic"&gt;HTS Teologiese Studies / Theological Studies&lt;/style&gt;  (2022), http://dx.doi.org/10.4102/hts.v78i4.7526.&lt;/DisplayText&gt;&lt;record&gt;&lt;rec-number&gt;1772&lt;/rec-number&gt;&lt;foreign-keys&gt;&lt;key app="EN" db-id="wrez22watfrfanevx2zx2wps9sefrp09axse" timestamp="1714904348"&gt;1772&lt;/key&gt;&lt;/foreign-keys&gt;&lt;ref-type name="Journal Article"&gt;17&lt;/ref-type&gt;&lt;contributors&gt;&lt;authors&gt;&lt;author&gt;Nasution, Muhammad S. A.&lt;/author&gt;&lt;author&gt;Syam, Syafruddin&lt;/author&gt;&lt;author&gt;Matsum, Hasan&lt;/author&gt;&lt;author&gt;Siregar, Putra A.&lt;/author&gt;&lt;author&gt;Dayu, Wulan&lt;/author&gt;&lt;/authors&gt;&lt;/contributors&gt;&lt;titles&gt;&lt;title&gt;Hifz Al-Din (Maintaining Religion) and Hifz Al-Ummah (Developing National Integration): Resistance of Muslim Youth to Non-Muslim Leader Candidates in Election&lt;/title&gt;&lt;secondary-title&gt;HTS Teologiese Studies / Theological Studies&lt;/secondary-title&gt;&lt;/titles&gt;&lt;periodical&gt;&lt;full-title&gt;HTS Teologiese Studies / Theological Studies&lt;/full-title&gt;&lt;abbr-1&gt;HTS Teol. Stud.&lt;/abbr-1&gt;&lt;/periodical&gt;&lt;dates&gt;&lt;year&gt;2022&lt;/year&gt;&lt;/dates&gt;&lt;urls&gt;&lt;/urls&gt;&lt;electronic-resource-num&gt;10.4102/hts.v78i4.7526&lt;/electronic-resource-num&gt;&lt;/record&gt;&lt;/Cite&gt;&lt;/EndNote&gt;</w:instrText>
      </w:r>
      <w:r w:rsidRPr="009668E2">
        <w:rPr>
          <w:rFonts w:ascii="Garamond" w:hAnsi="Garamond"/>
        </w:rPr>
        <w:fldChar w:fldCharType="separate"/>
      </w:r>
      <w:r w:rsidRPr="009668E2">
        <w:rPr>
          <w:rFonts w:ascii="Garamond" w:hAnsi="Garamond"/>
          <w:noProof/>
        </w:rPr>
        <w:t xml:space="preserve">Muhammad S. A. Nasution et al., "Hifz Al-Din (Maintaining Religion) and Hifz Al-Ummah (Developing National Integration): Resistance of Muslim Youth to Non-Muslim Leader Candidates in Election," </w:t>
      </w:r>
      <w:r w:rsidRPr="009668E2">
        <w:rPr>
          <w:rFonts w:ascii="Garamond" w:hAnsi="Garamond"/>
          <w:i/>
          <w:noProof/>
        </w:rPr>
        <w:t>HTS Teologiese Studies / Theological Studies</w:t>
      </w:r>
      <w:r w:rsidRPr="009668E2">
        <w:rPr>
          <w:rFonts w:ascii="Garamond" w:hAnsi="Garamond"/>
          <w:noProof/>
        </w:rPr>
        <w:t xml:space="preserve">  (2022), http://dx.doi.org/10.4102/hts.v78i4.7526.</w:t>
      </w:r>
      <w:r w:rsidRPr="009668E2">
        <w:rPr>
          <w:rFonts w:ascii="Garamond" w:hAnsi="Garamond"/>
        </w:rPr>
        <w:fldChar w:fldCharType="end"/>
      </w:r>
    </w:p>
  </w:footnote>
  <w:footnote w:id="50">
    <w:p w14:paraId="2B65A04E" w14:textId="289D8D82" w:rsidR="008F12B5" w:rsidRPr="009668E2" w:rsidRDefault="008F12B5"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&lt;EndNote&gt;&lt;Cite&gt;&lt;Author&gt;Putra&lt;/Author&gt;&lt;Year&gt;2018&lt;/Year&gt;&lt;RecNum&gt;1773&lt;/RecNum&gt;&lt;DisplayText&gt;Idhamsyah E. Putra, Peter Holtz, and Any Rufaedah, &amp;quot;Who Is to Blame, the Victims or the Perpetrators? A Study to Understand a Series of Violence Targeting the Accused Heretic Group Ahmadiyya,&amp;quot; &lt;style face="italic"&gt;Psychology of Religion and Spirituality&lt;/style&gt;  (2018), http://dx.doi.org/10.1037/rel0000186.&lt;/DisplayText&gt;&lt;record&gt;&lt;rec-number&gt;1773&lt;/rec-number&gt;&lt;foreign-keys&gt;&lt;key app="EN" db-id="wrez22watfrfanevx2zx2wps9sefrp09axse" timestamp="1714904348"&gt;1773&lt;/key&gt;&lt;/foreign-keys&gt;&lt;ref-type name="Journal Article"&gt;17&lt;/ref-type&gt;&lt;contributors&gt;&lt;authors&gt;&lt;author&gt;Putra, Idhamsyah E.&lt;/author&gt;&lt;author&gt;Holtz, Peter&lt;/author&gt;&lt;author&gt;Rufaedah, Any&lt;/author&gt;&lt;/authors&gt;&lt;/contributors&gt;&lt;titles&gt;&lt;title&gt;Who Is to Blame, the Victims or the Perpetrators? A Study to Understand a Series of Violence Targeting the Accused Heretic Group Ahmadiyya&lt;/title&gt;&lt;secondary-title&gt;Psychology of Religion and Spirituality&lt;/secondary-title&gt;&lt;/titles&gt;&lt;periodical&gt;&lt;full-title&gt;Psychology of Religion and Spirituality&lt;/full-title&gt;&lt;/periodical&gt;&lt;dates&gt;&lt;year&gt;2018&lt;/year&gt;&lt;/dates&gt;&lt;urls&gt;&lt;/urls&gt;&lt;electronic-resource-num&gt;10.1037/rel0000186&lt;/electronic-resource-num&gt;&lt;/record&gt;&lt;/Cite&gt;&lt;/EndNote&gt;</w:instrText>
      </w:r>
      <w:r w:rsidRPr="009668E2">
        <w:rPr>
          <w:rFonts w:ascii="Garamond" w:hAnsi="Garamond"/>
        </w:rPr>
        <w:fldChar w:fldCharType="separate"/>
      </w:r>
      <w:r w:rsidRPr="009668E2">
        <w:rPr>
          <w:rFonts w:ascii="Garamond" w:hAnsi="Garamond"/>
          <w:noProof/>
        </w:rPr>
        <w:t xml:space="preserve">Idhamsyah E. Putra, Peter Holtz, and Any Rufaedah, "Who Is to Blame, the Victims or the Perpetrators? A Study to Understand a Series of Violence Targeting the Accused Heretic Group Ahmadiyya," </w:t>
      </w:r>
      <w:r w:rsidRPr="009668E2">
        <w:rPr>
          <w:rFonts w:ascii="Garamond" w:hAnsi="Garamond"/>
          <w:i/>
          <w:noProof/>
        </w:rPr>
        <w:t>Psychology of Religion and Spirituality</w:t>
      </w:r>
      <w:r w:rsidRPr="009668E2">
        <w:rPr>
          <w:rFonts w:ascii="Garamond" w:hAnsi="Garamond"/>
          <w:noProof/>
        </w:rPr>
        <w:t xml:space="preserve">  (2018), http://dx.doi.org/10.1037/rel0000186.</w:t>
      </w:r>
      <w:r w:rsidRPr="009668E2">
        <w:rPr>
          <w:rFonts w:ascii="Garamond" w:hAnsi="Garamond"/>
        </w:rPr>
        <w:fldChar w:fldCharType="end"/>
      </w:r>
    </w:p>
  </w:footnote>
  <w:footnote w:id="51">
    <w:p w14:paraId="17E3F5A7" w14:textId="2AD94498" w:rsidR="008F12B5" w:rsidRPr="009668E2" w:rsidRDefault="008F12B5"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&lt;EndNote&gt;&lt;Cite&gt;&lt;Author&gt;Lintang&lt;/Author&gt;&lt;Year&gt;2021&lt;/Year&gt;&lt;RecNum&gt;1740&lt;/RecNum&gt;&lt;DisplayText&gt;Lintang, Martufi, and Ouwerker.&lt;/DisplayText&gt;&lt;record&gt;&lt;rec-number&gt;1740&lt;/rec-number&gt;&lt;foreign-keys&gt;&lt;key app="EN" db-id="wrez22watfrfanevx2zx2wps9sefrp09axse" timestamp="1714904348"&gt;1740&lt;/key&gt;&lt;/foreign-keys&gt;&lt;ref-type name="Journal Article"&gt;17&lt;/ref-type&gt;&lt;contributors&gt;&lt;authors&gt;&lt;author&gt;Lintang, Loresta C.&lt;/author&gt;&lt;author&gt;Martufi, Adriano&lt;/author&gt;&lt;author&gt;Ouwerker, J. W.&lt;/author&gt;&lt;/authors&gt;&lt;/contributors&gt;&lt;titles&gt;&lt;title&gt;The Alternative Concepts of Blasphemy Law in Indonesia: Legal Comparison With Ireland and Canada&lt;/title&gt;&lt;secondary-title&gt;Bestuur&lt;/secondary-title&gt;&lt;/titles&gt;&lt;periodical&gt;&lt;full-title&gt;Bestuur&lt;/full-title&gt;&lt;/periodical&gt;&lt;dates&gt;&lt;year&gt;2021&lt;/year&gt;&lt;/dates&gt;&lt;urls&gt;&lt;/urls&gt;&lt;electronic-resource-num&gt;10.20961/bestuur.v9i1.51632&lt;/electronic-resource-num&gt;&lt;/record&gt;&lt;/Cite&gt;&lt;/EndNote&gt;</w:instrText>
      </w:r>
      <w:r w:rsidRPr="009668E2">
        <w:rPr>
          <w:rFonts w:ascii="Garamond" w:hAnsi="Garamond"/>
        </w:rPr>
        <w:fldChar w:fldCharType="separate"/>
      </w:r>
      <w:r w:rsidRPr="009668E2">
        <w:rPr>
          <w:rFonts w:ascii="Garamond" w:hAnsi="Garamond"/>
          <w:noProof/>
        </w:rPr>
        <w:t>Lintang, Martufi, and Ouwerker.</w:t>
      </w:r>
      <w:r w:rsidRPr="009668E2">
        <w:rPr>
          <w:rFonts w:ascii="Garamond" w:hAnsi="Garamond"/>
        </w:rPr>
        <w:fldChar w:fldCharType="end"/>
      </w:r>
    </w:p>
  </w:footnote>
  <w:footnote w:id="52">
    <w:p w14:paraId="5062D12A" w14:textId="3A907A76" w:rsidR="00FE1657" w:rsidRPr="009668E2" w:rsidRDefault="00FE1657"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&lt;EndNote&gt;&lt;Cite&gt;&lt;Author&gt;Lengauer&lt;/Author&gt;&lt;Year&gt;2018&lt;/Year&gt;&lt;RecNum&gt;1776&lt;/RecNum&gt;&lt;DisplayText&gt;Dayana Lengauer, &amp;quot;Sharing Semangat Taqwa: Social Media and Digital Islamic Socialities in Bandung,&amp;quot; &lt;style face="italic"&gt;Indonesia and the Malay World&lt;/style&gt;  (2018), http://dx.doi.org/10.1080/13639811.2018.1415276.&lt;/DisplayText&gt;&lt;record&gt;&lt;rec-number&gt;1776&lt;/rec-number&gt;&lt;foreign-keys&gt;&lt;key app="EN" db-id="wrez22watfrfanevx2zx2wps9sefrp09axse" timestamp="1714904348"&gt;1776&lt;/key&gt;&lt;/foreign-keys&gt;&lt;ref-type name="Journal Article"&gt;17&lt;/ref-type&gt;&lt;contributors&gt;&lt;authors&gt;&lt;author&gt;Lengauer, Dayana&lt;/author&gt;&lt;/authors&gt;&lt;/contributors&gt;&lt;titles&gt;&lt;title&gt;Sharing Semangat Taqwa: Social Media and Digital Islamic Socialities in Bandung&lt;/title&gt;&lt;secondary-title&gt;Indonesia and the Malay World&lt;/secondary-title&gt;&lt;/titles&gt;&lt;periodical&gt;&lt;full-title&gt;Indonesia and the Malay World&lt;/full-title&gt;&lt;/periodical&gt;&lt;dates&gt;&lt;year&gt;2018&lt;/year&gt;&lt;/dates&gt;&lt;urls&gt;&lt;/urls&gt;&lt;electronic-resource-num&gt;10.1080/13639811.2018.1415276&lt;/electronic-resource-num&gt;&lt;/record&gt;&lt;/Cite&gt;&lt;/EndNote&gt;</w:instrText>
      </w:r>
      <w:r w:rsidRPr="009668E2">
        <w:rPr>
          <w:rFonts w:ascii="Garamond" w:hAnsi="Garamond"/>
        </w:rPr>
        <w:fldChar w:fldCharType="separate"/>
      </w:r>
      <w:r w:rsidRPr="009668E2">
        <w:rPr>
          <w:rFonts w:ascii="Garamond" w:hAnsi="Garamond"/>
          <w:noProof/>
        </w:rPr>
        <w:t xml:space="preserve">Dayana Lengauer, "Sharing Semangat Taqwa: Social Media and Digital Islamic Socialities in Bandung," </w:t>
      </w:r>
      <w:r w:rsidRPr="009668E2">
        <w:rPr>
          <w:rFonts w:ascii="Garamond" w:hAnsi="Garamond"/>
          <w:i/>
          <w:noProof/>
        </w:rPr>
        <w:t>Indonesia and the Malay World</w:t>
      </w:r>
      <w:r w:rsidRPr="009668E2">
        <w:rPr>
          <w:rFonts w:ascii="Garamond" w:hAnsi="Garamond"/>
          <w:noProof/>
        </w:rPr>
        <w:t xml:space="preserve">  (2018), http://dx.doi.org/10.</w:t>
      </w:r>
      <w:r w:rsidR="00EC5A41">
        <w:rPr>
          <w:rFonts w:ascii="Garamond" w:hAnsi="Garamond"/>
          <w:noProof/>
        </w:rPr>
        <w:softHyphen/>
      </w:r>
      <w:r w:rsidRPr="009668E2">
        <w:rPr>
          <w:rFonts w:ascii="Garamond" w:hAnsi="Garamond"/>
          <w:noProof/>
        </w:rPr>
        <w:t>1080/13639811.2018.1415276.</w:t>
      </w:r>
      <w:r w:rsidRPr="009668E2">
        <w:rPr>
          <w:rFonts w:ascii="Garamond" w:hAnsi="Garamond"/>
        </w:rPr>
        <w:fldChar w:fldCharType="end"/>
      </w:r>
    </w:p>
  </w:footnote>
  <w:footnote w:id="53">
    <w:p w14:paraId="29011278" w14:textId="19E3285F" w:rsidR="00FE1657" w:rsidRPr="009668E2" w:rsidRDefault="00FE1657"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&lt;EndNote&gt;&lt;Cite&gt;&lt;Author&gt;Muhammad&lt;/Author&gt;&lt;Year&gt;2023&lt;/Year&gt;&lt;RecNum&gt;1777&lt;/RecNum&gt;&lt;DisplayText&gt;Firdaus Muhammad, &amp;quot;Diseminasi Komunikasi Politik Islam Dan Dakwah Era Konvergensi Media Digital,&amp;quot; &lt;style face="italic"&gt;Jurnal Dakwah Tabligh&lt;/style&gt;  (2023), http://dx.doi.org/10.24252/jdt.v24i1.41657.&lt;/DisplayText&gt;&lt;record&gt;&lt;rec-number&gt;1777&lt;/rec-number&gt;&lt;foreign-keys&gt;&lt;key app="EN" db-id="wrez22watfrfanevx2zx2wps9sefrp09axse" timestamp="1714904348"&gt;1777&lt;/key&gt;&lt;/foreign-keys&gt;&lt;ref-type name="Journal Article"&gt;17&lt;/ref-type&gt;&lt;contributors&gt;&lt;authors&gt;&lt;author&gt;Muhammad, Firdaus&lt;/author&gt;&lt;/authors&gt;&lt;/contributors&gt;&lt;titles&gt;&lt;title&gt;Diseminasi Komunikasi Politik Islam Dan Dakwah Era Konvergensi Media Digital&lt;/title&gt;&lt;secondary-title&gt;Jurnal Dakwah Tabligh&lt;/secondary-title&gt;&lt;/titles&gt;&lt;periodical&gt;&lt;full-title&gt;Jurnal Dakwah Tabligh&lt;/full-title&gt;&lt;/periodical&gt;&lt;dates&gt;&lt;year&gt;2023&lt;/year&gt;&lt;/dates&gt;&lt;urls&gt;&lt;/urls&gt;&lt;electronic-resource-num&gt;10.24252/jdt.v24i1.41657&lt;/electronic-resource-num&gt;&lt;/record&gt;&lt;/Cite&gt;&lt;/EndNote&gt;</w:instrText>
      </w:r>
      <w:r w:rsidRPr="009668E2">
        <w:rPr>
          <w:rFonts w:ascii="Garamond" w:hAnsi="Garamond"/>
        </w:rPr>
        <w:fldChar w:fldCharType="separate"/>
      </w:r>
      <w:r w:rsidRPr="009668E2">
        <w:rPr>
          <w:rFonts w:ascii="Garamond" w:hAnsi="Garamond"/>
          <w:noProof/>
        </w:rPr>
        <w:t xml:space="preserve">Firdaus Muhammad, "Diseminasi Komunikasi Politik Islam Dan Dakwah Era Konvergensi Media Digital," </w:t>
      </w:r>
      <w:r w:rsidRPr="009668E2">
        <w:rPr>
          <w:rFonts w:ascii="Garamond" w:hAnsi="Garamond"/>
          <w:i/>
          <w:noProof/>
        </w:rPr>
        <w:t>Jurnal Dakwah Tabligh</w:t>
      </w:r>
      <w:r w:rsidRPr="009668E2">
        <w:rPr>
          <w:rFonts w:ascii="Garamond" w:hAnsi="Garamond"/>
          <w:noProof/>
        </w:rPr>
        <w:t xml:space="preserve">  (2023), http://dx.doi.org/1</w:t>
      </w:r>
      <w:r w:rsidR="00EC5A41">
        <w:rPr>
          <w:rFonts w:ascii="Garamond" w:hAnsi="Garamond"/>
          <w:noProof/>
        </w:rPr>
        <w:softHyphen/>
      </w:r>
      <w:r w:rsidRPr="009668E2">
        <w:rPr>
          <w:rFonts w:ascii="Garamond" w:hAnsi="Garamond"/>
          <w:noProof/>
        </w:rPr>
        <w:t>0.24252/jdt.v24i1.41657.</w:t>
      </w:r>
      <w:r w:rsidRPr="009668E2">
        <w:rPr>
          <w:rFonts w:ascii="Garamond" w:hAnsi="Garamond"/>
        </w:rPr>
        <w:fldChar w:fldCharType="end"/>
      </w:r>
    </w:p>
  </w:footnote>
  <w:footnote w:id="54">
    <w:p w14:paraId="08FCE123" w14:textId="4D8063C8" w:rsidR="00FE1657" w:rsidRPr="009668E2" w:rsidRDefault="00FE1657"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&lt;EndNote&gt;&lt;Cite&gt;&lt;Author&gt;Fajar&lt;/Author&gt;&lt;Year&gt;2021&lt;/Year&gt;&lt;RecNum&gt;1778&lt;/RecNum&gt;&lt;DisplayText&gt;Mohammad R. Fajar, &amp;quot;Optimalisasi Dakwah Media Sosial Di Kalangan Mahasiswa Di Masa Pandemi Dalam Dimensi Globalisasi,&amp;quot; &lt;style face="italic"&gt;Jurnal Dakwah Dan Komunikasi&lt;/style&gt;  (2021), http://dx.doi.org/10.29240/jdk.v6i1.2954.&lt;/DisplayText&gt;&lt;record&gt;&lt;rec-number&gt;1778&lt;/rec-number&gt;&lt;foreign-keys&gt;&lt;key app="EN" db-id="wrez22watfrfanevx2zx2wps9sefrp09axse" timestamp="1714904348"&gt;1778&lt;/key&gt;&lt;/foreign-keys&gt;&lt;ref-type name="Journal Article"&gt;17&lt;/ref-type&gt;&lt;contributors&gt;&lt;authors&gt;&lt;author&gt;Fajar, Mohammad R.&lt;/author&gt;&lt;/authors&gt;&lt;/contributors&gt;&lt;titles&gt;&lt;title&gt;Optimalisasi Dakwah Media Sosial Di Kalangan Mahasiswa Di Masa Pandemi Dalam Dimensi Globalisasi&lt;/title&gt;&lt;secondary-title&gt;Jurnal Dakwah Dan Komunikasi&lt;/secondary-title&gt;&lt;/titles&gt;&lt;periodical&gt;&lt;full-title&gt;Jurnal Dakwah Dan Komunikasi&lt;/full-title&gt;&lt;/periodical&gt;&lt;dates&gt;&lt;year&gt;2021&lt;/year&gt;&lt;/dates&gt;&lt;urls&gt;&lt;/urls&gt;&lt;electronic-resource-num&gt;10.29240/jdk.v6i1.2954&lt;/electronic-resource-num&gt;&lt;/record&gt;&lt;/Cite&gt;&lt;/EndNote&gt;</w:instrText>
      </w:r>
      <w:r w:rsidRPr="009668E2">
        <w:rPr>
          <w:rFonts w:ascii="Garamond" w:hAnsi="Garamond"/>
        </w:rPr>
        <w:fldChar w:fldCharType="separate"/>
      </w:r>
      <w:r w:rsidRPr="009668E2">
        <w:rPr>
          <w:rFonts w:ascii="Garamond" w:hAnsi="Garamond"/>
          <w:noProof/>
        </w:rPr>
        <w:t xml:space="preserve">Mohammad R. Fajar, "Optimalisasi Dakwah Media Sosial Di Kalangan Mahasiswa Di Masa Pandemi Dalam Dimensi Globalisasi," </w:t>
      </w:r>
      <w:r w:rsidRPr="009668E2">
        <w:rPr>
          <w:rFonts w:ascii="Garamond" w:hAnsi="Garamond"/>
          <w:i/>
          <w:noProof/>
        </w:rPr>
        <w:t>Jurnal Dakwah Dan Komunikasi</w:t>
      </w:r>
      <w:r w:rsidRPr="009668E2">
        <w:rPr>
          <w:rFonts w:ascii="Garamond" w:hAnsi="Garamond"/>
          <w:noProof/>
        </w:rPr>
        <w:t xml:space="preserve">  (2021), http://dx.doi.org/10.29240/jdk.v6i1.2954.</w:t>
      </w:r>
      <w:r w:rsidRPr="009668E2">
        <w:rPr>
          <w:rFonts w:ascii="Garamond" w:hAnsi="Garamond"/>
        </w:rPr>
        <w:fldChar w:fldCharType="end"/>
      </w:r>
    </w:p>
  </w:footnote>
  <w:footnote w:id="55">
    <w:p w14:paraId="605990D1" w14:textId="38AE197F" w:rsidR="00FE1657" w:rsidRPr="009668E2" w:rsidRDefault="00FE1657"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&lt;EndNote&gt;&lt;Cite&gt;&lt;Author&gt;Aziz&lt;/Author&gt;&lt;Year&gt;2022&lt;/Year&gt;&lt;RecNum&gt;1731&lt;/RecNum&gt;&lt;DisplayText&gt;Aziz et al.&lt;/DisplayText&gt;&lt;record&gt;&lt;rec-number&gt;1731&lt;/rec-number&gt;&lt;foreign-keys&gt;&lt;key app="EN" db-id="wrez22watfrfanevx2zx2wps9sefrp09axse" timestamp="1714904348"&gt;1731&lt;/key&gt;&lt;/foreign-keys&gt;&lt;ref-type name="Journal Article"&gt;17&lt;/ref-type&gt;&lt;contributors&gt;&lt;authors&gt;&lt;author&gt;Aziz, Muhajir S.&lt;/author&gt;&lt;author&gt;Indrasari, Meithiana&lt;/author&gt;&lt;author&gt;Pamuji, Eko&lt;/author&gt;&lt;author&gt;Wulandari, None E. R.&lt;/author&gt;&lt;author&gt;Prasnowo, M. A.&lt;/author&gt;&lt;/authors&gt;&lt;/contributors&gt;&lt;titles&gt;&lt;title&gt;Systematic Review: Use of Digital Media as a Means of Communication of Da’wah&lt;/title&gt;&lt;secondary-title&gt;Jurnal Spektrum Komunikasi&lt;/secondary-title&gt;&lt;/titles&gt;&lt;periodical&gt;&lt;full-title&gt;Jurnal Spektrum Komunikasi&lt;/full-title&gt;&lt;/periodical&gt;&lt;dates&gt;&lt;year&gt;2022&lt;/year&gt;&lt;/dates&gt;&lt;urls&gt;&lt;/urls&gt;&lt;electronic-resource-num&gt;10.37826/spektrum.v10i2.324&lt;/electronic-resource-num&gt;&lt;/record&gt;&lt;/Cite&gt;&lt;/EndNote&gt;</w:instrText>
      </w:r>
      <w:r w:rsidRPr="009668E2">
        <w:rPr>
          <w:rFonts w:ascii="Garamond" w:hAnsi="Garamond"/>
        </w:rPr>
        <w:fldChar w:fldCharType="separate"/>
      </w:r>
      <w:r w:rsidRPr="009668E2">
        <w:rPr>
          <w:rFonts w:ascii="Garamond" w:hAnsi="Garamond"/>
          <w:noProof/>
        </w:rPr>
        <w:t>Aziz et al.</w:t>
      </w:r>
      <w:r w:rsidRPr="009668E2">
        <w:rPr>
          <w:rFonts w:ascii="Garamond" w:hAnsi="Garamond"/>
        </w:rPr>
        <w:fldChar w:fldCharType="end"/>
      </w:r>
    </w:p>
  </w:footnote>
  <w:footnote w:id="56">
    <w:p w14:paraId="5733D5B7" w14:textId="27AF31E9" w:rsidR="00FE1657" w:rsidRPr="009668E2" w:rsidRDefault="00FE1657"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&lt;EndNote&gt;&lt;Cite&gt;&lt;Author&gt;Fikar&lt;/Author&gt;&lt;Year&gt;2022&lt;/Year&gt;&lt;RecNum&gt;1779&lt;/RecNum&gt;&lt;DisplayText&gt;Zulfikar Fikar, &amp;quot;Dakwah Ulama Dayah Aceh Di Masa Pandemi,&amp;quot; &lt;style face="italic"&gt;Panangkaran Jurnal Penelitian Agama Dan Masyarakat&lt;/style&gt;  (2022), http://dx.doi.org/10.14421/panangkaran.v6i1.2788.&lt;/DisplayText&gt;&lt;record&gt;&lt;rec-number&gt;1779&lt;/rec-number&gt;&lt;foreign-keys&gt;&lt;key app="EN" db-id="wrez22watfrfanevx2zx2wps9sefrp09axse" timestamp="1714904348"&gt;1779&lt;/key&gt;&lt;/foreign-keys&gt;&lt;ref-type name="Journal Article"&gt;17&lt;/ref-type&gt;&lt;contributors&gt;&lt;authors&gt;&lt;author&gt;Fikar, Zulfikar&lt;/author&gt;&lt;/authors&gt;&lt;/contributors&gt;&lt;titles&gt;&lt;title&gt;Dakwah Ulama Dayah Aceh Di Masa Pandemi&lt;/title&gt;&lt;secondary-title&gt;Panangkaran Jurnal Penelitian Agama Dan Masyarakat&lt;/secondary-title&gt;&lt;/titles&gt;&lt;periodical&gt;&lt;full-title&gt;Panangkaran Jurnal Penelitian Agama Dan Masyarakat&lt;/full-title&gt;&lt;/periodical&gt;&lt;dates&gt;&lt;year&gt;2022&lt;/year&gt;&lt;/dates&gt;&lt;urls&gt;&lt;/urls&gt;&lt;electronic-resource-num&gt;10.14421/panangkaran.v6i1.2788&lt;/electronic-resource-num&gt;&lt;/record&gt;&lt;/Cite&gt;&lt;/EndNote&gt;</w:instrText>
      </w:r>
      <w:r w:rsidRPr="009668E2">
        <w:rPr>
          <w:rFonts w:ascii="Garamond" w:hAnsi="Garamond"/>
        </w:rPr>
        <w:fldChar w:fldCharType="separate"/>
      </w:r>
      <w:r w:rsidRPr="009668E2">
        <w:rPr>
          <w:rFonts w:ascii="Garamond" w:hAnsi="Garamond"/>
          <w:noProof/>
        </w:rPr>
        <w:t xml:space="preserve">Zulfikar Fikar, "Dakwah Ulama Dayah Aceh Di Masa Pandemi," </w:t>
      </w:r>
      <w:r w:rsidRPr="009668E2">
        <w:rPr>
          <w:rFonts w:ascii="Garamond" w:hAnsi="Garamond"/>
          <w:i/>
          <w:noProof/>
        </w:rPr>
        <w:t>Panangkaran Jurnal Penelitian Agama Dan Masyarakat</w:t>
      </w:r>
      <w:r w:rsidRPr="009668E2">
        <w:rPr>
          <w:rFonts w:ascii="Garamond" w:hAnsi="Garamond"/>
          <w:noProof/>
        </w:rPr>
        <w:t xml:space="preserve">  (2022), http://dx.doi.org/10.14421/p</w:t>
      </w:r>
      <w:r w:rsidR="00EC5A41">
        <w:rPr>
          <w:rFonts w:ascii="Garamond" w:hAnsi="Garamond"/>
          <w:noProof/>
        </w:rPr>
        <w:softHyphen/>
      </w:r>
      <w:r w:rsidRPr="009668E2">
        <w:rPr>
          <w:rFonts w:ascii="Garamond" w:hAnsi="Garamond"/>
          <w:noProof/>
        </w:rPr>
        <w:t>anang</w:t>
      </w:r>
      <w:r w:rsidR="00EC5A41">
        <w:rPr>
          <w:rFonts w:ascii="Garamond" w:hAnsi="Garamond"/>
          <w:noProof/>
        </w:rPr>
        <w:softHyphen/>
      </w:r>
      <w:r w:rsidRPr="009668E2">
        <w:rPr>
          <w:rFonts w:ascii="Garamond" w:hAnsi="Garamond"/>
          <w:noProof/>
        </w:rPr>
        <w:t>karan.v6i1.2788.</w:t>
      </w:r>
      <w:r w:rsidRPr="009668E2">
        <w:rPr>
          <w:rFonts w:ascii="Garamond" w:hAnsi="Garamond"/>
        </w:rPr>
        <w:fldChar w:fldCharType="end"/>
      </w:r>
    </w:p>
  </w:footnote>
  <w:footnote w:id="57">
    <w:p w14:paraId="4E6E65D0" w14:textId="7F5BAA23" w:rsidR="00C924BE" w:rsidRPr="009668E2" w:rsidRDefault="00C924BE"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&lt;EndNote&gt;&lt;Cite&gt;&lt;Author&gt;Rahmah&lt;/Author&gt;&lt;Year&gt;2023&lt;/Year&gt;&lt;RecNum&gt;1761&lt;/RecNum&gt;&lt;DisplayText&gt;Rahmah and Aslamiah.&lt;/DisplayText&gt;&lt;record&gt;&lt;rec-number&gt;1761&lt;/rec-number&gt;&lt;foreign-keys&gt;&lt;key app="EN" db-id="wrez22watfrfanevx2zx2wps9sefrp09axse" timestamp="1714904348"&gt;1761&lt;/key&gt;&lt;/foreign-keys&gt;&lt;ref-type name="Journal Article"&gt;17&lt;/ref-type&gt;&lt;contributors&gt;&lt;authors&gt;&lt;author&gt;Rahmah, St&lt;/author&gt;&lt;author&gt;Aslamiah, Rabiatul&lt;/author&gt;&lt;/authors&gt;&lt;/contributors&gt;&lt;titles&gt;&lt;title&gt;Understanding the Urgency of Da&amp;apos;wah of Islam in the Context of Peace in the Nuances of Pluralism in Indonesia&lt;/title&gt;&lt;secondary-title&gt;International Research Journal of Management It and Social Sciences&lt;/secondary-title&gt;&lt;/titles&gt;&lt;periodical&gt;&lt;full-title&gt;International Research Journal of Management It and Social Sciences&lt;/full-title&gt;&lt;/periodical&gt;&lt;dates&gt;&lt;year&gt;2023&lt;/year&gt;&lt;/dates&gt;&lt;urls&gt;&lt;/urls&gt;&lt;electronic-resource-num&gt;10.21744/irjmis.v10n2.2295&lt;/electronic-resource-num&gt;&lt;/record&gt;&lt;/Cite&gt;&lt;/EndNote&gt;</w:instrText>
      </w:r>
      <w:r w:rsidRPr="009668E2">
        <w:rPr>
          <w:rFonts w:ascii="Garamond" w:hAnsi="Garamond"/>
        </w:rPr>
        <w:fldChar w:fldCharType="separate"/>
      </w:r>
      <w:r w:rsidRPr="009668E2">
        <w:rPr>
          <w:rFonts w:ascii="Garamond" w:hAnsi="Garamond"/>
          <w:noProof/>
        </w:rPr>
        <w:t>Rahmah and Aslamiah.</w:t>
      </w:r>
      <w:r w:rsidRPr="009668E2">
        <w:rPr>
          <w:rFonts w:ascii="Garamond" w:hAnsi="Garamond"/>
        </w:rPr>
        <w:fldChar w:fldCharType="end"/>
      </w:r>
    </w:p>
  </w:footnote>
  <w:footnote w:id="58">
    <w:p w14:paraId="20E7F8DE" w14:textId="66D61081" w:rsidR="00C924BE" w:rsidRPr="009668E2" w:rsidRDefault="00C924BE"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&lt;EndNote&gt;&lt;Cite&gt;&lt;Author&gt;Amin&lt;/Author&gt;&lt;Year&gt;2022&lt;/Year&gt;&lt;RecNum&gt;1760&lt;/RecNum&gt;&lt;DisplayText&gt;Amin.&lt;/DisplayText&gt;&lt;record&gt;&lt;rec-number&gt;1760&lt;/rec-number&gt;&lt;foreign-keys&gt;&lt;key app="EN" db-id="wrez22watfrfanevx2zx2wps9sefrp09axse" timestamp="1714904348"&gt;1760&lt;/key&gt;&lt;/foreign-keys&gt;&lt;ref-type name="Journal Article"&gt;17&lt;/ref-type&gt;&lt;contributors&gt;&lt;authors&gt;&lt;author&gt;Amin, Nazrial&lt;/author&gt;&lt;/authors&gt;&lt;/contributors&gt;&lt;titles&gt;&lt;title&gt;Contemporary Da&amp;apos;wah Strategies to Educate the Religious Life of Minority Muslims&lt;/title&gt;&lt;secondary-title&gt;Al-Fikru Jurnal Ilmiah&lt;/secondary-title&gt;&lt;/titles&gt;&lt;periodical&gt;&lt;full-title&gt;Al-Fikru Jurnal Ilmiah&lt;/full-title&gt;&lt;/periodical&gt;&lt;dates&gt;&lt;year&gt;2022&lt;/year&gt;&lt;/dates&gt;&lt;urls&gt;&lt;/urls&gt;&lt;electronic-resource-num&gt;10.51672/alfikru.v16i2.107&lt;/electronic-resource-num&gt;&lt;/record&gt;&lt;/Cite&gt;&lt;/EndNote&gt;</w:instrText>
      </w:r>
      <w:r w:rsidRPr="009668E2">
        <w:rPr>
          <w:rFonts w:ascii="Garamond" w:hAnsi="Garamond"/>
        </w:rPr>
        <w:fldChar w:fldCharType="separate"/>
      </w:r>
      <w:r w:rsidRPr="009668E2">
        <w:rPr>
          <w:rFonts w:ascii="Garamond" w:hAnsi="Garamond"/>
          <w:noProof/>
        </w:rPr>
        <w:t>Amin.</w:t>
      </w:r>
      <w:r w:rsidRPr="009668E2">
        <w:rPr>
          <w:rFonts w:ascii="Garamond" w:hAnsi="Garamond"/>
        </w:rPr>
        <w:fldChar w:fldCharType="end"/>
      </w:r>
    </w:p>
  </w:footnote>
  <w:footnote w:id="59">
    <w:p w14:paraId="3998497E" w14:textId="2168D26D" w:rsidR="00C924BE" w:rsidRPr="009668E2" w:rsidRDefault="00C924BE"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002D4102" w:rsidRPr="009668E2">
        <w:rPr>
          <w:rFonts w:ascii="Garamond" w:hAnsi="Garamond"/>
        </w:rPr>
        <w:instrText xml:space="preserve"> ADDIN EN.CITE &lt;EndNote&gt;&lt;Cite&gt;&lt;Author&gt;Husaini&lt;/Author&gt;&lt;Year&gt;2022&lt;/Year&gt;&lt;RecNum&gt;1780&lt;/RecNum&gt;&lt;DisplayText&gt;Husaini Husaini and Athoillah Islamy, &amp;quot;Harmonization of Religion and State : Mainstreaming the Values of Religious Moderation in Indonesian Da&amp;apos;wah Orientation,&amp;quot; &lt;style face="italic"&gt;Al-Adalah Jurnal Hukum Dan Politik Islam&lt;/style&gt;  (2022), http://dx.doi.org/10.35673/ajhpi.v7i1.2128.&lt;/DisplayText&gt;&lt;record&gt;&lt;rec-number&gt;1780&lt;/rec-number&gt;&lt;foreign-keys&gt;&lt;key app="EN" db-id="wrez22watfrfanevx2zx2wps9sefrp09axse" timestamp="1714904348"&gt;1780&lt;/key&gt;&lt;/foreign-keys&gt;&lt;ref-type name="Journal Article"&gt;17&lt;/ref-type&gt;&lt;contributors&gt;&lt;authors&gt;&lt;author&gt;Husaini, Husaini&lt;/author&gt;&lt;author&gt;Islamy, Athoillah&lt;/author&gt;&lt;/authors&gt;&lt;/contributors&gt;&lt;titles&gt;&lt;title&gt;Harmonization of Religion and State : Mainstreaming the Values of Religious Moderation in Indonesian Da&amp;apos;wah Orientation&lt;/title&gt;&lt;secondary-title&gt;Al-Adalah Jurnal Hukum Dan Politik Islam&lt;/secondary-title&gt;&lt;/titles&gt;&lt;periodical&gt;&lt;full-title&gt;Al-Adalah Jurnal Hukum Dan Politik Islam&lt;/full-title&gt;&lt;/periodical&gt;&lt;dates&gt;&lt;year&gt;2022&lt;/year&gt;&lt;/dates&gt;&lt;urls&gt;&lt;/urls&gt;&lt;electronic-resource-num&gt;10.35673/ajhpi.v7i1.2128&lt;/electronic-resource-num&gt;&lt;/record&gt;&lt;/Cite&gt;&lt;/EndNote&gt;</w:instrText>
      </w:r>
      <w:r w:rsidRPr="009668E2">
        <w:rPr>
          <w:rFonts w:ascii="Garamond" w:hAnsi="Garamond"/>
        </w:rPr>
        <w:fldChar w:fldCharType="separate"/>
      </w:r>
      <w:r w:rsidR="002D4102" w:rsidRPr="009668E2">
        <w:rPr>
          <w:rFonts w:ascii="Garamond" w:hAnsi="Garamond"/>
          <w:noProof/>
        </w:rPr>
        <w:t xml:space="preserve">Husaini Husaini and Athoillah Islamy, "Harmonization of Religion and State : Mainstreaming the Values of Religious Moderation in Indonesian Da'wah Orientation," </w:t>
      </w:r>
      <w:r w:rsidR="002D4102" w:rsidRPr="009668E2">
        <w:rPr>
          <w:rFonts w:ascii="Garamond" w:hAnsi="Garamond"/>
          <w:i/>
          <w:noProof/>
        </w:rPr>
        <w:t>Al-Adalah Jurnal Hukum Dan Politik Islam</w:t>
      </w:r>
      <w:r w:rsidR="002D4102" w:rsidRPr="009668E2">
        <w:rPr>
          <w:rFonts w:ascii="Garamond" w:hAnsi="Garamond"/>
          <w:noProof/>
        </w:rPr>
        <w:t xml:space="preserve">  (2022), http://dx.do</w:t>
      </w:r>
      <w:r w:rsidR="00EC5A41">
        <w:rPr>
          <w:rFonts w:ascii="Garamond" w:hAnsi="Garamond"/>
          <w:noProof/>
        </w:rPr>
        <w:softHyphen/>
      </w:r>
      <w:r w:rsidR="002D4102" w:rsidRPr="009668E2">
        <w:rPr>
          <w:rFonts w:ascii="Garamond" w:hAnsi="Garamond"/>
          <w:noProof/>
        </w:rPr>
        <w:t>i.</w:t>
      </w:r>
      <w:r w:rsidR="00EC5A41">
        <w:rPr>
          <w:rFonts w:ascii="Garamond" w:hAnsi="Garamond"/>
          <w:noProof/>
        </w:rPr>
        <w:softHyphen/>
      </w:r>
      <w:r w:rsidR="002D4102" w:rsidRPr="009668E2">
        <w:rPr>
          <w:rFonts w:ascii="Garamond" w:hAnsi="Garamond"/>
          <w:noProof/>
        </w:rPr>
        <w:t>org/10.35673/ajhpi.v7i1.2128.</w:t>
      </w:r>
      <w:r w:rsidRPr="009668E2">
        <w:rPr>
          <w:rFonts w:ascii="Garamond" w:hAnsi="Garamond"/>
        </w:rPr>
        <w:fldChar w:fldCharType="end"/>
      </w:r>
    </w:p>
  </w:footnote>
  <w:footnote w:id="60">
    <w:p w14:paraId="3FCBD60D" w14:textId="4C517F3B" w:rsidR="00BC401D" w:rsidRPr="009668E2" w:rsidRDefault="00BC401D"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&lt;EndNote&gt;&lt;Cite&gt;&lt;Author&gt;Rahmah&lt;/Author&gt;&lt;Year&gt;2023&lt;/Year&gt;&lt;RecNum&gt;1761&lt;/RecNum&gt;&lt;DisplayText&gt;Rahmah and Aslamiah.&lt;/DisplayText&gt;&lt;record&gt;&lt;rec-number&gt;1761&lt;/rec-number&gt;&lt;foreign-keys&gt;&lt;key app="EN" db-id="wrez22watfrfanevx2zx2wps9sefrp09axse" timestamp="1714904348"&gt;1761&lt;/key&gt;&lt;/foreign-keys&gt;&lt;ref-type name="Journal Article"&gt;17&lt;/ref-type&gt;&lt;contributors&gt;&lt;authors&gt;&lt;author&gt;Rahmah, St&lt;/author&gt;&lt;author&gt;Aslamiah, Rabiatul&lt;/author&gt;&lt;/authors&gt;&lt;/contributors&gt;&lt;titles&gt;&lt;title&gt;Understanding the Urgency of Da&amp;apos;wah of Islam in the Context of Peace in the Nuances of Pluralism in Indonesia&lt;/title&gt;&lt;secondary-title&gt;International Research Journal of Management It and Social Sciences&lt;/secondary-title&gt;&lt;/titles&gt;&lt;periodical&gt;&lt;full-title&gt;International Research Journal of Management It and Social Sciences&lt;/full-title&gt;&lt;/periodical&gt;&lt;dates&gt;&lt;year&gt;2023&lt;/year&gt;&lt;/dates&gt;&lt;urls&gt;&lt;/urls&gt;&lt;electronic-resource-num&gt;10.21744/irjmis.v10n2.2295&lt;/electronic-resource-num&gt;&lt;/record&gt;&lt;/Cite&gt;&lt;/EndNote&gt;</w:instrText>
      </w:r>
      <w:r w:rsidRPr="009668E2">
        <w:rPr>
          <w:rFonts w:ascii="Garamond" w:hAnsi="Garamond"/>
        </w:rPr>
        <w:fldChar w:fldCharType="separate"/>
      </w:r>
      <w:r w:rsidRPr="009668E2">
        <w:rPr>
          <w:rFonts w:ascii="Garamond" w:hAnsi="Garamond"/>
          <w:noProof/>
        </w:rPr>
        <w:t>Rahmah and Aslamiah.</w:t>
      </w:r>
      <w:r w:rsidRPr="009668E2">
        <w:rPr>
          <w:rFonts w:ascii="Garamond" w:hAnsi="Garamond"/>
        </w:rPr>
        <w:fldChar w:fldCharType="end"/>
      </w:r>
    </w:p>
  </w:footnote>
  <w:footnote w:id="61">
    <w:p w14:paraId="73E1E997" w14:textId="0D499E18" w:rsidR="00BC401D" w:rsidRPr="009668E2" w:rsidRDefault="00BC401D"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&lt;EndNote&gt;&lt;Cite&gt;&lt;Author&gt;Rahmah&lt;/Author&gt;&lt;Year&gt;2023&lt;/Year&gt;&lt;RecNum&gt;1761&lt;/RecNum&gt;&lt;DisplayText&gt;Ibid.&lt;/DisplayText&gt;&lt;record&gt;&lt;rec-number&gt;1761&lt;/rec-number&gt;&lt;foreign-keys&gt;&lt;key app="EN" db-id="wrez22watfrfanevx2zx2wps9sefrp09axse" timestamp="1714904348"&gt;1761&lt;/key&gt;&lt;/foreign-keys&gt;&lt;ref-type name="Journal Article"&gt;17&lt;/ref-type&gt;&lt;contributors&gt;&lt;authors&gt;&lt;author&gt;Rahmah, St&lt;/author&gt;&lt;author&gt;Aslamiah, Rabiatul&lt;/author&gt;&lt;/authors&gt;&lt;/contributors&gt;&lt;titles&gt;&lt;title&gt;Understanding the Urgency of Da&amp;apos;wah of Islam in the Context of Peace in the Nuances of Pluralism in Indonesia&lt;/title&gt;&lt;secondary-title&gt;International Research Journal of Management It and Social Sciences&lt;/secondary-title&gt;&lt;/titles&gt;&lt;periodical&gt;&lt;full-title&gt;International Research Journal of Management It and Social Sciences&lt;/full-title&gt;&lt;/periodical&gt;&lt;dates&gt;&lt;year&gt;2023&lt;/year&gt;&lt;/dates&gt;&lt;urls&gt;&lt;/urls&gt;&lt;electronic-resource-num&gt;10.21744/irjmis.v10n2.2295&lt;/electronic-resource-num&gt;&lt;/record&gt;&lt;/Cite&gt;&lt;/EndNote&gt;</w:instrText>
      </w:r>
      <w:r w:rsidRPr="009668E2">
        <w:rPr>
          <w:rFonts w:ascii="Garamond" w:hAnsi="Garamond"/>
        </w:rPr>
        <w:fldChar w:fldCharType="separate"/>
      </w:r>
      <w:r w:rsidRPr="009668E2">
        <w:rPr>
          <w:rFonts w:ascii="Garamond" w:hAnsi="Garamond"/>
          <w:noProof/>
        </w:rPr>
        <w:t>Ibid.</w:t>
      </w:r>
      <w:r w:rsidRPr="009668E2">
        <w:rPr>
          <w:rFonts w:ascii="Garamond" w:hAnsi="Garamond"/>
        </w:rPr>
        <w:fldChar w:fldCharType="end"/>
      </w:r>
    </w:p>
  </w:footnote>
  <w:footnote w:id="62">
    <w:p w14:paraId="4F1B85FF" w14:textId="698BC3D1" w:rsidR="00A97791" w:rsidRPr="009668E2" w:rsidRDefault="00A97791"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002D4102" w:rsidRPr="009668E2">
        <w:rPr>
          <w:rFonts w:ascii="Garamond" w:hAnsi="Garamond"/>
        </w:rPr>
        <w:instrText xml:space="preserve"> ADDIN EN.CITE &lt;EndNote&gt;&lt;Cite&gt;&lt;Author&gt;Karimullah&lt;/Author&gt;&lt;Year&gt;2023&lt;/Year&gt;&lt;RecNum&gt;2277&lt;/RecNum&gt;&lt;DisplayText&gt;Suud S. Karimullah, &amp;quot;Da&amp;apos;wah for Social Justice: Creating Awareness of Social Issues through a Religious Approach,&amp;quot; &lt;style face="italic"&gt;Jurnal Dakwah Risalah&lt;/style&gt; 34, no. 2 (2023), http://dx.doi.org/10.24014/jdr.v34i2.25373.&lt;/DisplayText&gt;&lt;record&gt;&lt;rec-number&gt;2277&lt;/rec-number&gt;&lt;foreign-keys&gt;&lt;key app="EN" db-id="wrez22watfrfanevx2zx2wps9sefrp09axse" timestamp="1719101211"&gt;2277&lt;/key&gt;&lt;/foreign-keys&gt;&lt;ref-type name="Journal Article"&gt;17&lt;/ref-type&gt;&lt;contributors&gt;&lt;authors&gt;&lt;author&gt;Karimullah, Suud S.&lt;/author&gt;&lt;/authors&gt;&lt;/contributors&gt;&lt;titles&gt;&lt;title&gt;Da&amp;apos;wah for Social Justice: Creating Awareness of Social Issues Through a Religious Approach&lt;/title&gt;&lt;secondary-title&gt;Jurnal Dakwah Risalah&lt;/secondary-title&gt;&lt;/titles&gt;&lt;periodical&gt;&lt;full-title&gt;Jurnal Dakwah Risalah&lt;/full-title&gt;&lt;/periodical&gt;&lt;pages&gt;110&lt;/pages&gt;&lt;volume&gt;34&lt;/volume&gt;&lt;number&gt;2&lt;/number&gt;&lt;dates&gt;&lt;year&gt;2023&lt;/year&gt;&lt;/dates&gt;&lt;urls&gt;&lt;/urls&gt;&lt;electronic-resource-num&gt;10.24014/jdr.v34i2.25373&lt;/electronic-resource-num&gt;&lt;/record&gt;&lt;/Cite&gt;&lt;/EndNote&gt;</w:instrText>
      </w:r>
      <w:r w:rsidRPr="009668E2">
        <w:rPr>
          <w:rFonts w:ascii="Garamond" w:hAnsi="Garamond"/>
        </w:rPr>
        <w:fldChar w:fldCharType="separate"/>
      </w:r>
      <w:r w:rsidR="002D4102" w:rsidRPr="009668E2">
        <w:rPr>
          <w:rFonts w:ascii="Garamond" w:hAnsi="Garamond"/>
          <w:noProof/>
        </w:rPr>
        <w:t xml:space="preserve">Suud S. Karimullah, "Da'wah for Social Justice: Creating Awareness of Social Issues through a Religious Approach," </w:t>
      </w:r>
      <w:r w:rsidR="002D4102" w:rsidRPr="009668E2">
        <w:rPr>
          <w:rFonts w:ascii="Garamond" w:hAnsi="Garamond"/>
          <w:i/>
          <w:noProof/>
        </w:rPr>
        <w:t>Jurnal Dakwah Risalah</w:t>
      </w:r>
      <w:r w:rsidR="002D4102" w:rsidRPr="009668E2">
        <w:rPr>
          <w:rFonts w:ascii="Garamond" w:hAnsi="Garamond"/>
          <w:noProof/>
        </w:rPr>
        <w:t xml:space="preserve"> 34, no. 2 (2023), http://dx.doi.org/10.24014/jdr.v34i2.25373.</w:t>
      </w:r>
      <w:r w:rsidRPr="009668E2">
        <w:rPr>
          <w:rFonts w:ascii="Garamond" w:hAnsi="Garamond"/>
        </w:rPr>
        <w:fldChar w:fldCharType="end"/>
      </w:r>
    </w:p>
  </w:footnote>
  <w:footnote w:id="63">
    <w:p w14:paraId="2E395B1E" w14:textId="7DAE0E71" w:rsidR="00A97791" w:rsidRPr="009668E2" w:rsidRDefault="00A97791"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&lt;EndNote&gt;&lt;Cite&gt;&lt;Author&gt;Aziz&lt;/Author&gt;&lt;Year&gt;2022&lt;/Year&gt;&lt;RecNum&gt;1731&lt;/RecNum&gt;&lt;DisplayText&gt;Aziz et al.&lt;/DisplayText&gt;&lt;record&gt;&lt;rec-number&gt;1731&lt;/rec-number&gt;&lt;foreign-keys&gt;&lt;key app="EN" db-id="wrez22watfrfanevx2zx2wps9sefrp09axse" timestamp="1714904348"&gt;1731&lt;/key&gt;&lt;/foreign-keys&gt;&lt;ref-type name="Journal Article"&gt;17&lt;/ref-type&gt;&lt;contributors&gt;&lt;authors&gt;&lt;author&gt;Aziz, Muhajir S.&lt;/author&gt;&lt;author&gt;Indrasari, Meithiana&lt;/author&gt;&lt;author&gt;Pamuji, Eko&lt;/author&gt;&lt;author&gt;Wulandari, None E. R.&lt;/author&gt;&lt;author&gt;Prasnowo, M. A.&lt;/author&gt;&lt;/authors&gt;&lt;/contributors&gt;&lt;titles&gt;&lt;title&gt;Systematic Review: Use of Digital Media as a Means of Communication of Da’wah&lt;/title&gt;&lt;secondary-title&gt;Jurnal Spektrum Komunikasi&lt;/secondary-title&gt;&lt;/titles&gt;&lt;periodical&gt;&lt;full-title&gt;Jurnal Spektrum Komunikasi&lt;/full-title&gt;&lt;/periodical&gt;&lt;dates&gt;&lt;year&gt;2022&lt;/year&gt;&lt;/dates&gt;&lt;urls&gt;&lt;/urls&gt;&lt;electronic-resource-num&gt;10.37826/spektrum.v10i2.324&lt;/electronic-resource-num&gt;&lt;/record&gt;&lt;/Cite&gt;&lt;/EndNote&gt;</w:instrText>
      </w:r>
      <w:r w:rsidRPr="009668E2">
        <w:rPr>
          <w:rFonts w:ascii="Garamond" w:hAnsi="Garamond"/>
        </w:rPr>
        <w:fldChar w:fldCharType="separate"/>
      </w:r>
      <w:r w:rsidRPr="009668E2">
        <w:rPr>
          <w:rFonts w:ascii="Garamond" w:hAnsi="Garamond"/>
          <w:noProof/>
        </w:rPr>
        <w:t>Aziz et al.</w:t>
      </w:r>
      <w:r w:rsidRPr="009668E2">
        <w:rPr>
          <w:rFonts w:ascii="Garamond" w:hAnsi="Garamond"/>
        </w:rPr>
        <w:fldChar w:fldCharType="end"/>
      </w:r>
    </w:p>
  </w:footnote>
  <w:footnote w:id="64">
    <w:p w14:paraId="25B77BB0" w14:textId="55269E91" w:rsidR="00A97791" w:rsidRPr="009668E2" w:rsidRDefault="00A97791"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002D4102" w:rsidRPr="009668E2">
        <w:rPr>
          <w:rFonts w:ascii="Garamond" w:hAnsi="Garamond"/>
        </w:rPr>
        <w:instrText xml:space="preserve"> ADDIN EN.CITE &lt;EndNote&gt;&lt;Cite&gt;&lt;Author&gt;Muhdi&lt;/Author&gt;&lt;Year&gt;2023&lt;/Year&gt;&lt;RecNum&gt;2281&lt;/RecNum&gt;&lt;DisplayText&gt;Muhdi Muhdi, &amp;quot;Strengthening Movement Ideology through the Management of Campus Da&amp;apos;wah Institutions,&amp;quot; &lt;style face="italic"&gt;Al-Tanzim Jurnal Manajemen Pendidikan Islam&lt;/style&gt; 7, no. 3 (2023), http://dx.doi.org/10.33650/al-tanzim.v7i3.5244.&lt;/DisplayText&gt;&lt;record&gt;&lt;rec-number&gt;2281&lt;/rec-number&gt;&lt;foreign-keys&gt;&lt;key app="EN" db-id="wrez22watfrfanevx2zx2wps9sefrp09axse" timestamp="1719101211"&gt;2281&lt;/key&gt;&lt;/foreign-keys&gt;&lt;ref-type name="Journal Article"&gt;17&lt;/ref-type&gt;&lt;contributors&gt;&lt;authors&gt;&lt;author&gt;Muhdi, Muhdi&lt;/author&gt;&lt;/authors&gt;&lt;/contributors&gt;&lt;titles&gt;&lt;title&gt;Strengthening Movement Ideology Through the Management of Campus Da&amp;apos;wah Institutions&lt;/title&gt;&lt;secondary-title&gt;Al-Tanzim Jurnal Manajemen Pendidikan Islam&lt;/secondary-title&gt;&lt;/titles&gt;&lt;periodical&gt;&lt;full-title&gt;Al-Tanzim Jurnal Manajemen Pendidikan Islam&lt;/full-title&gt;&lt;/periodical&gt;&lt;pages&gt;779-792&lt;/pages&gt;&lt;volume&gt;7&lt;/volume&gt;&lt;number&gt;3&lt;/number&gt;&lt;dates&gt;&lt;year&gt;2023&lt;/year&gt;&lt;/dates&gt;&lt;urls&gt;&lt;/urls&gt;&lt;electronic-resource-num&gt;10.33650/al-tanzim.v7i3.5244&lt;/electronic-resource-num&gt;&lt;/record&gt;&lt;/Cite&gt;&lt;/EndNote&gt;</w:instrText>
      </w:r>
      <w:r w:rsidRPr="009668E2">
        <w:rPr>
          <w:rFonts w:ascii="Garamond" w:hAnsi="Garamond"/>
        </w:rPr>
        <w:fldChar w:fldCharType="separate"/>
      </w:r>
      <w:r w:rsidR="002D4102" w:rsidRPr="009668E2">
        <w:rPr>
          <w:rFonts w:ascii="Garamond" w:hAnsi="Garamond"/>
          <w:noProof/>
        </w:rPr>
        <w:t xml:space="preserve">Muhdi Muhdi, "Strengthening Movement Ideology through the Management of Campus Da'wah Institutions," </w:t>
      </w:r>
      <w:r w:rsidR="002D4102" w:rsidRPr="009668E2">
        <w:rPr>
          <w:rFonts w:ascii="Garamond" w:hAnsi="Garamond"/>
          <w:i/>
          <w:noProof/>
        </w:rPr>
        <w:t>Al-Tanzim Jurnal Manajemen Pendidikan Islam</w:t>
      </w:r>
      <w:r w:rsidR="002D4102" w:rsidRPr="009668E2">
        <w:rPr>
          <w:rFonts w:ascii="Garamond" w:hAnsi="Garamond"/>
          <w:noProof/>
        </w:rPr>
        <w:t xml:space="preserve"> 7, no. 3 (2023), http://dx.doi.org/10.33650/al-tanzim.v7i3.5244.</w:t>
      </w:r>
      <w:r w:rsidRPr="009668E2">
        <w:rPr>
          <w:rFonts w:ascii="Garamond" w:hAnsi="Garamond"/>
        </w:rPr>
        <w:fldChar w:fldCharType="end"/>
      </w:r>
    </w:p>
  </w:footnote>
  <w:footnote w:id="65">
    <w:p w14:paraId="6E73C39D" w14:textId="158A150D" w:rsidR="00A97791" w:rsidRPr="009668E2" w:rsidRDefault="00A97791"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fldData xml:space="preserve">PEVuZE5vdGU+PENpdGU+PEF1dGhvcj5QYWphcmlhbnRvPC9BdXRob3I+PFllYXI+MjAyMjwvWWVh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==
</w:fldData>
        </w:fldChar>
      </w:r>
      <w:r w:rsidR="002D4102" w:rsidRPr="009668E2">
        <w:rPr>
          <w:rFonts w:ascii="Garamond" w:hAnsi="Garamond"/>
        </w:rPr>
        <w:instrText xml:space="preserve"> ADDIN EN.CITE </w:instrText>
      </w:r>
      <w:r w:rsidR="002D4102" w:rsidRPr="009668E2">
        <w:rPr>
          <w:rFonts w:ascii="Garamond" w:hAnsi="Garamond"/>
        </w:rPr>
        <w:fldChar w:fldCharType="begin">
          <w:fldData xml:space="preserve">PEVuZE5vdGU+PENpdGU+PEF1dGhvcj5QYWphcmlhbnRvPC9BdXRob3I+PFllYXI+MjAyMjwvWWVh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==
</w:fldData>
        </w:fldChar>
      </w:r>
      <w:r w:rsidR="002D4102" w:rsidRPr="009668E2">
        <w:rPr>
          <w:rFonts w:ascii="Garamond" w:hAnsi="Garamond"/>
        </w:rPr>
        <w:instrText xml:space="preserve"> ADDIN EN.CITE.DATA </w:instrText>
      </w:r>
      <w:r w:rsidR="002D4102" w:rsidRPr="009668E2">
        <w:rPr>
          <w:rFonts w:ascii="Garamond" w:hAnsi="Garamond"/>
        </w:rPr>
      </w:r>
      <w:r w:rsidR="002D4102" w:rsidRPr="009668E2">
        <w:rPr>
          <w:rFonts w:ascii="Garamond" w:hAnsi="Garamond"/>
        </w:rPr>
        <w:fldChar w:fldCharType="end"/>
      </w:r>
      <w:r w:rsidRPr="009668E2">
        <w:rPr>
          <w:rFonts w:ascii="Garamond" w:hAnsi="Garamond"/>
        </w:rPr>
      </w:r>
      <w:r w:rsidRPr="009668E2">
        <w:rPr>
          <w:rFonts w:ascii="Garamond" w:hAnsi="Garamond"/>
        </w:rPr>
        <w:fldChar w:fldCharType="separate"/>
      </w:r>
      <w:r w:rsidR="002D4102" w:rsidRPr="009668E2">
        <w:rPr>
          <w:rFonts w:ascii="Garamond" w:hAnsi="Garamond"/>
          <w:noProof/>
        </w:rPr>
        <w:t xml:space="preserve">Hadi Pajarianto, Imam Pribadi, and Puspa Sari, "Tolerance between Religions through the Role of Local Wisdom and Religious Moderation," </w:t>
      </w:r>
      <w:r w:rsidR="002D4102" w:rsidRPr="009668E2">
        <w:rPr>
          <w:rFonts w:ascii="Garamond" w:hAnsi="Garamond"/>
          <w:i/>
          <w:noProof/>
        </w:rPr>
        <w:t>HTS Teologiese Studies / Theological Studies</w:t>
      </w:r>
      <w:r w:rsidR="002D4102" w:rsidRPr="009668E2">
        <w:rPr>
          <w:rFonts w:ascii="Garamond" w:hAnsi="Garamond"/>
          <w:noProof/>
        </w:rPr>
        <w:t xml:space="preserve"> 78, no. 4 (2022), http://dx.doi.org/10.4102/hts.v78i4.7043; Irwan</w:t>
      </w:r>
      <w:r w:rsidR="00EC5A41">
        <w:rPr>
          <w:rFonts w:ascii="Garamond" w:hAnsi="Garamond"/>
          <w:noProof/>
        </w:rPr>
        <w:softHyphen/>
      </w:r>
      <w:r w:rsidR="002D4102" w:rsidRPr="009668E2">
        <w:rPr>
          <w:rFonts w:ascii="Garamond" w:hAnsi="Garamond"/>
          <w:noProof/>
        </w:rPr>
        <w:t xml:space="preserve">di Irwandi, "Da'wah and Religious Harmony, Harmony in the Nation and State," </w:t>
      </w:r>
      <w:r w:rsidR="002D4102" w:rsidRPr="009668E2">
        <w:rPr>
          <w:rFonts w:ascii="Garamond" w:hAnsi="Garamond"/>
          <w:i/>
          <w:noProof/>
        </w:rPr>
        <w:t>Jurnal Dakwah Dan Komunikasi</w:t>
      </w:r>
      <w:r w:rsidR="002D4102" w:rsidRPr="009668E2">
        <w:rPr>
          <w:rFonts w:ascii="Garamond" w:hAnsi="Garamond"/>
          <w:noProof/>
        </w:rPr>
        <w:t xml:space="preserve">  (2023), http://dx.doi.org/10.292</w:t>
      </w:r>
      <w:r w:rsidR="00EC5A41">
        <w:rPr>
          <w:rFonts w:ascii="Garamond" w:hAnsi="Garamond"/>
          <w:noProof/>
        </w:rPr>
        <w:softHyphen/>
      </w:r>
      <w:r w:rsidR="002D4102" w:rsidRPr="009668E2">
        <w:rPr>
          <w:rFonts w:ascii="Garamond" w:hAnsi="Garamond"/>
          <w:noProof/>
        </w:rPr>
        <w:t>40/jdk.v8i2.8752.</w:t>
      </w:r>
      <w:r w:rsidRPr="009668E2">
        <w:rPr>
          <w:rFonts w:ascii="Garamond" w:hAnsi="Garamond"/>
        </w:rPr>
        <w:fldChar w:fldCharType="end"/>
      </w:r>
    </w:p>
  </w:footnote>
  <w:footnote w:id="66">
    <w:p w14:paraId="5FFB83BC" w14:textId="2B7C2B54" w:rsidR="0033159A" w:rsidRPr="009668E2" w:rsidRDefault="0033159A"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&lt;EndNote&gt;&lt;Cite&gt;&lt;Author&gt;Faiqah&lt;/Author&gt;&lt;Year&gt;2018&lt;/Year&gt;&lt;RecNum&gt;2286&lt;/RecNum&gt;&lt;DisplayText&gt;Nurul Faiqah and Toni Pransiska, &amp;quot;Radikalisme Islam Vs Moderasi Islam: Upaya Membangun Wajah Islam Indonesia Yang Damai,&amp;quot; &lt;style face="italic"&gt;Al-Fikra Jurnal Ilmiah Keislaman&lt;/style&gt; 17, no. 1 (2018), http://dx.doi.org/10.24014/af.v17i1.5212.&lt;/DisplayText&gt;&lt;record&gt;&lt;rec-number&gt;2286&lt;/rec-number&gt;&lt;foreign-keys&gt;&lt;key app="EN" db-id="wrez22watfrfanevx2zx2wps9sefrp09axse" timestamp="1719101211"&gt;2286&lt;/key&gt;&lt;/foreign-keys&gt;&lt;ref-type name="Journal Article"&gt;17&lt;/ref-type&gt;&lt;contributors&gt;&lt;authors&gt;&lt;author&gt;Faiqah, Nurul&lt;/author&gt;&lt;author&gt;Pransiska, Toni&lt;/author&gt;&lt;/authors&gt;&lt;/contributors&gt;&lt;titles&gt;&lt;title&gt;Radikalisme Islam vs Moderasi Islam: Upaya Membangun Wajah Islam Indonesia Yang Damai&lt;/title&gt;&lt;secondary-title&gt;Al-Fikra Jurnal Ilmiah Keislaman&lt;/secondary-title&gt;&lt;/titles&gt;&lt;periodical&gt;&lt;full-title&gt;Al-Fikra Jurnal Ilmiah Keislaman&lt;/full-title&gt;&lt;/periodical&gt;&lt;pages&gt;33&lt;/pages&gt;&lt;volume&gt;17&lt;/volume&gt;&lt;number&gt;1&lt;/number&gt;&lt;dates&gt;&lt;year&gt;2018&lt;/year&gt;&lt;/dates&gt;&lt;urls&gt;&lt;/urls&gt;&lt;electronic-resource-num&gt;10.24014/af.v17i1.5212&lt;/electronic-resource-num&gt;&lt;/record&gt;&lt;/Cite&gt;&lt;/EndNote&gt;</w:instrText>
      </w:r>
      <w:r w:rsidRPr="009668E2">
        <w:rPr>
          <w:rFonts w:ascii="Garamond" w:hAnsi="Garamond"/>
        </w:rPr>
        <w:fldChar w:fldCharType="separate"/>
      </w:r>
      <w:r w:rsidRPr="009668E2">
        <w:rPr>
          <w:rFonts w:ascii="Garamond" w:hAnsi="Garamond"/>
          <w:noProof/>
        </w:rPr>
        <w:t xml:space="preserve">Nurul Faiqah and Toni Pransiska, "Radikalisme Islam Vs Moderasi Islam: Upaya Membangun Wajah Islam Indonesia Yang Damai," </w:t>
      </w:r>
      <w:r w:rsidRPr="009668E2">
        <w:rPr>
          <w:rFonts w:ascii="Garamond" w:hAnsi="Garamond"/>
          <w:i/>
          <w:noProof/>
        </w:rPr>
        <w:t>Al-Fikra Jurnal Ilmiah Keislaman</w:t>
      </w:r>
      <w:r w:rsidRPr="009668E2">
        <w:rPr>
          <w:rFonts w:ascii="Garamond" w:hAnsi="Garamond"/>
          <w:noProof/>
        </w:rPr>
        <w:t xml:space="preserve"> 17, no. 1 (2018), http://dx.doi.org/10.24014/af.v17i1.5212.</w:t>
      </w:r>
      <w:r w:rsidRPr="009668E2">
        <w:rPr>
          <w:rFonts w:ascii="Garamond" w:hAnsi="Garamond"/>
        </w:rPr>
        <w:fldChar w:fldCharType="end"/>
      </w:r>
    </w:p>
  </w:footnote>
  <w:footnote w:id="67">
    <w:p w14:paraId="13A7F2AB" w14:textId="27DB7EE7" w:rsidR="0033159A" w:rsidRPr="009668E2" w:rsidRDefault="0033159A"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002D4102" w:rsidRPr="009668E2">
        <w:rPr>
          <w:rFonts w:ascii="Garamond" w:hAnsi="Garamond"/>
        </w:rPr>
        <w:instrText xml:space="preserve"> ADDIN EN.CITE &lt;EndNote&gt;&lt;Cite&gt;&lt;Author&gt;Maryance&lt;/Author&gt;&lt;Year&gt;2023&lt;/Year&gt;&lt;RecNum&gt;2288&lt;/RecNum&gt;&lt;DisplayText&gt;Maryance Maryance, &amp;quot;The Role of the Principal in Rohis Da&amp;apos;wah Activities in Schools,&amp;quot; &lt;style face="italic"&gt;Sustainable Jurnal Kajian Mutu Pendidikan&lt;/style&gt; 6, no. 2 (2023), http://dx.doi.org/10.32923/kjmp.v6i2.4068.&lt;/DisplayText&gt;&lt;record&gt;&lt;rec-number&gt;2288&lt;/rec-number&gt;&lt;foreign-keys&gt;&lt;key app="EN" db-id="wrez22watfrfanevx2zx2wps9sefrp09axse" timestamp="1719101211"&gt;2288&lt;/key&gt;&lt;/foreign-keys&gt;&lt;ref-type name="Journal Article"&gt;17&lt;/ref-type&gt;&lt;contributors&gt;&lt;authors&gt;&lt;author&gt;Maryance, Maryance&lt;/author&gt;&lt;/authors&gt;&lt;/contributors&gt;&lt;titles&gt;&lt;title&gt;The Role of the Principal in Rohis Da&amp;apos;wah Activities in Schools&lt;/title&gt;&lt;secondary-title&gt;Sustainable Jurnal Kajian Mutu Pendidikan&lt;/secondary-title&gt;&lt;/titles&gt;&lt;periodical&gt;&lt;full-title&gt;Sustainable Jurnal Kajian Mutu Pendidikan&lt;/full-title&gt;&lt;/periodical&gt;&lt;pages&gt;602-607&lt;/pages&gt;&lt;volume&gt;6&lt;/volume&gt;&lt;number&gt;2&lt;/number&gt;&lt;dates&gt;&lt;year&gt;2023&lt;/year&gt;&lt;/dates&gt;&lt;urls&gt;&lt;/urls&gt;&lt;electronic-resource-num&gt;10.32923/kjmp.v6i2.4068&lt;/electronic-resource-num&gt;&lt;/record&gt;&lt;/Cite&gt;&lt;/EndNote&gt;</w:instrText>
      </w:r>
      <w:r w:rsidRPr="009668E2">
        <w:rPr>
          <w:rFonts w:ascii="Garamond" w:hAnsi="Garamond"/>
        </w:rPr>
        <w:fldChar w:fldCharType="separate"/>
      </w:r>
      <w:r w:rsidR="002D4102" w:rsidRPr="009668E2">
        <w:rPr>
          <w:rFonts w:ascii="Garamond" w:hAnsi="Garamond"/>
          <w:noProof/>
        </w:rPr>
        <w:t xml:space="preserve">Maryance Maryance, "The Role of the Principal in Rohis Da'wah Activities in Schools," </w:t>
      </w:r>
      <w:r w:rsidR="002D4102" w:rsidRPr="009668E2">
        <w:rPr>
          <w:rFonts w:ascii="Garamond" w:hAnsi="Garamond"/>
          <w:i/>
          <w:noProof/>
        </w:rPr>
        <w:t>Sustainable Jurnal Kajian Mutu Pendidikan</w:t>
      </w:r>
      <w:r w:rsidR="002D4102" w:rsidRPr="009668E2">
        <w:rPr>
          <w:rFonts w:ascii="Garamond" w:hAnsi="Garamond"/>
          <w:noProof/>
        </w:rPr>
        <w:t xml:space="preserve"> 6, no. 2 (2023), http://dx.doi</w:t>
      </w:r>
      <w:r w:rsidR="00EC5A41">
        <w:rPr>
          <w:rFonts w:ascii="Garamond" w:hAnsi="Garamond"/>
          <w:noProof/>
        </w:rPr>
        <w:softHyphen/>
      </w:r>
      <w:r w:rsidR="002D4102" w:rsidRPr="009668E2">
        <w:rPr>
          <w:rFonts w:ascii="Garamond" w:hAnsi="Garamond"/>
          <w:noProof/>
        </w:rPr>
        <w:t>.org/10.32923/kjmp.v6i2.4068.</w:t>
      </w:r>
      <w:r w:rsidRPr="009668E2">
        <w:rPr>
          <w:rFonts w:ascii="Garamond" w:hAnsi="Garamond"/>
        </w:rPr>
        <w:fldChar w:fldCharType="end"/>
      </w:r>
    </w:p>
  </w:footnote>
  <w:footnote w:id="68">
    <w:p w14:paraId="3B53AD68" w14:textId="63839270" w:rsidR="0033159A" w:rsidRPr="009668E2" w:rsidRDefault="0033159A"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&lt;EndNote&gt;&lt;Cite&gt;&lt;Author&gt;Qarni&lt;/Author&gt;&lt;Year&gt;2019&lt;/Year&gt;&lt;RecNum&gt;2293&lt;/RecNum&gt;&lt;DisplayText&gt;Waizul Qarni et al., &amp;quot;Verbal and Nonverbal Factors Influencing the Success of Da’wah Communication by Ustadz Abdul Somad,&amp;quot; &lt;style face="italic"&gt;KnE Social Sciences&lt;/style&gt;  (2019), http://dx.doi.org/10.18502/kss.v3i19.4906.&lt;/DisplayText&gt;&lt;record&gt;&lt;rec-number&gt;2293&lt;/rec-number&gt;&lt;foreign-keys&gt;&lt;key app="EN" db-id="wrez22watfrfanevx2zx2wps9sefrp09axse" timestamp="1719101211"&gt;2293&lt;/key&gt;&lt;/foreign-keys&gt;&lt;ref-type name="Journal Article"&gt;17&lt;/ref-type&gt;&lt;contributors&gt;&lt;authors&gt;&lt;author&gt;Qarni, Waizul&lt;/author&gt;&lt;author&gt;Syahnan, Mhd&lt;/author&gt;&lt;author&gt;Harahap, Isnaini&lt;/author&gt;&lt;author&gt;Nasution, Sahkholid&lt;/author&gt;&lt;author&gt;Fithriani, Rahmah&lt;/author&gt;&lt;/authors&gt;&lt;/contributors&gt;&lt;titles&gt;&lt;title&gt;Verbal and Nonverbal Factors Influencing the Success of Da’wah Communication by Ustadz Abdul Somad&lt;/title&gt;&lt;secondary-title&gt;Kne Social Sciences&lt;/secondary-title&gt;&lt;/titles&gt;&lt;periodical&gt;&lt;full-title&gt;KnE Social Sciences&lt;/full-title&gt;&lt;/periodical&gt;&lt;dates&gt;&lt;year&gt;2019&lt;/year&gt;&lt;/dates&gt;&lt;urls&gt;&lt;/urls&gt;&lt;electronic-resource-num&gt;10.18502/kss.v3i19.4906&lt;/electronic-resource-num&gt;&lt;/record&gt;&lt;/Cite&gt;&lt;/EndNote&gt;</w:instrText>
      </w:r>
      <w:r w:rsidRPr="009668E2">
        <w:rPr>
          <w:rFonts w:ascii="Garamond" w:hAnsi="Garamond"/>
        </w:rPr>
        <w:fldChar w:fldCharType="separate"/>
      </w:r>
      <w:r w:rsidRPr="009668E2">
        <w:rPr>
          <w:rFonts w:ascii="Garamond" w:hAnsi="Garamond"/>
          <w:noProof/>
        </w:rPr>
        <w:t>Waizul Qarni et al., "Verbal and Nonverbal Factors Influencing the Success of Da</w:t>
      </w:r>
      <w:r w:rsidR="002D4102" w:rsidRPr="009668E2">
        <w:rPr>
          <w:rFonts w:ascii="Garamond" w:hAnsi="Garamond"/>
          <w:noProof/>
        </w:rPr>
        <w:t>’</w:t>
      </w:r>
      <w:r w:rsidRPr="009668E2">
        <w:rPr>
          <w:rFonts w:ascii="Garamond" w:hAnsi="Garamond"/>
          <w:noProof/>
        </w:rPr>
        <w:t xml:space="preserve">wah Communication by Ustadz Abdul Somad," </w:t>
      </w:r>
      <w:r w:rsidRPr="009668E2">
        <w:rPr>
          <w:rFonts w:ascii="Garamond" w:hAnsi="Garamond"/>
          <w:i/>
          <w:noProof/>
        </w:rPr>
        <w:t>KnE Social Sciences</w:t>
      </w:r>
      <w:r w:rsidRPr="009668E2">
        <w:rPr>
          <w:rFonts w:ascii="Garamond" w:hAnsi="Garamond"/>
          <w:noProof/>
        </w:rPr>
        <w:t xml:space="preserve">  (2019), http://dx.doi.org/10.18502/kss.v3i19.4906.</w:t>
      </w:r>
      <w:r w:rsidRPr="009668E2">
        <w:rPr>
          <w:rFonts w:ascii="Garamond" w:hAnsi="Garamond"/>
        </w:rPr>
        <w:fldChar w:fldCharType="end"/>
      </w:r>
    </w:p>
  </w:footnote>
  <w:footnote w:id="69">
    <w:p w14:paraId="52F94321" w14:textId="74FD3356" w:rsidR="0033159A" w:rsidRPr="009668E2" w:rsidRDefault="0033159A"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&lt;EndNote&gt;&lt;Cite&gt;&lt;Author&gt;Silvianetri&lt;/Author&gt;&lt;Year&gt;2022&lt;/Year&gt;&lt;RecNum&gt;2294&lt;/RecNum&gt;&lt;DisplayText&gt;Silvianetri Silvianetri et al., &amp;quot;The Effectiveness of Islamic Counseling as a Dakwah Approach to Increase the Religious Awareness of Ex-Prostitute,&amp;quot; &lt;style face="italic"&gt;Jurnal Dakwah Risalah&lt;/style&gt; 33, no. 1 (2022), http://dx.doi.org/10.24014/jdr.v33i1.15879.&lt;/DisplayText&gt;&lt;record&gt;&lt;rec-number&gt;2294&lt;/rec-number&gt;&lt;foreign-keys&gt;&lt;key app="EN" db-id="wrez22watfrfanevx2zx2wps9sefrp09axse" timestamp="1719101211"&gt;2294&lt;/key&gt;&lt;/foreign-keys&gt;&lt;ref-type name="Journal Article"&gt;17&lt;/ref-type&gt;&lt;contributors&gt;&lt;authors&gt;&lt;author&gt;Silvianetri, Silvianetri&lt;/author&gt;&lt;author&gt;Irman, Irman&lt;/author&gt;&lt;author&gt;Rajab, Khairunnas&lt;/author&gt;&lt;author&gt;Zulamri, Zulamri&lt;/author&gt;&lt;author&gt;Zubaidah, Zubaidah&lt;/author&gt;&lt;author&gt;Zulfikar, Zulfikar&lt;/author&gt;&lt;/authors&gt;&lt;/contributors&gt;&lt;titles&gt;&lt;title&gt;The Effectiveness of Islamic Counseling as a Dakwah Approach to Increase the Religious Awareness of Ex-Prostitute&lt;/title&gt;&lt;secondary-title&gt;Jurnal Dakwah Risalah&lt;/secondary-title&gt;&lt;/titles&gt;&lt;periodical&gt;&lt;full-title&gt;Jurnal Dakwah Risalah&lt;/full-title&gt;&lt;/periodical&gt;&lt;volume&gt;33&lt;/volume&gt;&lt;number&gt;1&lt;/number&gt;&lt;dates&gt;&lt;year&gt;2022&lt;/year&gt;&lt;/dates&gt;&lt;urls&gt;&lt;/urls&gt;&lt;electronic-resource-num&gt;10.24014/jdr.v33i1.15879&lt;/electronic-resource-num&gt;&lt;/record&gt;&lt;/Cite&gt;&lt;/EndNote&gt;</w:instrText>
      </w:r>
      <w:r w:rsidRPr="009668E2">
        <w:rPr>
          <w:rFonts w:ascii="Garamond" w:hAnsi="Garamond"/>
        </w:rPr>
        <w:fldChar w:fldCharType="separate"/>
      </w:r>
      <w:r w:rsidRPr="009668E2">
        <w:rPr>
          <w:rFonts w:ascii="Garamond" w:hAnsi="Garamond"/>
          <w:noProof/>
        </w:rPr>
        <w:t xml:space="preserve">Silvianetri Silvianetri et al., "The Effectiveness of Islamic Counseling as a Dakwah Approach to Increase the Religious Awareness of Ex-Prostitute," </w:t>
      </w:r>
      <w:r w:rsidRPr="009668E2">
        <w:rPr>
          <w:rFonts w:ascii="Garamond" w:hAnsi="Garamond"/>
          <w:i/>
          <w:noProof/>
        </w:rPr>
        <w:t>Jurnal Dakwah Risalah</w:t>
      </w:r>
      <w:r w:rsidRPr="009668E2">
        <w:rPr>
          <w:rFonts w:ascii="Garamond" w:hAnsi="Garamond"/>
          <w:noProof/>
        </w:rPr>
        <w:t xml:space="preserve"> 33, no. 1 (2022), http://dx.doi.org/10.24014/jdr.v33i1.15879.</w:t>
      </w:r>
      <w:r w:rsidRPr="009668E2">
        <w:rPr>
          <w:rFonts w:ascii="Garamond" w:hAnsi="Garamond"/>
        </w:rPr>
        <w:fldChar w:fldCharType="end"/>
      </w:r>
    </w:p>
  </w:footnote>
  <w:footnote w:id="70">
    <w:p w14:paraId="1776BBCB" w14:textId="261251DE" w:rsidR="0033159A" w:rsidRPr="009668E2" w:rsidRDefault="0033159A"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&lt;EndNote&gt;&lt;Cite&gt;&lt;Author&gt;Firdaus&lt;/Author&gt;&lt;Year&gt;2023&lt;/Year&gt;&lt;RecNum&gt;2289&lt;/RecNum&gt;&lt;DisplayText&gt;Muhamad Y. Firdaus, Muhamad F. Assauri, and Nurul A. T. Haqqi, &amp;quot;The Botram Harmony Tradition: Knitting a Harmonious Life in Frames Islamic Moderation,&amp;quot; &lt;style face="italic"&gt;Jurnal Penelitian Ilmu Ushuluddin&lt;/style&gt; 3, no. 1 (2023), http://dx.doi.org/10.15575/jpiu.23344.&lt;/DisplayText&gt;&lt;record&gt;&lt;rec-number&gt;2289&lt;/rec-number&gt;&lt;foreign-keys&gt;&lt;key app="EN" db-id="wrez22watfrfanevx2zx2wps9sefrp09axse" timestamp="1719101211"&gt;2289&lt;/key&gt;&lt;/foreign-keys&gt;&lt;ref-type name="Journal Article"&gt;17&lt;/ref-type&gt;&lt;contributors&gt;&lt;authors&gt;&lt;author&gt;Firdaus, Muhamad Y.&lt;/author&gt;&lt;author&gt;Assauri, Muhamad F.&lt;/author&gt;&lt;author&gt;Haqqi, Nurul A. T.&lt;/author&gt;&lt;/authors&gt;&lt;/contributors&gt;&lt;titles&gt;&lt;title&gt;The Botram Harmony Tradition: Knitting a Harmonious Life in Frames Islamic Moderation&lt;/title&gt;&lt;secondary-title&gt;Jurnal Penelitian Ilmu Ushuluddin&lt;/secondary-title&gt;&lt;/titles&gt;&lt;periodical&gt;&lt;full-title&gt;Jurnal Penelitian Ilmu Ushuluddin&lt;/full-title&gt;&lt;/periodical&gt;&lt;pages&gt;120-130&lt;/pages&gt;&lt;volume&gt;3&lt;/volume&gt;&lt;number&gt;1&lt;/number&gt;&lt;dates&gt;&lt;year&gt;2023&lt;/year&gt;&lt;/dates&gt;&lt;urls&gt;&lt;/urls&gt;&lt;electronic-resource-num&gt;10.15575/jpiu.23344&lt;/electronic-resource-num&gt;&lt;/record&gt;&lt;/Cite&gt;&lt;/EndNote&gt;</w:instrText>
      </w:r>
      <w:r w:rsidRPr="009668E2">
        <w:rPr>
          <w:rFonts w:ascii="Garamond" w:hAnsi="Garamond"/>
        </w:rPr>
        <w:fldChar w:fldCharType="separate"/>
      </w:r>
      <w:r w:rsidRPr="009668E2">
        <w:rPr>
          <w:rFonts w:ascii="Garamond" w:hAnsi="Garamond"/>
          <w:noProof/>
        </w:rPr>
        <w:t xml:space="preserve">Muhamad Y. Firdaus, Muhamad F. Assauri, and Nurul A. T. Haqqi, "The Botram Harmony Tradition: Knitting a Harmonious Life in Frames Islamic Moderation," </w:t>
      </w:r>
      <w:r w:rsidRPr="009668E2">
        <w:rPr>
          <w:rFonts w:ascii="Garamond" w:hAnsi="Garamond"/>
          <w:i/>
          <w:noProof/>
        </w:rPr>
        <w:t>Jurnal Penelitian Ilmu Ushuluddin</w:t>
      </w:r>
      <w:r w:rsidRPr="009668E2">
        <w:rPr>
          <w:rFonts w:ascii="Garamond" w:hAnsi="Garamond"/>
          <w:noProof/>
        </w:rPr>
        <w:t xml:space="preserve"> 3, no. 1 (2023), http://dx.doi.org/1</w:t>
      </w:r>
      <w:r w:rsidR="00EC5A41">
        <w:rPr>
          <w:rFonts w:ascii="Garamond" w:hAnsi="Garamond"/>
          <w:noProof/>
        </w:rPr>
        <w:softHyphen/>
      </w:r>
      <w:r w:rsidRPr="009668E2">
        <w:rPr>
          <w:rFonts w:ascii="Garamond" w:hAnsi="Garamond"/>
          <w:noProof/>
        </w:rPr>
        <w:t>0.1557</w:t>
      </w:r>
      <w:r w:rsidR="00EC5A41">
        <w:rPr>
          <w:rFonts w:ascii="Garamond" w:hAnsi="Garamond"/>
          <w:noProof/>
        </w:rPr>
        <w:softHyphen/>
      </w:r>
      <w:r w:rsidRPr="009668E2">
        <w:rPr>
          <w:rFonts w:ascii="Garamond" w:hAnsi="Garamond"/>
          <w:noProof/>
        </w:rPr>
        <w:t>5/jpiu.23344.</w:t>
      </w:r>
      <w:r w:rsidRPr="009668E2">
        <w:rPr>
          <w:rFonts w:ascii="Garamond" w:hAnsi="Garamond"/>
        </w:rPr>
        <w:fldChar w:fldCharType="end"/>
      </w:r>
    </w:p>
  </w:footnote>
  <w:footnote w:id="71">
    <w:p w14:paraId="21C25BC8" w14:textId="6C9B2253" w:rsidR="00720101" w:rsidRPr="009668E2" w:rsidRDefault="00720101"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&lt;EndNote&gt;&lt;Cite&gt;&lt;Author&gt;Husna&lt;/Author&gt;&lt;Year&gt;2020&lt;/Year&gt;&lt;RecNum&gt;2296&lt;/RecNum&gt;&lt;DisplayText&gt;Ulfatul Husna and Muhammad Thohir, &amp;quot;Religious Moderation as a New Approach to Learning Islamic Religious Education in Schools,&amp;quot; &lt;style face="italic"&gt;Nadwa Jurnal Pendidikan Islam&lt;/style&gt; 14, no. 1 (2020), http://dx.doi.org/10.21580/nw.2020.14.1.5766.&lt;/DisplayText&gt;&lt;record&gt;&lt;rec-number&gt;2296&lt;/rec-number&gt;&lt;foreign-keys&gt;&lt;key app="EN" db-id="wrez22watfrfanevx2zx2wps9sefrp09axse" timestamp="1719101211"&gt;2296&lt;/key&gt;&lt;/foreign-keys&gt;&lt;ref-type name="Journal Article"&gt;17&lt;/ref-type&gt;&lt;contributors&gt;&lt;authors&gt;&lt;author&gt;Husna, Ulfatul&lt;/author&gt;&lt;author&gt;Thohir, Muhammad&lt;/author&gt;&lt;/authors&gt;&lt;/contributors&gt;&lt;titles&gt;&lt;title&gt;Religious Moderation as a New Approach to Learning Islamic Religious Education in Schools&lt;/title&gt;&lt;secondary-title&gt;Nadwa Jurnal Pendidikan Islam&lt;/secondary-title&gt;&lt;/titles&gt;&lt;periodical&gt;&lt;full-title&gt;Nadwa Jurnal Pendidikan Islam&lt;/full-title&gt;&lt;/periodical&gt;&lt;pages&gt;199-222&lt;/pages&gt;&lt;volume&gt;14&lt;/volume&gt;&lt;number&gt;1&lt;/number&gt;&lt;dates&gt;&lt;year&gt;2020&lt;/year&gt;&lt;/dates&gt;&lt;urls&gt;&lt;/urls&gt;&lt;electronic-resource-num&gt;10.21580/nw.2020.14.1.5766&lt;/electronic-resource-num&gt;&lt;/record&gt;&lt;/Cite&gt;&lt;/EndNote&gt;</w:instrText>
      </w:r>
      <w:r w:rsidRPr="009668E2">
        <w:rPr>
          <w:rFonts w:ascii="Garamond" w:hAnsi="Garamond"/>
        </w:rPr>
        <w:fldChar w:fldCharType="separate"/>
      </w:r>
      <w:r w:rsidRPr="009668E2">
        <w:rPr>
          <w:rFonts w:ascii="Garamond" w:hAnsi="Garamond"/>
          <w:noProof/>
        </w:rPr>
        <w:t xml:space="preserve">Ulfatul Husna and Muhammad Thohir, "Religious Moderation as a New Approach to Learning Islamic Religious Education in Schools," </w:t>
      </w:r>
      <w:r w:rsidRPr="009668E2">
        <w:rPr>
          <w:rFonts w:ascii="Garamond" w:hAnsi="Garamond"/>
          <w:i/>
          <w:noProof/>
        </w:rPr>
        <w:t>Nadwa Jurnal Pendidikan Islam</w:t>
      </w:r>
      <w:r w:rsidRPr="009668E2">
        <w:rPr>
          <w:rFonts w:ascii="Garamond" w:hAnsi="Garamond"/>
          <w:noProof/>
        </w:rPr>
        <w:t xml:space="preserve"> 14, no. 1 (2020), http://dx.doi.org/10.21580/nw.2020.14.1.5766.</w:t>
      </w:r>
      <w:r w:rsidRPr="009668E2">
        <w:rPr>
          <w:rFonts w:ascii="Garamond" w:hAnsi="Garamond"/>
        </w:rPr>
        <w:fldChar w:fldCharType="end"/>
      </w:r>
    </w:p>
  </w:footnote>
  <w:footnote w:id="72">
    <w:p w14:paraId="11CFC213" w14:textId="037562A3" w:rsidR="00720101" w:rsidRPr="009668E2" w:rsidRDefault="00720101"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&lt;EndNote&gt;&lt;Cite&gt;&lt;Author&gt;Aksa&lt;/Author&gt;&lt;Year&gt;2023&lt;/Year&gt;&lt;RecNum&gt;2300&lt;/RecNum&gt;&lt;DisplayText&gt;Ahmad H. Aksa, &amp;quot;Santri in the Frame of Religious Harmony,&amp;quot; &lt;style face="italic"&gt;Santri Journal of Pesantren and Fiqh Sosial&lt;/style&gt; 4, no. 2 (2023), http://dx.doi.org/10.35878/santri.v4i2.958.&lt;/DisplayText&gt;&lt;record&gt;&lt;rec-number&gt;2300&lt;/rec-number&gt;&lt;foreign-keys&gt;&lt;key app="EN" db-id="wrez22watfrfanevx2zx2wps9sefrp09axse" timestamp="1719101211"&gt;2300&lt;/key&gt;&lt;/foreign-keys&gt;&lt;ref-type name="Journal Article"&gt;17&lt;/ref-type&gt;&lt;contributors&gt;&lt;authors&gt;&lt;author&gt;Aksa, Ahmad H.&lt;/author&gt;&lt;/authors&gt;&lt;/contributors&gt;&lt;titles&gt;&lt;title&gt;Santri in the Frame of Religious Harmony&lt;/title&gt;&lt;secondary-title&gt;Santri Journal of Pesantren and Fiqh Sosial&lt;/secondary-title&gt;&lt;/titles&gt;&lt;periodical&gt;&lt;full-title&gt;Santri Journal of Pesantren and Fiqh Sosial&lt;/full-title&gt;&lt;/periodical&gt;&lt;pages&gt;131-142&lt;/pages&gt;&lt;volume&gt;4&lt;/volume&gt;&lt;number&gt;2&lt;/number&gt;&lt;dates&gt;&lt;year&gt;2023&lt;/year&gt;&lt;/dates&gt;&lt;urls&gt;&lt;/urls&gt;&lt;electronic-resource-num&gt;10.35878/santri.v4i2.958&lt;/electronic-resource-num&gt;&lt;/record&gt;&lt;/Cite&gt;&lt;/EndNote&gt;</w:instrText>
      </w:r>
      <w:r w:rsidRPr="009668E2">
        <w:rPr>
          <w:rFonts w:ascii="Garamond" w:hAnsi="Garamond"/>
        </w:rPr>
        <w:fldChar w:fldCharType="separate"/>
      </w:r>
      <w:r w:rsidRPr="009668E2">
        <w:rPr>
          <w:rFonts w:ascii="Garamond" w:hAnsi="Garamond"/>
          <w:noProof/>
        </w:rPr>
        <w:t xml:space="preserve">Ahmad H. Aksa, "Santri in the Frame of Religious Harmony," </w:t>
      </w:r>
      <w:r w:rsidRPr="009668E2">
        <w:rPr>
          <w:rFonts w:ascii="Garamond" w:hAnsi="Garamond"/>
          <w:i/>
          <w:noProof/>
        </w:rPr>
        <w:t>Santri Journal of Pesantren and Fiqh Sosial</w:t>
      </w:r>
      <w:r w:rsidRPr="009668E2">
        <w:rPr>
          <w:rFonts w:ascii="Garamond" w:hAnsi="Garamond"/>
          <w:noProof/>
        </w:rPr>
        <w:t xml:space="preserve"> 4, no. 2 (2023), http://dx.doi.org/10.35878/santri.v4i2.958.</w:t>
      </w:r>
      <w:r w:rsidRPr="009668E2">
        <w:rPr>
          <w:rFonts w:ascii="Garamond" w:hAnsi="Garamond"/>
        </w:rPr>
        <w:fldChar w:fldCharType="end"/>
      </w:r>
    </w:p>
  </w:footnote>
  <w:footnote w:id="73">
    <w:p w14:paraId="07F65D03" w14:textId="0EF1E3A4" w:rsidR="00720101" w:rsidRPr="009668E2" w:rsidRDefault="00720101"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&lt;EndNote&gt;&lt;Cite&gt;&lt;Author&gt;Qornain&lt;/Author&gt;&lt;Year&gt;2022&lt;/Year&gt;&lt;RecNum&gt;2301&lt;/RecNum&gt;&lt;DisplayText&gt;Dzul Qornain, &amp;quot;Fostering Islamic Education: Embracing Multicultural Islamic Religious Education Values,&amp;quot; &lt;style face="italic"&gt;Jurnal Islam Nusantara&lt;/style&gt; 6, no. 2 (2022), http://dx.doi.org/10.33852/jurnalnu.v6i2.339.&lt;/DisplayText&gt;&lt;record&gt;&lt;rec-number&gt;2301&lt;/rec-number&gt;&lt;foreign-keys&gt;&lt;key app="EN" db-id="wrez22watfrfanevx2zx2wps9sefrp09axse" timestamp="1719101211"&gt;2301&lt;/key&gt;&lt;/foreign-keys&gt;&lt;ref-type name="Journal Article"&gt;17&lt;/ref-type&gt;&lt;contributors&gt;&lt;authors&gt;&lt;author&gt;Qornain, Dzul&lt;/author&gt;&lt;/authors&gt;&lt;/contributors&gt;&lt;titles&gt;&lt;title&gt;Fostering Islamic Education: Embracing Multicultural Islamic Religious Education Values&lt;/title&gt;&lt;secondary-title&gt;Jurnal Islam Nusantara&lt;/secondary-title&gt;&lt;/titles&gt;&lt;periodical&gt;&lt;full-title&gt;Jurnal Islam Nusantara&lt;/full-title&gt;&lt;/periodical&gt;&lt;pages&gt;94&lt;/pages&gt;&lt;volume&gt;6&lt;/volume&gt;&lt;number&gt;2&lt;/number&gt;&lt;dates&gt;&lt;year&gt;2022&lt;/year&gt;&lt;/dates&gt;&lt;urls&gt;&lt;/urls&gt;&lt;electronic-resource-num&gt;10.33852/jurnalnu.v6i2.339&lt;/electronic-resource-num&gt;&lt;/record&gt;&lt;/Cite&gt;&lt;/EndNote&gt;</w:instrText>
      </w:r>
      <w:r w:rsidRPr="009668E2">
        <w:rPr>
          <w:rFonts w:ascii="Garamond" w:hAnsi="Garamond"/>
        </w:rPr>
        <w:fldChar w:fldCharType="separate"/>
      </w:r>
      <w:r w:rsidRPr="009668E2">
        <w:rPr>
          <w:rFonts w:ascii="Garamond" w:hAnsi="Garamond"/>
          <w:noProof/>
        </w:rPr>
        <w:t xml:space="preserve">Dzul Qornain, "Fostering Islamic Education: Embracing Multicultural Islamic Religious Education Values," </w:t>
      </w:r>
      <w:r w:rsidRPr="009668E2">
        <w:rPr>
          <w:rFonts w:ascii="Garamond" w:hAnsi="Garamond"/>
          <w:i/>
          <w:noProof/>
        </w:rPr>
        <w:t>Jurnal Islam Nusantara</w:t>
      </w:r>
      <w:r w:rsidRPr="009668E2">
        <w:rPr>
          <w:rFonts w:ascii="Garamond" w:hAnsi="Garamond"/>
          <w:noProof/>
        </w:rPr>
        <w:t xml:space="preserve"> 6, no. 2 (2022), http://dx.doi.org/10.33852/jurnalnu.v6i2.339.</w:t>
      </w:r>
      <w:r w:rsidRPr="009668E2">
        <w:rPr>
          <w:rFonts w:ascii="Garamond" w:hAnsi="Garamond"/>
        </w:rPr>
        <w:fldChar w:fldCharType="end"/>
      </w:r>
    </w:p>
  </w:footnote>
  <w:footnote w:id="74">
    <w:p w14:paraId="19F0B6A4" w14:textId="6F598FB9" w:rsidR="00720101" w:rsidRPr="009668E2" w:rsidRDefault="00720101"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&lt;EndNote&gt;&lt;Cite&gt;&lt;Author&gt;Saefudin&lt;/Author&gt;&lt;Year&gt;2021&lt;/Year&gt;&lt;RecNum&gt;2302&lt;/RecNum&gt;&lt;DisplayText&gt;Ahmad Saefudin, Abdul Munip, and Khoirotul L. Ulfa, &amp;quot;Internalization of Multicultural-Based Islamic Education: Sunni-Shia Synergy in Banjaran Bangsri Village, Jepara,&amp;quot; &lt;style face="italic"&gt;Edukasia Jurnal Penelitian Pendidikan Islam&lt;/style&gt; 16, no. 1 (2021), http://dx.doi.org/10.21043/edukasia.v16i1.8803.&lt;/DisplayText&gt;&lt;record&gt;&lt;rec-number&gt;2302&lt;/rec-number&gt;&lt;foreign-keys&gt;&lt;key app="EN" db-id="wrez22watfrfanevx2zx2wps9sefrp09axse" timestamp="1719101211"&gt;2302&lt;/key&gt;&lt;/foreign-keys&gt;&lt;ref-type name="Journal Article"&gt;17&lt;/ref-type&gt;&lt;contributors&gt;&lt;authors&gt;&lt;author&gt;Saefudin, Ahmad&lt;/author&gt;&lt;author&gt;Munip, Abdul&lt;/author&gt;&lt;author&gt;Ulfa, Khoirotul L.&lt;/author&gt;&lt;/authors&gt;&lt;/contributors&gt;&lt;titles&gt;&lt;title&gt;Internalization of Multicultural-Based Islamic Education: Sunni-Shia Synergy in Banjaran Bangsri Village, Jepara&lt;/title&gt;&lt;secondary-title&gt;Edukasia Jurnal Penelitian Pendidikan Islam&lt;/secondary-title&gt;&lt;/titles&gt;&lt;periodical&gt;&lt;full-title&gt;Edukasia Jurnal Penelitian Pendidikan Islam&lt;/full-title&gt;&lt;/periodical&gt;&lt;pages&gt;37&lt;/pages&gt;&lt;volume&gt;16&lt;/volume&gt;&lt;number&gt;1&lt;/number&gt;&lt;dates&gt;&lt;year&gt;2021&lt;/year&gt;&lt;/dates&gt;&lt;urls&gt;&lt;/urls&gt;&lt;electronic-resource-num&gt;10.21043/edukasia.v16i1.8803&lt;/electronic-resource-num&gt;&lt;/record&gt;&lt;/Cite&gt;&lt;/EndNote&gt;</w:instrText>
      </w:r>
      <w:r w:rsidRPr="009668E2">
        <w:rPr>
          <w:rFonts w:ascii="Garamond" w:hAnsi="Garamond"/>
        </w:rPr>
        <w:fldChar w:fldCharType="separate"/>
      </w:r>
      <w:r w:rsidRPr="009668E2">
        <w:rPr>
          <w:rFonts w:ascii="Garamond" w:hAnsi="Garamond"/>
          <w:noProof/>
        </w:rPr>
        <w:t xml:space="preserve">Ahmad Saefudin, Abdul Munip, and Khoirotul L. Ulfa, "Internalization of Multicultural-Based Islamic Education: Sunni-Shia Synergy in Banjaran Bangsri Village, Jepara," </w:t>
      </w:r>
      <w:r w:rsidRPr="009668E2">
        <w:rPr>
          <w:rFonts w:ascii="Garamond" w:hAnsi="Garamond"/>
          <w:i/>
          <w:noProof/>
        </w:rPr>
        <w:t>Edukasia Jurnal Penelitian Pendidikan Islam</w:t>
      </w:r>
      <w:r w:rsidRPr="009668E2">
        <w:rPr>
          <w:rFonts w:ascii="Garamond" w:hAnsi="Garamond"/>
          <w:noProof/>
        </w:rPr>
        <w:t xml:space="preserve"> 16, no. 1 (2021), http://dx.doi.org/10.21043/edukasia.v16i1.8803.</w:t>
      </w:r>
      <w:r w:rsidRPr="009668E2">
        <w:rPr>
          <w:rFonts w:ascii="Garamond" w:hAnsi="Garamond"/>
        </w:rPr>
        <w:fldChar w:fldCharType="end"/>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DF3DB4"/>
    <w:multiLevelType w:val="hybridMultilevel"/>
    <w:tmpl w:val="15A82156"/>
    <w:lvl w:ilvl="0" w:tplc="550C21AC">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1" w15:restartNumberingAfterBreak="0">
    <w:nsid w:val="598210AF"/>
    <w:multiLevelType w:val="hybridMultilevel"/>
    <w:tmpl w:val="20D28BF6"/>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599F0494"/>
    <w:multiLevelType w:val="hybridMultilevel"/>
    <w:tmpl w:val="6EDC5562"/>
    <w:lvl w:ilvl="0" w:tplc="2C46CB70">
      <w:start w:val="1"/>
      <w:numFmt w:val="upperLetter"/>
      <w:lvlText w:val="%1."/>
      <w:lvlJc w:val="left"/>
      <w:pPr>
        <w:ind w:left="1440" w:hanging="360"/>
      </w:pPr>
      <w:rPr>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5E424616"/>
    <w:multiLevelType w:val="hybridMultilevel"/>
    <w:tmpl w:val="C610FCA0"/>
    <w:lvl w:ilvl="0" w:tplc="51327062">
      <w:start w:val="1"/>
      <w:numFmt w:val="upperLetter"/>
      <w:lvlText w:val="%1."/>
      <w:lvlJc w:val="left"/>
      <w:pPr>
        <w:tabs>
          <w:tab w:val="num" w:pos="720"/>
        </w:tabs>
        <w:ind w:left="720" w:hanging="360"/>
      </w:pPr>
      <w:rPr>
        <w:rFonts w:cs="Times New Roman"/>
      </w:rPr>
    </w:lvl>
    <w:lvl w:ilvl="1" w:tplc="256E3C88">
      <w:start w:val="1"/>
      <w:numFmt w:val="decimal"/>
      <w:lvlText w:val="%2."/>
      <w:lvlJc w:val="left"/>
      <w:pPr>
        <w:tabs>
          <w:tab w:val="num" w:pos="1860"/>
        </w:tabs>
        <w:ind w:left="1860" w:hanging="78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15:restartNumberingAfterBreak="0">
    <w:nsid w:val="626575B4"/>
    <w:multiLevelType w:val="hybridMultilevel"/>
    <w:tmpl w:val="680E7CAE"/>
    <w:lvl w:ilvl="0" w:tplc="EBE2ED9E">
      <w:start w:val="1"/>
      <w:numFmt w:val="decimal"/>
      <w:lvlText w:val="%1."/>
      <w:lvlJc w:val="left"/>
      <w:pPr>
        <w:ind w:left="1069" w:hanging="360"/>
      </w:pPr>
      <w:rPr>
        <w:rFonts w:hint="default"/>
        <w:sz w:val="24"/>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num w:numId="1">
    <w:abstractNumId w:val="1"/>
  </w:num>
  <w:num w:numId="2">
    <w:abstractNumId w:val="2"/>
  </w:num>
  <w:num w:numId="3">
    <w:abstractNumId w:val="4"/>
  </w:num>
  <w:num w:numId="4">
    <w:abstractNumId w:val="0"/>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AiJzSzMTU1MzMyMLCyUdpeDU4uLM/DyQAtNaAMLfQxosAAAA"/>
    <w:docVar w:name="EN.InstantFormat" w:val="&lt;ENInstantFormat&gt;&lt;Enabled&gt;1&lt;/Enabled&gt;&lt;ScanUnformatted&gt;1&lt;/ScanUnformatted&gt;&lt;ScanChanges&gt;1&lt;/ScanChanges&gt;&lt;Suspended&gt;0&lt;/Suspended&gt;&lt;/ENInstantFormat&gt;"/>
    <w:docVar w:name="EN.Layout" w:val="&lt;ENLayout&gt;&lt;Style&gt;Turabian 8th Footnote&lt;/Style&gt;&lt;LeftDelim&gt;{&lt;/LeftDelim&gt;&lt;RightDelim&gt;}&lt;/RightDelim&gt;&lt;FontName&gt;Times New Roman&lt;/FontName&gt;&lt;FontSize&gt;24&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rez22watfrfanevx2zx2wps9sefrp09axse&quot;&gt;Auliya Ridwan - My EndNote Library&lt;record-ids&gt;&lt;item&gt;146&lt;/item&gt;&lt;item&gt;695&lt;/item&gt;&lt;item&gt;1473&lt;/item&gt;&lt;item&gt;1725&lt;/item&gt;&lt;item&gt;1726&lt;/item&gt;&lt;item&gt;1727&lt;/item&gt;&lt;item&gt;1728&lt;/item&gt;&lt;item&gt;1729&lt;/item&gt;&lt;item&gt;1730&lt;/item&gt;&lt;item&gt;1731&lt;/item&gt;&lt;item&gt;1732&lt;/item&gt;&lt;item&gt;1733&lt;/item&gt;&lt;item&gt;1734&lt;/item&gt;&lt;item&gt;1735&lt;/item&gt;&lt;item&gt;1737&lt;/item&gt;&lt;item&gt;1738&lt;/item&gt;&lt;item&gt;1740&lt;/item&gt;&lt;item&gt;1741&lt;/item&gt;&lt;item&gt;1742&lt;/item&gt;&lt;item&gt;1743&lt;/item&gt;&lt;item&gt;1750&lt;/item&gt;&lt;item&gt;1751&lt;/item&gt;&lt;item&gt;1752&lt;/item&gt;&lt;item&gt;1754&lt;/item&gt;&lt;item&gt;1755&lt;/item&gt;&lt;item&gt;1756&lt;/item&gt;&lt;item&gt;1757&lt;/item&gt;&lt;item&gt;1758&lt;/item&gt;&lt;item&gt;1759&lt;/item&gt;&lt;item&gt;1760&lt;/item&gt;&lt;item&gt;1761&lt;/item&gt;&lt;item&gt;1762&lt;/item&gt;&lt;item&gt;1763&lt;/item&gt;&lt;item&gt;1764&lt;/item&gt;&lt;item&gt;1766&lt;/item&gt;&lt;item&gt;1768&lt;/item&gt;&lt;item&gt;1772&lt;/item&gt;&lt;item&gt;1773&lt;/item&gt;&lt;item&gt;1776&lt;/item&gt;&lt;item&gt;1777&lt;/item&gt;&lt;item&gt;1778&lt;/item&gt;&lt;item&gt;1779&lt;/item&gt;&lt;item&gt;1780&lt;/item&gt;&lt;item&gt;1790&lt;/item&gt;&lt;item&gt;2237&lt;/item&gt;&lt;item&gt;2259&lt;/item&gt;&lt;item&gt;2260&lt;/item&gt;&lt;item&gt;2261&lt;/item&gt;&lt;item&gt;2262&lt;/item&gt;&lt;item&gt;2263&lt;/item&gt;&lt;item&gt;2264&lt;/item&gt;&lt;item&gt;2265&lt;/item&gt;&lt;item&gt;2273&lt;/item&gt;&lt;item&gt;2275&lt;/item&gt;&lt;item&gt;2277&lt;/item&gt;&lt;item&gt;2281&lt;/item&gt;&lt;item&gt;2284&lt;/item&gt;&lt;item&gt;2286&lt;/item&gt;&lt;item&gt;2288&lt;/item&gt;&lt;item&gt;2289&lt;/item&gt;&lt;item&gt;2293&lt;/item&gt;&lt;item&gt;2294&lt;/item&gt;&lt;item&gt;2296&lt;/item&gt;&lt;item&gt;2300&lt;/item&gt;&lt;item&gt;2301&lt;/item&gt;&lt;item&gt;2302&lt;/item&gt;&lt;/record-ids&gt;&lt;/item&gt;&lt;/Libraries&gt;"/>
  </w:docVars>
  <w:rsids>
    <w:rsidRoot w:val="00654B73"/>
    <w:rsid w:val="0000272A"/>
    <w:rsid w:val="00003D70"/>
    <w:rsid w:val="00010A7E"/>
    <w:rsid w:val="0001358A"/>
    <w:rsid w:val="00014B0D"/>
    <w:rsid w:val="00023E95"/>
    <w:rsid w:val="00024506"/>
    <w:rsid w:val="00025A48"/>
    <w:rsid w:val="00030E0D"/>
    <w:rsid w:val="0004048E"/>
    <w:rsid w:val="000454A4"/>
    <w:rsid w:val="00045BDF"/>
    <w:rsid w:val="000518BE"/>
    <w:rsid w:val="00051FCB"/>
    <w:rsid w:val="000522EB"/>
    <w:rsid w:val="0005234B"/>
    <w:rsid w:val="00052F45"/>
    <w:rsid w:val="00054B43"/>
    <w:rsid w:val="00055767"/>
    <w:rsid w:val="00057925"/>
    <w:rsid w:val="00060417"/>
    <w:rsid w:val="00063B15"/>
    <w:rsid w:val="00065CC2"/>
    <w:rsid w:val="00073761"/>
    <w:rsid w:val="00077388"/>
    <w:rsid w:val="00082FC6"/>
    <w:rsid w:val="00083A5E"/>
    <w:rsid w:val="00085BC0"/>
    <w:rsid w:val="000870FA"/>
    <w:rsid w:val="00091509"/>
    <w:rsid w:val="000A090E"/>
    <w:rsid w:val="000A41A0"/>
    <w:rsid w:val="000A4413"/>
    <w:rsid w:val="000A4600"/>
    <w:rsid w:val="000A53A3"/>
    <w:rsid w:val="000B0A74"/>
    <w:rsid w:val="000B0FEB"/>
    <w:rsid w:val="000B38A1"/>
    <w:rsid w:val="000B3929"/>
    <w:rsid w:val="000B4B17"/>
    <w:rsid w:val="000B7C97"/>
    <w:rsid w:val="000C6F79"/>
    <w:rsid w:val="000C703A"/>
    <w:rsid w:val="000D32A1"/>
    <w:rsid w:val="000D5986"/>
    <w:rsid w:val="000E30E2"/>
    <w:rsid w:val="000E4896"/>
    <w:rsid w:val="000E4C1B"/>
    <w:rsid w:val="000E51C4"/>
    <w:rsid w:val="000E604D"/>
    <w:rsid w:val="000E65B9"/>
    <w:rsid w:val="000E6715"/>
    <w:rsid w:val="000F4AC3"/>
    <w:rsid w:val="000F4CC1"/>
    <w:rsid w:val="000F51A1"/>
    <w:rsid w:val="000F55EA"/>
    <w:rsid w:val="001108F5"/>
    <w:rsid w:val="00111854"/>
    <w:rsid w:val="00112857"/>
    <w:rsid w:val="00112B72"/>
    <w:rsid w:val="00114993"/>
    <w:rsid w:val="00115C30"/>
    <w:rsid w:val="00121CDA"/>
    <w:rsid w:val="0012332F"/>
    <w:rsid w:val="00130F7A"/>
    <w:rsid w:val="00131772"/>
    <w:rsid w:val="0013689F"/>
    <w:rsid w:val="00137E3B"/>
    <w:rsid w:val="00142240"/>
    <w:rsid w:val="00142913"/>
    <w:rsid w:val="0014362C"/>
    <w:rsid w:val="00144E5E"/>
    <w:rsid w:val="00146661"/>
    <w:rsid w:val="00147204"/>
    <w:rsid w:val="00147508"/>
    <w:rsid w:val="001519D8"/>
    <w:rsid w:val="00155C2D"/>
    <w:rsid w:val="001625A5"/>
    <w:rsid w:val="00162B5E"/>
    <w:rsid w:val="00167923"/>
    <w:rsid w:val="0017030D"/>
    <w:rsid w:val="00170E27"/>
    <w:rsid w:val="001725CF"/>
    <w:rsid w:val="00172F0C"/>
    <w:rsid w:val="00174B2F"/>
    <w:rsid w:val="00175689"/>
    <w:rsid w:val="00175C4D"/>
    <w:rsid w:val="00180888"/>
    <w:rsid w:val="00182281"/>
    <w:rsid w:val="00183635"/>
    <w:rsid w:val="0018375A"/>
    <w:rsid w:val="00184B00"/>
    <w:rsid w:val="00185301"/>
    <w:rsid w:val="0018566D"/>
    <w:rsid w:val="00185A29"/>
    <w:rsid w:val="00190BF4"/>
    <w:rsid w:val="001932D5"/>
    <w:rsid w:val="00196C39"/>
    <w:rsid w:val="00197491"/>
    <w:rsid w:val="001A0828"/>
    <w:rsid w:val="001A4BA6"/>
    <w:rsid w:val="001A7090"/>
    <w:rsid w:val="001B36CC"/>
    <w:rsid w:val="001B3CC8"/>
    <w:rsid w:val="001C3C9E"/>
    <w:rsid w:val="001C728B"/>
    <w:rsid w:val="001D163C"/>
    <w:rsid w:val="001D2FB1"/>
    <w:rsid w:val="001D3EBB"/>
    <w:rsid w:val="001D5BAB"/>
    <w:rsid w:val="001E0E99"/>
    <w:rsid w:val="001E2391"/>
    <w:rsid w:val="001E5B3B"/>
    <w:rsid w:val="001E67D8"/>
    <w:rsid w:val="001F3B75"/>
    <w:rsid w:val="001F7E89"/>
    <w:rsid w:val="002012ED"/>
    <w:rsid w:val="0020591C"/>
    <w:rsid w:val="00210B6D"/>
    <w:rsid w:val="002149ED"/>
    <w:rsid w:val="00220022"/>
    <w:rsid w:val="00220A52"/>
    <w:rsid w:val="00220BBA"/>
    <w:rsid w:val="00232EAF"/>
    <w:rsid w:val="00234025"/>
    <w:rsid w:val="00234490"/>
    <w:rsid w:val="00236F2A"/>
    <w:rsid w:val="00237649"/>
    <w:rsid w:val="002445F1"/>
    <w:rsid w:val="00247861"/>
    <w:rsid w:val="0025226D"/>
    <w:rsid w:val="002530BB"/>
    <w:rsid w:val="00253D14"/>
    <w:rsid w:val="00257608"/>
    <w:rsid w:val="002633F0"/>
    <w:rsid w:val="00263E26"/>
    <w:rsid w:val="00263E27"/>
    <w:rsid w:val="00264D5D"/>
    <w:rsid w:val="002660B2"/>
    <w:rsid w:val="00276447"/>
    <w:rsid w:val="00276545"/>
    <w:rsid w:val="002778BE"/>
    <w:rsid w:val="00277F88"/>
    <w:rsid w:val="00281A45"/>
    <w:rsid w:val="00284E0C"/>
    <w:rsid w:val="00285BB7"/>
    <w:rsid w:val="00290666"/>
    <w:rsid w:val="0029143B"/>
    <w:rsid w:val="00291DD8"/>
    <w:rsid w:val="00293890"/>
    <w:rsid w:val="00294D3C"/>
    <w:rsid w:val="002A19C7"/>
    <w:rsid w:val="002A1AE8"/>
    <w:rsid w:val="002A2B9B"/>
    <w:rsid w:val="002A6B21"/>
    <w:rsid w:val="002A7AF3"/>
    <w:rsid w:val="002B2A99"/>
    <w:rsid w:val="002B343B"/>
    <w:rsid w:val="002B68FC"/>
    <w:rsid w:val="002C1441"/>
    <w:rsid w:val="002C14CC"/>
    <w:rsid w:val="002C3C0C"/>
    <w:rsid w:val="002D1920"/>
    <w:rsid w:val="002D4102"/>
    <w:rsid w:val="002D5036"/>
    <w:rsid w:val="002E11F7"/>
    <w:rsid w:val="002E7E08"/>
    <w:rsid w:val="002F5D82"/>
    <w:rsid w:val="002F5F16"/>
    <w:rsid w:val="00303BDA"/>
    <w:rsid w:val="003045B3"/>
    <w:rsid w:val="003055D6"/>
    <w:rsid w:val="00306064"/>
    <w:rsid w:val="0031040C"/>
    <w:rsid w:val="00310595"/>
    <w:rsid w:val="00312581"/>
    <w:rsid w:val="00313E7F"/>
    <w:rsid w:val="00314303"/>
    <w:rsid w:val="00320D61"/>
    <w:rsid w:val="00330602"/>
    <w:rsid w:val="0033159A"/>
    <w:rsid w:val="00331987"/>
    <w:rsid w:val="00332524"/>
    <w:rsid w:val="003354ED"/>
    <w:rsid w:val="003361CD"/>
    <w:rsid w:val="00336A40"/>
    <w:rsid w:val="00337164"/>
    <w:rsid w:val="00337ECE"/>
    <w:rsid w:val="00340795"/>
    <w:rsid w:val="00340B28"/>
    <w:rsid w:val="00347252"/>
    <w:rsid w:val="0036091B"/>
    <w:rsid w:val="003665BD"/>
    <w:rsid w:val="0037242B"/>
    <w:rsid w:val="00373394"/>
    <w:rsid w:val="00374283"/>
    <w:rsid w:val="0037583C"/>
    <w:rsid w:val="003806B7"/>
    <w:rsid w:val="003823C4"/>
    <w:rsid w:val="0038433D"/>
    <w:rsid w:val="00390EB6"/>
    <w:rsid w:val="00392157"/>
    <w:rsid w:val="003A0D24"/>
    <w:rsid w:val="003A13CD"/>
    <w:rsid w:val="003A52FA"/>
    <w:rsid w:val="003A6D35"/>
    <w:rsid w:val="003B2F7D"/>
    <w:rsid w:val="003B3197"/>
    <w:rsid w:val="003B4CF8"/>
    <w:rsid w:val="003B69C2"/>
    <w:rsid w:val="003C0536"/>
    <w:rsid w:val="003C0E05"/>
    <w:rsid w:val="003C3D82"/>
    <w:rsid w:val="003C701D"/>
    <w:rsid w:val="003D5F68"/>
    <w:rsid w:val="003E1C6F"/>
    <w:rsid w:val="003E1E5B"/>
    <w:rsid w:val="003E1E82"/>
    <w:rsid w:val="003E3142"/>
    <w:rsid w:val="003E35E0"/>
    <w:rsid w:val="003E55EF"/>
    <w:rsid w:val="003E5761"/>
    <w:rsid w:val="003E6041"/>
    <w:rsid w:val="003F3DBB"/>
    <w:rsid w:val="0040002E"/>
    <w:rsid w:val="00404A54"/>
    <w:rsid w:val="004077E9"/>
    <w:rsid w:val="004155F9"/>
    <w:rsid w:val="00416145"/>
    <w:rsid w:val="004206B0"/>
    <w:rsid w:val="00421B51"/>
    <w:rsid w:val="00430F1D"/>
    <w:rsid w:val="00431BA8"/>
    <w:rsid w:val="0044118F"/>
    <w:rsid w:val="00443594"/>
    <w:rsid w:val="00443AA6"/>
    <w:rsid w:val="00444A3B"/>
    <w:rsid w:val="00453592"/>
    <w:rsid w:val="00453846"/>
    <w:rsid w:val="00457FEF"/>
    <w:rsid w:val="004633FF"/>
    <w:rsid w:val="00474023"/>
    <w:rsid w:val="00481C09"/>
    <w:rsid w:val="004820BF"/>
    <w:rsid w:val="00485832"/>
    <w:rsid w:val="004901BF"/>
    <w:rsid w:val="00492201"/>
    <w:rsid w:val="00496A63"/>
    <w:rsid w:val="00496FB7"/>
    <w:rsid w:val="00497CD5"/>
    <w:rsid w:val="004A579C"/>
    <w:rsid w:val="004A7C3C"/>
    <w:rsid w:val="004B1DA3"/>
    <w:rsid w:val="004B7A59"/>
    <w:rsid w:val="004C0DB2"/>
    <w:rsid w:val="004C33C0"/>
    <w:rsid w:val="004D0FA5"/>
    <w:rsid w:val="004D1436"/>
    <w:rsid w:val="004D3D49"/>
    <w:rsid w:val="004D4FF2"/>
    <w:rsid w:val="004E2330"/>
    <w:rsid w:val="004F1914"/>
    <w:rsid w:val="004F3DB3"/>
    <w:rsid w:val="00512172"/>
    <w:rsid w:val="00515EBB"/>
    <w:rsid w:val="00521301"/>
    <w:rsid w:val="00522E8D"/>
    <w:rsid w:val="00523F20"/>
    <w:rsid w:val="00530AD7"/>
    <w:rsid w:val="00532940"/>
    <w:rsid w:val="005346ED"/>
    <w:rsid w:val="00540569"/>
    <w:rsid w:val="00541067"/>
    <w:rsid w:val="00541E72"/>
    <w:rsid w:val="005420F3"/>
    <w:rsid w:val="00545FE3"/>
    <w:rsid w:val="00547DCF"/>
    <w:rsid w:val="0055180B"/>
    <w:rsid w:val="0055467A"/>
    <w:rsid w:val="00554BA5"/>
    <w:rsid w:val="0055706E"/>
    <w:rsid w:val="005617CA"/>
    <w:rsid w:val="005619E5"/>
    <w:rsid w:val="00566F9B"/>
    <w:rsid w:val="0056713A"/>
    <w:rsid w:val="0057723B"/>
    <w:rsid w:val="005823E2"/>
    <w:rsid w:val="00582D00"/>
    <w:rsid w:val="00583DCB"/>
    <w:rsid w:val="00584BA3"/>
    <w:rsid w:val="00586E88"/>
    <w:rsid w:val="00591976"/>
    <w:rsid w:val="00595422"/>
    <w:rsid w:val="005A00A1"/>
    <w:rsid w:val="005A4828"/>
    <w:rsid w:val="005A4A48"/>
    <w:rsid w:val="005A4F5D"/>
    <w:rsid w:val="005B0A87"/>
    <w:rsid w:val="005B59D9"/>
    <w:rsid w:val="005C3533"/>
    <w:rsid w:val="005C6BCA"/>
    <w:rsid w:val="005C6E8A"/>
    <w:rsid w:val="005D600B"/>
    <w:rsid w:val="005D7D31"/>
    <w:rsid w:val="005F1446"/>
    <w:rsid w:val="005F26D8"/>
    <w:rsid w:val="005F4115"/>
    <w:rsid w:val="005F42F7"/>
    <w:rsid w:val="005F4695"/>
    <w:rsid w:val="005F5840"/>
    <w:rsid w:val="005F66C2"/>
    <w:rsid w:val="00604F3B"/>
    <w:rsid w:val="00613AC3"/>
    <w:rsid w:val="006158E7"/>
    <w:rsid w:val="00617BB2"/>
    <w:rsid w:val="006260A4"/>
    <w:rsid w:val="00633199"/>
    <w:rsid w:val="00637CD4"/>
    <w:rsid w:val="00637D12"/>
    <w:rsid w:val="006418B2"/>
    <w:rsid w:val="00641E72"/>
    <w:rsid w:val="006432B4"/>
    <w:rsid w:val="00643FDE"/>
    <w:rsid w:val="006449E1"/>
    <w:rsid w:val="0064574C"/>
    <w:rsid w:val="00646E33"/>
    <w:rsid w:val="006549B5"/>
    <w:rsid w:val="00654B73"/>
    <w:rsid w:val="00660476"/>
    <w:rsid w:val="006608E9"/>
    <w:rsid w:val="00662752"/>
    <w:rsid w:val="00662938"/>
    <w:rsid w:val="00662D7E"/>
    <w:rsid w:val="00664BE9"/>
    <w:rsid w:val="006679FA"/>
    <w:rsid w:val="006700C1"/>
    <w:rsid w:val="006720DA"/>
    <w:rsid w:val="00676A99"/>
    <w:rsid w:val="0068108C"/>
    <w:rsid w:val="006829AD"/>
    <w:rsid w:val="006832E2"/>
    <w:rsid w:val="0068332B"/>
    <w:rsid w:val="00691ADA"/>
    <w:rsid w:val="00696502"/>
    <w:rsid w:val="006B4260"/>
    <w:rsid w:val="006B78DA"/>
    <w:rsid w:val="006C44C2"/>
    <w:rsid w:val="006C6334"/>
    <w:rsid w:val="006D27AF"/>
    <w:rsid w:val="006D3843"/>
    <w:rsid w:val="006D7B6E"/>
    <w:rsid w:val="006E0677"/>
    <w:rsid w:val="006E2EFA"/>
    <w:rsid w:val="006E4A36"/>
    <w:rsid w:val="006E50FB"/>
    <w:rsid w:val="006E5CFE"/>
    <w:rsid w:val="006F0C81"/>
    <w:rsid w:val="006F433C"/>
    <w:rsid w:val="006F5DD6"/>
    <w:rsid w:val="006F6A33"/>
    <w:rsid w:val="006F7D7B"/>
    <w:rsid w:val="00700165"/>
    <w:rsid w:val="00700A16"/>
    <w:rsid w:val="00704F36"/>
    <w:rsid w:val="00706F5F"/>
    <w:rsid w:val="00711201"/>
    <w:rsid w:val="00712629"/>
    <w:rsid w:val="007126BE"/>
    <w:rsid w:val="00714A2C"/>
    <w:rsid w:val="00720101"/>
    <w:rsid w:val="0072125C"/>
    <w:rsid w:val="00721414"/>
    <w:rsid w:val="0072219D"/>
    <w:rsid w:val="00722700"/>
    <w:rsid w:val="00726FC1"/>
    <w:rsid w:val="00727D1E"/>
    <w:rsid w:val="007300A4"/>
    <w:rsid w:val="00730370"/>
    <w:rsid w:val="00731F20"/>
    <w:rsid w:val="00742C55"/>
    <w:rsid w:val="00744109"/>
    <w:rsid w:val="007511B3"/>
    <w:rsid w:val="007515B7"/>
    <w:rsid w:val="00751AC4"/>
    <w:rsid w:val="00752497"/>
    <w:rsid w:val="007541A1"/>
    <w:rsid w:val="00754C5A"/>
    <w:rsid w:val="007622E3"/>
    <w:rsid w:val="00766287"/>
    <w:rsid w:val="0076632A"/>
    <w:rsid w:val="00767DE8"/>
    <w:rsid w:val="00772025"/>
    <w:rsid w:val="007733D2"/>
    <w:rsid w:val="007745F6"/>
    <w:rsid w:val="00781056"/>
    <w:rsid w:val="00782528"/>
    <w:rsid w:val="00782A30"/>
    <w:rsid w:val="007865A5"/>
    <w:rsid w:val="00792A8F"/>
    <w:rsid w:val="00792D49"/>
    <w:rsid w:val="007A4030"/>
    <w:rsid w:val="007A520D"/>
    <w:rsid w:val="007B057B"/>
    <w:rsid w:val="007B08EA"/>
    <w:rsid w:val="007B1D3D"/>
    <w:rsid w:val="007B1E83"/>
    <w:rsid w:val="007C794D"/>
    <w:rsid w:val="007D0076"/>
    <w:rsid w:val="007D3E8D"/>
    <w:rsid w:val="007D4420"/>
    <w:rsid w:val="007D672A"/>
    <w:rsid w:val="007D6A4E"/>
    <w:rsid w:val="007D75CC"/>
    <w:rsid w:val="007D7C09"/>
    <w:rsid w:val="007E008D"/>
    <w:rsid w:val="007E3EDF"/>
    <w:rsid w:val="007E5107"/>
    <w:rsid w:val="007E5CE2"/>
    <w:rsid w:val="007E7AA0"/>
    <w:rsid w:val="007F58A0"/>
    <w:rsid w:val="007F5A55"/>
    <w:rsid w:val="007F6949"/>
    <w:rsid w:val="00805A92"/>
    <w:rsid w:val="00805D08"/>
    <w:rsid w:val="0081479A"/>
    <w:rsid w:val="00820377"/>
    <w:rsid w:val="00827484"/>
    <w:rsid w:val="00830E62"/>
    <w:rsid w:val="008346C5"/>
    <w:rsid w:val="00840C6E"/>
    <w:rsid w:val="00841638"/>
    <w:rsid w:val="00843B8A"/>
    <w:rsid w:val="008448B0"/>
    <w:rsid w:val="00845CCD"/>
    <w:rsid w:val="00854594"/>
    <w:rsid w:val="00860115"/>
    <w:rsid w:val="00862F42"/>
    <w:rsid w:val="008630AE"/>
    <w:rsid w:val="00863DCC"/>
    <w:rsid w:val="00865C91"/>
    <w:rsid w:val="00870950"/>
    <w:rsid w:val="0087628A"/>
    <w:rsid w:val="00880294"/>
    <w:rsid w:val="008905C1"/>
    <w:rsid w:val="008907B1"/>
    <w:rsid w:val="00893B9C"/>
    <w:rsid w:val="0089478D"/>
    <w:rsid w:val="008969F4"/>
    <w:rsid w:val="00897ACF"/>
    <w:rsid w:val="008A63FD"/>
    <w:rsid w:val="008A6882"/>
    <w:rsid w:val="008A7BA6"/>
    <w:rsid w:val="008B45A8"/>
    <w:rsid w:val="008B4DFE"/>
    <w:rsid w:val="008C162F"/>
    <w:rsid w:val="008C389E"/>
    <w:rsid w:val="008D7C86"/>
    <w:rsid w:val="008E0B25"/>
    <w:rsid w:val="008E7F55"/>
    <w:rsid w:val="008F12B5"/>
    <w:rsid w:val="008F7B43"/>
    <w:rsid w:val="00901A28"/>
    <w:rsid w:val="00903100"/>
    <w:rsid w:val="009040D4"/>
    <w:rsid w:val="009064EF"/>
    <w:rsid w:val="00910408"/>
    <w:rsid w:val="00910434"/>
    <w:rsid w:val="00910B81"/>
    <w:rsid w:val="00920012"/>
    <w:rsid w:val="00922BF3"/>
    <w:rsid w:val="00931F2C"/>
    <w:rsid w:val="00935764"/>
    <w:rsid w:val="00940E85"/>
    <w:rsid w:val="0094390E"/>
    <w:rsid w:val="00950989"/>
    <w:rsid w:val="00952EDB"/>
    <w:rsid w:val="009530E0"/>
    <w:rsid w:val="009560BD"/>
    <w:rsid w:val="009567F4"/>
    <w:rsid w:val="00962758"/>
    <w:rsid w:val="0096453A"/>
    <w:rsid w:val="009649A9"/>
    <w:rsid w:val="009668E2"/>
    <w:rsid w:val="00971256"/>
    <w:rsid w:val="009737A6"/>
    <w:rsid w:val="0097433C"/>
    <w:rsid w:val="009749B4"/>
    <w:rsid w:val="0097718A"/>
    <w:rsid w:val="0097777D"/>
    <w:rsid w:val="00980093"/>
    <w:rsid w:val="00984FC4"/>
    <w:rsid w:val="00985B5F"/>
    <w:rsid w:val="00987FF6"/>
    <w:rsid w:val="0099369A"/>
    <w:rsid w:val="0099511F"/>
    <w:rsid w:val="009953E2"/>
    <w:rsid w:val="009A67C6"/>
    <w:rsid w:val="009B3F9E"/>
    <w:rsid w:val="009C6353"/>
    <w:rsid w:val="009C732B"/>
    <w:rsid w:val="009D13B5"/>
    <w:rsid w:val="009D194E"/>
    <w:rsid w:val="009D3748"/>
    <w:rsid w:val="009D500C"/>
    <w:rsid w:val="009E04A4"/>
    <w:rsid w:val="009E14AD"/>
    <w:rsid w:val="009F0510"/>
    <w:rsid w:val="009F4D59"/>
    <w:rsid w:val="009F4F53"/>
    <w:rsid w:val="00A0090D"/>
    <w:rsid w:val="00A02858"/>
    <w:rsid w:val="00A044B5"/>
    <w:rsid w:val="00A04A85"/>
    <w:rsid w:val="00A0614F"/>
    <w:rsid w:val="00A20815"/>
    <w:rsid w:val="00A21BB2"/>
    <w:rsid w:val="00A23A85"/>
    <w:rsid w:val="00A24394"/>
    <w:rsid w:val="00A31A62"/>
    <w:rsid w:val="00A31AE9"/>
    <w:rsid w:val="00A32496"/>
    <w:rsid w:val="00A51D2E"/>
    <w:rsid w:val="00A52B77"/>
    <w:rsid w:val="00A542BD"/>
    <w:rsid w:val="00A553E5"/>
    <w:rsid w:val="00A60381"/>
    <w:rsid w:val="00A614DF"/>
    <w:rsid w:val="00A64F8F"/>
    <w:rsid w:val="00A66BA7"/>
    <w:rsid w:val="00A67A5F"/>
    <w:rsid w:val="00A729A6"/>
    <w:rsid w:val="00A7539F"/>
    <w:rsid w:val="00A77E85"/>
    <w:rsid w:val="00A843AD"/>
    <w:rsid w:val="00A86E57"/>
    <w:rsid w:val="00A87E0B"/>
    <w:rsid w:val="00A90FA3"/>
    <w:rsid w:val="00A93F7B"/>
    <w:rsid w:val="00A94A1E"/>
    <w:rsid w:val="00A97791"/>
    <w:rsid w:val="00AA0D69"/>
    <w:rsid w:val="00AA56DA"/>
    <w:rsid w:val="00AA58D9"/>
    <w:rsid w:val="00AA653F"/>
    <w:rsid w:val="00AA78C1"/>
    <w:rsid w:val="00AB0ED3"/>
    <w:rsid w:val="00AC337C"/>
    <w:rsid w:val="00AD0556"/>
    <w:rsid w:val="00AD26CE"/>
    <w:rsid w:val="00AD459F"/>
    <w:rsid w:val="00AD5003"/>
    <w:rsid w:val="00AD751E"/>
    <w:rsid w:val="00AE1286"/>
    <w:rsid w:val="00AE3848"/>
    <w:rsid w:val="00AE5488"/>
    <w:rsid w:val="00AF022E"/>
    <w:rsid w:val="00AF3977"/>
    <w:rsid w:val="00AF3C9D"/>
    <w:rsid w:val="00AF4FF1"/>
    <w:rsid w:val="00AF5E44"/>
    <w:rsid w:val="00B10894"/>
    <w:rsid w:val="00B12008"/>
    <w:rsid w:val="00B12B9B"/>
    <w:rsid w:val="00B1316F"/>
    <w:rsid w:val="00B24423"/>
    <w:rsid w:val="00B26451"/>
    <w:rsid w:val="00B32195"/>
    <w:rsid w:val="00B40375"/>
    <w:rsid w:val="00B4102E"/>
    <w:rsid w:val="00B41AA0"/>
    <w:rsid w:val="00B41AB5"/>
    <w:rsid w:val="00B44B10"/>
    <w:rsid w:val="00B45D7F"/>
    <w:rsid w:val="00B46003"/>
    <w:rsid w:val="00B51E96"/>
    <w:rsid w:val="00B5406F"/>
    <w:rsid w:val="00B56EAC"/>
    <w:rsid w:val="00B576ED"/>
    <w:rsid w:val="00B6188E"/>
    <w:rsid w:val="00B707A8"/>
    <w:rsid w:val="00B76ABE"/>
    <w:rsid w:val="00B77854"/>
    <w:rsid w:val="00B77ACF"/>
    <w:rsid w:val="00B80344"/>
    <w:rsid w:val="00B82655"/>
    <w:rsid w:val="00B835B8"/>
    <w:rsid w:val="00B908DB"/>
    <w:rsid w:val="00B94DA9"/>
    <w:rsid w:val="00B958EA"/>
    <w:rsid w:val="00B97B80"/>
    <w:rsid w:val="00BA2A3D"/>
    <w:rsid w:val="00BA78FF"/>
    <w:rsid w:val="00BA7900"/>
    <w:rsid w:val="00BB25B4"/>
    <w:rsid w:val="00BC11D9"/>
    <w:rsid w:val="00BC401D"/>
    <w:rsid w:val="00BD43CE"/>
    <w:rsid w:val="00BD69CE"/>
    <w:rsid w:val="00BE2848"/>
    <w:rsid w:val="00BE5E5D"/>
    <w:rsid w:val="00BE7168"/>
    <w:rsid w:val="00BE75A7"/>
    <w:rsid w:val="00BE7B26"/>
    <w:rsid w:val="00BF1779"/>
    <w:rsid w:val="00BF53BA"/>
    <w:rsid w:val="00BF53D7"/>
    <w:rsid w:val="00BF5A22"/>
    <w:rsid w:val="00BF6AF2"/>
    <w:rsid w:val="00BF6F52"/>
    <w:rsid w:val="00C02075"/>
    <w:rsid w:val="00C03BA0"/>
    <w:rsid w:val="00C04EAF"/>
    <w:rsid w:val="00C05DF9"/>
    <w:rsid w:val="00C12937"/>
    <w:rsid w:val="00C12D14"/>
    <w:rsid w:val="00C12FE5"/>
    <w:rsid w:val="00C13286"/>
    <w:rsid w:val="00C142A1"/>
    <w:rsid w:val="00C17CBD"/>
    <w:rsid w:val="00C30523"/>
    <w:rsid w:val="00C31C6E"/>
    <w:rsid w:val="00C3309C"/>
    <w:rsid w:val="00C34061"/>
    <w:rsid w:val="00C34BB6"/>
    <w:rsid w:val="00C35A16"/>
    <w:rsid w:val="00C36DAC"/>
    <w:rsid w:val="00C37ADB"/>
    <w:rsid w:val="00C46C8E"/>
    <w:rsid w:val="00C509F5"/>
    <w:rsid w:val="00C50A9C"/>
    <w:rsid w:val="00C50B2B"/>
    <w:rsid w:val="00C510B4"/>
    <w:rsid w:val="00C520C8"/>
    <w:rsid w:val="00C530DC"/>
    <w:rsid w:val="00C562C0"/>
    <w:rsid w:val="00C63EBB"/>
    <w:rsid w:val="00C640A1"/>
    <w:rsid w:val="00C66C57"/>
    <w:rsid w:val="00C72349"/>
    <w:rsid w:val="00C808F7"/>
    <w:rsid w:val="00C81732"/>
    <w:rsid w:val="00C82600"/>
    <w:rsid w:val="00C86CB8"/>
    <w:rsid w:val="00C924BE"/>
    <w:rsid w:val="00C92962"/>
    <w:rsid w:val="00CA074C"/>
    <w:rsid w:val="00CA1344"/>
    <w:rsid w:val="00CA21BC"/>
    <w:rsid w:val="00CB5EF8"/>
    <w:rsid w:val="00CC418F"/>
    <w:rsid w:val="00CC644F"/>
    <w:rsid w:val="00CD3F3B"/>
    <w:rsid w:val="00CE467B"/>
    <w:rsid w:val="00CE67B9"/>
    <w:rsid w:val="00CF1159"/>
    <w:rsid w:val="00CF31BF"/>
    <w:rsid w:val="00CF51F7"/>
    <w:rsid w:val="00D00119"/>
    <w:rsid w:val="00D02B57"/>
    <w:rsid w:val="00D03DC8"/>
    <w:rsid w:val="00D10415"/>
    <w:rsid w:val="00D175CE"/>
    <w:rsid w:val="00D17A56"/>
    <w:rsid w:val="00D26B0F"/>
    <w:rsid w:val="00D306CC"/>
    <w:rsid w:val="00D35A04"/>
    <w:rsid w:val="00D4365E"/>
    <w:rsid w:val="00D46DA9"/>
    <w:rsid w:val="00D51EEC"/>
    <w:rsid w:val="00D55B69"/>
    <w:rsid w:val="00D56124"/>
    <w:rsid w:val="00D60210"/>
    <w:rsid w:val="00D6136D"/>
    <w:rsid w:val="00D621A4"/>
    <w:rsid w:val="00D62914"/>
    <w:rsid w:val="00D63555"/>
    <w:rsid w:val="00D67531"/>
    <w:rsid w:val="00D7145E"/>
    <w:rsid w:val="00D724C9"/>
    <w:rsid w:val="00D7333F"/>
    <w:rsid w:val="00D76B35"/>
    <w:rsid w:val="00D852DA"/>
    <w:rsid w:val="00D85823"/>
    <w:rsid w:val="00D922C8"/>
    <w:rsid w:val="00DA4294"/>
    <w:rsid w:val="00DB136C"/>
    <w:rsid w:val="00DB141D"/>
    <w:rsid w:val="00DB3C0B"/>
    <w:rsid w:val="00DB4F41"/>
    <w:rsid w:val="00DB6394"/>
    <w:rsid w:val="00DC40E2"/>
    <w:rsid w:val="00DC438B"/>
    <w:rsid w:val="00DD1422"/>
    <w:rsid w:val="00DD2F36"/>
    <w:rsid w:val="00DD6F93"/>
    <w:rsid w:val="00DE09DB"/>
    <w:rsid w:val="00DE13C7"/>
    <w:rsid w:val="00DE30D9"/>
    <w:rsid w:val="00DE42C5"/>
    <w:rsid w:val="00DE690E"/>
    <w:rsid w:val="00DF0962"/>
    <w:rsid w:val="00DF1E99"/>
    <w:rsid w:val="00DF21D1"/>
    <w:rsid w:val="00DF48AC"/>
    <w:rsid w:val="00E0197F"/>
    <w:rsid w:val="00E024F7"/>
    <w:rsid w:val="00E06EFB"/>
    <w:rsid w:val="00E07248"/>
    <w:rsid w:val="00E14A8A"/>
    <w:rsid w:val="00E1604B"/>
    <w:rsid w:val="00E17BB2"/>
    <w:rsid w:val="00E2224A"/>
    <w:rsid w:val="00E235EA"/>
    <w:rsid w:val="00E259B7"/>
    <w:rsid w:val="00E25C84"/>
    <w:rsid w:val="00E25CF5"/>
    <w:rsid w:val="00E263B5"/>
    <w:rsid w:val="00E32B8F"/>
    <w:rsid w:val="00E35E17"/>
    <w:rsid w:val="00E43464"/>
    <w:rsid w:val="00E4616C"/>
    <w:rsid w:val="00E46ADC"/>
    <w:rsid w:val="00E47C30"/>
    <w:rsid w:val="00E56F60"/>
    <w:rsid w:val="00E57ACE"/>
    <w:rsid w:val="00E6025A"/>
    <w:rsid w:val="00E659F1"/>
    <w:rsid w:val="00E7298E"/>
    <w:rsid w:val="00E763D5"/>
    <w:rsid w:val="00E80B75"/>
    <w:rsid w:val="00E85282"/>
    <w:rsid w:val="00E87999"/>
    <w:rsid w:val="00E87C9A"/>
    <w:rsid w:val="00E92F3A"/>
    <w:rsid w:val="00E93A33"/>
    <w:rsid w:val="00E95CC7"/>
    <w:rsid w:val="00EB6DB3"/>
    <w:rsid w:val="00EC1AFF"/>
    <w:rsid w:val="00EC21F0"/>
    <w:rsid w:val="00EC5A41"/>
    <w:rsid w:val="00ED0139"/>
    <w:rsid w:val="00ED1385"/>
    <w:rsid w:val="00ED2CFF"/>
    <w:rsid w:val="00ED3C79"/>
    <w:rsid w:val="00ED686C"/>
    <w:rsid w:val="00EE0457"/>
    <w:rsid w:val="00EE793D"/>
    <w:rsid w:val="00EF1F74"/>
    <w:rsid w:val="00EF2D5B"/>
    <w:rsid w:val="00EF3215"/>
    <w:rsid w:val="00EF6713"/>
    <w:rsid w:val="00F01550"/>
    <w:rsid w:val="00F0416E"/>
    <w:rsid w:val="00F04C6C"/>
    <w:rsid w:val="00F05BCB"/>
    <w:rsid w:val="00F064B5"/>
    <w:rsid w:val="00F071F4"/>
    <w:rsid w:val="00F13905"/>
    <w:rsid w:val="00F13D69"/>
    <w:rsid w:val="00F1440C"/>
    <w:rsid w:val="00F20456"/>
    <w:rsid w:val="00F212E4"/>
    <w:rsid w:val="00F21F19"/>
    <w:rsid w:val="00F2400E"/>
    <w:rsid w:val="00F24312"/>
    <w:rsid w:val="00F272CB"/>
    <w:rsid w:val="00F3303F"/>
    <w:rsid w:val="00F37D8D"/>
    <w:rsid w:val="00F42344"/>
    <w:rsid w:val="00F42554"/>
    <w:rsid w:val="00F50888"/>
    <w:rsid w:val="00F551A5"/>
    <w:rsid w:val="00F56FDC"/>
    <w:rsid w:val="00F60777"/>
    <w:rsid w:val="00F67146"/>
    <w:rsid w:val="00F72957"/>
    <w:rsid w:val="00F73EF9"/>
    <w:rsid w:val="00F805C4"/>
    <w:rsid w:val="00F80A48"/>
    <w:rsid w:val="00F82C4D"/>
    <w:rsid w:val="00F833AB"/>
    <w:rsid w:val="00FA1397"/>
    <w:rsid w:val="00FA14BB"/>
    <w:rsid w:val="00FA2B62"/>
    <w:rsid w:val="00FA32BF"/>
    <w:rsid w:val="00FA3B5B"/>
    <w:rsid w:val="00FA5394"/>
    <w:rsid w:val="00FA6AED"/>
    <w:rsid w:val="00FB0CC4"/>
    <w:rsid w:val="00FB2F0D"/>
    <w:rsid w:val="00FB7367"/>
    <w:rsid w:val="00FB76D8"/>
    <w:rsid w:val="00FC2167"/>
    <w:rsid w:val="00FC38B2"/>
    <w:rsid w:val="00FC46AF"/>
    <w:rsid w:val="00FC559F"/>
    <w:rsid w:val="00FC7A5E"/>
    <w:rsid w:val="00FD1F9E"/>
    <w:rsid w:val="00FD2D3E"/>
    <w:rsid w:val="00FD3E6B"/>
    <w:rsid w:val="00FD7F74"/>
    <w:rsid w:val="00FE0CFF"/>
    <w:rsid w:val="00FE0EA0"/>
    <w:rsid w:val="00FE1657"/>
    <w:rsid w:val="00FE5612"/>
    <w:rsid w:val="00FF498B"/>
    <w:rsid w:val="00FF4FF1"/>
    <w:rsid w:val="00FF630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4A22F7"/>
  <w14:defaultImageDpi w14:val="96"/>
  <w15:docId w15:val="{3D779ECD-B773-4596-BB2C-51D8FDE3D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FC1"/>
    <w:rPr>
      <w:rFonts w:cs="Arial"/>
    </w:rPr>
  </w:style>
  <w:style w:type="paragraph" w:styleId="Heading1">
    <w:name w:val="heading 1"/>
    <w:basedOn w:val="Normal"/>
    <w:link w:val="Heading1Char"/>
    <w:qFormat/>
    <w:rsid w:val="00057925"/>
    <w:pPr>
      <w:spacing w:before="100" w:beforeAutospacing="1" w:after="100" w:afterAutospacing="1" w:line="240" w:lineRule="auto"/>
      <w:outlineLvl w:val="0"/>
    </w:pPr>
    <w:rPr>
      <w:rFonts w:ascii="Times New Roman" w:hAnsi="Times New Roman" w:cs="Times New Roman"/>
      <w:b/>
      <w:bCs/>
      <w:kern w:val="36"/>
      <w:sz w:val="48"/>
      <w:szCs w:val="48"/>
    </w:rPr>
  </w:style>
  <w:style w:type="paragraph" w:styleId="Heading3">
    <w:name w:val="heading 3"/>
    <w:basedOn w:val="Normal"/>
    <w:link w:val="Heading3Char"/>
    <w:uiPriority w:val="9"/>
    <w:qFormat/>
    <w:rsid w:val="00057925"/>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057925"/>
    <w:rPr>
      <w:rFonts w:ascii="Times New Roman" w:hAnsi="Times New Roman" w:cs="Times New Roman"/>
      <w:b/>
      <w:bCs/>
      <w:kern w:val="36"/>
      <w:sz w:val="48"/>
      <w:szCs w:val="48"/>
    </w:rPr>
  </w:style>
  <w:style w:type="character" w:customStyle="1" w:styleId="Heading3Char">
    <w:name w:val="Heading 3 Char"/>
    <w:basedOn w:val="DefaultParagraphFont"/>
    <w:link w:val="Heading3"/>
    <w:uiPriority w:val="9"/>
    <w:locked/>
    <w:rsid w:val="00057925"/>
    <w:rPr>
      <w:rFonts w:ascii="Times New Roman" w:hAnsi="Times New Roman" w:cs="Times New Roman"/>
      <w:b/>
      <w:bCs/>
      <w:sz w:val="27"/>
      <w:szCs w:val="27"/>
    </w:rPr>
  </w:style>
  <w:style w:type="paragraph" w:styleId="NoSpacing">
    <w:name w:val="No Spacing"/>
    <w:uiPriority w:val="1"/>
    <w:qFormat/>
    <w:rsid w:val="00654B73"/>
    <w:pPr>
      <w:spacing w:after="0" w:line="240" w:lineRule="auto"/>
    </w:pPr>
    <w:rPr>
      <w:rFonts w:cs="Arial"/>
    </w:rPr>
  </w:style>
  <w:style w:type="paragraph" w:styleId="FootnoteText">
    <w:name w:val="footnote text"/>
    <w:aliases w:val="Footnote Text Char Char Char Char,Footnote Text Char Char Char,Char,Char Char Char Char,Char Char Char,Char Char Char Char Char Char Char,Char Char Char Char Char Char,Char Char Char Char Char,Footnote Text1,Char Char Char1"/>
    <w:basedOn w:val="Normal"/>
    <w:link w:val="FootnoteTextChar"/>
    <w:unhideWhenUsed/>
    <w:rsid w:val="00BF1779"/>
    <w:pPr>
      <w:spacing w:after="0" w:line="240" w:lineRule="auto"/>
    </w:pPr>
    <w:rPr>
      <w:sz w:val="20"/>
      <w:szCs w:val="20"/>
    </w:rPr>
  </w:style>
  <w:style w:type="character" w:customStyle="1" w:styleId="FootnoteTextChar">
    <w:name w:val="Footnote Text Char"/>
    <w:aliases w:val="Footnote Text Char Char Char Char Char,Footnote Text Char Char Char Char1,Char Char,Char Char Char Char Char1,Char Char Char Char2,Char Char Char Char Char Char Char Char,Char Char Char Char Char Char Char1,Footnote Text1 Char"/>
    <w:basedOn w:val="DefaultParagraphFont"/>
    <w:link w:val="FootnoteText"/>
    <w:locked/>
    <w:rsid w:val="00BF1779"/>
    <w:rPr>
      <w:rFonts w:cs="Arial"/>
      <w:sz w:val="20"/>
      <w:szCs w:val="20"/>
    </w:rPr>
  </w:style>
  <w:style w:type="character" w:styleId="FootnoteReference">
    <w:name w:val="footnote reference"/>
    <w:aliases w:val="Footnote Text Char1,Char Char Char Char1"/>
    <w:basedOn w:val="DefaultParagraphFont"/>
    <w:semiHidden/>
    <w:unhideWhenUsed/>
    <w:rsid w:val="00BF1779"/>
    <w:rPr>
      <w:rFonts w:cs="Times New Roman"/>
      <w:vertAlign w:val="superscript"/>
    </w:rPr>
  </w:style>
  <w:style w:type="paragraph" w:styleId="Header">
    <w:name w:val="header"/>
    <w:basedOn w:val="Normal"/>
    <w:link w:val="HeaderChar"/>
    <w:uiPriority w:val="99"/>
    <w:unhideWhenUsed/>
    <w:rsid w:val="002A6B21"/>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2A6B21"/>
    <w:rPr>
      <w:rFonts w:cs="Arial"/>
    </w:rPr>
  </w:style>
  <w:style w:type="paragraph" w:styleId="Footer">
    <w:name w:val="footer"/>
    <w:basedOn w:val="Normal"/>
    <w:link w:val="FooterChar"/>
    <w:uiPriority w:val="99"/>
    <w:unhideWhenUsed/>
    <w:rsid w:val="002A6B2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2A6B21"/>
    <w:rPr>
      <w:rFonts w:cs="Arial"/>
    </w:rPr>
  </w:style>
  <w:style w:type="paragraph" w:styleId="NormalWeb">
    <w:name w:val="Normal (Web)"/>
    <w:basedOn w:val="Normal"/>
    <w:uiPriority w:val="99"/>
    <w:semiHidden/>
    <w:unhideWhenUsed/>
    <w:rsid w:val="00057925"/>
    <w:pPr>
      <w:spacing w:before="100" w:beforeAutospacing="1" w:after="100" w:afterAutospacing="1" w:line="240" w:lineRule="auto"/>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0579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57925"/>
    <w:rPr>
      <w:rFonts w:ascii="Tahoma" w:hAnsi="Tahoma" w:cs="Tahoma"/>
      <w:sz w:val="16"/>
      <w:szCs w:val="16"/>
    </w:rPr>
  </w:style>
  <w:style w:type="paragraph" w:styleId="HTMLPreformatted">
    <w:name w:val="HTML Preformatted"/>
    <w:basedOn w:val="Normal"/>
    <w:link w:val="HTMLPreformattedChar"/>
    <w:uiPriority w:val="99"/>
    <w:unhideWhenUsed/>
    <w:rsid w:val="00F55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F551A5"/>
    <w:rPr>
      <w:rFonts w:ascii="Courier New" w:hAnsi="Courier New" w:cs="Courier New"/>
      <w:sz w:val="20"/>
      <w:szCs w:val="20"/>
    </w:rPr>
  </w:style>
  <w:style w:type="paragraph" w:customStyle="1" w:styleId="Default">
    <w:name w:val="Default"/>
    <w:rsid w:val="006832E2"/>
    <w:pPr>
      <w:autoSpaceDE w:val="0"/>
      <w:autoSpaceDN w:val="0"/>
      <w:adjustRightInd w:val="0"/>
      <w:spacing w:after="0" w:line="240" w:lineRule="auto"/>
    </w:pPr>
    <w:rPr>
      <w:rFonts w:ascii="Code" w:hAnsi="Code" w:cs="Code"/>
      <w:color w:val="000000"/>
      <w:sz w:val="24"/>
      <w:szCs w:val="24"/>
    </w:rPr>
  </w:style>
  <w:style w:type="character" w:styleId="PlaceholderText">
    <w:name w:val="Placeholder Text"/>
    <w:basedOn w:val="DefaultParagraphFont"/>
    <w:uiPriority w:val="99"/>
    <w:semiHidden/>
    <w:rsid w:val="00340795"/>
    <w:rPr>
      <w:rFonts w:cs="Times New Roman"/>
      <w:color w:val="808080"/>
    </w:rPr>
  </w:style>
  <w:style w:type="character" w:styleId="Hyperlink">
    <w:name w:val="Hyperlink"/>
    <w:basedOn w:val="DefaultParagraphFont"/>
    <w:uiPriority w:val="99"/>
    <w:unhideWhenUsed/>
    <w:rsid w:val="0001358A"/>
    <w:rPr>
      <w:rFonts w:cs="Times New Roman"/>
      <w:color w:val="0000FF" w:themeColor="hyperlink"/>
      <w:u w:val="single"/>
    </w:rPr>
  </w:style>
  <w:style w:type="character" w:styleId="Emphasis">
    <w:name w:val="Emphasis"/>
    <w:basedOn w:val="DefaultParagraphFont"/>
    <w:uiPriority w:val="20"/>
    <w:qFormat/>
    <w:rsid w:val="001A7090"/>
    <w:rPr>
      <w:rFonts w:cs="Times New Roman"/>
      <w:i/>
      <w:iCs/>
    </w:rPr>
  </w:style>
  <w:style w:type="character" w:styleId="FollowedHyperlink">
    <w:name w:val="FollowedHyperlink"/>
    <w:basedOn w:val="DefaultParagraphFont"/>
    <w:uiPriority w:val="99"/>
    <w:semiHidden/>
    <w:unhideWhenUsed/>
    <w:rsid w:val="00AA653F"/>
    <w:rPr>
      <w:rFonts w:ascii="Times New Roman" w:hAnsi="Times New Roman" w:cs="Times New Roman"/>
      <w:color w:val="800080"/>
      <w:u w:val="single"/>
    </w:rPr>
  </w:style>
  <w:style w:type="paragraph" w:customStyle="1" w:styleId="isi">
    <w:name w:val="isi"/>
    <w:basedOn w:val="Normal"/>
    <w:qFormat/>
    <w:rsid w:val="00AA653F"/>
    <w:pPr>
      <w:spacing w:after="0" w:line="240" w:lineRule="auto"/>
      <w:ind w:firstLine="397"/>
      <w:jc w:val="lowKashida"/>
    </w:pPr>
    <w:rPr>
      <w:rFonts w:ascii="Abali" w:hAnsi="Abali" w:cs="Times New Roman"/>
      <w:sz w:val="26"/>
      <w:szCs w:val="26"/>
    </w:rPr>
  </w:style>
  <w:style w:type="paragraph" w:customStyle="1" w:styleId="abstract">
    <w:name w:val="abstract"/>
    <w:basedOn w:val="Normal"/>
    <w:qFormat/>
    <w:rsid w:val="00AA653F"/>
    <w:pPr>
      <w:pBdr>
        <w:top w:val="single" w:sz="4" w:space="1" w:color="auto"/>
      </w:pBdr>
      <w:spacing w:after="120" w:line="240" w:lineRule="auto"/>
      <w:ind w:left="397" w:right="397"/>
      <w:jc w:val="both"/>
    </w:pPr>
    <w:rPr>
      <w:rFonts w:ascii="Abali" w:hAnsi="Abali" w:cs="Times New Roman"/>
      <w:iCs/>
      <w:noProof/>
      <w:lang w:val="id-ID"/>
    </w:rPr>
  </w:style>
  <w:style w:type="paragraph" w:customStyle="1" w:styleId="abstrkeywrds">
    <w:name w:val="abstr keywrds"/>
    <w:basedOn w:val="Normal"/>
    <w:qFormat/>
    <w:rsid w:val="00AA653F"/>
    <w:pPr>
      <w:pBdr>
        <w:bottom w:val="single" w:sz="4" w:space="1" w:color="auto"/>
      </w:pBdr>
      <w:spacing w:before="120" w:after="120" w:line="240" w:lineRule="auto"/>
      <w:ind w:left="397" w:right="397"/>
      <w:jc w:val="both"/>
    </w:pPr>
    <w:rPr>
      <w:rFonts w:ascii="Abali" w:hAnsi="Abali" w:cs="Times New Roman"/>
      <w:noProof/>
      <w:lang w:val="id-ID"/>
    </w:rPr>
  </w:style>
  <w:style w:type="paragraph" w:customStyle="1" w:styleId="bag">
    <w:name w:val="bag"/>
    <w:basedOn w:val="Subtitle"/>
    <w:qFormat/>
    <w:rsid w:val="00AA653F"/>
    <w:pPr>
      <w:numPr>
        <w:ilvl w:val="0"/>
      </w:numPr>
      <w:spacing w:before="240" w:after="40" w:line="240" w:lineRule="auto"/>
      <w:jc w:val="both"/>
    </w:pPr>
    <w:rPr>
      <w:rFonts w:ascii="Abali" w:eastAsia="Times New Roman" w:hAnsi="Abali"/>
      <w:b/>
      <w:bCs/>
      <w:i w:val="0"/>
      <w:iCs w:val="0"/>
      <w:color w:val="auto"/>
      <w:spacing w:val="0"/>
      <w:sz w:val="26"/>
      <w:szCs w:val="26"/>
    </w:rPr>
  </w:style>
  <w:style w:type="paragraph" w:styleId="Subtitle">
    <w:name w:val="Subtitle"/>
    <w:basedOn w:val="Normal"/>
    <w:next w:val="Normal"/>
    <w:link w:val="SubtitleChar"/>
    <w:uiPriority w:val="11"/>
    <w:qFormat/>
    <w:rsid w:val="00AA653F"/>
    <w:pPr>
      <w:numPr>
        <w:ilvl w:val="1"/>
      </w:numPr>
    </w:pPr>
    <w:rPr>
      <w:rFonts w:asciiTheme="majorHAnsi" w:eastAsiaTheme="majorEastAsia" w:hAnsiTheme="majorHAnsi" w:cs="Times New Roman"/>
      <w:i/>
      <w:iCs/>
      <w:color w:val="4F81BD" w:themeColor="accent1"/>
      <w:spacing w:val="15"/>
      <w:sz w:val="24"/>
      <w:szCs w:val="24"/>
    </w:rPr>
  </w:style>
  <w:style w:type="character" w:customStyle="1" w:styleId="SubtitleChar">
    <w:name w:val="Subtitle Char"/>
    <w:basedOn w:val="DefaultParagraphFont"/>
    <w:link w:val="Subtitle"/>
    <w:uiPriority w:val="11"/>
    <w:locked/>
    <w:rsid w:val="00AA653F"/>
    <w:rPr>
      <w:rFonts w:asciiTheme="majorHAnsi" w:eastAsiaTheme="majorEastAsia" w:hAnsiTheme="majorHAnsi" w:cs="Times New Roman"/>
      <w:i/>
      <w:iCs/>
      <w:color w:val="4F81BD" w:themeColor="accent1"/>
      <w:spacing w:val="15"/>
      <w:sz w:val="24"/>
      <w:szCs w:val="24"/>
      <w:lang w:val="en-US" w:eastAsia="en-US"/>
    </w:rPr>
  </w:style>
  <w:style w:type="paragraph" w:customStyle="1" w:styleId="kutiparab">
    <w:name w:val="kutip arab"/>
    <w:basedOn w:val="NoSpacing"/>
    <w:qFormat/>
    <w:rsid w:val="00AA653F"/>
    <w:pPr>
      <w:bidi/>
      <w:spacing w:before="60" w:after="120"/>
      <w:ind w:left="45" w:right="397" w:hanging="45"/>
      <w:jc w:val="both"/>
    </w:pPr>
    <w:rPr>
      <w:rFonts w:ascii="Sakkal Majalla" w:hAnsi="Sakkal Majalla" w:cs="Sakkal Majalla"/>
      <w:sz w:val="28"/>
      <w:szCs w:val="28"/>
      <w:lang w:val="en-GB"/>
    </w:rPr>
  </w:style>
  <w:style w:type="paragraph" w:customStyle="1" w:styleId="isikutip">
    <w:name w:val="isi kutip"/>
    <w:basedOn w:val="NoSpacing"/>
    <w:qFormat/>
    <w:rsid w:val="00AA653F"/>
    <w:pPr>
      <w:spacing w:before="60" w:after="120"/>
      <w:ind w:left="397"/>
      <w:jc w:val="both"/>
    </w:pPr>
    <w:rPr>
      <w:rFonts w:ascii="Abali" w:hAnsi="Abali" w:cs="Times New Roman"/>
      <w:iCs/>
      <w:lang w:val="en-GB"/>
    </w:rPr>
  </w:style>
  <w:style w:type="character" w:customStyle="1" w:styleId="searchmatch">
    <w:name w:val="searchmatch"/>
    <w:basedOn w:val="DefaultParagraphFont"/>
    <w:rsid w:val="00E46ADC"/>
    <w:rPr>
      <w:rFonts w:cs="Times New Roman"/>
    </w:rPr>
  </w:style>
  <w:style w:type="paragraph" w:styleId="ListParagraph">
    <w:name w:val="List Paragraph"/>
    <w:basedOn w:val="Normal"/>
    <w:uiPriority w:val="34"/>
    <w:qFormat/>
    <w:rsid w:val="005F42F7"/>
    <w:pPr>
      <w:ind w:left="720"/>
      <w:contextualSpacing/>
    </w:pPr>
    <w:rPr>
      <w:rFonts w:ascii="Calibri" w:hAnsi="Calibri"/>
    </w:rPr>
  </w:style>
  <w:style w:type="paragraph" w:customStyle="1" w:styleId="Sub">
    <w:name w:val="Sub"/>
    <w:basedOn w:val="bag"/>
    <w:qFormat/>
    <w:rsid w:val="006418B2"/>
    <w:pPr>
      <w:keepNext/>
    </w:pPr>
    <w:rPr>
      <w:b w:val="0"/>
      <w:bCs w:val="0"/>
      <w:i/>
      <w:iCs/>
      <w:lang w:val="id-ID"/>
    </w:rPr>
  </w:style>
  <w:style w:type="character" w:styleId="UnresolvedMention">
    <w:name w:val="Unresolved Mention"/>
    <w:basedOn w:val="DefaultParagraphFont"/>
    <w:uiPriority w:val="99"/>
    <w:semiHidden/>
    <w:unhideWhenUsed/>
    <w:rsid w:val="00617BB2"/>
    <w:rPr>
      <w:color w:val="605E5C"/>
      <w:shd w:val="clear" w:color="auto" w:fill="E1DFDD"/>
    </w:rPr>
  </w:style>
  <w:style w:type="paragraph" w:customStyle="1" w:styleId="EndNoteBibliographyTitle">
    <w:name w:val="EndNote Bibliography Title"/>
    <w:basedOn w:val="Normal"/>
    <w:link w:val="EndNoteBibliographyTitleChar"/>
    <w:rsid w:val="00845CCD"/>
    <w:pPr>
      <w:spacing w:after="0"/>
      <w:jc w:val="center"/>
    </w:pPr>
    <w:rPr>
      <w:rFonts w:ascii="Times New Roman" w:hAnsi="Times New Roman" w:cs="Times New Roman"/>
      <w:noProof/>
      <w:sz w:val="48"/>
    </w:rPr>
  </w:style>
  <w:style w:type="character" w:customStyle="1" w:styleId="EndNoteBibliographyTitleChar">
    <w:name w:val="EndNote Bibliography Title Char"/>
    <w:basedOn w:val="FootnoteTextChar"/>
    <w:link w:val="EndNoteBibliographyTitle"/>
    <w:rsid w:val="00845CCD"/>
    <w:rPr>
      <w:rFonts w:ascii="Times New Roman" w:hAnsi="Times New Roman" w:cs="Times New Roman"/>
      <w:noProof/>
      <w:sz w:val="48"/>
      <w:szCs w:val="20"/>
    </w:rPr>
  </w:style>
  <w:style w:type="paragraph" w:customStyle="1" w:styleId="EndNoteBibliography">
    <w:name w:val="EndNote Bibliography"/>
    <w:basedOn w:val="Normal"/>
    <w:link w:val="EndNoteBibliographyChar"/>
    <w:rsid w:val="00845CCD"/>
    <w:pPr>
      <w:spacing w:line="240" w:lineRule="auto"/>
    </w:pPr>
    <w:rPr>
      <w:rFonts w:ascii="Times New Roman" w:hAnsi="Times New Roman" w:cs="Times New Roman"/>
      <w:noProof/>
      <w:sz w:val="48"/>
    </w:rPr>
  </w:style>
  <w:style w:type="character" w:customStyle="1" w:styleId="EndNoteBibliographyChar">
    <w:name w:val="EndNote Bibliography Char"/>
    <w:basedOn w:val="FootnoteTextChar"/>
    <w:link w:val="EndNoteBibliography"/>
    <w:rsid w:val="00845CCD"/>
    <w:rPr>
      <w:rFonts w:ascii="Times New Roman" w:hAnsi="Times New Roman" w:cs="Times New Roman"/>
      <w:noProof/>
      <w:sz w:val="4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607900">
      <w:bodyDiv w:val="1"/>
      <w:marLeft w:val="0"/>
      <w:marRight w:val="0"/>
      <w:marTop w:val="0"/>
      <w:marBottom w:val="0"/>
      <w:divBdr>
        <w:top w:val="none" w:sz="0" w:space="0" w:color="auto"/>
        <w:left w:val="none" w:sz="0" w:space="0" w:color="auto"/>
        <w:bottom w:val="none" w:sz="0" w:space="0" w:color="auto"/>
        <w:right w:val="none" w:sz="0" w:space="0" w:color="auto"/>
      </w:divBdr>
    </w:div>
    <w:div w:id="71585045">
      <w:bodyDiv w:val="1"/>
      <w:marLeft w:val="0"/>
      <w:marRight w:val="0"/>
      <w:marTop w:val="0"/>
      <w:marBottom w:val="0"/>
      <w:divBdr>
        <w:top w:val="none" w:sz="0" w:space="0" w:color="auto"/>
        <w:left w:val="none" w:sz="0" w:space="0" w:color="auto"/>
        <w:bottom w:val="none" w:sz="0" w:space="0" w:color="auto"/>
        <w:right w:val="none" w:sz="0" w:space="0" w:color="auto"/>
      </w:divBdr>
    </w:div>
    <w:div w:id="78447355">
      <w:bodyDiv w:val="1"/>
      <w:marLeft w:val="0"/>
      <w:marRight w:val="0"/>
      <w:marTop w:val="0"/>
      <w:marBottom w:val="0"/>
      <w:divBdr>
        <w:top w:val="none" w:sz="0" w:space="0" w:color="auto"/>
        <w:left w:val="none" w:sz="0" w:space="0" w:color="auto"/>
        <w:bottom w:val="none" w:sz="0" w:space="0" w:color="auto"/>
        <w:right w:val="none" w:sz="0" w:space="0" w:color="auto"/>
      </w:divBdr>
    </w:div>
    <w:div w:id="85619926">
      <w:bodyDiv w:val="1"/>
      <w:marLeft w:val="0"/>
      <w:marRight w:val="0"/>
      <w:marTop w:val="0"/>
      <w:marBottom w:val="0"/>
      <w:divBdr>
        <w:top w:val="none" w:sz="0" w:space="0" w:color="auto"/>
        <w:left w:val="none" w:sz="0" w:space="0" w:color="auto"/>
        <w:bottom w:val="none" w:sz="0" w:space="0" w:color="auto"/>
        <w:right w:val="none" w:sz="0" w:space="0" w:color="auto"/>
      </w:divBdr>
    </w:div>
    <w:div w:id="106049715">
      <w:bodyDiv w:val="1"/>
      <w:marLeft w:val="0"/>
      <w:marRight w:val="0"/>
      <w:marTop w:val="0"/>
      <w:marBottom w:val="0"/>
      <w:divBdr>
        <w:top w:val="none" w:sz="0" w:space="0" w:color="auto"/>
        <w:left w:val="none" w:sz="0" w:space="0" w:color="auto"/>
        <w:bottom w:val="none" w:sz="0" w:space="0" w:color="auto"/>
        <w:right w:val="none" w:sz="0" w:space="0" w:color="auto"/>
      </w:divBdr>
    </w:div>
    <w:div w:id="146552454">
      <w:bodyDiv w:val="1"/>
      <w:marLeft w:val="0"/>
      <w:marRight w:val="0"/>
      <w:marTop w:val="0"/>
      <w:marBottom w:val="0"/>
      <w:divBdr>
        <w:top w:val="none" w:sz="0" w:space="0" w:color="auto"/>
        <w:left w:val="none" w:sz="0" w:space="0" w:color="auto"/>
        <w:bottom w:val="none" w:sz="0" w:space="0" w:color="auto"/>
        <w:right w:val="none" w:sz="0" w:space="0" w:color="auto"/>
      </w:divBdr>
    </w:div>
    <w:div w:id="268045920">
      <w:bodyDiv w:val="1"/>
      <w:marLeft w:val="0"/>
      <w:marRight w:val="0"/>
      <w:marTop w:val="0"/>
      <w:marBottom w:val="0"/>
      <w:divBdr>
        <w:top w:val="none" w:sz="0" w:space="0" w:color="auto"/>
        <w:left w:val="none" w:sz="0" w:space="0" w:color="auto"/>
        <w:bottom w:val="none" w:sz="0" w:space="0" w:color="auto"/>
        <w:right w:val="none" w:sz="0" w:space="0" w:color="auto"/>
      </w:divBdr>
    </w:div>
    <w:div w:id="333654568">
      <w:bodyDiv w:val="1"/>
      <w:marLeft w:val="0"/>
      <w:marRight w:val="0"/>
      <w:marTop w:val="0"/>
      <w:marBottom w:val="0"/>
      <w:divBdr>
        <w:top w:val="none" w:sz="0" w:space="0" w:color="auto"/>
        <w:left w:val="none" w:sz="0" w:space="0" w:color="auto"/>
        <w:bottom w:val="none" w:sz="0" w:space="0" w:color="auto"/>
        <w:right w:val="none" w:sz="0" w:space="0" w:color="auto"/>
      </w:divBdr>
      <w:divsChild>
        <w:div w:id="522011029">
          <w:marLeft w:val="0"/>
          <w:marRight w:val="0"/>
          <w:marTop w:val="0"/>
          <w:marBottom w:val="0"/>
          <w:divBdr>
            <w:top w:val="none" w:sz="0" w:space="0" w:color="auto"/>
            <w:left w:val="none" w:sz="0" w:space="0" w:color="auto"/>
            <w:bottom w:val="none" w:sz="0" w:space="0" w:color="auto"/>
            <w:right w:val="none" w:sz="0" w:space="0" w:color="auto"/>
          </w:divBdr>
          <w:divsChild>
            <w:div w:id="951976444">
              <w:marLeft w:val="0"/>
              <w:marRight w:val="0"/>
              <w:marTop w:val="0"/>
              <w:marBottom w:val="0"/>
              <w:divBdr>
                <w:top w:val="none" w:sz="0" w:space="0" w:color="auto"/>
                <w:left w:val="none" w:sz="0" w:space="0" w:color="auto"/>
                <w:bottom w:val="none" w:sz="0" w:space="0" w:color="auto"/>
                <w:right w:val="none" w:sz="0" w:space="0" w:color="auto"/>
              </w:divBdr>
              <w:divsChild>
                <w:div w:id="726297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326626">
      <w:bodyDiv w:val="1"/>
      <w:marLeft w:val="0"/>
      <w:marRight w:val="0"/>
      <w:marTop w:val="0"/>
      <w:marBottom w:val="0"/>
      <w:divBdr>
        <w:top w:val="none" w:sz="0" w:space="0" w:color="auto"/>
        <w:left w:val="none" w:sz="0" w:space="0" w:color="auto"/>
        <w:bottom w:val="none" w:sz="0" w:space="0" w:color="auto"/>
        <w:right w:val="none" w:sz="0" w:space="0" w:color="auto"/>
      </w:divBdr>
    </w:div>
    <w:div w:id="402029684">
      <w:bodyDiv w:val="1"/>
      <w:marLeft w:val="0"/>
      <w:marRight w:val="0"/>
      <w:marTop w:val="0"/>
      <w:marBottom w:val="0"/>
      <w:divBdr>
        <w:top w:val="none" w:sz="0" w:space="0" w:color="auto"/>
        <w:left w:val="none" w:sz="0" w:space="0" w:color="auto"/>
        <w:bottom w:val="none" w:sz="0" w:space="0" w:color="auto"/>
        <w:right w:val="none" w:sz="0" w:space="0" w:color="auto"/>
      </w:divBdr>
      <w:divsChild>
        <w:div w:id="1223367776">
          <w:marLeft w:val="0"/>
          <w:marRight w:val="0"/>
          <w:marTop w:val="0"/>
          <w:marBottom w:val="0"/>
          <w:divBdr>
            <w:top w:val="none" w:sz="0" w:space="0" w:color="auto"/>
            <w:left w:val="none" w:sz="0" w:space="0" w:color="auto"/>
            <w:bottom w:val="none" w:sz="0" w:space="0" w:color="auto"/>
            <w:right w:val="none" w:sz="0" w:space="0" w:color="auto"/>
          </w:divBdr>
          <w:divsChild>
            <w:div w:id="824971120">
              <w:marLeft w:val="0"/>
              <w:marRight w:val="0"/>
              <w:marTop w:val="0"/>
              <w:marBottom w:val="0"/>
              <w:divBdr>
                <w:top w:val="none" w:sz="0" w:space="0" w:color="auto"/>
                <w:left w:val="none" w:sz="0" w:space="0" w:color="auto"/>
                <w:bottom w:val="none" w:sz="0" w:space="0" w:color="auto"/>
                <w:right w:val="none" w:sz="0" w:space="0" w:color="auto"/>
              </w:divBdr>
              <w:divsChild>
                <w:div w:id="284434902">
                  <w:marLeft w:val="0"/>
                  <w:marRight w:val="0"/>
                  <w:marTop w:val="0"/>
                  <w:marBottom w:val="0"/>
                  <w:divBdr>
                    <w:top w:val="none" w:sz="0" w:space="0" w:color="auto"/>
                    <w:left w:val="none" w:sz="0" w:space="0" w:color="auto"/>
                    <w:bottom w:val="none" w:sz="0" w:space="0" w:color="auto"/>
                    <w:right w:val="none" w:sz="0" w:space="0" w:color="auto"/>
                  </w:divBdr>
                  <w:divsChild>
                    <w:div w:id="20001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0871281">
      <w:bodyDiv w:val="1"/>
      <w:marLeft w:val="0"/>
      <w:marRight w:val="0"/>
      <w:marTop w:val="0"/>
      <w:marBottom w:val="0"/>
      <w:divBdr>
        <w:top w:val="none" w:sz="0" w:space="0" w:color="auto"/>
        <w:left w:val="none" w:sz="0" w:space="0" w:color="auto"/>
        <w:bottom w:val="none" w:sz="0" w:space="0" w:color="auto"/>
        <w:right w:val="none" w:sz="0" w:space="0" w:color="auto"/>
      </w:divBdr>
    </w:div>
    <w:div w:id="562566035">
      <w:bodyDiv w:val="1"/>
      <w:marLeft w:val="0"/>
      <w:marRight w:val="0"/>
      <w:marTop w:val="0"/>
      <w:marBottom w:val="0"/>
      <w:divBdr>
        <w:top w:val="none" w:sz="0" w:space="0" w:color="auto"/>
        <w:left w:val="none" w:sz="0" w:space="0" w:color="auto"/>
        <w:bottom w:val="none" w:sz="0" w:space="0" w:color="auto"/>
        <w:right w:val="none" w:sz="0" w:space="0" w:color="auto"/>
      </w:divBdr>
    </w:div>
    <w:div w:id="574896370">
      <w:bodyDiv w:val="1"/>
      <w:marLeft w:val="0"/>
      <w:marRight w:val="0"/>
      <w:marTop w:val="0"/>
      <w:marBottom w:val="0"/>
      <w:divBdr>
        <w:top w:val="none" w:sz="0" w:space="0" w:color="auto"/>
        <w:left w:val="none" w:sz="0" w:space="0" w:color="auto"/>
        <w:bottom w:val="none" w:sz="0" w:space="0" w:color="auto"/>
        <w:right w:val="none" w:sz="0" w:space="0" w:color="auto"/>
      </w:divBdr>
    </w:div>
    <w:div w:id="591166128">
      <w:bodyDiv w:val="1"/>
      <w:marLeft w:val="0"/>
      <w:marRight w:val="0"/>
      <w:marTop w:val="0"/>
      <w:marBottom w:val="0"/>
      <w:divBdr>
        <w:top w:val="none" w:sz="0" w:space="0" w:color="auto"/>
        <w:left w:val="none" w:sz="0" w:space="0" w:color="auto"/>
        <w:bottom w:val="none" w:sz="0" w:space="0" w:color="auto"/>
        <w:right w:val="none" w:sz="0" w:space="0" w:color="auto"/>
      </w:divBdr>
    </w:div>
    <w:div w:id="620456705">
      <w:marLeft w:val="0"/>
      <w:marRight w:val="0"/>
      <w:marTop w:val="0"/>
      <w:marBottom w:val="0"/>
      <w:divBdr>
        <w:top w:val="none" w:sz="0" w:space="0" w:color="auto"/>
        <w:left w:val="none" w:sz="0" w:space="0" w:color="auto"/>
        <w:bottom w:val="none" w:sz="0" w:space="0" w:color="auto"/>
        <w:right w:val="none" w:sz="0" w:space="0" w:color="auto"/>
      </w:divBdr>
    </w:div>
    <w:div w:id="620456706">
      <w:marLeft w:val="0"/>
      <w:marRight w:val="0"/>
      <w:marTop w:val="0"/>
      <w:marBottom w:val="0"/>
      <w:divBdr>
        <w:top w:val="none" w:sz="0" w:space="0" w:color="auto"/>
        <w:left w:val="none" w:sz="0" w:space="0" w:color="auto"/>
        <w:bottom w:val="none" w:sz="0" w:space="0" w:color="auto"/>
        <w:right w:val="none" w:sz="0" w:space="0" w:color="auto"/>
      </w:divBdr>
    </w:div>
    <w:div w:id="620456707">
      <w:marLeft w:val="0"/>
      <w:marRight w:val="0"/>
      <w:marTop w:val="0"/>
      <w:marBottom w:val="0"/>
      <w:divBdr>
        <w:top w:val="none" w:sz="0" w:space="0" w:color="auto"/>
        <w:left w:val="none" w:sz="0" w:space="0" w:color="auto"/>
        <w:bottom w:val="none" w:sz="0" w:space="0" w:color="auto"/>
        <w:right w:val="none" w:sz="0" w:space="0" w:color="auto"/>
      </w:divBdr>
    </w:div>
    <w:div w:id="620456708">
      <w:marLeft w:val="0"/>
      <w:marRight w:val="0"/>
      <w:marTop w:val="0"/>
      <w:marBottom w:val="0"/>
      <w:divBdr>
        <w:top w:val="none" w:sz="0" w:space="0" w:color="auto"/>
        <w:left w:val="none" w:sz="0" w:space="0" w:color="auto"/>
        <w:bottom w:val="none" w:sz="0" w:space="0" w:color="auto"/>
        <w:right w:val="none" w:sz="0" w:space="0" w:color="auto"/>
      </w:divBdr>
    </w:div>
    <w:div w:id="620456709">
      <w:marLeft w:val="0"/>
      <w:marRight w:val="0"/>
      <w:marTop w:val="0"/>
      <w:marBottom w:val="0"/>
      <w:divBdr>
        <w:top w:val="none" w:sz="0" w:space="0" w:color="auto"/>
        <w:left w:val="none" w:sz="0" w:space="0" w:color="auto"/>
        <w:bottom w:val="none" w:sz="0" w:space="0" w:color="auto"/>
        <w:right w:val="none" w:sz="0" w:space="0" w:color="auto"/>
      </w:divBdr>
    </w:div>
    <w:div w:id="620456710">
      <w:marLeft w:val="0"/>
      <w:marRight w:val="0"/>
      <w:marTop w:val="0"/>
      <w:marBottom w:val="0"/>
      <w:divBdr>
        <w:top w:val="none" w:sz="0" w:space="0" w:color="auto"/>
        <w:left w:val="none" w:sz="0" w:space="0" w:color="auto"/>
        <w:bottom w:val="none" w:sz="0" w:space="0" w:color="auto"/>
        <w:right w:val="none" w:sz="0" w:space="0" w:color="auto"/>
      </w:divBdr>
    </w:div>
    <w:div w:id="620456711">
      <w:marLeft w:val="0"/>
      <w:marRight w:val="0"/>
      <w:marTop w:val="0"/>
      <w:marBottom w:val="0"/>
      <w:divBdr>
        <w:top w:val="none" w:sz="0" w:space="0" w:color="auto"/>
        <w:left w:val="none" w:sz="0" w:space="0" w:color="auto"/>
        <w:bottom w:val="none" w:sz="0" w:space="0" w:color="auto"/>
        <w:right w:val="none" w:sz="0" w:space="0" w:color="auto"/>
      </w:divBdr>
    </w:div>
    <w:div w:id="620456713">
      <w:marLeft w:val="0"/>
      <w:marRight w:val="0"/>
      <w:marTop w:val="0"/>
      <w:marBottom w:val="0"/>
      <w:divBdr>
        <w:top w:val="none" w:sz="0" w:space="0" w:color="auto"/>
        <w:left w:val="none" w:sz="0" w:space="0" w:color="auto"/>
        <w:bottom w:val="none" w:sz="0" w:space="0" w:color="auto"/>
        <w:right w:val="none" w:sz="0" w:space="0" w:color="auto"/>
      </w:divBdr>
      <w:divsChild>
        <w:div w:id="620456712">
          <w:marLeft w:val="0"/>
          <w:marRight w:val="0"/>
          <w:marTop w:val="0"/>
          <w:marBottom w:val="0"/>
          <w:divBdr>
            <w:top w:val="none" w:sz="0" w:space="0" w:color="auto"/>
            <w:left w:val="none" w:sz="0" w:space="0" w:color="auto"/>
            <w:bottom w:val="none" w:sz="0" w:space="0" w:color="auto"/>
            <w:right w:val="none" w:sz="0" w:space="0" w:color="auto"/>
          </w:divBdr>
          <w:divsChild>
            <w:div w:id="62045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456715">
      <w:marLeft w:val="0"/>
      <w:marRight w:val="0"/>
      <w:marTop w:val="0"/>
      <w:marBottom w:val="0"/>
      <w:divBdr>
        <w:top w:val="none" w:sz="0" w:space="0" w:color="auto"/>
        <w:left w:val="none" w:sz="0" w:space="0" w:color="auto"/>
        <w:bottom w:val="none" w:sz="0" w:space="0" w:color="auto"/>
        <w:right w:val="none" w:sz="0" w:space="0" w:color="auto"/>
      </w:divBdr>
    </w:div>
    <w:div w:id="620456716">
      <w:marLeft w:val="0"/>
      <w:marRight w:val="0"/>
      <w:marTop w:val="0"/>
      <w:marBottom w:val="0"/>
      <w:divBdr>
        <w:top w:val="none" w:sz="0" w:space="0" w:color="auto"/>
        <w:left w:val="none" w:sz="0" w:space="0" w:color="auto"/>
        <w:bottom w:val="none" w:sz="0" w:space="0" w:color="auto"/>
        <w:right w:val="none" w:sz="0" w:space="0" w:color="auto"/>
      </w:divBdr>
      <w:divsChild>
        <w:div w:id="620456717">
          <w:marLeft w:val="0"/>
          <w:marRight w:val="0"/>
          <w:marTop w:val="0"/>
          <w:marBottom w:val="0"/>
          <w:divBdr>
            <w:top w:val="none" w:sz="0" w:space="0" w:color="auto"/>
            <w:left w:val="none" w:sz="0" w:space="0" w:color="auto"/>
            <w:bottom w:val="none" w:sz="0" w:space="0" w:color="auto"/>
            <w:right w:val="none" w:sz="0" w:space="0" w:color="auto"/>
          </w:divBdr>
          <w:divsChild>
            <w:div w:id="620456719">
              <w:marLeft w:val="0"/>
              <w:marRight w:val="0"/>
              <w:marTop w:val="0"/>
              <w:marBottom w:val="0"/>
              <w:divBdr>
                <w:top w:val="none" w:sz="0" w:space="0" w:color="auto"/>
                <w:left w:val="none" w:sz="0" w:space="0" w:color="auto"/>
                <w:bottom w:val="none" w:sz="0" w:space="0" w:color="auto"/>
                <w:right w:val="none" w:sz="0" w:space="0" w:color="auto"/>
              </w:divBdr>
              <w:divsChild>
                <w:div w:id="62045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456720">
          <w:marLeft w:val="0"/>
          <w:marRight w:val="0"/>
          <w:marTop w:val="0"/>
          <w:marBottom w:val="0"/>
          <w:divBdr>
            <w:top w:val="none" w:sz="0" w:space="0" w:color="auto"/>
            <w:left w:val="none" w:sz="0" w:space="0" w:color="auto"/>
            <w:bottom w:val="none" w:sz="0" w:space="0" w:color="auto"/>
            <w:right w:val="none" w:sz="0" w:space="0" w:color="auto"/>
          </w:divBdr>
        </w:div>
      </w:divsChild>
    </w:div>
    <w:div w:id="620456721">
      <w:marLeft w:val="0"/>
      <w:marRight w:val="0"/>
      <w:marTop w:val="0"/>
      <w:marBottom w:val="0"/>
      <w:divBdr>
        <w:top w:val="none" w:sz="0" w:space="0" w:color="auto"/>
        <w:left w:val="none" w:sz="0" w:space="0" w:color="auto"/>
        <w:bottom w:val="none" w:sz="0" w:space="0" w:color="auto"/>
        <w:right w:val="none" w:sz="0" w:space="0" w:color="auto"/>
      </w:divBdr>
    </w:div>
    <w:div w:id="620456723">
      <w:marLeft w:val="0"/>
      <w:marRight w:val="0"/>
      <w:marTop w:val="0"/>
      <w:marBottom w:val="0"/>
      <w:divBdr>
        <w:top w:val="none" w:sz="0" w:space="0" w:color="auto"/>
        <w:left w:val="none" w:sz="0" w:space="0" w:color="auto"/>
        <w:bottom w:val="none" w:sz="0" w:space="0" w:color="auto"/>
        <w:right w:val="none" w:sz="0" w:space="0" w:color="auto"/>
      </w:divBdr>
      <w:divsChild>
        <w:div w:id="620456714">
          <w:marLeft w:val="0"/>
          <w:marRight w:val="0"/>
          <w:marTop w:val="0"/>
          <w:marBottom w:val="0"/>
          <w:divBdr>
            <w:top w:val="none" w:sz="0" w:space="0" w:color="auto"/>
            <w:left w:val="none" w:sz="0" w:space="0" w:color="auto"/>
            <w:bottom w:val="none" w:sz="0" w:space="0" w:color="auto"/>
            <w:right w:val="none" w:sz="0" w:space="0" w:color="auto"/>
          </w:divBdr>
          <w:divsChild>
            <w:div w:id="620456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80306">
      <w:bodyDiv w:val="1"/>
      <w:marLeft w:val="0"/>
      <w:marRight w:val="0"/>
      <w:marTop w:val="0"/>
      <w:marBottom w:val="0"/>
      <w:divBdr>
        <w:top w:val="none" w:sz="0" w:space="0" w:color="auto"/>
        <w:left w:val="none" w:sz="0" w:space="0" w:color="auto"/>
        <w:bottom w:val="none" w:sz="0" w:space="0" w:color="auto"/>
        <w:right w:val="none" w:sz="0" w:space="0" w:color="auto"/>
      </w:divBdr>
    </w:div>
    <w:div w:id="843666134">
      <w:bodyDiv w:val="1"/>
      <w:marLeft w:val="0"/>
      <w:marRight w:val="0"/>
      <w:marTop w:val="0"/>
      <w:marBottom w:val="0"/>
      <w:divBdr>
        <w:top w:val="none" w:sz="0" w:space="0" w:color="auto"/>
        <w:left w:val="none" w:sz="0" w:space="0" w:color="auto"/>
        <w:bottom w:val="none" w:sz="0" w:space="0" w:color="auto"/>
        <w:right w:val="none" w:sz="0" w:space="0" w:color="auto"/>
      </w:divBdr>
    </w:div>
    <w:div w:id="877201122">
      <w:bodyDiv w:val="1"/>
      <w:marLeft w:val="0"/>
      <w:marRight w:val="0"/>
      <w:marTop w:val="0"/>
      <w:marBottom w:val="0"/>
      <w:divBdr>
        <w:top w:val="none" w:sz="0" w:space="0" w:color="auto"/>
        <w:left w:val="none" w:sz="0" w:space="0" w:color="auto"/>
        <w:bottom w:val="none" w:sz="0" w:space="0" w:color="auto"/>
        <w:right w:val="none" w:sz="0" w:space="0" w:color="auto"/>
      </w:divBdr>
    </w:div>
    <w:div w:id="910695614">
      <w:bodyDiv w:val="1"/>
      <w:marLeft w:val="0"/>
      <w:marRight w:val="0"/>
      <w:marTop w:val="0"/>
      <w:marBottom w:val="0"/>
      <w:divBdr>
        <w:top w:val="none" w:sz="0" w:space="0" w:color="auto"/>
        <w:left w:val="none" w:sz="0" w:space="0" w:color="auto"/>
        <w:bottom w:val="none" w:sz="0" w:space="0" w:color="auto"/>
        <w:right w:val="none" w:sz="0" w:space="0" w:color="auto"/>
      </w:divBdr>
    </w:div>
    <w:div w:id="1034572484">
      <w:bodyDiv w:val="1"/>
      <w:marLeft w:val="0"/>
      <w:marRight w:val="0"/>
      <w:marTop w:val="0"/>
      <w:marBottom w:val="0"/>
      <w:divBdr>
        <w:top w:val="none" w:sz="0" w:space="0" w:color="auto"/>
        <w:left w:val="none" w:sz="0" w:space="0" w:color="auto"/>
        <w:bottom w:val="none" w:sz="0" w:space="0" w:color="auto"/>
        <w:right w:val="none" w:sz="0" w:space="0" w:color="auto"/>
      </w:divBdr>
      <w:divsChild>
        <w:div w:id="552615305">
          <w:marLeft w:val="0"/>
          <w:marRight w:val="0"/>
          <w:marTop w:val="0"/>
          <w:marBottom w:val="0"/>
          <w:divBdr>
            <w:top w:val="none" w:sz="0" w:space="0" w:color="auto"/>
            <w:left w:val="none" w:sz="0" w:space="0" w:color="auto"/>
            <w:bottom w:val="none" w:sz="0" w:space="0" w:color="auto"/>
            <w:right w:val="none" w:sz="0" w:space="0" w:color="auto"/>
          </w:divBdr>
          <w:divsChild>
            <w:div w:id="1298335408">
              <w:marLeft w:val="0"/>
              <w:marRight w:val="0"/>
              <w:marTop w:val="0"/>
              <w:marBottom w:val="0"/>
              <w:divBdr>
                <w:top w:val="none" w:sz="0" w:space="0" w:color="auto"/>
                <w:left w:val="none" w:sz="0" w:space="0" w:color="auto"/>
                <w:bottom w:val="none" w:sz="0" w:space="0" w:color="auto"/>
                <w:right w:val="none" w:sz="0" w:space="0" w:color="auto"/>
              </w:divBdr>
              <w:divsChild>
                <w:div w:id="179563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489162">
      <w:bodyDiv w:val="1"/>
      <w:marLeft w:val="0"/>
      <w:marRight w:val="0"/>
      <w:marTop w:val="0"/>
      <w:marBottom w:val="0"/>
      <w:divBdr>
        <w:top w:val="none" w:sz="0" w:space="0" w:color="auto"/>
        <w:left w:val="none" w:sz="0" w:space="0" w:color="auto"/>
        <w:bottom w:val="none" w:sz="0" w:space="0" w:color="auto"/>
        <w:right w:val="none" w:sz="0" w:space="0" w:color="auto"/>
      </w:divBdr>
    </w:div>
    <w:div w:id="1252928701">
      <w:bodyDiv w:val="1"/>
      <w:marLeft w:val="0"/>
      <w:marRight w:val="0"/>
      <w:marTop w:val="0"/>
      <w:marBottom w:val="0"/>
      <w:divBdr>
        <w:top w:val="none" w:sz="0" w:space="0" w:color="auto"/>
        <w:left w:val="none" w:sz="0" w:space="0" w:color="auto"/>
        <w:bottom w:val="none" w:sz="0" w:space="0" w:color="auto"/>
        <w:right w:val="none" w:sz="0" w:space="0" w:color="auto"/>
      </w:divBdr>
    </w:div>
    <w:div w:id="1292831772">
      <w:bodyDiv w:val="1"/>
      <w:marLeft w:val="0"/>
      <w:marRight w:val="0"/>
      <w:marTop w:val="0"/>
      <w:marBottom w:val="0"/>
      <w:divBdr>
        <w:top w:val="none" w:sz="0" w:space="0" w:color="auto"/>
        <w:left w:val="none" w:sz="0" w:space="0" w:color="auto"/>
        <w:bottom w:val="none" w:sz="0" w:space="0" w:color="auto"/>
        <w:right w:val="none" w:sz="0" w:space="0" w:color="auto"/>
      </w:divBdr>
      <w:divsChild>
        <w:div w:id="69892447">
          <w:marLeft w:val="0"/>
          <w:marRight w:val="0"/>
          <w:marTop w:val="0"/>
          <w:marBottom w:val="0"/>
          <w:divBdr>
            <w:top w:val="none" w:sz="0" w:space="0" w:color="auto"/>
            <w:left w:val="none" w:sz="0" w:space="0" w:color="auto"/>
            <w:bottom w:val="none" w:sz="0" w:space="0" w:color="auto"/>
            <w:right w:val="none" w:sz="0" w:space="0" w:color="auto"/>
          </w:divBdr>
          <w:divsChild>
            <w:div w:id="19362941">
              <w:marLeft w:val="0"/>
              <w:marRight w:val="0"/>
              <w:marTop w:val="0"/>
              <w:marBottom w:val="0"/>
              <w:divBdr>
                <w:top w:val="none" w:sz="0" w:space="0" w:color="auto"/>
                <w:left w:val="none" w:sz="0" w:space="0" w:color="auto"/>
                <w:bottom w:val="none" w:sz="0" w:space="0" w:color="auto"/>
                <w:right w:val="none" w:sz="0" w:space="0" w:color="auto"/>
              </w:divBdr>
              <w:divsChild>
                <w:div w:id="50701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182035">
      <w:bodyDiv w:val="1"/>
      <w:marLeft w:val="0"/>
      <w:marRight w:val="0"/>
      <w:marTop w:val="0"/>
      <w:marBottom w:val="0"/>
      <w:divBdr>
        <w:top w:val="none" w:sz="0" w:space="0" w:color="auto"/>
        <w:left w:val="none" w:sz="0" w:space="0" w:color="auto"/>
        <w:bottom w:val="none" w:sz="0" w:space="0" w:color="auto"/>
        <w:right w:val="none" w:sz="0" w:space="0" w:color="auto"/>
      </w:divBdr>
    </w:div>
    <w:div w:id="1301567825">
      <w:bodyDiv w:val="1"/>
      <w:marLeft w:val="0"/>
      <w:marRight w:val="0"/>
      <w:marTop w:val="0"/>
      <w:marBottom w:val="0"/>
      <w:divBdr>
        <w:top w:val="none" w:sz="0" w:space="0" w:color="auto"/>
        <w:left w:val="none" w:sz="0" w:space="0" w:color="auto"/>
        <w:bottom w:val="none" w:sz="0" w:space="0" w:color="auto"/>
        <w:right w:val="none" w:sz="0" w:space="0" w:color="auto"/>
      </w:divBdr>
      <w:divsChild>
        <w:div w:id="586884210">
          <w:marLeft w:val="0"/>
          <w:marRight w:val="0"/>
          <w:marTop w:val="0"/>
          <w:marBottom w:val="0"/>
          <w:divBdr>
            <w:top w:val="none" w:sz="0" w:space="0" w:color="auto"/>
            <w:left w:val="none" w:sz="0" w:space="0" w:color="auto"/>
            <w:bottom w:val="none" w:sz="0" w:space="0" w:color="auto"/>
            <w:right w:val="none" w:sz="0" w:space="0" w:color="auto"/>
          </w:divBdr>
          <w:divsChild>
            <w:div w:id="1077633325">
              <w:marLeft w:val="0"/>
              <w:marRight w:val="0"/>
              <w:marTop w:val="0"/>
              <w:marBottom w:val="0"/>
              <w:divBdr>
                <w:top w:val="none" w:sz="0" w:space="0" w:color="auto"/>
                <w:left w:val="none" w:sz="0" w:space="0" w:color="auto"/>
                <w:bottom w:val="none" w:sz="0" w:space="0" w:color="auto"/>
                <w:right w:val="none" w:sz="0" w:space="0" w:color="auto"/>
              </w:divBdr>
              <w:divsChild>
                <w:div w:id="149718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848433">
      <w:bodyDiv w:val="1"/>
      <w:marLeft w:val="0"/>
      <w:marRight w:val="0"/>
      <w:marTop w:val="0"/>
      <w:marBottom w:val="0"/>
      <w:divBdr>
        <w:top w:val="none" w:sz="0" w:space="0" w:color="auto"/>
        <w:left w:val="none" w:sz="0" w:space="0" w:color="auto"/>
        <w:bottom w:val="none" w:sz="0" w:space="0" w:color="auto"/>
        <w:right w:val="none" w:sz="0" w:space="0" w:color="auto"/>
      </w:divBdr>
    </w:div>
    <w:div w:id="1306079575">
      <w:bodyDiv w:val="1"/>
      <w:marLeft w:val="0"/>
      <w:marRight w:val="0"/>
      <w:marTop w:val="0"/>
      <w:marBottom w:val="0"/>
      <w:divBdr>
        <w:top w:val="none" w:sz="0" w:space="0" w:color="auto"/>
        <w:left w:val="none" w:sz="0" w:space="0" w:color="auto"/>
        <w:bottom w:val="none" w:sz="0" w:space="0" w:color="auto"/>
        <w:right w:val="none" w:sz="0" w:space="0" w:color="auto"/>
      </w:divBdr>
    </w:div>
    <w:div w:id="1357846540">
      <w:bodyDiv w:val="1"/>
      <w:marLeft w:val="0"/>
      <w:marRight w:val="0"/>
      <w:marTop w:val="0"/>
      <w:marBottom w:val="0"/>
      <w:divBdr>
        <w:top w:val="none" w:sz="0" w:space="0" w:color="auto"/>
        <w:left w:val="none" w:sz="0" w:space="0" w:color="auto"/>
        <w:bottom w:val="none" w:sz="0" w:space="0" w:color="auto"/>
        <w:right w:val="none" w:sz="0" w:space="0" w:color="auto"/>
      </w:divBdr>
    </w:div>
    <w:div w:id="1386367495">
      <w:bodyDiv w:val="1"/>
      <w:marLeft w:val="0"/>
      <w:marRight w:val="0"/>
      <w:marTop w:val="0"/>
      <w:marBottom w:val="0"/>
      <w:divBdr>
        <w:top w:val="none" w:sz="0" w:space="0" w:color="auto"/>
        <w:left w:val="none" w:sz="0" w:space="0" w:color="auto"/>
        <w:bottom w:val="none" w:sz="0" w:space="0" w:color="auto"/>
        <w:right w:val="none" w:sz="0" w:space="0" w:color="auto"/>
      </w:divBdr>
    </w:div>
    <w:div w:id="1475562485">
      <w:bodyDiv w:val="1"/>
      <w:marLeft w:val="0"/>
      <w:marRight w:val="0"/>
      <w:marTop w:val="0"/>
      <w:marBottom w:val="0"/>
      <w:divBdr>
        <w:top w:val="none" w:sz="0" w:space="0" w:color="auto"/>
        <w:left w:val="none" w:sz="0" w:space="0" w:color="auto"/>
        <w:bottom w:val="none" w:sz="0" w:space="0" w:color="auto"/>
        <w:right w:val="none" w:sz="0" w:space="0" w:color="auto"/>
      </w:divBdr>
    </w:div>
    <w:div w:id="1479036552">
      <w:bodyDiv w:val="1"/>
      <w:marLeft w:val="0"/>
      <w:marRight w:val="0"/>
      <w:marTop w:val="0"/>
      <w:marBottom w:val="0"/>
      <w:divBdr>
        <w:top w:val="none" w:sz="0" w:space="0" w:color="auto"/>
        <w:left w:val="none" w:sz="0" w:space="0" w:color="auto"/>
        <w:bottom w:val="none" w:sz="0" w:space="0" w:color="auto"/>
        <w:right w:val="none" w:sz="0" w:space="0" w:color="auto"/>
      </w:divBdr>
    </w:div>
    <w:div w:id="1596597494">
      <w:bodyDiv w:val="1"/>
      <w:marLeft w:val="0"/>
      <w:marRight w:val="0"/>
      <w:marTop w:val="0"/>
      <w:marBottom w:val="0"/>
      <w:divBdr>
        <w:top w:val="none" w:sz="0" w:space="0" w:color="auto"/>
        <w:left w:val="none" w:sz="0" w:space="0" w:color="auto"/>
        <w:bottom w:val="none" w:sz="0" w:space="0" w:color="auto"/>
        <w:right w:val="none" w:sz="0" w:space="0" w:color="auto"/>
      </w:divBdr>
    </w:div>
    <w:div w:id="1636644108">
      <w:bodyDiv w:val="1"/>
      <w:marLeft w:val="0"/>
      <w:marRight w:val="0"/>
      <w:marTop w:val="0"/>
      <w:marBottom w:val="0"/>
      <w:divBdr>
        <w:top w:val="none" w:sz="0" w:space="0" w:color="auto"/>
        <w:left w:val="none" w:sz="0" w:space="0" w:color="auto"/>
        <w:bottom w:val="none" w:sz="0" w:space="0" w:color="auto"/>
        <w:right w:val="none" w:sz="0" w:space="0" w:color="auto"/>
      </w:divBdr>
    </w:div>
    <w:div w:id="1687903895">
      <w:bodyDiv w:val="1"/>
      <w:marLeft w:val="0"/>
      <w:marRight w:val="0"/>
      <w:marTop w:val="0"/>
      <w:marBottom w:val="0"/>
      <w:divBdr>
        <w:top w:val="none" w:sz="0" w:space="0" w:color="auto"/>
        <w:left w:val="none" w:sz="0" w:space="0" w:color="auto"/>
        <w:bottom w:val="none" w:sz="0" w:space="0" w:color="auto"/>
        <w:right w:val="none" w:sz="0" w:space="0" w:color="auto"/>
      </w:divBdr>
    </w:div>
    <w:div w:id="1733842700">
      <w:bodyDiv w:val="1"/>
      <w:marLeft w:val="0"/>
      <w:marRight w:val="0"/>
      <w:marTop w:val="0"/>
      <w:marBottom w:val="0"/>
      <w:divBdr>
        <w:top w:val="none" w:sz="0" w:space="0" w:color="auto"/>
        <w:left w:val="none" w:sz="0" w:space="0" w:color="auto"/>
        <w:bottom w:val="none" w:sz="0" w:space="0" w:color="auto"/>
        <w:right w:val="none" w:sz="0" w:space="0" w:color="auto"/>
      </w:divBdr>
    </w:div>
    <w:div w:id="1775638461">
      <w:bodyDiv w:val="1"/>
      <w:marLeft w:val="0"/>
      <w:marRight w:val="0"/>
      <w:marTop w:val="0"/>
      <w:marBottom w:val="0"/>
      <w:divBdr>
        <w:top w:val="none" w:sz="0" w:space="0" w:color="auto"/>
        <w:left w:val="none" w:sz="0" w:space="0" w:color="auto"/>
        <w:bottom w:val="none" w:sz="0" w:space="0" w:color="auto"/>
        <w:right w:val="none" w:sz="0" w:space="0" w:color="auto"/>
      </w:divBdr>
    </w:div>
    <w:div w:id="1809974876">
      <w:bodyDiv w:val="1"/>
      <w:marLeft w:val="0"/>
      <w:marRight w:val="0"/>
      <w:marTop w:val="0"/>
      <w:marBottom w:val="0"/>
      <w:divBdr>
        <w:top w:val="none" w:sz="0" w:space="0" w:color="auto"/>
        <w:left w:val="none" w:sz="0" w:space="0" w:color="auto"/>
        <w:bottom w:val="none" w:sz="0" w:space="0" w:color="auto"/>
        <w:right w:val="none" w:sz="0" w:space="0" w:color="auto"/>
      </w:divBdr>
    </w:div>
    <w:div w:id="1836795288">
      <w:bodyDiv w:val="1"/>
      <w:marLeft w:val="0"/>
      <w:marRight w:val="0"/>
      <w:marTop w:val="0"/>
      <w:marBottom w:val="0"/>
      <w:divBdr>
        <w:top w:val="none" w:sz="0" w:space="0" w:color="auto"/>
        <w:left w:val="none" w:sz="0" w:space="0" w:color="auto"/>
        <w:bottom w:val="none" w:sz="0" w:space="0" w:color="auto"/>
        <w:right w:val="none" w:sz="0" w:space="0" w:color="auto"/>
      </w:divBdr>
    </w:div>
    <w:div w:id="1908028660">
      <w:bodyDiv w:val="1"/>
      <w:marLeft w:val="0"/>
      <w:marRight w:val="0"/>
      <w:marTop w:val="0"/>
      <w:marBottom w:val="0"/>
      <w:divBdr>
        <w:top w:val="none" w:sz="0" w:space="0" w:color="auto"/>
        <w:left w:val="none" w:sz="0" w:space="0" w:color="auto"/>
        <w:bottom w:val="none" w:sz="0" w:space="0" w:color="auto"/>
        <w:right w:val="none" w:sz="0" w:space="0" w:color="auto"/>
      </w:divBdr>
    </w:div>
    <w:div w:id="201637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x.doi.org/10.59024/jipa.v1i1.54" TargetMode="External"/><Relationship Id="rId18" Type="http://schemas.openxmlformats.org/officeDocument/2006/relationships/hyperlink" Target="http://dx.doi.org/10.14421/panangkaran.v6i1.2788" TargetMode="External"/><Relationship Id="rId26" Type="http://schemas.openxmlformats.org/officeDocument/2006/relationships/hyperlink" Target="http://dx.doi.org/10.22452/jat.vol17no2.17" TargetMode="External"/><Relationship Id="rId39" Type="http://schemas.openxmlformats.org/officeDocument/2006/relationships/hyperlink" Target="http://dx.doi.org/10.21580/dms.2021.212.9429" TargetMode="External"/><Relationship Id="rId21" Type="http://schemas.openxmlformats.org/officeDocument/2006/relationships/hyperlink" Target="http://dx.doi.org/10.31078/jk1927" TargetMode="External"/><Relationship Id="rId34" Type="http://schemas.openxmlformats.org/officeDocument/2006/relationships/hyperlink" Target="http://dx.doi.org/10.22146/jlo.65642" TargetMode="External"/><Relationship Id="rId42" Type="http://schemas.openxmlformats.org/officeDocument/2006/relationships/hyperlink" Target="http://dx.doi.org/10.1111/j.1468-0424.2008.00530.x" TargetMode="External"/><Relationship Id="rId47" Type="http://schemas.openxmlformats.org/officeDocument/2006/relationships/hyperlink" Target="http://dx.doi.org/10.7454/jp.v5i2.267" TargetMode="External"/><Relationship Id="rId50" Type="http://schemas.openxmlformats.org/officeDocument/2006/relationships/hyperlink" Target="http://dx.doi.org/10.21043/edukasia.v16i1.8803" TargetMode="External"/><Relationship Id="rId55"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dx.doi.org/10.22146/kawistara.41169" TargetMode="External"/><Relationship Id="rId29" Type="http://schemas.openxmlformats.org/officeDocument/2006/relationships/hyperlink" Target="http://dx.doi.org/10.15575/idajhs.v16i2.19861" TargetMode="External"/><Relationship Id="rId11" Type="http://schemas.openxmlformats.org/officeDocument/2006/relationships/hyperlink" Target="http://dx.doi.org/10.35878/santri.v4i2.958" TargetMode="External"/><Relationship Id="rId24" Type="http://schemas.openxmlformats.org/officeDocument/2006/relationships/hyperlink" Target="http://dx.doi.org/10.36418/jrssem.v1i9.149" TargetMode="External"/><Relationship Id="rId32" Type="http://schemas.openxmlformats.org/officeDocument/2006/relationships/hyperlink" Target="http://dx.doi.org/10.20961/bestuur.v9i1.51632" TargetMode="External"/><Relationship Id="rId37" Type="http://schemas.openxmlformats.org/officeDocument/2006/relationships/hyperlink" Target="http://dx.doi.org/10.29060/taps.2019-4-1/gp1077" TargetMode="External"/><Relationship Id="rId40" Type="http://schemas.openxmlformats.org/officeDocument/2006/relationships/hyperlink" Target="http://dx.doi.org/10.4102/hts.v78i4.7043" TargetMode="External"/><Relationship Id="rId45" Type="http://schemas.openxmlformats.org/officeDocument/2006/relationships/hyperlink" Target="http://dx.doi.org/10.18502/kss.v3i19.4906" TargetMode="External"/><Relationship Id="rId53" Type="http://schemas.openxmlformats.org/officeDocument/2006/relationships/hyperlink" Target="http://dx.doi.org/10.1017/prp.2018.25" TargetMode="External"/><Relationship Id="rId5" Type="http://schemas.openxmlformats.org/officeDocument/2006/relationships/webSettings" Target="webSettings.xml"/><Relationship Id="rId19" Type="http://schemas.openxmlformats.org/officeDocument/2006/relationships/hyperlink" Target="http://dx.doi.org/10.20414/jurkom.v14i1.5270" TargetMode="External"/><Relationship Id="rId4" Type="http://schemas.openxmlformats.org/officeDocument/2006/relationships/settings" Target="settings.xml"/><Relationship Id="rId9" Type="http://schemas.openxmlformats.org/officeDocument/2006/relationships/hyperlink" Target="http://dx.doi.org/10.37812/iiej.v1i2.915" TargetMode="External"/><Relationship Id="rId14" Type="http://schemas.openxmlformats.org/officeDocument/2006/relationships/hyperlink" Target="http://dx.doi.org/10.37812/fikroh.v16i1.681" TargetMode="External"/><Relationship Id="rId22" Type="http://schemas.openxmlformats.org/officeDocument/2006/relationships/hyperlink" Target="http://dx.doi.org/10.1177/008124630703700402" TargetMode="External"/><Relationship Id="rId27" Type="http://schemas.openxmlformats.org/officeDocument/2006/relationships/hyperlink" Target="http://dx.doi.org/10.2991/icetep-18.2019.33" TargetMode="External"/><Relationship Id="rId30" Type="http://schemas.openxmlformats.org/officeDocument/2006/relationships/hyperlink" Target="http://dx.doi.org/10.15294/lc.v15i2.26285" TargetMode="External"/><Relationship Id="rId35" Type="http://schemas.openxmlformats.org/officeDocument/2006/relationships/hyperlink" Target="http://dx.doi.org/10.33650/al-tanzim.v7i3.5244" TargetMode="External"/><Relationship Id="rId43" Type="http://schemas.openxmlformats.org/officeDocument/2006/relationships/hyperlink" Target="http://dx.doi.org/10.1037/rel0000186" TargetMode="External"/><Relationship Id="rId48" Type="http://schemas.openxmlformats.org/officeDocument/2006/relationships/hyperlink" Target="http://dx.doi.org/https://doi.org/10.21274/epis.2020.15.02.365-400" TargetMode="External"/><Relationship Id="rId56" Type="http://schemas.openxmlformats.org/officeDocument/2006/relationships/fontTable" Target="fontTable.xml"/><Relationship Id="rId8" Type="http://schemas.openxmlformats.org/officeDocument/2006/relationships/hyperlink" Target="http://dx.doi.org/10.1353/ind.2021.0005" TargetMode="External"/><Relationship Id="rId51" Type="http://schemas.openxmlformats.org/officeDocument/2006/relationships/hyperlink" Target="http://dx.doi.org/10.56613/islam-universalia.v1i1.111" TargetMode="External"/><Relationship Id="rId3" Type="http://schemas.openxmlformats.org/officeDocument/2006/relationships/styles" Target="styles.xml"/><Relationship Id="rId12" Type="http://schemas.openxmlformats.org/officeDocument/2006/relationships/hyperlink" Target="http://dx.doi.org/10.51672/alfikru.v16i2.107" TargetMode="External"/><Relationship Id="rId17" Type="http://schemas.openxmlformats.org/officeDocument/2006/relationships/hyperlink" Target="http://dx.doi.org/10.29240/jdk.v6i1.2954" TargetMode="External"/><Relationship Id="rId25" Type="http://schemas.openxmlformats.org/officeDocument/2006/relationships/hyperlink" Target="http://dx.doi.org/10.47233/jkomdis.v4i1.1430" TargetMode="External"/><Relationship Id="rId33" Type="http://schemas.openxmlformats.org/officeDocument/2006/relationships/hyperlink" Target="http://dx.doi.org/10.24252/jdt.v24i1.41657" TargetMode="External"/><Relationship Id="rId38" Type="http://schemas.openxmlformats.org/officeDocument/2006/relationships/hyperlink" Target="http://dx.doi.org/10.18326/ijims.v11i2.213-241" TargetMode="External"/><Relationship Id="rId46" Type="http://schemas.openxmlformats.org/officeDocument/2006/relationships/hyperlink" Target="http://dx.doi.org/10.24090/jsij.v2i02.8213" TargetMode="External"/><Relationship Id="rId20" Type="http://schemas.openxmlformats.org/officeDocument/2006/relationships/hyperlink" Target="http://dx.doi.org/10.29240/ajis.v3i1.485" TargetMode="External"/><Relationship Id="rId41" Type="http://schemas.openxmlformats.org/officeDocument/2006/relationships/hyperlink" Target="http://dx.doi.org/10.15575/ath.v7i2.20901" TargetMode="External"/><Relationship Id="rId54" Type="http://schemas.openxmlformats.org/officeDocument/2006/relationships/hyperlink" Target="http://dx.doi.org/10.38214/jurnalbinaummatstidnatsir.v5i2.150"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dx.doi.org/10.1558/isit.24603" TargetMode="External"/><Relationship Id="rId23" Type="http://schemas.openxmlformats.org/officeDocument/2006/relationships/hyperlink" Target="http://dx.doi.org/10.21580/nw.2020.14.1.5766" TargetMode="External"/><Relationship Id="rId28" Type="http://schemas.openxmlformats.org/officeDocument/2006/relationships/hyperlink" Target="http://dx.doi.org/10.29240/jdk.v8i2.8752" TargetMode="External"/><Relationship Id="rId36" Type="http://schemas.openxmlformats.org/officeDocument/2006/relationships/hyperlink" Target="http://dx.doi.org/10.15575/ijni.v7i1.4807" TargetMode="External"/><Relationship Id="rId49" Type="http://schemas.openxmlformats.org/officeDocument/2006/relationships/hyperlink" Target="http://dx.doi.org/10.15575/jassr.v4i1.64" TargetMode="External"/><Relationship Id="rId57" Type="http://schemas.openxmlformats.org/officeDocument/2006/relationships/theme" Target="theme/theme1.xml"/><Relationship Id="rId10" Type="http://schemas.openxmlformats.org/officeDocument/2006/relationships/hyperlink" Target="http://dx.doi.org/10.2991/978-2-38476-164-7_2" TargetMode="External"/><Relationship Id="rId31" Type="http://schemas.openxmlformats.org/officeDocument/2006/relationships/hyperlink" Target="http://dx.doi.org/10.1080/13639811.2018.1415276" TargetMode="External"/><Relationship Id="rId44" Type="http://schemas.openxmlformats.org/officeDocument/2006/relationships/hyperlink" Target="http://dx.doi.org/10.5964/jspp.5565" TargetMode="External"/><Relationship Id="rId52" Type="http://schemas.openxmlformats.org/officeDocument/2006/relationships/hyperlink" Target="http://dx.doi.org/10.29333/ejecs/12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42379-7DD7-4615-A4EB-0E7D8F0DE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8234</Words>
  <Characters>46936</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55060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UJIS</dc:creator>
  <cp:lastModifiedBy>Afif</cp:lastModifiedBy>
  <cp:revision>3</cp:revision>
  <cp:lastPrinted>2024-06-09T14:02:00Z</cp:lastPrinted>
  <dcterms:created xsi:type="dcterms:W3CDTF">2024-12-24T10:16:00Z</dcterms:created>
  <dcterms:modified xsi:type="dcterms:W3CDTF">2024-12-24T10:17:00Z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muhammaddzunnurain@yahoo.co.id@www.mendeley.com</vt:lpwstr>
  </property>
  <property fmtid="{D5CDD505-2E9C-101B-9397-08002B2CF9AE}" pid="4" name="Mendeley Citation Style_1">
    <vt:lpwstr>http://www.zotero.org/styles/turabian-fullnote-bibliography</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http://www.zotero.org/styles/chicago-author-date</vt:lpwstr>
  </property>
  <property fmtid="{D5CDD505-2E9C-101B-9397-08002B2CF9AE}" pid="10" name="Mendeley Recent Style Name 2_1">
    <vt:lpwstr>Chicago Manual of Style 16th edition (author-date)</vt:lpwstr>
  </property>
  <property fmtid="{D5CDD505-2E9C-101B-9397-08002B2CF9AE}" pid="11" name="Mendeley Recent Style Id 3_1">
    <vt:lpwstr>http://www.zotero.org/styles/harvard1</vt:lpwstr>
  </property>
  <property fmtid="{D5CDD505-2E9C-101B-9397-08002B2CF9AE}" pid="12" name="Mendeley Recent Style Name 3_1">
    <vt:lpwstr>Harvard Reference format 1 (author-date)</vt:lpwstr>
  </property>
  <property fmtid="{D5CDD505-2E9C-101B-9397-08002B2CF9AE}" pid="13" name="Mendeley Recent Style Id 4_1">
    <vt:lpwstr>http://www.zotero.org/styles/ieee</vt:lpwstr>
  </property>
  <property fmtid="{D5CDD505-2E9C-101B-9397-08002B2CF9AE}" pid="14" name="Mendeley Recent Style Name 4_1">
    <vt:lpwstr>IEEE</vt:lpwstr>
  </property>
  <property fmtid="{D5CDD505-2E9C-101B-9397-08002B2CF9AE}" pid="15" name="Mendeley Recent Style Id 5_1">
    <vt:lpwstr>http://www.zotero.org/styles/modern-humanities-research-association</vt:lpwstr>
  </property>
  <property fmtid="{D5CDD505-2E9C-101B-9397-08002B2CF9AE}" pid="16" name="Mendeley Recent Style Name 5_1">
    <vt:lpwstr>Modern Humanities Research Association 3rd edition (note with bibliography)</vt:lpwstr>
  </property>
  <property fmtid="{D5CDD505-2E9C-101B-9397-08002B2CF9AE}" pid="17" name="Mendeley Recent Style Id 6_1">
    <vt:lpwstr>http://www.zotero.org/styles/modern-language-association</vt:lpwstr>
  </property>
  <property fmtid="{D5CDD505-2E9C-101B-9397-08002B2CF9AE}" pid="18" name="Mendeley Recent Style Name 6_1">
    <vt:lpwstr>Modern Language Association 7th edition</vt:lpwstr>
  </property>
  <property fmtid="{D5CDD505-2E9C-101B-9397-08002B2CF9AE}" pid="19" name="Mendeley Recent Style Id 7_1">
    <vt:lpwstr>http://www.zotero.org/styles/nature</vt:lpwstr>
  </property>
  <property fmtid="{D5CDD505-2E9C-101B-9397-08002B2CF9AE}" pid="20" name="Mendeley Recent Style Name 7_1">
    <vt:lpwstr>Nature</vt:lpwstr>
  </property>
  <property fmtid="{D5CDD505-2E9C-101B-9397-08002B2CF9AE}" pid="21" name="Mendeley Recent Style Id 8_1">
    <vt:lpwstr>http://www.zotero.org/styles/turabian-fullnote-bibliography</vt:lpwstr>
  </property>
  <property fmtid="{D5CDD505-2E9C-101B-9397-08002B2CF9AE}" pid="22" name="Mendeley Recent Style Name 8_1">
    <vt:lpwstr>Turabian 8th edition (full note)</vt:lpwstr>
  </property>
  <property fmtid="{D5CDD505-2E9C-101B-9397-08002B2CF9AE}" pid="23" name="Mendeley Recent Style Id 9_1">
    <vt:lpwstr>http://www.zotero.org/styles/turabian-author-date</vt:lpwstr>
  </property>
  <property fmtid="{D5CDD505-2E9C-101B-9397-08002B2CF9AE}" pid="24" name="Mendeley Recent Style Name 9_1">
    <vt:lpwstr>Turabian Style (author-date)</vt:lpwstr>
  </property>
</Properties>
</file>