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7C4A8B" w:rsidP="00122F5F">
      <w:pPr>
        <w:rPr>
          <w:rFonts w:ascii="Calibri Light" w:hAnsi="Calibri Light" w:cs="Calibri Light"/>
          <w:b/>
          <w:bCs/>
          <w:iCs/>
          <w:sz w:val="28"/>
          <w:szCs w:val="28"/>
          <w:lang w:val="id-ID"/>
        </w:rPr>
      </w:pPr>
      <w:r w:rsidRPr="007C4A8B">
        <w:rPr>
          <w:rFonts w:ascii="Calibri Light" w:hAnsi="Calibri Light" w:cs="Calibri Light"/>
          <w:b/>
          <w:bCs/>
          <w:sz w:val="28"/>
          <w:szCs w:val="28"/>
        </w:rPr>
        <w:t xml:space="preserve">From Combating Religious Blasphemy to Promoting Peace: Reflections on the Role of Islamic </w:t>
      </w:r>
      <w:r w:rsidR="00A052EF" w:rsidRPr="00A052EF">
        <w:rPr>
          <w:rFonts w:ascii="Calibri Light" w:hAnsi="Calibri Light" w:cs="Calibri Light"/>
          <w:b/>
          <w:bCs/>
          <w:i/>
          <w:iCs/>
          <w:sz w:val="28"/>
          <w:szCs w:val="28"/>
        </w:rPr>
        <w:t>Da’wah</w:t>
      </w:r>
      <w:r w:rsidRPr="007C4A8B">
        <w:rPr>
          <w:rFonts w:ascii="Calibri Light" w:hAnsi="Calibri Light" w:cs="Calibri Light"/>
          <w:b/>
          <w:bCs/>
          <w:sz w:val="28"/>
          <w:szCs w:val="28"/>
        </w:rPr>
        <w:t xml:space="preserve"> and Law in Indonesia's Pluralistic Society</w:t>
      </w:r>
    </w:p>
    <w:p w:rsidR="00DE1E48" w:rsidRPr="00122F5F" w:rsidRDefault="00DE1E48" w:rsidP="001D7DEE">
      <w:pPr>
        <w:jc w:val="center"/>
        <w:rPr>
          <w:rFonts w:ascii="Calibri Light" w:hAnsi="Calibri Light" w:cs="Calibri Light"/>
          <w:sz w:val="24"/>
          <w:szCs w:val="24"/>
        </w:rPr>
      </w:pPr>
    </w:p>
    <w:p w:rsidR="008C45DE" w:rsidRPr="00540F02" w:rsidRDefault="008418A7" w:rsidP="00122F5F">
      <w:pPr>
        <w:rPr>
          <w:rFonts w:ascii="Calibri Light" w:hAnsi="Calibri Light" w:cs="Calibri Light"/>
          <w:color w:val="A6A6A6"/>
          <w:sz w:val="24"/>
          <w:szCs w:val="24"/>
        </w:rPr>
      </w:pPr>
      <w:proofErr w:type="spellStart"/>
      <w:r w:rsidRPr="008418A7">
        <w:rPr>
          <w:rFonts w:ascii="Calibri Light" w:hAnsi="Calibri Light" w:cs="Calibri Light"/>
          <w:b/>
          <w:bCs/>
          <w:sz w:val="24"/>
          <w:szCs w:val="24"/>
        </w:rPr>
        <w:t>Thoriqul</w:t>
      </w:r>
      <w:proofErr w:type="spellEnd"/>
      <w:r w:rsidRPr="008418A7">
        <w:rPr>
          <w:rFonts w:ascii="Calibri Light" w:hAnsi="Calibri Light" w:cs="Calibri Light"/>
          <w:b/>
          <w:bCs/>
          <w:sz w:val="24"/>
          <w:szCs w:val="24"/>
        </w:rPr>
        <w:t xml:space="preserve"> Haq</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8418A7">
        <w:rPr>
          <w:rFonts w:ascii="Calibri Light" w:hAnsi="Calibri Light" w:cs="Calibri Light"/>
          <w:b/>
          <w:bCs/>
          <w:sz w:val="24"/>
          <w:szCs w:val="24"/>
        </w:rPr>
        <w:t>Noor Aqsa Nabila Mat Isa</w:t>
      </w:r>
      <w:r w:rsidR="008C45DE" w:rsidRPr="00122F5F">
        <w:rPr>
          <w:rFonts w:ascii="Calibri Light" w:hAnsi="Calibri Light" w:cs="Calibri Light"/>
          <w:b/>
          <w:bCs/>
          <w:sz w:val="24"/>
          <w:szCs w:val="24"/>
          <w:vertAlign w:val="superscript"/>
        </w:rPr>
        <w:t>2</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D54B5">
        <w:rPr>
          <w:rFonts w:ascii="Calibri Light" w:hAnsi="Calibri Light" w:cs="Calibri Light"/>
          <w:sz w:val="24"/>
          <w:szCs w:val="24"/>
          <w:vertAlign w:val="superscript"/>
        </w:rPr>
        <w:t>,2</w:t>
      </w:r>
      <w:r w:rsidR="001D54B5" w:rsidRPr="001D54B5">
        <w:rPr>
          <w:rFonts w:ascii="Calibri Light" w:hAnsi="Calibri Light" w:cs="Calibri Light"/>
          <w:sz w:val="24"/>
          <w:szCs w:val="24"/>
        </w:rPr>
        <w:t>Universiti Malaya, 50603, Kuala Lumpur, Malaysia</w:t>
      </w:r>
    </w:p>
    <w:p w:rsidR="009E4EBA" w:rsidRPr="00F957F5" w:rsidRDefault="009E4EBA" w:rsidP="00122F5F">
      <w:pPr>
        <w:rPr>
          <w:rFonts w:ascii="Calibri Light" w:hAnsi="Calibri Light" w:cs="Calibri Light"/>
          <w:sz w:val="24"/>
          <w:szCs w:val="24"/>
          <w:lang w:val="id-ID"/>
        </w:rPr>
      </w:pPr>
      <w:r w:rsidRPr="00F957F5">
        <w:rPr>
          <w:rFonts w:ascii="Calibri Light" w:hAnsi="Calibri Light" w:cs="Calibri Light"/>
          <w:sz w:val="24"/>
          <w:szCs w:val="24"/>
          <w:lang w:val="id-ID"/>
        </w:rPr>
        <w:t>*</w:t>
      </w:r>
      <w:r w:rsidR="00F957F5" w:rsidRPr="00F957F5">
        <w:rPr>
          <w:rFonts w:ascii="Calibri Light" w:hAnsi="Calibri Light" w:cs="Calibri Light"/>
          <w:sz w:val="24"/>
          <w:szCs w:val="24"/>
          <w:lang w:val="id-ID"/>
        </w:rPr>
        <w:t>s2006545@siswa.um.edu.my</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8208BB" w:rsidRPr="008208BB">
              <w:rPr>
                <w:rFonts w:ascii="Calibri Light" w:hAnsi="Calibri Light" w:cs="Calibri Light"/>
              </w:rPr>
              <w:t>Haq, T. &amp; Mat Isa, N.A.N.</w:t>
            </w:r>
            <w:r w:rsidRPr="00540F02">
              <w:rPr>
                <w:rFonts w:ascii="Calibri Light" w:hAnsi="Calibri Light" w:cs="Calibri Light"/>
              </w:rPr>
              <w:t xml:space="preserve"> (202</w:t>
            </w:r>
            <w:r w:rsidR="008208BB">
              <w:rPr>
                <w:rFonts w:ascii="Calibri Light" w:hAnsi="Calibri Light" w:cs="Calibri Light"/>
              </w:rPr>
              <w:t>4</w:t>
            </w:r>
            <w:r w:rsidRPr="00540F02">
              <w:rPr>
                <w:rFonts w:ascii="Calibri Light" w:hAnsi="Calibri Light" w:cs="Calibri Light"/>
              </w:rPr>
              <w:t xml:space="preserve">). </w:t>
            </w:r>
            <w:r w:rsidR="008208BB" w:rsidRPr="008208BB">
              <w:rPr>
                <w:rFonts w:ascii="Calibri Light" w:hAnsi="Calibri Light" w:cs="Calibri Light"/>
              </w:rPr>
              <w:t xml:space="preserve">From Combating Religious Blasphemy to Promoting Peace: Reflections on the Role of Islamic </w:t>
            </w:r>
            <w:r w:rsidR="00A052EF" w:rsidRPr="00A052EF">
              <w:rPr>
                <w:rFonts w:ascii="Calibri Light" w:hAnsi="Calibri Light" w:cs="Calibri Light"/>
                <w:i/>
                <w:iCs/>
              </w:rPr>
              <w:t>Da’wah</w:t>
            </w:r>
            <w:r w:rsidR="008208BB" w:rsidRPr="008208BB">
              <w:rPr>
                <w:rFonts w:ascii="Calibri Light" w:hAnsi="Calibri Light" w:cs="Calibri Light"/>
              </w:rPr>
              <w:t xml:space="preserve"> and Law in Indonesia's Pluralistic Society</w:t>
            </w:r>
            <w:r w:rsidRPr="00540F02">
              <w:rPr>
                <w:rFonts w:ascii="Calibri Light" w:hAnsi="Calibri Light" w:cs="Calibri Light"/>
              </w:rPr>
              <w:t>.</w:t>
            </w:r>
            <w:r w:rsidRPr="00540F02">
              <w:rPr>
                <w:rFonts w:ascii="Calibri Light" w:hAnsi="Calibri Light" w:cs="Calibri Light"/>
                <w:spacing w:val="1"/>
              </w:rPr>
              <w:t xml:space="preserve"> </w:t>
            </w:r>
            <w:r w:rsidR="000061FF" w:rsidRPr="000061FF">
              <w:rPr>
                <w:rFonts w:ascii="Calibri Light" w:hAnsi="Calibri Light" w:cs="Calibri Light"/>
                <w:i/>
              </w:rPr>
              <w:t>International Journal of Law and Society (IJLS)</w:t>
            </w:r>
            <w:r w:rsidRPr="00540F02">
              <w:rPr>
                <w:rFonts w:ascii="Calibri Light" w:hAnsi="Calibri Light" w:cs="Calibri Light"/>
              </w:rPr>
              <w:t xml:space="preserve">, </w:t>
            </w:r>
            <w:r w:rsidR="000061FF">
              <w:rPr>
                <w:rFonts w:ascii="Calibri Light" w:hAnsi="Calibri Light" w:cs="Calibri Light"/>
              </w:rPr>
              <w:t>3</w:t>
            </w:r>
            <w:r w:rsidRPr="00540F02">
              <w:rPr>
                <w:rFonts w:ascii="Calibri Light" w:hAnsi="Calibri Light" w:cs="Calibri Light"/>
              </w:rPr>
              <w:t xml:space="preserve">(2), </w:t>
            </w:r>
            <w:r w:rsidR="004C4A9F">
              <w:rPr>
                <w:rFonts w:ascii="Calibri Light" w:hAnsi="Calibri Light" w:cs="Calibri Light"/>
              </w:rPr>
              <w:t>90</w:t>
            </w:r>
            <w:r w:rsidRPr="00540F02">
              <w:rPr>
                <w:rFonts w:ascii="Calibri Light" w:hAnsi="Calibri Light" w:cs="Calibri Light"/>
              </w:rPr>
              <w:t>-</w:t>
            </w:r>
            <w:r w:rsidR="004C4A9F">
              <w:rPr>
                <w:rFonts w:ascii="Calibri Light" w:hAnsi="Calibri Light" w:cs="Calibri Light"/>
              </w:rPr>
              <w:t>108</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91D58" w:rsidRPr="00691D58">
        <w:rPr>
          <w:rFonts w:ascii="Calibri Light" w:hAnsi="Calibri Light" w:cs="Calibri Light"/>
          <w:i/>
          <w:iCs/>
          <w:noProof/>
          <w:color w:val="000000"/>
          <w:sz w:val="24"/>
          <w:szCs w:val="24"/>
        </w:rPr>
        <w:t xml:space="preserve">This study examines the role of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in addressing the issue of blasphemy in Indonesia and promoting peace in a pluralistic society. As a form of spreading Islamic teachings,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has a significant historical role in dealing with religious conflicts. This study aims to understand how Muslim leaders and communities use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to address blasphemy, reduce conflict, and build social harmony. With a qualitative approach, this study uses a descriptive-analytical method through analysis of historical documents, in-depth interviews with religious figures, and literature studies related to blasphemy cases. Data analysis techniques involve data reduction, data presentation, and inductive drawing of conclusions. The validity of the data is guaranteed through triangulation of data sources, namely comparing the results of interviews, documents, and relevant literature. The study results show that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is used through three main strategies: education to strengthen religious understanding, interfaith dialogue to build cross-faith communication, and a legal approach to handle blasphemy allegations formally. This strategy not only protects Islamic teachings but also strengthens social harmony.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also plays a vital role in enhancing the values ​​of tolerance, mediating conflict, and promoting peaceful life in a pluralistic Indonesian society. </w:t>
      </w:r>
      <w:r w:rsidR="00A052EF" w:rsidRPr="00A052EF">
        <w:rPr>
          <w:rFonts w:ascii="Calibri Light" w:hAnsi="Calibri Light" w:cs="Calibri Light"/>
          <w:i/>
          <w:iCs/>
          <w:noProof/>
          <w:color w:val="000000"/>
          <w:sz w:val="24"/>
          <w:szCs w:val="24"/>
        </w:rPr>
        <w:t>Da’wah</w:t>
      </w:r>
      <w:r w:rsidR="00691D58" w:rsidRPr="00691D58">
        <w:rPr>
          <w:rFonts w:ascii="Calibri Light" w:hAnsi="Calibri Light" w:cs="Calibri Light"/>
          <w:i/>
          <w:iCs/>
          <w:noProof/>
          <w:color w:val="000000"/>
          <w:sz w:val="24"/>
          <w:szCs w:val="24"/>
        </w:rPr>
        <w:t xml:space="preserve"> is a tool for affirming Islamic identity and an effective instrument of social mediation. This finding contributes to the understanding of religious dynamics in Indonesia and its relevance in overcoming the challenges of interfaith relations in the era of globalization.</w:t>
      </w:r>
    </w:p>
    <w:p w:rsidR="00691D58" w:rsidRPr="00122F5F" w:rsidRDefault="00691D58" w:rsidP="00540F02">
      <w:pPr>
        <w:ind w:right="-1"/>
        <w:jc w:val="both"/>
        <w:rPr>
          <w:rFonts w:ascii="Calibri Light" w:hAnsi="Calibri Light" w:cs="Calibri Light"/>
          <w:noProof/>
          <w:color w:val="000000"/>
          <w:sz w:val="24"/>
          <w:szCs w:val="24"/>
          <w:lang w:val="id-ID"/>
        </w:rPr>
      </w:pPr>
    </w:p>
    <w:p w:rsidR="00DE1E48" w:rsidRPr="00122F5F" w:rsidRDefault="00691D58" w:rsidP="00863A78">
      <w:pPr>
        <w:ind w:right="-1"/>
        <w:jc w:val="both"/>
        <w:rPr>
          <w:rFonts w:ascii="Calibri Light" w:hAnsi="Calibri Light" w:cs="Calibri Light"/>
          <w:i/>
          <w:iCs/>
          <w:sz w:val="24"/>
          <w:szCs w:val="24"/>
          <w:lang w:val="id-ID"/>
        </w:rPr>
      </w:pPr>
      <w:r w:rsidRPr="00691D58">
        <w:rPr>
          <w:rFonts w:ascii="Calibri Light" w:hAnsi="Calibri Light" w:cs="Calibri Light"/>
          <w:noProof/>
          <w:sz w:val="24"/>
          <w:szCs w:val="24"/>
        </w:rPr>
        <w:t xml:space="preserve">Penelitian ini mengkaji peran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dalam menanggulangi isu penistaan agama di Indonesia dan mendorong perdamaian dalam masyarakat pluralistik.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sebagai bentuk penyebaran ajaran Islam, memiliki peran historis yang signifikan dalam menghadapi konflik agama. Penelitian ini bertujuan untuk memahami bagaimana para pemimpin dan komunitas Muslim memanfaatkan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sebagai sarana mengatasi penistaan agama, meredakan </w:t>
      </w:r>
      <w:r w:rsidRPr="00691D58">
        <w:rPr>
          <w:rFonts w:ascii="Calibri Light" w:hAnsi="Calibri Light" w:cs="Calibri Light"/>
          <w:noProof/>
          <w:sz w:val="24"/>
          <w:szCs w:val="24"/>
        </w:rPr>
        <w:lastRenderedPageBreak/>
        <w:t xml:space="preserve">konflik, dan membangun harmoni sosial. Dengan pendekatan kualitatif, penelitian ini menggunakan metode deskriptif-analitis melalui analisis dokumen sejarah, wawancara mendalam dengan tokoh agama, dan studi literatur terkait kasus penistaan agama. Teknik analisis data melibatkan reduksi, penyajian data, serta penarikan kesimpulan secara induktif. Keabsahan data dijamin melalui triangulasi sumber data, yaitu membandingkan hasil wawancara, dokumen, dan literatur yang relevan. Hasil penelitian menunjukkan bahwa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digunakan melalui tiga strategi utama: pendidikan untuk memperkuat pemahaman keagamaan, dialog antaragama untuk membangun komunikasi lintas kepercayaan, dan pendekatan hukum untuk menangani tuduhan penistaan agama secara formal. Strategi ini tidak hanya melindungi ajaran Islam tetapi juga memperkuat harmoni sosial.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juga berperan sebagai mekanisme penting dalam mengokohkan nilai-nilai toleransi, memediasi konflik, dan mendorong kehidupan damai di masyarakat Indonesia yang majemuk. </w:t>
      </w:r>
      <w:r w:rsidR="00A052EF" w:rsidRPr="00A052EF">
        <w:rPr>
          <w:rFonts w:ascii="Calibri Light" w:hAnsi="Calibri Light" w:cs="Calibri Light"/>
          <w:i/>
          <w:iCs/>
          <w:noProof/>
          <w:sz w:val="24"/>
          <w:szCs w:val="24"/>
        </w:rPr>
        <w:t>Da’wah</w:t>
      </w:r>
      <w:r w:rsidRPr="00691D58">
        <w:rPr>
          <w:rFonts w:ascii="Calibri Light" w:hAnsi="Calibri Light" w:cs="Calibri Light"/>
          <w:noProof/>
          <w:sz w:val="24"/>
          <w:szCs w:val="24"/>
        </w:rPr>
        <w:t xml:space="preserve"> tidak hanya menjadi alat penegasan identitas Islam tetapi juga instrumen mediasi sosial yang efektif. Temuan ini memberikan kontribusi terhadap pemahaman tentang dinamika keagamaan di Indonesia serta relevansinya dalam mengatasi tantangan hubungan antaragama di era globalisasi.</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F5FDC" w:rsidRPr="001F5FDC">
        <w:rPr>
          <w:rStyle w:val="shorttext"/>
          <w:rFonts w:ascii="Calibri Light" w:hAnsi="Calibri Light" w:cs="Calibri Light"/>
          <w:i/>
          <w:iCs/>
          <w:sz w:val="24"/>
          <w:szCs w:val="24"/>
        </w:rPr>
        <w:t>Blasphemy, Interfaith Peace, Islamic Law, Pluralistic Society.</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691D58" w:rsidRPr="00691D58" w:rsidRDefault="00A052EF" w:rsidP="00691D58">
      <w:pPr>
        <w:spacing w:before="120" w:after="120"/>
        <w:ind w:left="426"/>
        <w:jc w:val="both"/>
        <w:rPr>
          <w:rFonts w:ascii="Calibri Light" w:hAnsi="Calibri Light" w:cs="Calibri Light"/>
          <w:sz w:val="24"/>
          <w:szCs w:val="24"/>
        </w:rPr>
      </w:pPr>
      <w:r w:rsidRPr="00A052EF">
        <w:rPr>
          <w:rFonts w:ascii="Calibri Light" w:hAnsi="Calibri Light" w:cs="Calibri Light"/>
          <w:i/>
          <w:iCs/>
          <w:sz w:val="24"/>
          <w:szCs w:val="24"/>
        </w:rPr>
        <w:t>Da’wah</w:t>
      </w:r>
      <w:r w:rsidR="00691D58" w:rsidRPr="00691D58">
        <w:rPr>
          <w:rFonts w:ascii="Calibri Light" w:hAnsi="Calibri Light" w:cs="Calibri Light"/>
          <w:sz w:val="24"/>
          <w:szCs w:val="24"/>
        </w:rPr>
        <w:t xml:space="preserve"> (Islamic proselytization) is commonly encountered in various forms in Muslim-majority countries around the world. </w:t>
      </w:r>
      <w:r w:rsidRPr="00A052EF">
        <w:rPr>
          <w:rFonts w:ascii="Calibri Light" w:hAnsi="Calibri Light" w:cs="Calibri Light"/>
          <w:i/>
          <w:iCs/>
          <w:sz w:val="24"/>
          <w:szCs w:val="24"/>
        </w:rPr>
        <w:t>Da’wah</w:t>
      </w:r>
      <w:r w:rsidR="00691D58" w:rsidRPr="00691D58">
        <w:rPr>
          <w:rFonts w:ascii="Calibri Light" w:hAnsi="Calibri Light" w:cs="Calibri Light"/>
          <w:sz w:val="24"/>
          <w:szCs w:val="24"/>
        </w:rPr>
        <w:t xml:space="preserve"> holds significant importance in spreading Islam's message and fostering positive societal changes. The term encompasses the act of inviting individuals, groups, or communities to embrace Islamic teachings, values, and practices. </w:t>
      </w:r>
      <w:r w:rsidRPr="00A052EF">
        <w:rPr>
          <w:rFonts w:ascii="Calibri Light" w:hAnsi="Calibri Light" w:cs="Calibri Light"/>
          <w:i/>
          <w:iCs/>
          <w:sz w:val="24"/>
          <w:szCs w:val="24"/>
        </w:rPr>
        <w:t>Da’wah</w:t>
      </w:r>
      <w:r w:rsidR="00691D58" w:rsidRPr="00691D58">
        <w:rPr>
          <w:rFonts w:ascii="Calibri Light" w:hAnsi="Calibri Light" w:cs="Calibri Light"/>
          <w:sz w:val="24"/>
          <w:szCs w:val="24"/>
        </w:rPr>
        <w:t xml:space="preserve"> is not limited to verbal communication but extends to embodying Islamic principles in one’s actions and interactions with others</w:t>
      </w:r>
      <w:r w:rsidR="00691D58">
        <w:rPr>
          <w:rFonts w:ascii="Calibri Light" w:hAnsi="Calibri Light" w:cs="Calibri Light"/>
          <w:sz w:val="24"/>
          <w:szCs w:val="24"/>
        </w:rPr>
        <w:t xml:space="preserve"> </w:t>
      </w:r>
      <w:r w:rsidR="00691D58">
        <w:rPr>
          <w:rFonts w:ascii="Calibri Light" w:hAnsi="Calibri Light" w:cs="Calibri Light"/>
          <w:sz w:val="24"/>
          <w:szCs w:val="24"/>
        </w:rPr>
        <w:fldChar w:fldCharType="begin" w:fldLock="1"/>
      </w:r>
      <w:r w:rsidR="00A5630B">
        <w:rPr>
          <w:rFonts w:ascii="Calibri Light" w:hAnsi="Calibri Light" w:cs="Calibri Light"/>
          <w:sz w:val="24"/>
          <w:szCs w:val="24"/>
        </w:rPr>
        <w:instrText>ADDIN CSL_CITATION {"citationItems":[{"id":"ITEM-1","itemData":{"DOI":"10.15575/idajhs.v16i2.19861","author":[{"dropping-particle":"","family":"Ishaq","given":"Ropingi","non-dropping-particle":"El","parse-names":false,"suffix":""}],"container-title":"Ilmu Dakwah Academic Journal for Homiletic Studies","id":"ITEM-1","issue":"2","issued":{"date-parts":[["2022"]]},"page":"345-364","title":"Political Da’wah Strategy of Islamic Parties in Indonesia","type":"article-journal","volume":"16"},"uris":["http://www.mendeley.com/documents/?uuid=338ffdc1-b70a-4d25-85da-530c8f759b2f"]}],"mendeley":{"formattedCitation":"(El Ishaq, 2022)","plainTextFormattedCitation":"(El Ishaq, 2022)","previouslyFormattedCitation":"(El Ishaq, 2022)"},"properties":{"noteIndex":0},"schema":"https://github.com/citation-style-language/schema/raw/master/csl-citation.json"}</w:instrText>
      </w:r>
      <w:r w:rsidR="00691D58">
        <w:rPr>
          <w:rFonts w:ascii="Calibri Light" w:hAnsi="Calibri Light" w:cs="Calibri Light"/>
          <w:sz w:val="24"/>
          <w:szCs w:val="24"/>
        </w:rPr>
        <w:fldChar w:fldCharType="separate"/>
      </w:r>
      <w:r w:rsidR="00691D58" w:rsidRPr="00691D58">
        <w:rPr>
          <w:rFonts w:ascii="Calibri Light" w:hAnsi="Calibri Light" w:cs="Calibri Light"/>
          <w:noProof/>
          <w:sz w:val="24"/>
          <w:szCs w:val="24"/>
        </w:rPr>
        <w:t>(El Ishaq, 2022)</w:t>
      </w:r>
      <w:r w:rsidR="00691D58">
        <w:rPr>
          <w:rFonts w:ascii="Calibri Light" w:hAnsi="Calibri Light" w:cs="Calibri Light"/>
          <w:sz w:val="24"/>
          <w:szCs w:val="24"/>
        </w:rPr>
        <w:fldChar w:fldCharType="end"/>
      </w:r>
      <w:r w:rsidR="00691D58" w:rsidRPr="00691D58">
        <w:rPr>
          <w:rFonts w:ascii="Calibri Light" w:hAnsi="Calibri Light" w:cs="Calibri Light"/>
          <w:sz w:val="24"/>
          <w:szCs w:val="24"/>
        </w:rPr>
        <w:t>.</w:t>
      </w:r>
    </w:p>
    <w:p w:rsidR="00691D58" w:rsidRDefault="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In line with the previous statement, in the context of Islamic educational institutions in Indonesia, </w:t>
      </w:r>
      <w:proofErr w:type="spellStart"/>
      <w:r w:rsidRPr="00A5630B">
        <w:rPr>
          <w:rFonts w:ascii="Calibri Light" w:hAnsi="Calibri Light" w:cs="Calibri Light"/>
          <w:i/>
          <w:iCs/>
          <w:sz w:val="24"/>
          <w:szCs w:val="24"/>
        </w:rPr>
        <w:t>pesantren</w:t>
      </w:r>
      <w:proofErr w:type="spellEnd"/>
      <w:r w:rsidRPr="00691D58">
        <w:rPr>
          <w:rFonts w:ascii="Calibri Light" w:hAnsi="Calibri Light" w:cs="Calibri Light"/>
          <w:sz w:val="24"/>
          <w:szCs w:val="24"/>
        </w:rPr>
        <w:t xml:space="preserve"> (Islamic boarding schools) as institutions of education and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have innovated remarkably. They not only deliver religious lectures but also engage in more practical domains such as community service and environmental concerns, all grounded in religious interpretations</w:t>
      </w:r>
      <w:r w:rsidR="00A5630B">
        <w:rPr>
          <w:rFonts w:ascii="Calibri Light" w:hAnsi="Calibri Light" w:cs="Calibri Light"/>
          <w:sz w:val="24"/>
          <w:szCs w:val="24"/>
        </w:rPr>
        <w:t xml:space="preserve"> </w:t>
      </w:r>
      <w:r w:rsidR="00A5630B">
        <w:rPr>
          <w:rFonts w:ascii="Calibri Light" w:hAnsi="Calibri Light" w:cs="Calibri Light"/>
          <w:sz w:val="24"/>
          <w:szCs w:val="24"/>
        </w:rPr>
        <w:fldChar w:fldCharType="begin" w:fldLock="1"/>
      </w:r>
      <w:r w:rsidR="00A5630B">
        <w:rPr>
          <w:rFonts w:ascii="Calibri Light" w:hAnsi="Calibri Light" w:cs="Calibri Light"/>
          <w:sz w:val="24"/>
          <w:szCs w:val="24"/>
        </w:rPr>
        <w:instrText>ADDIN CSL_CITATION {"citationItems":[{"id":"ITEM-1","itemData":{"DOI":"10.21274/epis.2020.15.02.365-400","author":[{"dropping-particle":"","family":"Ridwan","given":"Auliya","non-dropping-particle":"","parse-names":false,"suffix":""}],"container-title":"Epistemé: Jurnal Pengembangan Ilmu Keislaman","id":"ITEM-1","issue":"2","issued":{"date-parts":[["2020"]]},"title":"The Dynamics of Pesantren Leadership from the Dutch Ethical Policy to the Reformation Periods","type":"article-journal","volume":"15"},"uris":["http://www.mendeley.com/documents/?uuid=0ba956e5-ec4d-453b-8a1e-f8562085329c"]}],"mendeley":{"formattedCitation":"(Ridwan, 2020)","plainTextFormattedCitation":"(Ridwan, 2020)","previouslyFormattedCitation":"(Ridwan, 2020)"},"properties":{"noteIndex":0},"schema":"https://github.com/citation-style-language/schema/raw/master/csl-citation.json"}</w:instrText>
      </w:r>
      <w:r w:rsidR="00A5630B">
        <w:rPr>
          <w:rFonts w:ascii="Calibri Light" w:hAnsi="Calibri Light" w:cs="Calibri Light"/>
          <w:sz w:val="24"/>
          <w:szCs w:val="24"/>
        </w:rPr>
        <w:fldChar w:fldCharType="separate"/>
      </w:r>
      <w:r w:rsidR="00A5630B" w:rsidRPr="00A5630B">
        <w:rPr>
          <w:rFonts w:ascii="Calibri Light" w:hAnsi="Calibri Light" w:cs="Calibri Light"/>
          <w:noProof/>
          <w:sz w:val="24"/>
          <w:szCs w:val="24"/>
        </w:rPr>
        <w:t>(Ridwan, 2020)</w:t>
      </w:r>
      <w:r w:rsidR="00A5630B">
        <w:rPr>
          <w:rFonts w:ascii="Calibri Light" w:hAnsi="Calibri Light" w:cs="Calibri Light"/>
          <w:sz w:val="24"/>
          <w:szCs w:val="24"/>
        </w:rPr>
        <w:fldChar w:fldCharType="end"/>
      </w:r>
      <w:r w:rsidRPr="00691D58">
        <w:rPr>
          <w:rFonts w:ascii="Calibri Light" w:hAnsi="Calibri Light" w:cs="Calibri Light"/>
          <w:sz w:val="24"/>
          <w:szCs w:val="24"/>
        </w:rPr>
        <w:t xml:space="preserve">. This demonstrates that the development of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is becoming increasingly contextual.</w:t>
      </w:r>
    </w:p>
    <w:p w:rsidR="00691D58" w:rsidRPr="00691D58" w:rsidRDefault="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Philosophically and theologically,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should promote harmony, peace, and prosperity by encouraging adherence to Islamic norms and laws</w:t>
      </w:r>
      <w:r w:rsidR="00A5630B">
        <w:rPr>
          <w:rFonts w:ascii="Calibri Light" w:hAnsi="Calibri Light" w:cs="Calibri Light"/>
          <w:sz w:val="24"/>
          <w:szCs w:val="24"/>
        </w:rPr>
        <w:t xml:space="preserve"> </w:t>
      </w:r>
      <w:r w:rsidR="00A5630B">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10.47233/jkomdis.v4i1.1430","author":[{"dropping-particle":"","family":"Ikhwan","given":"Nur","non-dropping-particle":"","parse-names":false,"suffix":""},{"dropping-particle":"","family":"Burhanuddin","given":"","non-dropping-particle":"","parse-names":false,"suffix":""}],"container-title":"Jkomdis Jurnal Ilmu Komunikasi Dan Media Sosial","id":"ITEM-1","issue":"1","issued":{"date-parts":[["2024"]]},"page":"48–60","title":"Dakwah Dan Peran Pembelajaran Bahasa Arab Dalam Perubahan Sosial","type":"article-journal","volume":"4"},"uris":["http://www.mendeley.com/documents/?uuid=55ba7319-5238-413d-b82d-4d7597b9d774"]}],"mendeley":{"formattedCitation":"(Ikhwan &amp; Burhanuddin, 2024)","plainTextFormattedCitation":"(Ikhwan &amp; Burhanuddin, 2024)","previouslyFormattedCitation":"(Ikhwan &amp; Burhanuddin, 2024)"},"properties":{"noteIndex":0},"schema":"https://github.com/citation-style-language/schema/raw/master/csl-citation.json"}</w:instrText>
      </w:r>
      <w:r w:rsidR="00A5630B">
        <w:rPr>
          <w:rFonts w:ascii="Calibri Light" w:hAnsi="Calibri Light" w:cs="Calibri Light"/>
          <w:sz w:val="24"/>
          <w:szCs w:val="24"/>
        </w:rPr>
        <w:fldChar w:fldCharType="separate"/>
      </w:r>
      <w:r w:rsidR="00A5630B" w:rsidRPr="00A5630B">
        <w:rPr>
          <w:rFonts w:ascii="Calibri Light" w:hAnsi="Calibri Light" w:cs="Calibri Light"/>
          <w:noProof/>
          <w:sz w:val="24"/>
          <w:szCs w:val="24"/>
        </w:rPr>
        <w:t>(Ikhwan &amp; Burhanuddin, 2024)</w:t>
      </w:r>
      <w:r w:rsidR="00A5630B">
        <w:rPr>
          <w:rFonts w:ascii="Calibri Light" w:hAnsi="Calibri Light" w:cs="Calibri Light"/>
          <w:sz w:val="24"/>
          <w:szCs w:val="24"/>
        </w:rPr>
        <w:fldChar w:fldCharType="end"/>
      </w:r>
      <w:r w:rsidRPr="00691D58">
        <w:rPr>
          <w:rFonts w:ascii="Calibri Light" w:hAnsi="Calibri Light" w:cs="Calibri Light"/>
          <w:sz w:val="24"/>
          <w:szCs w:val="24"/>
        </w:rPr>
        <w:t xml:space="preserve">. Thus, the fundamental principle of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is peace. Every Muslim is obliged to participate in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activities to communicate Islamic values to others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{"citationItems":[{"id":"ITEM-1","itemData":{"DOI":"10.1177/008124630703700402","author":[{"dropping-particle":"","family":"Hopkins","given":"Nick","non-dropping-particle":"","parse-names":false,"suffix":""},{"dropping-particle":"","family":"Greenwood","given":"Ronni M.","non-dropping-particle":"","parse-names":false,"suffix":""},{"dropping-particle":"","family":"Birchall","given":"Maisha","non-dropping-particle":"","parse-names":false,"suffix":""}],"container-title":"South African Journal of Psychology","id":"ITEM-1","issue":"4","issued":{"date-parts":[["2007"]]},"page":"679-701","title":"Minority Understandings of the Dynamics to Intergroup Contact Encounters: British Muslims' (Sometimes Ambivalent) Experiences of Representing Their Group to Others","type":"article-journal","volume":"37"},"uris":["http://www.mendeley.com/documents/?uuid=9ab0ac12-9a39-427e-9629-8a2cbb0809e6"]}],"mendeley":{"formattedCitation":"(Hopkins et al., 2007)","plainTextFormattedCitation":"(Hopkins et al., 2007)","previouslyFormattedCitation":"(Hopkins et al., 2007)"},"properties":{"noteIndex":0},"schema":"https://github.com/citation-style-language/schema/raw/master/csl-citation.json"}</w:instrText>
      </w:r>
      <w:r w:rsidR="007616AD">
        <w:rPr>
          <w:rFonts w:ascii="Calibri Light" w:hAnsi="Calibri Light" w:cs="Calibri Light"/>
          <w:sz w:val="24"/>
          <w:szCs w:val="24"/>
        </w:rPr>
        <w:fldChar w:fldCharType="separate"/>
      </w:r>
      <w:r w:rsidR="007616AD" w:rsidRPr="007616AD">
        <w:rPr>
          <w:rFonts w:ascii="Calibri Light" w:hAnsi="Calibri Light" w:cs="Calibri Light"/>
          <w:noProof/>
          <w:sz w:val="24"/>
          <w:szCs w:val="24"/>
        </w:rPr>
        <w:t>(Hopkins et al., 2007)</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In my personal view,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can be conducted through speech and actions or simply by setting a living example that aligns with religious values, which can also be categorized as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activities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10.29240/ajis.v3i1.485","author":[{"dropping-particle":"","family":"Hariyatoni","given":"Hariyatoni","non-dropping-particle":"","parse-names":false,"suffix":""},{"dropping-particle":"","family":"Saputra","given":"Hasep","non-dropping-particle":"","parse-names":false,"suffix":""}],"container-title":"Ajis Academic Journal of Islamic Studies","id":"ITEM-1","issue":"1","issued":{"date-parts":[["2018"]]},"page":"41–68","title":"The Mapping of Dakwah Potencies in Supporting Rejang Lebong to Be a Religious Regency","type":"article-journal","volume":"3"},"uris":["http://www.mendeley.com/documents/?uuid=bddb1122-933d-4c4b-84df-ea182b6b9ebb"]}],"mendeley":{"formattedCitation":"(Hariyatoni &amp; Saputra, 2018)","plainTextFormattedCitation":"(Hariyatoni &amp; Saputra, 2018)","previouslyFormattedCitation":"(Hariyatoni &amp; Saputra, 2018)"},"properties":{"noteIndex":0},"schema":"https://github.com/citation-style-language/schema/raw/master/csl-citation.json"}</w:instrText>
      </w:r>
      <w:r w:rsidR="007616AD">
        <w:rPr>
          <w:rFonts w:ascii="Calibri Light" w:hAnsi="Calibri Light" w:cs="Calibri Light"/>
          <w:sz w:val="24"/>
          <w:szCs w:val="24"/>
        </w:rPr>
        <w:fldChar w:fldCharType="separate"/>
      </w:r>
      <w:r w:rsidR="007616AD" w:rsidRPr="007616AD">
        <w:rPr>
          <w:rFonts w:ascii="Calibri Light" w:hAnsi="Calibri Light" w:cs="Calibri Light"/>
          <w:noProof/>
          <w:sz w:val="24"/>
          <w:szCs w:val="24"/>
        </w:rPr>
        <w:t>(Hariyatoni &amp; Saputra, 2018)</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A proactive approach to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allows for the dissemination of religious values across various societal layers</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7616AD">
        <w:rPr>
          <w:rFonts w:ascii="Calibri Light" w:hAnsi="Calibri Light" w:cs="Calibri Light"/>
          <w:sz w:val="24"/>
          <w:szCs w:val="24"/>
        </w:rPr>
        <w:instrText>ADDIN CSL_CITATION {"citationItems":[{"id":"ITEM-1","itemData":{"DOI":"10.20414/jurkom.v14i1.5270","author":[{"dropping-particle":"","family":"Gunawan","given":"Reka","non-dropping-particle":"","parse-names":false,"suffix":""},{"dropping-particle":"","family":"Muhid","given":"Abdul","non-dropping-particle":"","parse-names":false,"suffix":""}],"container-title":"Komunike","id":"ITEM-1","issue":"1","issued":{"date-parts":[["2022"]]},"page":"33–50","title":"The Strategy of Da’wah Bil Hal Communication: Literature Review","type":"article-journal","volume":"14"},"uris":["http://www.mendeley.com/documents/?uuid=16b11523-be24-4b04-a1ae-6976fffc4411"]}],"mendeley":{"formattedCitation":"(Gunawan &amp; Muhid, 2022)","plainTextFormattedCitation":"(Gunawan &amp; Muhid, 2022)","previouslyFormattedCitation":"(Gunawan &amp; Muhid, 2022)"},"properties":{"noteIndex":0},"schema":"https://github.com/citation-style-language/schema/raw/master/csl-citation.json"}</w:instrText>
      </w:r>
      <w:r w:rsidR="007616AD">
        <w:rPr>
          <w:rFonts w:ascii="Calibri Light" w:hAnsi="Calibri Light" w:cs="Calibri Light"/>
          <w:sz w:val="24"/>
          <w:szCs w:val="24"/>
        </w:rPr>
        <w:fldChar w:fldCharType="separate"/>
      </w:r>
      <w:r w:rsidR="007616AD" w:rsidRPr="007616AD">
        <w:rPr>
          <w:rFonts w:ascii="Calibri Light" w:hAnsi="Calibri Light" w:cs="Calibri Light"/>
          <w:noProof/>
          <w:sz w:val="24"/>
          <w:szCs w:val="24"/>
        </w:rPr>
        <w:t>(Gunawan &amp; Muhid, 2022)</w:t>
      </w:r>
      <w:r w:rsidR="007616AD">
        <w:rPr>
          <w:rFonts w:ascii="Calibri Light" w:hAnsi="Calibri Light" w:cs="Calibri Light"/>
          <w:sz w:val="24"/>
          <w:szCs w:val="24"/>
        </w:rPr>
        <w:fldChar w:fldCharType="end"/>
      </w:r>
      <w:r w:rsidRPr="00691D58">
        <w:rPr>
          <w:rFonts w:ascii="Calibri Light" w:hAnsi="Calibri Light" w:cs="Calibri Light"/>
          <w:sz w:val="24"/>
          <w:szCs w:val="24"/>
        </w:rPr>
        <w:t>.</w:t>
      </w:r>
    </w:p>
    <w:p w:rsidR="00691D58" w:rsidRDefault="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lastRenderedPageBreak/>
        <w:t xml:space="preserve">Leadership plays a crucial role in the propagation of Islamic teachings through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Leaders are seen as instrumental in spreading the message of Islam and establishing a just and compassionate society</w:t>
      </w:r>
      <w:r w:rsidR="007616AD">
        <w:rPr>
          <w:rFonts w:ascii="Calibri Light" w:hAnsi="Calibri Light" w:cs="Calibri Light"/>
          <w:sz w:val="24"/>
          <w:szCs w:val="24"/>
        </w:rPr>
        <w:t xml:space="preserve"> </w:t>
      </w:r>
      <w:r w:rsidR="007616AD">
        <w:rPr>
          <w:rFonts w:ascii="Calibri Light" w:hAnsi="Calibri Light" w:cs="Calibri Light"/>
          <w:sz w:val="24"/>
          <w:szCs w:val="24"/>
        </w:rPr>
        <w:fldChar w:fldCharType="begin" w:fldLock="1"/>
      </w:r>
      <w:r w:rsidR="00B450BF">
        <w:rPr>
          <w:rFonts w:ascii="Calibri Light" w:hAnsi="Calibri Light" w:cs="Calibri Light"/>
          <w:sz w:val="24"/>
          <w:szCs w:val="24"/>
        </w:rPr>
        <w:instrText>ADDIN CSL_CITATION {"citationItems":[{"id":"ITEM-1","itemData":{"DOI":"10.22146/jlo.65642","author":[{"dropping-particle":"","family":"Muhammad","given":"Helmi","non-dropping-particle":"","parse-names":false,"suffix":""},{"dropping-particle":"","family":"Sari","given":"Niki P.","non-dropping-particle":"","parse-names":false,"suffix":""}],"container-title":"Journal of Leadership in Organizations","id":"ITEM-1","issue":"2","issued":{"date-parts":[["2021"]]},"title":"Implementation of the Synergy of Transformational-Servant Leadership Character in Islamic Boarding School","type":"article-journal","volume":"3"},"uris":["http://www.mendeley.com/documents/?uuid=ee7aa650-7c5a-4d11-82e3-40bf5bd39440"]}],"mendeley":{"formattedCitation":"(H. Muhammad &amp; Sari, 2021)","plainTextFormattedCitation":"(H. Muhammad &amp; Sari, 2021)","previouslyFormattedCitation":"(H. Muhammad &amp; Sari, 2021)"},"properties":{"noteIndex":0},"schema":"https://github.com/citation-style-language/schema/raw/master/csl-citation.json"}</w:instrText>
      </w:r>
      <w:r w:rsidR="007616AD">
        <w:rPr>
          <w:rFonts w:ascii="Calibri Light" w:hAnsi="Calibri Light" w:cs="Calibri Light"/>
          <w:sz w:val="24"/>
          <w:szCs w:val="24"/>
        </w:rPr>
        <w:fldChar w:fldCharType="separate"/>
      </w:r>
      <w:r w:rsidR="00B450BF" w:rsidRPr="00B450BF">
        <w:rPr>
          <w:rFonts w:ascii="Calibri Light" w:hAnsi="Calibri Light" w:cs="Calibri Light"/>
          <w:noProof/>
          <w:sz w:val="24"/>
          <w:szCs w:val="24"/>
        </w:rPr>
        <w:t>(H. Muhammad &amp; Sari, 2021)</w:t>
      </w:r>
      <w:r w:rsidR="007616AD">
        <w:rPr>
          <w:rFonts w:ascii="Calibri Light" w:hAnsi="Calibri Light" w:cs="Calibri Light"/>
          <w:sz w:val="24"/>
          <w:szCs w:val="24"/>
        </w:rPr>
        <w:fldChar w:fldCharType="end"/>
      </w:r>
      <w:r w:rsidRPr="00691D58">
        <w:rPr>
          <w:rFonts w:ascii="Calibri Light" w:hAnsi="Calibri Light" w:cs="Calibri Light"/>
          <w:sz w:val="24"/>
          <w:szCs w:val="24"/>
        </w:rPr>
        <w:t xml:space="preserve">. In the Indonesian context, the prominence of an ulama (Islamic scholar) holds a special place within specific communities, such as Gus Baha from </w:t>
      </w:r>
      <w:proofErr w:type="spellStart"/>
      <w:r w:rsidRPr="00691D58">
        <w:rPr>
          <w:rFonts w:ascii="Calibri Light" w:hAnsi="Calibri Light" w:cs="Calibri Light"/>
          <w:sz w:val="24"/>
          <w:szCs w:val="24"/>
        </w:rPr>
        <w:t>Nahdlatul</w:t>
      </w:r>
      <w:proofErr w:type="spellEnd"/>
      <w:r w:rsidRPr="00691D58">
        <w:rPr>
          <w:rFonts w:ascii="Calibri Light" w:hAnsi="Calibri Light" w:cs="Calibri Light"/>
          <w:sz w:val="24"/>
          <w:szCs w:val="24"/>
        </w:rPr>
        <w:t xml:space="preserve"> Ulama and Ustad Adi Hidayat from Muhammadiyah. These figures represent the thoughts of the two oldest Islamic organizations in Indonesia and exemplify the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methods in NU and Muhammadiyah.</w:t>
      </w:r>
    </w:p>
    <w:p w:rsidR="00691D58" w:rsidRPr="00691D58" w:rsidRDefault="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 xml:space="preserve">In the current era, using digital media and technology has transformed the approaches to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The emergence of platforms like social media and the internet has opened up new channels for spreading Islamic messages on a large scale</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E35BFD">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sidR="00E35BFD">
        <w:rPr>
          <w:rFonts w:ascii="Calibri Light" w:hAnsi="Calibri Light" w:cs="Calibri Light"/>
          <w:sz w:val="24"/>
          <w:szCs w:val="24"/>
        </w:rPr>
        <w:fldChar w:fldCharType="separate"/>
      </w:r>
      <w:r w:rsidR="00E35BFD" w:rsidRPr="00E35BFD">
        <w:rPr>
          <w:rFonts w:ascii="Calibri Light" w:hAnsi="Calibri Light" w:cs="Calibri Light"/>
          <w:noProof/>
          <w:sz w:val="24"/>
          <w:szCs w:val="24"/>
        </w:rPr>
        <w:t>(Aziz et al., 2022)</w:t>
      </w:r>
      <w:r w:rsidR="00E35BFD">
        <w:rPr>
          <w:rFonts w:ascii="Calibri Light" w:hAnsi="Calibri Light" w:cs="Calibri Light"/>
          <w:sz w:val="24"/>
          <w:szCs w:val="24"/>
        </w:rPr>
        <w:fldChar w:fldCharType="end"/>
      </w:r>
      <w:r w:rsidRPr="00691D58">
        <w:rPr>
          <w:rFonts w:ascii="Calibri Light" w:hAnsi="Calibri Light" w:cs="Calibri Light"/>
          <w:sz w:val="24"/>
          <w:szCs w:val="24"/>
        </w:rPr>
        <w:t>. Through utilizing these digital tools, Islamic preachers and educators can connect with a broader audience and effectively impact people’s awareness and behavior</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E35BFD">
        <w:rPr>
          <w:rFonts w:ascii="Calibri Light" w:hAnsi="Calibri Light" w:cs="Calibri Light"/>
          <w:sz w:val="24"/>
          <w:szCs w:val="24"/>
        </w:rPr>
        <w:instrText>ADDIN CSL_CITATION {"citationItems":[{"id":"ITEM-1","itemData":{"DOI":"10.21580/dms.2021.212.9429","author":[{"dropping-particle":"","family":"Octaviani","given":"Adelia","non-dropping-particle":"","parse-names":false,"suffix":""}],"container-title":"Dimas Jurnal Pemikiran Agama Untuk Pemberdayaan","id":"ITEM-1","issue":"2","issued":{"date-parts":[["2022"]]},"page":"275-296","title":"From Cafe to the Mosque: The Construction of Dakwah Digital Communication of Shift Community","type":"article-journal","volume":"21"},"uris":["http://www.mendeley.com/documents/?uuid=52b3a555-6b2e-4530-80f1-f916b608feb3"]}],"mendeley":{"formattedCitation":"(Octaviani, 2022)","plainTextFormattedCitation":"(Octaviani, 2022)","previouslyFormattedCitation":"(Octaviani, 2022)"},"properties":{"noteIndex":0},"schema":"https://github.com/citation-style-language/schema/raw/master/csl-citation.json"}</w:instrText>
      </w:r>
      <w:r w:rsidR="00E35BFD">
        <w:rPr>
          <w:rFonts w:ascii="Calibri Light" w:hAnsi="Calibri Light" w:cs="Calibri Light"/>
          <w:sz w:val="24"/>
          <w:szCs w:val="24"/>
        </w:rPr>
        <w:fldChar w:fldCharType="separate"/>
      </w:r>
      <w:r w:rsidR="00E35BFD" w:rsidRPr="00E35BFD">
        <w:rPr>
          <w:rFonts w:ascii="Calibri Light" w:hAnsi="Calibri Light" w:cs="Calibri Light"/>
          <w:noProof/>
          <w:sz w:val="24"/>
          <w:szCs w:val="24"/>
        </w:rPr>
        <w:t>(Octaviani, 2022)</w:t>
      </w:r>
      <w:r w:rsidR="00E35BFD">
        <w:rPr>
          <w:rFonts w:ascii="Calibri Light" w:hAnsi="Calibri Light" w:cs="Calibri Light"/>
          <w:sz w:val="24"/>
          <w:szCs w:val="24"/>
        </w:rPr>
        <w:fldChar w:fldCharType="end"/>
      </w:r>
      <w:r w:rsidRPr="00691D58">
        <w:rPr>
          <w:rFonts w:ascii="Calibri Light" w:hAnsi="Calibri Light" w:cs="Calibri Light"/>
          <w:sz w:val="24"/>
          <w:szCs w:val="24"/>
        </w:rPr>
        <w:t xml:space="preserve">. The widespread use of digital media now enables </w:t>
      </w:r>
      <w:r w:rsidR="00A052EF" w:rsidRPr="00A052EF">
        <w:rPr>
          <w:rFonts w:ascii="Calibri Light" w:hAnsi="Calibri Light" w:cs="Calibri Light"/>
          <w:i/>
          <w:iCs/>
          <w:sz w:val="24"/>
          <w:szCs w:val="24"/>
        </w:rPr>
        <w:t>Da’wah</w:t>
      </w:r>
      <w:r w:rsidRPr="00691D58">
        <w:rPr>
          <w:rFonts w:ascii="Calibri Light" w:hAnsi="Calibri Light" w:cs="Calibri Light"/>
          <w:sz w:val="24"/>
          <w:szCs w:val="24"/>
        </w:rPr>
        <w:t xml:space="preserve"> messages to reach the general public quickly. Progress in communication technology can speed up the transmission of a religious leader’s perspectives to their followers, addressing modern social and spiritual concerns.</w:t>
      </w:r>
    </w:p>
    <w:p w:rsidR="00691D58" w:rsidRDefault="00691D58" w:rsidP="00691D58">
      <w:pPr>
        <w:spacing w:before="120" w:after="120"/>
        <w:ind w:left="426"/>
        <w:jc w:val="both"/>
        <w:rPr>
          <w:rFonts w:ascii="Calibri Light" w:hAnsi="Calibri Light" w:cs="Calibri Light"/>
          <w:sz w:val="24"/>
          <w:szCs w:val="24"/>
        </w:rPr>
      </w:pPr>
      <w:r w:rsidRPr="00691D58">
        <w:rPr>
          <w:rFonts w:ascii="Calibri Light" w:hAnsi="Calibri Light" w:cs="Calibri Light"/>
          <w:sz w:val="24"/>
          <w:szCs w:val="24"/>
        </w:rPr>
        <w:t>An issue that consistently attracts attention in digital media is religious blasphemy. Within the Indonesian context, religious blasphemy has been a controversial topic with significant consequences for the nation’s social, legal, and political landscape. The concept of blasphemy, especially in Indonesia, has been closely linked to efforts to preserve religious harmony, prevent social turmoil, and uphold the sanctity of religious beliefs</w:t>
      </w:r>
      <w:r w:rsidR="00E35BFD">
        <w:rPr>
          <w:rFonts w:ascii="Calibri Light" w:hAnsi="Calibri Light" w:cs="Calibri Light"/>
          <w:sz w:val="24"/>
          <w:szCs w:val="24"/>
        </w:rPr>
        <w:t xml:space="preserve"> </w:t>
      </w:r>
      <w:r w:rsidR="00E35BFD">
        <w:rPr>
          <w:rFonts w:ascii="Calibri Light" w:hAnsi="Calibri Light" w:cs="Calibri Light"/>
          <w:sz w:val="24"/>
          <w:szCs w:val="24"/>
        </w:rPr>
        <w:fldChar w:fldCharType="begin" w:fldLock="1"/>
      </w:r>
      <w:r w:rsidR="008823EC">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sidR="00E35BFD">
        <w:rPr>
          <w:rFonts w:ascii="Calibri Light" w:hAnsi="Calibri Light" w:cs="Calibri Light"/>
          <w:sz w:val="24"/>
          <w:szCs w:val="24"/>
        </w:rPr>
        <w:fldChar w:fldCharType="separate"/>
      </w:r>
      <w:r w:rsidR="00E35BFD" w:rsidRPr="00E35BFD">
        <w:rPr>
          <w:rFonts w:ascii="Calibri Light" w:hAnsi="Calibri Light" w:cs="Calibri Light"/>
          <w:noProof/>
          <w:sz w:val="24"/>
          <w:szCs w:val="24"/>
        </w:rPr>
        <w:t>(Tyson, 2020)</w:t>
      </w:r>
      <w:r w:rsidR="00E35BFD">
        <w:rPr>
          <w:rFonts w:ascii="Calibri Light" w:hAnsi="Calibri Light" w:cs="Calibri Light"/>
          <w:sz w:val="24"/>
          <w:szCs w:val="24"/>
        </w:rPr>
        <w:fldChar w:fldCharType="end"/>
      </w:r>
      <w:r w:rsidRPr="00691D58">
        <w:rPr>
          <w:rFonts w:ascii="Calibri Light" w:hAnsi="Calibri Light" w:cs="Calibri Light"/>
          <w:sz w:val="24"/>
          <w:szCs w:val="24"/>
        </w:rPr>
        <w:t>.</w:t>
      </w:r>
    </w:p>
    <w:p w:rsidR="008823EC" w:rsidRPr="008823EC" w:rsidRDefault="008823EC" w:rsidP="008823EC">
      <w:pPr>
        <w:spacing w:before="120" w:after="120"/>
        <w:ind w:left="426"/>
        <w:jc w:val="both"/>
        <w:rPr>
          <w:rFonts w:ascii="Calibri Light" w:hAnsi="Calibri Light" w:cs="Calibri Light"/>
          <w:sz w:val="24"/>
          <w:szCs w:val="24"/>
        </w:rPr>
      </w:pPr>
      <w:r w:rsidRPr="008823EC">
        <w:rPr>
          <w:rFonts w:ascii="Calibri Light" w:hAnsi="Calibri Light" w:cs="Calibri Light"/>
          <w:sz w:val="24"/>
          <w:szCs w:val="24"/>
        </w:rPr>
        <w:t>One remarkable example demonstrating the effects of blasphemy laws in Indonesia is the case of Basuki Tjahaja Purnama, also known as Ahok, the former governor of Jakarta, who was convicted in 2017. Ahok’s two-year prison sentence for blasphemy marked a significant turning point in Indonesia’s approach to such cases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(Tyson, 2020)</w:t>
      </w:r>
      <w:r>
        <w:rPr>
          <w:rFonts w:ascii="Calibri Light" w:hAnsi="Calibri Light" w:cs="Calibri Light"/>
          <w:sz w:val="24"/>
          <w:szCs w:val="24"/>
        </w:rPr>
        <w:fldChar w:fldCharType="end"/>
      </w:r>
      <w:r w:rsidRPr="008823EC">
        <w:rPr>
          <w:rFonts w:ascii="Calibri Light" w:hAnsi="Calibri Light" w:cs="Calibri Light"/>
          <w:sz w:val="24"/>
          <w:szCs w:val="24"/>
        </w:rPr>
        <w:t>. I have personally delved into the linguistic and legal analysis of this particular case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{"citationItems":[{"id":"ITEM-1","itemData":{"DOI":"10.15642/JIIS.2023.17.2.376-402","author":[{"dropping-particle":"","family":"Haq","given":"Thoriqul","non-dropping-particle":"","parse-names":false,"suffix":""},{"dropping-particle":"","family":"Isa","given":"Noor Aqsa Nabila Mat","non-dropping-particle":"","parse-names":false,"suffix":""}],"container-title":"Journal of Indonesian Islam","id":"ITEM-1","issue":"2","issued":{"date-parts":[["2023"]]},"page":"376-402","title":"Discourse, Law, and Digital Communication: Unraveling the Hate Speech in Basuki Tjahaja Purnama’s Case of Religious Blasphemy","type":"article-journal","volume":"17"},"uris":["http://www.mendeley.com/documents/?uuid=0104ea89-b85c-41ec-a59e-1439c8c6cbc6"]}],"mendeley":{"formattedCitation":"(Haq &amp; Isa, 2023)","plainTextFormattedCitation":"(Haq &amp; Isa, 2023)","previouslyFormattedCitation":"(Haq &amp; Isa, 2023)"},"properties":{"noteIndex":0},"schema":"https://github.com/citation-style-language/schema/raw/master/csl-citation.json"}</w:instrText>
      </w:r>
      <w:r>
        <w:rPr>
          <w:rFonts w:ascii="Calibri Light" w:hAnsi="Calibri Light" w:cs="Calibri Light"/>
          <w:sz w:val="24"/>
          <w:szCs w:val="24"/>
        </w:rPr>
        <w:fldChar w:fldCharType="separate"/>
      </w:r>
      <w:r w:rsidRPr="008823EC">
        <w:rPr>
          <w:rFonts w:ascii="Calibri Light" w:hAnsi="Calibri Light" w:cs="Calibri Light"/>
          <w:noProof/>
          <w:sz w:val="24"/>
          <w:szCs w:val="24"/>
        </w:rPr>
        <w:t>(Haq &amp; Isa, 2023)</w:t>
      </w:r>
      <w:r>
        <w:rPr>
          <w:rFonts w:ascii="Calibri Light" w:hAnsi="Calibri Light" w:cs="Calibri Light"/>
          <w:sz w:val="24"/>
          <w:szCs w:val="24"/>
        </w:rPr>
        <w:fldChar w:fldCharType="end"/>
      </w:r>
      <w:r w:rsidRPr="008823EC">
        <w:rPr>
          <w:rFonts w:ascii="Calibri Light" w:hAnsi="Calibri Light" w:cs="Calibri Light"/>
          <w:sz w:val="24"/>
          <w:szCs w:val="24"/>
        </w:rPr>
        <w:t xml:space="preserve">. In this article, I will delve into an anthropological perspective on </w:t>
      </w:r>
      <w:r w:rsidR="00A052EF" w:rsidRPr="00A052EF">
        <w:rPr>
          <w:rFonts w:ascii="Calibri Light" w:hAnsi="Calibri Light" w:cs="Calibri Light"/>
          <w:i/>
          <w:iCs/>
          <w:sz w:val="24"/>
          <w:szCs w:val="24"/>
        </w:rPr>
        <w:t>Da’wah</w:t>
      </w:r>
      <w:r w:rsidRPr="008823EC">
        <w:rPr>
          <w:rFonts w:ascii="Calibri Light" w:hAnsi="Calibri Light" w:cs="Calibri Light"/>
          <w:sz w:val="24"/>
          <w:szCs w:val="24"/>
        </w:rPr>
        <w:t xml:space="preserve"> activities in Indonesia as a way to tackle issues related to religious blasphemy.</w:t>
      </w:r>
    </w:p>
    <w:p w:rsidR="008823EC" w:rsidRDefault="00A052EF" w:rsidP="008823EC">
      <w:pPr>
        <w:spacing w:before="120" w:after="120"/>
        <w:ind w:left="426"/>
        <w:jc w:val="both"/>
        <w:rPr>
          <w:rFonts w:ascii="Calibri Light" w:hAnsi="Calibri Light" w:cs="Calibri Light"/>
          <w:sz w:val="24"/>
          <w:szCs w:val="24"/>
        </w:rPr>
      </w:pPr>
      <w:r w:rsidRPr="00A052EF">
        <w:rPr>
          <w:rFonts w:ascii="Calibri Light" w:hAnsi="Calibri Light" w:cs="Calibri Light"/>
          <w:i/>
          <w:iCs/>
          <w:sz w:val="24"/>
          <w:szCs w:val="24"/>
        </w:rPr>
        <w:t>Da’wah</w:t>
      </w:r>
      <w:r w:rsidR="008823EC" w:rsidRPr="008823EC">
        <w:rPr>
          <w:rFonts w:ascii="Calibri Light" w:hAnsi="Calibri Light" w:cs="Calibri Light"/>
          <w:sz w:val="24"/>
          <w:szCs w:val="24"/>
        </w:rPr>
        <w:t xml:space="preserve"> has evolved into a strategy to counter discussions on social matters intertwined with religion (specifically those deemed harmful to Islam). Throughout </w:t>
      </w:r>
      <w:r w:rsidRPr="00A052EF">
        <w:rPr>
          <w:rFonts w:ascii="Calibri Light" w:hAnsi="Calibri Light" w:cs="Calibri Light"/>
          <w:i/>
          <w:iCs/>
          <w:sz w:val="24"/>
          <w:szCs w:val="24"/>
        </w:rPr>
        <w:t>Da’wah</w:t>
      </w:r>
      <w:r w:rsidR="008823EC" w:rsidRPr="008823EC">
        <w:rPr>
          <w:rFonts w:ascii="Calibri Light" w:hAnsi="Calibri Light" w:cs="Calibri Light"/>
          <w:sz w:val="24"/>
          <w:szCs w:val="24"/>
        </w:rPr>
        <w:t xml:space="preserve"> history in Indonesia, we have witnessed how </w:t>
      </w:r>
      <w:r w:rsidRPr="00A052EF">
        <w:rPr>
          <w:rFonts w:ascii="Calibri Light" w:hAnsi="Calibri Light" w:cs="Calibri Light"/>
          <w:i/>
          <w:iCs/>
          <w:sz w:val="24"/>
          <w:szCs w:val="24"/>
        </w:rPr>
        <w:t>Da’wah</w:t>
      </w:r>
      <w:r w:rsidR="008823EC" w:rsidRPr="008823EC">
        <w:rPr>
          <w:rFonts w:ascii="Calibri Light" w:hAnsi="Calibri Light" w:cs="Calibri Light"/>
          <w:sz w:val="24"/>
          <w:szCs w:val="24"/>
        </w:rPr>
        <w:t xml:space="preserve"> messages are used to combat the spread of certain ideologies like communism and promote unity among various societal groups, including nationalists and religious factions</w:t>
      </w:r>
      <w:r w:rsidR="008823EC">
        <w:rPr>
          <w:rFonts w:ascii="Calibri Light" w:hAnsi="Calibri Light" w:cs="Calibri Light"/>
          <w:sz w:val="24"/>
          <w:szCs w:val="24"/>
        </w:rPr>
        <w:t xml:space="preserve"> </w:t>
      </w:r>
      <w:r w:rsidR="008823EC">
        <w:rPr>
          <w:rFonts w:ascii="Calibri Light" w:hAnsi="Calibri Light" w:cs="Calibri Light"/>
          <w:sz w:val="24"/>
          <w:szCs w:val="24"/>
        </w:rPr>
        <w:fldChar w:fldCharType="begin" w:fldLock="1"/>
      </w:r>
      <w:r w:rsidR="008823EC">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sidR="008823EC">
        <w:rPr>
          <w:rFonts w:ascii="Calibri Light" w:hAnsi="Calibri Light" w:cs="Calibri Light"/>
          <w:sz w:val="24"/>
          <w:szCs w:val="24"/>
        </w:rPr>
        <w:fldChar w:fldCharType="separate"/>
      </w:r>
      <w:r w:rsidR="008823EC" w:rsidRPr="008823EC">
        <w:rPr>
          <w:rFonts w:ascii="Calibri Light" w:hAnsi="Calibri Light" w:cs="Calibri Light"/>
          <w:noProof/>
          <w:sz w:val="24"/>
          <w:szCs w:val="24"/>
        </w:rPr>
        <w:t>(Hasani &amp; Halili, 2022)</w:t>
      </w:r>
      <w:r w:rsidR="008823EC">
        <w:rPr>
          <w:rFonts w:ascii="Calibri Light" w:hAnsi="Calibri Light" w:cs="Calibri Light"/>
          <w:sz w:val="24"/>
          <w:szCs w:val="24"/>
        </w:rPr>
        <w:fldChar w:fldCharType="end"/>
      </w:r>
      <w:r w:rsidR="008823EC" w:rsidRPr="008823EC">
        <w:rPr>
          <w:rFonts w:ascii="Calibri Light" w:hAnsi="Calibri Light" w:cs="Calibri Light"/>
          <w:sz w:val="24"/>
          <w:szCs w:val="24"/>
        </w:rPr>
        <w:t>. The legal system has been employed to address situations where individuals are accused of insulting or disrespecting religious beliefs, often resulting in legal actions and, at times, imprisonment</w:t>
      </w:r>
      <w:r w:rsidR="008823EC">
        <w:rPr>
          <w:rFonts w:ascii="Calibri Light" w:hAnsi="Calibri Light" w:cs="Calibri Light"/>
          <w:sz w:val="24"/>
          <w:szCs w:val="24"/>
        </w:rPr>
        <w:t xml:space="preserve"> </w:t>
      </w:r>
      <w:r w:rsidR="008823EC">
        <w:rPr>
          <w:rFonts w:ascii="Calibri Light" w:hAnsi="Calibri Light" w:cs="Calibri Light"/>
          <w:sz w:val="24"/>
          <w:szCs w:val="24"/>
        </w:rPr>
        <w:fldChar w:fldCharType="begin" w:fldLock="1"/>
      </w:r>
      <w:r w:rsidR="006C34EE">
        <w:rPr>
          <w:rFonts w:ascii="Calibri Light" w:hAnsi="Calibri Light" w:cs="Calibri Light"/>
          <w:sz w:val="24"/>
          <w:szCs w:val="24"/>
        </w:rPr>
        <w:instrText>ADDIN CSL_CITATION {"citationItems":[{"id":"ITEM-1","itemData":{"DOI":"10.47268/sasi.v29i2.1374","author":[{"dropping-particle":"","family":"Abdullah","given":"Abdullah","non-dropping-particle":"","parse-names":false,"suffix":""}],"container-title":"Sasi","id":"ITEM-1","issue":"2","issued":{"date-parts":[["2023"]]},"page":"354-367","title":"The Crime of Blasphemy in Indonesia: A Comparative Study","type":"article-journal","volume":"29"},"uris":["http://www.mendeley.com/documents/?uuid=ce8a3104-fc06-4b5a-a4f3-99521264118d"]}],"mendeley":{"formattedCitation":"(Abdullah, 2023)","plainTextFormattedCitation":"(Abdullah, 2023)","previouslyFormattedCitation":"(Abdullah, 2023)"},"properties":{"noteIndex":0},"schema":"https://github.com/citation-style-language/schema/raw/master/csl-citation.json"}</w:instrText>
      </w:r>
      <w:r w:rsidR="008823EC">
        <w:rPr>
          <w:rFonts w:ascii="Calibri Light" w:hAnsi="Calibri Light" w:cs="Calibri Light"/>
          <w:sz w:val="24"/>
          <w:szCs w:val="24"/>
        </w:rPr>
        <w:fldChar w:fldCharType="separate"/>
      </w:r>
      <w:r w:rsidR="008823EC" w:rsidRPr="008823EC">
        <w:rPr>
          <w:rFonts w:ascii="Calibri Light" w:hAnsi="Calibri Light" w:cs="Calibri Light"/>
          <w:noProof/>
          <w:sz w:val="24"/>
          <w:szCs w:val="24"/>
        </w:rPr>
        <w:t>(Abdullah, 2023)</w:t>
      </w:r>
      <w:r w:rsidR="008823EC">
        <w:rPr>
          <w:rFonts w:ascii="Calibri Light" w:hAnsi="Calibri Light" w:cs="Calibri Light"/>
          <w:sz w:val="24"/>
          <w:szCs w:val="24"/>
        </w:rPr>
        <w:fldChar w:fldCharType="end"/>
      </w:r>
      <w:r w:rsidR="008823EC" w:rsidRPr="008823EC">
        <w:rPr>
          <w:rFonts w:ascii="Calibri Light" w:hAnsi="Calibri Light" w:cs="Calibri Light"/>
          <w:sz w:val="24"/>
          <w:szCs w:val="24"/>
        </w:rPr>
        <w:t>.</w:t>
      </w:r>
    </w:p>
    <w:p w:rsidR="008823EC" w:rsidRDefault="008823EC" w:rsidP="008823EC">
      <w:pPr>
        <w:spacing w:before="120" w:after="120"/>
        <w:ind w:left="426"/>
        <w:jc w:val="both"/>
        <w:rPr>
          <w:rFonts w:ascii="Calibri Light" w:hAnsi="Calibri Light" w:cs="Calibri Light"/>
          <w:sz w:val="24"/>
          <w:szCs w:val="24"/>
        </w:rPr>
      </w:pPr>
      <w:r w:rsidRPr="008823EC">
        <w:rPr>
          <w:rFonts w:ascii="Calibri Light" w:hAnsi="Calibri Light" w:cs="Calibri Light"/>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6C34EE">
        <w:rPr>
          <w:rFonts w:ascii="Calibri Light" w:hAnsi="Calibri Light" w:cs="Calibri Light"/>
          <w:sz w:val="24"/>
          <w:szCs w:val="24"/>
        </w:rPr>
        <w:t xml:space="preserve"> </w:t>
      </w:r>
      <w:r w:rsidR="006C34EE">
        <w:rPr>
          <w:rFonts w:ascii="Calibri Light" w:hAnsi="Calibri Light" w:cs="Calibri Light"/>
          <w:sz w:val="24"/>
          <w:szCs w:val="24"/>
        </w:rPr>
        <w:fldChar w:fldCharType="begin" w:fldLock="1"/>
      </w:r>
      <w:r w:rsidR="006C34EE">
        <w:rPr>
          <w:rFonts w:ascii="Calibri Light" w:hAnsi="Calibri Light" w:cs="Calibri Light"/>
          <w:sz w:val="24"/>
          <w:szCs w:val="24"/>
        </w:rPr>
        <w:instrText>ADDIN CSL_CITATION {"citationItems":[{"id":"ITEM-1","itemData":{"DOI":"10.5964/jspp.5565","author":[{"dropping-particle":"","family":"Putra","given":"Idhamsyah Eka","non-dropping-particle":"","parse-names":false,"suffix":""},{"dropping-particle":"","family":"Wagner","given":"Wolfgang","non-dropping-particle":"","parse-names":false,"suffix":""},{"dropping-particle":"","family":"Holtz","given":"Peter","non-dropping-particle":"","parse-names":false,"suffix":""},{"dropping-particle":"","family":"Rufaedah","given":"Any","non-dropping-particle":"","parse-names":false,"suffix":""}],"container-title":"Journal of Social and Political Psychology","id":"ITEM-1","issue":"1","issued":{"date-parts":[["2021"]]},"page":"69-85","title":"Accounting for a Riot: Religious Identity, Denying One's Prejudice, and the Tool of Blasphemy","type":"article-journal","volume":"9"},"uris":["http://www.mendeley.com/documents/?uuid=940c4e35-9d9c-4e6d-9216-d63aa45107fa"]}],"mendeley":{"formattedCitation":"(Putra et al., 2021)","plainTextFormattedCitation":"(Putra et al., 2021)","previouslyFormattedCitation":"(Putra et al., 2021)"},"properties":{"noteIndex":0},"schema":"https://github.com/citation-style-language/schema/raw/master/csl-citation.json"}</w:instrText>
      </w:r>
      <w:r w:rsidR="006C34EE">
        <w:rPr>
          <w:rFonts w:ascii="Calibri Light" w:hAnsi="Calibri Light" w:cs="Calibri Light"/>
          <w:sz w:val="24"/>
          <w:szCs w:val="24"/>
        </w:rPr>
        <w:fldChar w:fldCharType="separate"/>
      </w:r>
      <w:r w:rsidR="006C34EE" w:rsidRPr="006C34EE">
        <w:rPr>
          <w:rFonts w:ascii="Calibri Light" w:hAnsi="Calibri Light" w:cs="Calibri Light"/>
          <w:noProof/>
          <w:sz w:val="24"/>
          <w:szCs w:val="24"/>
        </w:rPr>
        <w:t>(Putra et al., 2021)</w:t>
      </w:r>
      <w:r w:rsidR="006C34EE">
        <w:rPr>
          <w:rFonts w:ascii="Calibri Light" w:hAnsi="Calibri Light" w:cs="Calibri Light"/>
          <w:sz w:val="24"/>
          <w:szCs w:val="24"/>
        </w:rPr>
        <w:fldChar w:fldCharType="end"/>
      </w:r>
      <w:r w:rsidRPr="008823EC">
        <w:rPr>
          <w:rFonts w:ascii="Calibri Light" w:hAnsi="Calibri Light" w:cs="Calibri Light"/>
          <w:sz w:val="24"/>
          <w:szCs w:val="24"/>
        </w:rPr>
        <w:t xml:space="preserve">. The utilization of blasphemy allegations for political purposes has worsened tensions and </w:t>
      </w:r>
      <w:r w:rsidRPr="008823EC">
        <w:rPr>
          <w:rFonts w:ascii="Calibri Light" w:hAnsi="Calibri Light" w:cs="Calibri Light"/>
          <w:sz w:val="24"/>
          <w:szCs w:val="24"/>
        </w:rPr>
        <w:lastRenderedPageBreak/>
        <w:t>deepened social rifts</w:t>
      </w:r>
      <w:r w:rsidR="006C34EE">
        <w:rPr>
          <w:rFonts w:ascii="Calibri Light" w:hAnsi="Calibri Light" w:cs="Calibri Light"/>
          <w:sz w:val="24"/>
          <w:szCs w:val="24"/>
        </w:rPr>
        <w:t xml:space="preserve"> </w:t>
      </w:r>
      <w:r w:rsidR="006C34EE">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{"citationItems":[{"id":"ITEM-1","itemData":{"DOI":"10.15642/JIIS.2016.10.2.181-212","author":[{"dropping-particle":"","family":"Fenton","given":"Adam J.","non-dropping-particle":"","parse-names":false,"suffix":""}],"container-title":"Journal Of Indonesian Islam","id":"ITEM-1","issue":"2","issued":{"date-parts":[["2016"]]},"page":"181-212","title":"Faith, Intolerance, Violence and Bigotry: Legal and Constitutional Issues of Freedom of Religion in Indonesia","type":"article-journal","volume":"10"},"uris":["http://www.mendeley.com/documents/?uuid=e748973d-e30a-4551-a4c5-020794a2dd12"]}],"mendeley":{"formattedCitation":"(Fenton, 2016)","plainTextFormattedCitation":"(Fenton, 2016)","previouslyFormattedCitation":"(Fenton, 2016)"},"properties":{"noteIndex":0},"schema":"https://github.com/citation-style-language/schema/raw/master/csl-citation.json"}</w:instrText>
      </w:r>
      <w:r w:rsidR="006C34EE">
        <w:rPr>
          <w:rFonts w:ascii="Calibri Light" w:hAnsi="Calibri Light" w:cs="Calibri Light"/>
          <w:sz w:val="24"/>
          <w:szCs w:val="24"/>
        </w:rPr>
        <w:fldChar w:fldCharType="separate"/>
      </w:r>
      <w:r w:rsidR="006C34EE" w:rsidRPr="006C34EE">
        <w:rPr>
          <w:rFonts w:ascii="Calibri Light" w:hAnsi="Calibri Light" w:cs="Calibri Light"/>
          <w:noProof/>
          <w:sz w:val="24"/>
          <w:szCs w:val="24"/>
        </w:rPr>
        <w:t>(Fenton, 2016)</w:t>
      </w:r>
      <w:r w:rsidR="006C34EE">
        <w:rPr>
          <w:rFonts w:ascii="Calibri Light" w:hAnsi="Calibri Light" w:cs="Calibri Light"/>
          <w:sz w:val="24"/>
          <w:szCs w:val="24"/>
        </w:rPr>
        <w:fldChar w:fldCharType="end"/>
      </w:r>
      <w:r w:rsidRPr="008823EC">
        <w:rPr>
          <w:rFonts w:ascii="Calibri Light" w:hAnsi="Calibri Light" w:cs="Calibri Light"/>
          <w:sz w:val="24"/>
          <w:szCs w:val="24"/>
        </w:rPr>
        <w:t>. Additionally, the discussion on religious blasphemy in Indonesia intersects with broader societal dynamics, encompassing public devotion, social structure, and the advancement of religious principles</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{"citationItems":[{"id":"ITEM-1","itemData":{"DOI":"10.22146/kawistara.41169","author":[{"dropping-particle":"","family":"Epafras","given":"Leonard C.","non-dropping-particle":"","parse-names":false,"suffix":""},{"dropping-particle":"","family":"Kaunang","given":"Hendrikus P.","non-dropping-particle":"","parse-names":false,"suffix":""},{"dropping-particle":"","family":"Asri","given":"Syamsul","non-dropping-particle":"","parse-names":false,"suffix":""}],"container-title":"Jurnal Kawistara","id":"ITEM-1","issue":"2","issued":{"date-parts":[["2019"]]},"page":"220—230","title":"Religious Blasphemy and Monitory Society in Indonesian Digital Age","type":"article-journal","volume":"9"},"uris":["http://www.mendeley.com/documents/?uuid=f07bf7ab-3032-4d64-8cd3-61222b0917e0"]}],"mendeley":{"formattedCitation":"(Epafras et al., 2019)","plainTextFormattedCitation":"(Epafras et al., 2019)","previouslyFormattedCitation":"(Epafras et al., 2019)"},"properties":{"noteIndex":0},"schema":"https://github.com/citation-style-language/schema/raw/master/csl-citation.json"}</w:instrText>
      </w:r>
      <w:r w:rsidR="00C65813">
        <w:rPr>
          <w:rFonts w:ascii="Calibri Light" w:hAnsi="Calibri Light" w:cs="Calibri Light"/>
          <w:sz w:val="24"/>
          <w:szCs w:val="24"/>
        </w:rPr>
        <w:fldChar w:fldCharType="separate"/>
      </w:r>
      <w:r w:rsidR="00C65813" w:rsidRPr="00C65813">
        <w:rPr>
          <w:rFonts w:ascii="Calibri Light" w:hAnsi="Calibri Light" w:cs="Calibri Light"/>
          <w:noProof/>
          <w:sz w:val="24"/>
          <w:szCs w:val="24"/>
        </w:rPr>
        <w:t>(Epafras et al., 2019)</w:t>
      </w:r>
      <w:r w:rsidR="00C65813">
        <w:rPr>
          <w:rFonts w:ascii="Calibri Light" w:hAnsi="Calibri Light" w:cs="Calibri Light"/>
          <w:sz w:val="24"/>
          <w:szCs w:val="24"/>
        </w:rPr>
        <w:fldChar w:fldCharType="end"/>
      </w:r>
      <w:r w:rsidRPr="008823EC">
        <w:rPr>
          <w:rFonts w:ascii="Calibri Light" w:hAnsi="Calibri Light" w:cs="Calibri Light"/>
          <w:sz w:val="24"/>
          <w:szCs w:val="24"/>
        </w:rPr>
        <w:t xml:space="preserve">. The legal framework overseeing blasphemy in Indonesia, in comparison to other nations, mirrors </w:t>
      </w:r>
      <w:proofErr w:type="spellStart"/>
      <w:r w:rsidRPr="008823EC">
        <w:rPr>
          <w:rFonts w:ascii="Calibri Light" w:hAnsi="Calibri Light" w:cs="Calibri Light"/>
          <w:sz w:val="24"/>
          <w:szCs w:val="24"/>
        </w:rPr>
        <w:t>a</w:t>
      </w:r>
      <w:proofErr w:type="spellEnd"/>
      <w:r w:rsidRPr="008823EC">
        <w:rPr>
          <w:rFonts w:ascii="Calibri Light" w:hAnsi="Calibri Light" w:cs="Calibri Light"/>
          <w:sz w:val="24"/>
          <w:szCs w:val="24"/>
        </w:rPr>
        <w:t xml:space="preserve"> intricate interplay between legal assurance, constitutional aspects, and historical viewpoints</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{"citationItems":[{"id":"ITEM-1","itemData":{"DOI":"10.20961/bestuur.v9i1.51632","author":[{"dropping-particle":"","family":"Lintang","given":"Loresta C.","non-dropping-particle":"","parse-names":false,"suffix":""},{"dropping-particle":"","family":"Martufi","given":"Adriano","non-dropping-particle":"","parse-names":false,"suffix":""},{"dropping-particle":"","family":"Ouwerker","given":"J. W.","non-dropping-particle":"","parse-names":false,"suffix":""}],"container-title":"Bestuur","id":"ITEM-1","issue":"1","issued":{"date-parts":[["2021"]]},"page":"13-25","title":"The Alternative Concepts of Blasphemy Law in Indonesia: Legal Comparison with Ireland and Canada","type":"article-journal","volume":"9"},"uris":["http://www.mendeley.com/documents/?uuid=5ceb1d00-2e5f-4fec-a6bf-3c93c0837fdc"]}],"mendeley":{"formattedCitation":"(Lintang et al., 2021)","plainTextFormattedCitation":"(Lintang et al., 2021)","previouslyFormattedCitation":"(Lintang et al., 2021)"},"properties":{"noteIndex":0},"schema":"https://github.com/citation-style-language/schema/raw/master/csl-citation.json"}</w:instrText>
      </w:r>
      <w:r w:rsidR="00C65813">
        <w:rPr>
          <w:rFonts w:ascii="Calibri Light" w:hAnsi="Calibri Light" w:cs="Calibri Light"/>
          <w:sz w:val="24"/>
          <w:szCs w:val="24"/>
        </w:rPr>
        <w:fldChar w:fldCharType="separate"/>
      </w:r>
      <w:r w:rsidR="00C65813" w:rsidRPr="00C65813">
        <w:rPr>
          <w:rFonts w:ascii="Calibri Light" w:hAnsi="Calibri Light" w:cs="Calibri Light"/>
          <w:noProof/>
          <w:sz w:val="24"/>
          <w:szCs w:val="24"/>
        </w:rPr>
        <w:t>(Lintang et al., 2021)</w:t>
      </w:r>
      <w:r w:rsidR="00C65813">
        <w:rPr>
          <w:rFonts w:ascii="Calibri Light" w:hAnsi="Calibri Light" w:cs="Calibri Light"/>
          <w:sz w:val="24"/>
          <w:szCs w:val="24"/>
        </w:rPr>
        <w:fldChar w:fldCharType="end"/>
      </w:r>
      <w:r w:rsidRPr="008823EC">
        <w:rPr>
          <w:rFonts w:ascii="Calibri Light" w:hAnsi="Calibri Light" w:cs="Calibri Light"/>
          <w:sz w:val="24"/>
          <w:szCs w:val="24"/>
        </w:rPr>
        <w:t>. The endurance of blasphemy statutes and their enforcement in democratic Indonesia highlights the difficulties in upholding freedom of speech, religious liberties, and social concord</w:t>
      </w:r>
      <w:r w:rsidR="00C65813">
        <w:rPr>
          <w:rFonts w:ascii="Calibri Light" w:hAnsi="Calibri Light" w:cs="Calibri Light"/>
          <w:sz w:val="24"/>
          <w:szCs w:val="24"/>
        </w:rPr>
        <w:t xml:space="preserve"> </w:t>
      </w:r>
      <w:r w:rsidR="00C65813">
        <w:rPr>
          <w:rFonts w:ascii="Calibri Light" w:hAnsi="Calibri Light" w:cs="Calibri Light"/>
          <w:sz w:val="24"/>
          <w:szCs w:val="24"/>
        </w:rPr>
        <w:fldChar w:fldCharType="begin" w:fldLock="1"/>
      </w:r>
      <w:r w:rsidR="00C65813">
        <w:rPr>
          <w:rFonts w:ascii="Calibri Light" w:hAnsi="Calibri Light" w:cs="Calibri Light"/>
          <w:sz w:val="24"/>
          <w:szCs w:val="24"/>
        </w:rPr>
        <w:instrText>ADDIN CSL_CITATION {"citationItems":[{"id":"ITEM-1","itemData":{"author":[{"dropping-particle":"","family":"A'Yun","given":"Rafiqa Q.","non-dropping-particle":"","parse-names":false,"suffix":""}],"container-title":"Indonesia","id":"ITEM-1","issue":"112","issued":{"date-parts":[["2021"]]},"page":"1-29","title":"Religion at the Ballot Box: The Politics of Indonesia’s Blasphemy Laws","type":"article-journal"},"uris":["http://www.mendeley.com/documents/?uuid=51c33e56-65c9-4aba-aedc-2124ce02f731"]}],"mendeley":{"formattedCitation":"(A’Yun, 2021)","plainTextFormattedCitation":"(A’Yun, 2021)","previouslyFormattedCitation":"(A’Yun, 2021)"},"properties":{"noteIndex":0},"schema":"https://github.com/citation-style-language/schema/raw/master/csl-citation.json"}</w:instrText>
      </w:r>
      <w:r w:rsidR="00C65813">
        <w:rPr>
          <w:rFonts w:ascii="Calibri Light" w:hAnsi="Calibri Light" w:cs="Calibri Light"/>
          <w:sz w:val="24"/>
          <w:szCs w:val="24"/>
        </w:rPr>
        <w:fldChar w:fldCharType="separate"/>
      </w:r>
      <w:r w:rsidR="00C65813" w:rsidRPr="00C65813">
        <w:rPr>
          <w:rFonts w:ascii="Calibri Light" w:hAnsi="Calibri Light" w:cs="Calibri Light"/>
          <w:noProof/>
          <w:sz w:val="24"/>
          <w:szCs w:val="24"/>
        </w:rPr>
        <w:t>(A’Yun, 2021)</w:t>
      </w:r>
      <w:r w:rsidR="00C65813">
        <w:rPr>
          <w:rFonts w:ascii="Calibri Light" w:hAnsi="Calibri Light" w:cs="Calibri Light"/>
          <w:sz w:val="24"/>
          <w:szCs w:val="24"/>
        </w:rPr>
        <w:fldChar w:fldCharType="end"/>
      </w:r>
      <w:r w:rsidRPr="008823EC">
        <w:rPr>
          <w:rFonts w:ascii="Calibri Light" w:hAnsi="Calibri Light" w:cs="Calibri Light"/>
          <w:sz w:val="24"/>
          <w:szCs w:val="24"/>
        </w:rPr>
        <w:t>. Religious multiplicity and the legal consequences of blasphemy have been topics of academic investigation, illuminating the normative proposals, theological configurations, and social needs of diverse religious factions in Indonesia</w:t>
      </w:r>
      <w:r w:rsidR="008C71B2">
        <w:rPr>
          <w:rFonts w:ascii="Calibri Light" w:hAnsi="Calibri Light" w:cs="Calibri Light"/>
          <w:sz w:val="24"/>
          <w:szCs w:val="24"/>
        </w:rPr>
        <w:t xml:space="preserve"> </w:t>
      </w:r>
      <w:r w:rsidR="008C71B2">
        <w:rPr>
          <w:rFonts w:ascii="Calibri Light" w:hAnsi="Calibri Light" w:cs="Calibri Light"/>
          <w:sz w:val="24"/>
          <w:szCs w:val="24"/>
        </w:rPr>
        <w:fldChar w:fldCharType="begin" w:fldLock="1"/>
      </w:r>
      <w:r w:rsidR="009C69F5">
        <w:rPr>
          <w:rFonts w:ascii="Calibri Light" w:hAnsi="Calibri Light" w:cs="Calibri Light"/>
          <w:sz w:val="24"/>
          <w:szCs w:val="24"/>
        </w:rPr>
        <w:instrText>ADDIN CSL_CITATION {"citationItems":[{"id":"ITEM-1","itemData":{"DOI":"10.36418/jrssem.v1i9.149","author":[{"dropping-particle":"","family":"Husni","given":"Husni","non-dropping-particle":"","parse-names":false,"suffix":""},{"dropping-particle":"","family":"Zulfan","given":"Zulfan","non-dropping-particle":"","parse-names":false,"suffix":""},{"dropping-particle":"","family":"Afrizal","given":"Teuku","non-dropping-particle":"","parse-names":false,"suffix":""},{"dropping-particle":"","family":"Nurarafah","given":"Nurarafah","non-dropping-particle":"","parse-names":false,"suffix":""},{"dropping-particle":"","family":"Sumiadi","given":"Sumiadi","non-dropping-particle":"","parse-names":false,"suffix":""}],"container-title":"Journal Research of Social, Science, Economics, and Management","id":"ITEM-1","issue":"9","issued":{"date-parts":[["2022","4","16"]]},"title":"Religious Diversity and its Legal Problems","type":"article-journal","volume":"1"},"uris":["http://www.mendeley.com/documents/?uuid=415275e9-ee5d-4d60-9111-3f1c84e14637"]},{"id":"ITEM-2","itemData":{"DOI":"10.15­642/jiis.2019.13.1.96-114","author":[{"dropping-particle":"","family":"Huda","given":"Miftahul","non-dropping-particle":"","parse-names":false,"suffix":""}],"container-title":"Journal of Indonesian Islam","id":"ITEM-2","issued":{"date-parts":[["2019"]]},"title":"The Local Construction of Religious Blasphemy in East Java","type":"article-journal"},"uris":["http://www.mendeley.com/documents/?uuid=8433f146-4274-4a40-a3c4-66275d6ca4dd"]}],"mendeley":{"formattedCitation":"(Huda, 2019; Husni et al., 2022)","plainTextFormattedCitation":"(Huda, 2019; Husni et al., 2022)","previouslyFormattedCitation":"(Huda, 2019; Husni et al., 2022)"},"properties":{"noteIndex":0},"schema":"https://github.com/citation-style-language/schema/raw/master/csl-citation.json"}</w:instrText>
      </w:r>
      <w:r w:rsidR="008C71B2">
        <w:rPr>
          <w:rFonts w:ascii="Calibri Light" w:hAnsi="Calibri Light" w:cs="Calibri Light"/>
          <w:sz w:val="24"/>
          <w:szCs w:val="24"/>
        </w:rPr>
        <w:fldChar w:fldCharType="separate"/>
      </w:r>
      <w:r w:rsidR="008C71B2" w:rsidRPr="008C71B2">
        <w:rPr>
          <w:rFonts w:ascii="Calibri Light" w:hAnsi="Calibri Light" w:cs="Calibri Light"/>
          <w:noProof/>
          <w:sz w:val="24"/>
          <w:szCs w:val="24"/>
        </w:rPr>
        <w:t>(Huda, 2019; Husni et al., 2022)</w:t>
      </w:r>
      <w:r w:rsidR="008C71B2">
        <w:rPr>
          <w:rFonts w:ascii="Calibri Light" w:hAnsi="Calibri Light" w:cs="Calibri Light"/>
          <w:sz w:val="24"/>
          <w:szCs w:val="24"/>
        </w:rPr>
        <w:fldChar w:fldCharType="end"/>
      </w:r>
      <w:r w:rsidRPr="008823EC">
        <w:rPr>
          <w:rFonts w:ascii="Calibri Light" w:hAnsi="Calibri Light" w:cs="Calibri Light"/>
          <w:sz w:val="24"/>
          <w:szCs w:val="24"/>
        </w:rPr>
        <w:t>.</w:t>
      </w:r>
    </w:p>
    <w:p w:rsidR="008C71B2" w:rsidRPr="008C71B2" w:rsidRDefault="008C71B2" w:rsidP="008C71B2">
      <w:pPr>
        <w:spacing w:before="120" w:after="120"/>
        <w:ind w:left="426"/>
        <w:jc w:val="both"/>
        <w:rPr>
          <w:rFonts w:ascii="Calibri Light" w:hAnsi="Calibri Light" w:cs="Calibri Light"/>
          <w:sz w:val="24"/>
          <w:szCs w:val="24"/>
        </w:rPr>
      </w:pPr>
      <w:r w:rsidRPr="008C71B2">
        <w:rPr>
          <w:rFonts w:ascii="Calibri Light" w:hAnsi="Calibri Light" w:cs="Calibri Light"/>
          <w:sz w:val="24"/>
          <w:szCs w:val="24"/>
        </w:rPr>
        <w:t xml:space="preserve">As mentioned earlier, this paper will concentrate on an anthropological reflection on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messages in addressing issues of religious blasphemy. It is essential to delve into a historical survey dating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messages about religious blasphemy. I aim to establish a historical framework by exploring the intersection between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and anti-blasphemy and assess its significance in present-day Indonesia.</w:t>
      </w:r>
    </w:p>
    <w:p w:rsidR="008C71B2" w:rsidRDefault="008C71B2" w:rsidP="008C71B2">
      <w:pPr>
        <w:spacing w:before="120" w:after="120"/>
        <w:ind w:left="426"/>
        <w:jc w:val="both"/>
        <w:rPr>
          <w:rFonts w:ascii="Calibri Light" w:hAnsi="Calibri Light" w:cs="Calibri Light"/>
          <w:sz w:val="24"/>
          <w:szCs w:val="24"/>
        </w:rPr>
      </w:pPr>
      <w:r w:rsidRPr="008C71B2">
        <w:rPr>
          <w:rFonts w:ascii="Calibri Light" w:hAnsi="Calibri Light" w:cs="Calibri Light"/>
          <w:sz w:val="24"/>
          <w:szCs w:val="24"/>
        </w:rPr>
        <w:t xml:space="preserve">To address this, the paper will systematically examine the context of religious life in Indonesia from around 1900 to the 2000s. The subsequent section will explore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movements and their focal points during these periods. Subsequently, I will delve into how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has been employed to combat religious blasphemy and the development of </w:t>
      </w:r>
      <w:r w:rsidR="00A052EF" w:rsidRPr="00A052EF">
        <w:rPr>
          <w:rFonts w:ascii="Calibri Light" w:hAnsi="Calibri Light" w:cs="Calibri Light"/>
          <w:i/>
          <w:iCs/>
          <w:sz w:val="24"/>
          <w:szCs w:val="24"/>
        </w:rPr>
        <w:t>Da’wah</w:t>
      </w:r>
      <w:r w:rsidRPr="008C71B2">
        <w:rPr>
          <w:rFonts w:ascii="Calibri Light" w:hAnsi="Calibri Light" w:cs="Calibri Light"/>
          <w:sz w:val="24"/>
          <w:szCs w:val="24"/>
        </w:rPr>
        <w:t xml:space="preserve"> in the contemporary period.</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611411" w:rsidRPr="00611411" w:rsidRDefault="00611411" w:rsidP="00611411">
      <w:pPr>
        <w:spacing w:before="120" w:after="120"/>
        <w:ind w:left="426"/>
        <w:jc w:val="both"/>
        <w:rPr>
          <w:rFonts w:ascii="Calibri Light" w:hAnsi="Calibri Light" w:cs="Calibri Light"/>
          <w:sz w:val="24"/>
          <w:szCs w:val="24"/>
        </w:rPr>
      </w:pPr>
      <w:r w:rsidRPr="00611411">
        <w:rPr>
          <w:rFonts w:ascii="Calibri Light" w:hAnsi="Calibri Light" w:cs="Calibri Light"/>
          <w:sz w:val="24"/>
          <w:szCs w:val="24"/>
        </w:rPr>
        <w:t xml:space="preserve">This study uses a qualitative approach with a descriptive-analytical method to explore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's role in addressing blasphemy and promoting peace in Indonesia. As a qualitative study, this study focuses on an in-depth understanding of socio-religious phenomena related to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 strategies applied in a pluralistic society. With a descriptive design, this study aims to describe the role of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 in detail in managing religious conflicts from a legal, social, and cultural perspective, covering historical periods from the colonial period to the modern era</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{"citationItems":[{"id":"ITEM-1","itemData":{"ISBN":"9786022295846","author":[{"dropping-particle":"","family":"Creswell","given":"John W.","non-dropping-particle":"","parse-names":false,"suffix":""}],"id":"ITEM-1","issued":{"date-parts":[["2019"]]},"publisher":"London: Sage Publications","publisher-place":"London","title":"Research Design: Qualitative, Quantitative, and Mixed Methods Approaches","type":"book"},"uris":["http://www.mendeley.com/documents/?uuid=e9b4e469-0345-4452-a533-50e2449e3431"]}],"mendeley":{"formattedCitation":"(Creswell, 2019)","plainTextFormattedCitation":"(Creswell, 2019)","previouslyFormattedCitation":"(Creswell, 2019)"},"properties":{"noteIndex":0},"schema":"https://github.com/citation-style-language/schema/raw/master/csl-citation.json"}</w:instrText>
      </w:r>
      <w:r w:rsidR="002F3F4C">
        <w:rPr>
          <w:rFonts w:ascii="Calibri Light" w:hAnsi="Calibri Light" w:cs="Calibri Light"/>
          <w:sz w:val="24"/>
          <w:szCs w:val="24"/>
        </w:rPr>
        <w:fldChar w:fldCharType="separate"/>
      </w:r>
      <w:r w:rsidR="002F3F4C" w:rsidRPr="002F3F4C">
        <w:rPr>
          <w:rFonts w:ascii="Calibri Light" w:hAnsi="Calibri Light" w:cs="Calibri Light"/>
          <w:noProof/>
          <w:sz w:val="24"/>
          <w:szCs w:val="24"/>
        </w:rPr>
        <w:t>(Creswell, 2019)</w:t>
      </w:r>
      <w:r w:rsidR="002F3F4C">
        <w:rPr>
          <w:rFonts w:ascii="Calibri Light" w:hAnsi="Calibri Light" w:cs="Calibri Light"/>
          <w:sz w:val="24"/>
          <w:szCs w:val="24"/>
        </w:rPr>
        <w:fldChar w:fldCharType="end"/>
      </w:r>
      <w:r w:rsidRPr="00611411">
        <w:rPr>
          <w:rFonts w:ascii="Calibri Light" w:hAnsi="Calibri Light" w:cs="Calibri Light"/>
          <w:sz w:val="24"/>
          <w:szCs w:val="24"/>
        </w:rPr>
        <w:t>.</w:t>
      </w:r>
    </w:p>
    <w:p w:rsidR="00611411" w:rsidRDefault="00611411" w:rsidP="00611411">
      <w:pPr>
        <w:spacing w:before="120" w:after="120"/>
        <w:ind w:left="426"/>
        <w:jc w:val="both"/>
        <w:rPr>
          <w:rFonts w:ascii="Calibri Light" w:hAnsi="Calibri Light" w:cs="Calibri Light"/>
          <w:sz w:val="24"/>
          <w:szCs w:val="24"/>
        </w:rPr>
      </w:pPr>
      <w:r w:rsidRPr="00611411">
        <w:rPr>
          <w:rFonts w:ascii="Calibri Light" w:hAnsi="Calibri Light" w:cs="Calibri Light"/>
          <w:sz w:val="24"/>
          <w:szCs w:val="24"/>
        </w:rPr>
        <w:t xml:space="preserve">The research approach combines sociological and normative perspectives. The sociological approach is used to analyze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 as a social phenomenon that influences the dynamics of interfaith relations. Meanwhile, the normative approach views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 as a religious activity based on Islamic law principles. Combining these two approaches allows the study to understand the role of </w:t>
      </w:r>
      <w:r w:rsidR="00A052EF" w:rsidRPr="00A052EF">
        <w:rPr>
          <w:rFonts w:ascii="Calibri Light" w:hAnsi="Calibri Light" w:cs="Calibri Light"/>
          <w:i/>
          <w:iCs/>
          <w:sz w:val="24"/>
          <w:szCs w:val="24"/>
        </w:rPr>
        <w:t>Da’wah</w:t>
      </w:r>
      <w:r w:rsidRPr="00611411">
        <w:rPr>
          <w:rFonts w:ascii="Calibri Light" w:hAnsi="Calibri Light" w:cs="Calibri Light"/>
          <w:sz w:val="24"/>
          <w:szCs w:val="24"/>
        </w:rPr>
        <w:t xml:space="preserve"> both as a conflict mediation mechanism and as a means of strengthening religious identity.</w:t>
      </w:r>
    </w:p>
    <w:p w:rsidR="009C69F5" w:rsidRPr="009C69F5" w:rsidRDefault="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lastRenderedPageBreak/>
        <w:t xml:space="preserve">The research data were obtained from primary and secondary sources. Primary data include in-depth interviews with religious figures, </w:t>
      </w:r>
      <w:r w:rsidR="00A052EF" w:rsidRPr="00A052EF">
        <w:rPr>
          <w:rFonts w:ascii="Calibri Light" w:hAnsi="Calibri Light" w:cs="Calibri Light"/>
          <w:i/>
          <w:iCs/>
          <w:sz w:val="24"/>
          <w:szCs w:val="24"/>
        </w:rPr>
        <w:t>Da’wah</w:t>
      </w:r>
      <w:r w:rsidRPr="009C69F5">
        <w:rPr>
          <w:rFonts w:ascii="Calibri Light" w:hAnsi="Calibri Light" w:cs="Calibri Light"/>
          <w:sz w:val="24"/>
          <w:szCs w:val="24"/>
        </w:rPr>
        <w:t xml:space="preserve"> practitioners, and academics who have insight into the issue of blasphemy. Secondary data include legal documents, media reports, and related academic literature. Data was collected through three main techniques: in-depth interviews to explore informants' perspectives and experiences, document studies to understand existing regulations and practices, and literature reviews to obtain theoretical and historical overviews supporting the analysis</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{"citationItems":[{"id":"ITEM-1","itemData":{"author":[{"dropping-particle":"","family":"Murray","given":"M. D.","non-dropping-particle":"","parse-names":false,"suffix":""},{"dropping-particle":"","family":"Sanctis","given":"C. H.","non-dropping-particle":"De","parse-names":false,"suffix":""}],"id":"ITEM-1","issued":{"date-parts":[["2015"]]},"publisher":"Foundation Press","title":"Legal research methods (Second edition)","type":"book"},"uris":["http://www.mendeley.com/documents/?uuid=71245cd8-4f03-467f-8149-f9567d68acf9"]}],"mendeley":{"formattedCitation":"(Murray &amp; De Sanctis, 2015)","plainTextFormattedCitation":"(Murray &amp; De Sanctis, 2015)"},"properties":{"noteIndex":0},"schema":"https://github.com/citation-style-language/schema/raw/master/csl-citation.json"}</w:instrText>
      </w:r>
      <w:r w:rsidR="002F3F4C">
        <w:rPr>
          <w:rFonts w:ascii="Calibri Light" w:hAnsi="Calibri Light" w:cs="Calibri Light"/>
          <w:sz w:val="24"/>
          <w:szCs w:val="24"/>
        </w:rPr>
        <w:fldChar w:fldCharType="separate"/>
      </w:r>
      <w:r w:rsidR="002F3F4C" w:rsidRPr="002F3F4C">
        <w:rPr>
          <w:rFonts w:ascii="Calibri Light" w:hAnsi="Calibri Light" w:cs="Calibri Light"/>
          <w:noProof/>
          <w:sz w:val="24"/>
          <w:szCs w:val="24"/>
        </w:rPr>
        <w:t>(Murray &amp; De Sanctis, 2015)</w:t>
      </w:r>
      <w:r w:rsidR="002F3F4C">
        <w:rPr>
          <w:rFonts w:ascii="Calibri Light" w:hAnsi="Calibri Light" w:cs="Calibri Light"/>
          <w:sz w:val="24"/>
          <w:szCs w:val="24"/>
        </w:rPr>
        <w:fldChar w:fldCharType="end"/>
      </w:r>
      <w:r w:rsidRPr="009C69F5">
        <w:rPr>
          <w:rFonts w:ascii="Calibri Light" w:hAnsi="Calibri Light" w:cs="Calibri Light"/>
          <w:sz w:val="24"/>
          <w:szCs w:val="24"/>
        </w:rPr>
        <w:t>.</w:t>
      </w:r>
    </w:p>
    <w:p w:rsidR="009C69F5" w:rsidRPr="009C69F5" w:rsidRDefault="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t>Data analysis was conducted through data reduction, data presentation, and concluding</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{"citationItems":[{"id":"ITEM-1","itemData":{"author":[{"dropping-particle":"","family":"Miles","given":"M. B.","non-dropping-particle":"","parse-names":false,"suffix":""},{"dropping-particle":"","family":"Huberman","given":"A. M.","non-dropping-particle":"","parse-names":false,"suffix":""},{"dropping-particle":"","family":"Saldaña","given":"J.","non-dropping-particle":"","parse-names":false,"suffix":""}],"id":"ITEM-1","issued":{"date-parts":[["2014"]]},"publisher":"New York: SAGE Publications","publisher-place":"New York","title":"Qualitative Data Analysis: A Methods Sourcebook (3rd ed.)","type":"book"},"uris":["http://www.mendeley.com/documents/?uuid=34bb9544-032e-4465-95ef-050571d404c3"]}],"mendeley":{"formattedCitation":"(Miles et al., 2014)","plainTextFormattedCitation":"(Miles et al., 2014)","previouslyFormattedCitation":"(Miles et al., 2014)"},"properties":{"noteIndex":0},"schema":"https://github.com/citation-style-language/schema/raw/master/csl-citation.json"}</w:instrText>
      </w:r>
      <w:r w:rsidR="002F3F4C">
        <w:rPr>
          <w:rFonts w:ascii="Calibri Light" w:hAnsi="Calibri Light" w:cs="Calibri Light"/>
          <w:sz w:val="24"/>
          <w:szCs w:val="24"/>
        </w:rPr>
        <w:fldChar w:fldCharType="separate"/>
      </w:r>
      <w:r w:rsidR="002F3F4C" w:rsidRPr="002F3F4C">
        <w:rPr>
          <w:rFonts w:ascii="Calibri Light" w:hAnsi="Calibri Light" w:cs="Calibri Light"/>
          <w:noProof/>
          <w:sz w:val="24"/>
          <w:szCs w:val="24"/>
        </w:rPr>
        <w:t>(Miles et al., 2014)</w:t>
      </w:r>
      <w:r w:rsidR="002F3F4C">
        <w:rPr>
          <w:rFonts w:ascii="Calibri Light" w:hAnsi="Calibri Light" w:cs="Calibri Light"/>
          <w:sz w:val="24"/>
          <w:szCs w:val="24"/>
        </w:rPr>
        <w:fldChar w:fldCharType="end"/>
      </w:r>
      <w:r w:rsidRPr="009C69F5">
        <w:rPr>
          <w:rFonts w:ascii="Calibri Light" w:hAnsi="Calibri Light" w:cs="Calibri Light"/>
          <w:sz w:val="24"/>
          <w:szCs w:val="24"/>
        </w:rPr>
        <w:t xml:space="preserve">. The data obtained were summarized to identify information relevant to the focus of the research and then arranged in the form of a thematic narrative to describe patterns of the role of </w:t>
      </w:r>
      <w:r w:rsidR="00A052EF" w:rsidRPr="00A052EF">
        <w:rPr>
          <w:rFonts w:ascii="Calibri Light" w:hAnsi="Calibri Light" w:cs="Calibri Light"/>
          <w:i/>
          <w:iCs/>
          <w:sz w:val="24"/>
          <w:szCs w:val="24"/>
        </w:rPr>
        <w:t>Da’wah</w:t>
      </w:r>
      <w:r w:rsidRPr="009C69F5">
        <w:rPr>
          <w:rFonts w:ascii="Calibri Light" w:hAnsi="Calibri Light" w:cs="Calibri Light"/>
          <w:sz w:val="24"/>
          <w:szCs w:val="24"/>
        </w:rPr>
        <w:t xml:space="preserve"> in easing religious conflict. Conclusions were drawn inductively by identifying thematic relationships that emerged from the data. Data validity was ensured through source triangulation, namely comparing data from interviews, documents, and literature to ensure consistency of findings and verifying results with key informants to reduce potential interpretation bias</w:t>
      </w:r>
      <w:r w:rsidR="002F3F4C">
        <w:rPr>
          <w:rFonts w:ascii="Calibri Light" w:hAnsi="Calibri Light" w:cs="Calibri Light"/>
          <w:sz w:val="24"/>
          <w:szCs w:val="24"/>
        </w:rPr>
        <w:t xml:space="preserve"> </w:t>
      </w:r>
      <w:r w:rsidR="002F3F4C">
        <w:rPr>
          <w:rFonts w:ascii="Calibri Light" w:hAnsi="Calibri Light" w:cs="Calibri Light"/>
          <w:sz w:val="24"/>
          <w:szCs w:val="24"/>
        </w:rPr>
        <w:fldChar w:fldCharType="begin" w:fldLock="1"/>
      </w:r>
      <w:r w:rsidR="002F3F4C">
        <w:rPr>
          <w:rFonts w:ascii="Calibri Light" w:hAnsi="Calibri Light" w:cs="Calibri Light"/>
          <w:sz w:val="24"/>
          <w:szCs w:val="24"/>
        </w:rPr>
        <w:instrText>ADDIN CSL_CITATION {"citationItems":[{"id":"ITEM-1","itemData":{"author":[{"dropping-particle":"","family":"Emzir","given":"","non-dropping-particle":"","parse-names":false,"suffix":""}],"id":"ITEM-1","issued":{"date-parts":[["2014"]]},"publisher":"PT Raja Grafindo Persada","publisher-place":"Jakarta","title":"Metodologi Penelitian Kualitatif Analisis Data","type":"book"},"uris":["http://www.mendeley.com/documents/?uuid=d18bb0ee-d1c7-47ac-b4e8-4f161c708145"]}],"mendeley":{"formattedCitation":"(Emzir, 2014)","plainTextFormattedCitation":"(Emzir, 2014)","previouslyFormattedCitation":"(Emzir, 2014)"},"properties":{"noteIndex":0},"schema":"https://github.com/citation-style-language/schema/raw/master/csl-citation.json"}</w:instrText>
      </w:r>
      <w:r w:rsidR="002F3F4C">
        <w:rPr>
          <w:rFonts w:ascii="Calibri Light" w:hAnsi="Calibri Light" w:cs="Calibri Light"/>
          <w:sz w:val="24"/>
          <w:szCs w:val="24"/>
        </w:rPr>
        <w:fldChar w:fldCharType="separate"/>
      </w:r>
      <w:r w:rsidR="002F3F4C" w:rsidRPr="002F3F4C">
        <w:rPr>
          <w:rFonts w:ascii="Calibri Light" w:hAnsi="Calibri Light" w:cs="Calibri Light"/>
          <w:noProof/>
          <w:sz w:val="24"/>
          <w:szCs w:val="24"/>
        </w:rPr>
        <w:t>(Emzir, 2014)</w:t>
      </w:r>
      <w:r w:rsidR="002F3F4C">
        <w:rPr>
          <w:rFonts w:ascii="Calibri Light" w:hAnsi="Calibri Light" w:cs="Calibri Light"/>
          <w:sz w:val="24"/>
          <w:szCs w:val="24"/>
        </w:rPr>
        <w:fldChar w:fldCharType="end"/>
      </w:r>
      <w:r w:rsidRPr="009C69F5">
        <w:rPr>
          <w:rFonts w:ascii="Calibri Light" w:hAnsi="Calibri Light" w:cs="Calibri Light"/>
          <w:sz w:val="24"/>
          <w:szCs w:val="24"/>
        </w:rPr>
        <w:t>.</w:t>
      </w:r>
    </w:p>
    <w:p w:rsidR="009C69F5" w:rsidRDefault="009C69F5" w:rsidP="009C69F5">
      <w:pPr>
        <w:spacing w:before="120" w:after="120"/>
        <w:ind w:left="426"/>
        <w:jc w:val="both"/>
        <w:rPr>
          <w:rFonts w:ascii="Calibri Light" w:hAnsi="Calibri Light" w:cs="Calibri Light"/>
          <w:sz w:val="24"/>
          <w:szCs w:val="24"/>
        </w:rPr>
      </w:pPr>
      <w:r w:rsidRPr="009C69F5">
        <w:rPr>
          <w:rFonts w:ascii="Calibri Light" w:hAnsi="Calibri Light" w:cs="Calibri Light"/>
          <w:sz w:val="24"/>
          <w:szCs w:val="24"/>
        </w:rPr>
        <w:t xml:space="preserve">This comprehensive approach is designed to provide a thorough understanding of how </w:t>
      </w:r>
      <w:r w:rsidR="00A052EF" w:rsidRPr="00A052EF">
        <w:rPr>
          <w:rFonts w:ascii="Calibri Light" w:hAnsi="Calibri Light" w:cs="Calibri Light"/>
          <w:i/>
          <w:iCs/>
          <w:sz w:val="24"/>
          <w:szCs w:val="24"/>
        </w:rPr>
        <w:t>Da’wah</w:t>
      </w:r>
      <w:r w:rsidRPr="009C69F5">
        <w:rPr>
          <w:rFonts w:ascii="Calibri Light" w:hAnsi="Calibri Light" w:cs="Calibri Light"/>
          <w:sz w:val="24"/>
          <w:szCs w:val="24"/>
        </w:rPr>
        <w:t xml:space="preserve"> functions as an essential mechanism in building social harmony amid diverse Indonesian society, as well as its relevance in the context of contemporary law and social dynamics.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C69F5" w:rsidRPr="009C69F5" w:rsidRDefault="009C69F5" w:rsidP="00B25EDF">
      <w:pPr>
        <w:spacing w:before="120" w:after="120"/>
        <w:ind w:left="440" w:right="-1" w:hanging="14"/>
        <w:jc w:val="both"/>
        <w:rPr>
          <w:rFonts w:ascii="Calibri Light" w:hAnsi="Calibri Light" w:cs="Calibri Light"/>
          <w:b/>
          <w:bCs/>
          <w:sz w:val="24"/>
          <w:szCs w:val="24"/>
        </w:rPr>
      </w:pPr>
      <w:r w:rsidRPr="009C69F5">
        <w:rPr>
          <w:rFonts w:ascii="Calibri Light" w:hAnsi="Calibri Light" w:cs="Calibri Light"/>
          <w:b/>
          <w:bCs/>
          <w:sz w:val="24"/>
          <w:szCs w:val="24"/>
        </w:rPr>
        <w:t>Historical Context Religious Life in Indonesia (c.1900 Onwards)</w:t>
      </w:r>
    </w:p>
    <w:p w:rsidR="009C69F5" w:rsidRPr="009C69F5" w:rsidRDefault="009C69F5" w:rsidP="009C69F5">
      <w:pPr>
        <w:spacing w:before="120" w:after="120"/>
        <w:ind w:left="440" w:right="-1" w:hanging="14"/>
        <w:jc w:val="both"/>
        <w:rPr>
          <w:rFonts w:ascii="Calibri Light" w:hAnsi="Calibri Light" w:cs="Calibri Light"/>
          <w:sz w:val="24"/>
          <w:szCs w:val="24"/>
        </w:rPr>
      </w:pPr>
      <w:r w:rsidRPr="009C69F5">
        <w:rPr>
          <w:rFonts w:ascii="Calibri Light" w:hAnsi="Calibri Light" w:cs="Calibri Light"/>
          <w:sz w:val="24"/>
          <w:szCs w:val="24"/>
        </w:rPr>
        <w:t>From 1900 to 1945, Indonesia was known as the Netherlands East Indies. The country was a melting pot of diverse cultures and traditions during this period. Islam, Christianity, Hinduism, Buddhism, and indigenous belief systems coexisted within the nation's fabric. A complex interplay of colonial policies and indigenous religious practices shaped the spiritual landscape of Indonesia during the Dutch colonial period. The Dutch colonial government implemented a dualistic education model that separated secular public schools from religious teachings, making Islamic Schooling the opposition to European schoolings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{"citationItems":[{"id":"ITEM-1","itemData":{"author":[{"dropping-particle":"","family":"Ridwan","given":"Auliya","non-dropping-particle":"","parse-names":false,"suffix":""}],"container-title":"Marâji`: Jurnal Ilmu Keislaman","id":"ITEM-1","issue":"2","issued":{"date-parts":[["2016"]]},"page":"227-247","title":"Colonial Politics of Power and Cultural Identity Development of Islamic Education Vis-a-Vis European Education in the Netherlands East Indies Periods","type":"article-journal","volume":"2"},"uris":["http://www.mendeley.com/documents/?uuid=78eed206-3b16-4943-8897-64e7ba0b0424"]}],"mendeley":{"formattedCitation":"(Ridwan, 2016)","plainTextFormattedCitation":"(Ridwan, 2016)","previouslyFormattedCitation":"(Ridwan, 2016)"},"properties":{"noteIndex":0},"schema":"https://github.com/citation-style-language/schema/raw/master/csl-citation.json"}</w:instrText>
      </w:r>
      <w:r>
        <w:rPr>
          <w:rFonts w:ascii="Calibri Light" w:hAnsi="Calibri Light" w:cs="Calibri Light"/>
          <w:sz w:val="24"/>
          <w:szCs w:val="24"/>
        </w:rPr>
        <w:fldChar w:fldCharType="separate"/>
      </w:r>
      <w:r w:rsidRPr="009C69F5">
        <w:rPr>
          <w:rFonts w:ascii="Calibri Light" w:hAnsi="Calibri Light" w:cs="Calibri Light"/>
          <w:noProof/>
          <w:sz w:val="24"/>
          <w:szCs w:val="24"/>
        </w:rPr>
        <w:t>(Ridwan, 2016)</w:t>
      </w:r>
      <w:r>
        <w:rPr>
          <w:rFonts w:ascii="Calibri Light" w:hAnsi="Calibri Light" w:cs="Calibri Light"/>
          <w:sz w:val="24"/>
          <w:szCs w:val="24"/>
        </w:rPr>
        <w:fldChar w:fldCharType="end"/>
      </w:r>
      <w:r w:rsidRPr="009C69F5">
        <w:rPr>
          <w:rFonts w:ascii="Calibri Light" w:hAnsi="Calibri Light" w:cs="Calibri Light"/>
          <w:sz w:val="24"/>
          <w:szCs w:val="24"/>
        </w:rPr>
        <w:t>. The Dutch authorities restricted the jurisdiction of religious courts, except in areas concerning family law, such as marriage and inheritance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{"citationItems":[{"id":"ITEM-1","itemData":{"DOI":"10.18196/iclr.v4i2.15911","author":[{"dropping-particle":"","family":"Azzahra","given":"Raihan","non-dropping-particle":"","parse-names":false,"suffix":""},{"dropping-particle":"","family":"Shuaib","given":"Farid S.","non-dropping-particle":"","parse-names":false,"suffix":""}],"container-title":"Indonesian Comparative Law Review","id":"ITEM-1","issue":"2","issued":{"date-parts":[["2022"]]},"page":"115-130","title":"Religious Courts in Indonesia and Malaysia: History, Structure, and Jurisdiction","type":"article-journal","volume":"4"},"uris":["http://www.mendeley.com/documents/?uuid=3be6ebd7-6478-487f-a729-943766ce5496"]}],"mendeley":{"formattedCitation":"(Azzahra &amp; Shuaib, 2022)","plainTextFormattedCitation":"(Azzahra &amp; Shuaib, 2022)","previouslyFormattedCitation":"(Azzahra &amp; Shuaib, 2022)"},"properties":{"noteIndex":0},"schema":"https://github.com/citation-style-language/schema/raw/master/csl-citation.json"}</w:instrText>
      </w:r>
      <w:r>
        <w:rPr>
          <w:rFonts w:ascii="Calibri Light" w:hAnsi="Calibri Light" w:cs="Calibri Light"/>
          <w:sz w:val="24"/>
          <w:szCs w:val="24"/>
        </w:rPr>
        <w:fldChar w:fldCharType="separate"/>
      </w:r>
      <w:r w:rsidRPr="009C69F5">
        <w:rPr>
          <w:rFonts w:ascii="Calibri Light" w:hAnsi="Calibri Light" w:cs="Calibri Light"/>
          <w:noProof/>
          <w:sz w:val="24"/>
          <w:szCs w:val="24"/>
        </w:rPr>
        <w:t>(Azzahra &amp; Shuaib, 2022)</w:t>
      </w:r>
      <w:r>
        <w:rPr>
          <w:rFonts w:ascii="Calibri Light" w:hAnsi="Calibri Light" w:cs="Calibri Light"/>
          <w:sz w:val="24"/>
          <w:szCs w:val="24"/>
        </w:rPr>
        <w:fldChar w:fldCharType="end"/>
      </w:r>
      <w:r w:rsidRPr="009C69F5">
        <w:rPr>
          <w:rFonts w:ascii="Calibri Light" w:hAnsi="Calibri Light" w:cs="Calibri Light"/>
          <w:sz w:val="24"/>
          <w:szCs w:val="24"/>
        </w:rPr>
        <w:t>. This restriction reflected the Dutch opposition to the formal imposition of Islamic law beyond specific domains.</w:t>
      </w:r>
    </w:p>
    <w:p w:rsidR="009C69F5" w:rsidRDefault="009C69F5" w:rsidP="009C69F5">
      <w:pPr>
        <w:spacing w:before="120" w:after="120"/>
        <w:ind w:left="440" w:right="-1" w:hanging="14"/>
        <w:jc w:val="both"/>
        <w:rPr>
          <w:rFonts w:ascii="Calibri Light" w:hAnsi="Calibri Light" w:cs="Calibri Light"/>
          <w:sz w:val="24"/>
          <w:szCs w:val="24"/>
        </w:rPr>
      </w:pPr>
      <w:r w:rsidRPr="009C69F5">
        <w:rPr>
          <w:rFonts w:ascii="Calibri Light" w:hAnsi="Calibri Light" w:cs="Calibri Light"/>
          <w:sz w:val="24"/>
          <w:szCs w:val="24"/>
        </w:rPr>
        <w:t>Scholars have emphasized the historical origins of secular-religious debates and their influence on the Indonesian national education system during the Dutch colonial period</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{"citationItems":[{"id":"ITEM-1","itemData":{"DOI":"10.29333/ejecs/1200","author":[{"dropping-particle":"","family":"Suradi","given":"Ahmad","non-dropping-particle":"","parse-names":false,"suffix":""}],"container-title":"Journal of Ethnic and Cultural Studies","id":"ITEM-1","issue":"3","issued":{"date-parts":[["2022"]]},"page":"56–71","title":"The Social, Political, and Cultural Perspective of Islamic Education in Palembang Malay: A Continuous Evaluation from the Dutch Colonial Period to Today","type":"article-journal","volume":"9"},"uris":["http://www.mendeley.com/documents/?uuid=734c85ef-d9ee-4826-aa7a-a369886e2d8f"]}],"mendeley":{"formattedCitation":"(Suradi, 2022)","plainTextFormattedCitation":"(Suradi, 2022)","previouslyFormattedCitation":"(Suradi, 2022)"},"properties":{"noteIndex":0},"schema":"https://github.com/citation-style-language/schema/raw/master/csl-citation.json"}</w:instrText>
      </w:r>
      <w:r w:rsidR="00C4604B">
        <w:rPr>
          <w:rFonts w:ascii="Calibri Light" w:hAnsi="Calibri Light" w:cs="Calibri Light"/>
          <w:sz w:val="24"/>
          <w:szCs w:val="24"/>
        </w:rPr>
        <w:fldChar w:fldCharType="separate"/>
      </w:r>
      <w:r w:rsidR="00C4604B" w:rsidRPr="00C4604B">
        <w:rPr>
          <w:rFonts w:ascii="Calibri Light" w:hAnsi="Calibri Light" w:cs="Calibri Light"/>
          <w:noProof/>
          <w:sz w:val="24"/>
          <w:szCs w:val="24"/>
        </w:rPr>
        <w:t>(Suradi, 2022)</w:t>
      </w:r>
      <w:r w:rsidR="00C4604B">
        <w:rPr>
          <w:rFonts w:ascii="Calibri Light" w:hAnsi="Calibri Light" w:cs="Calibri Light"/>
          <w:sz w:val="24"/>
          <w:szCs w:val="24"/>
        </w:rPr>
        <w:fldChar w:fldCharType="end"/>
      </w:r>
      <w:r w:rsidRPr="009C69F5">
        <w:rPr>
          <w:rFonts w:ascii="Calibri Light" w:hAnsi="Calibri Light" w:cs="Calibri Light"/>
          <w:sz w:val="24"/>
          <w:szCs w:val="24"/>
        </w:rPr>
        <w:t>. The dichotomy between science and religion, institutionalized during this era, was a vestige of Dutch colonial politics</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C4604B">
        <w:rPr>
          <w:rFonts w:ascii="Calibri Light" w:hAnsi="Calibri Light" w:cs="Calibri Light"/>
          <w:sz w:val="24"/>
          <w:szCs w:val="24"/>
        </w:rPr>
        <w:instrText>ADDIN CSL_CITATION {"citationItems":[{"id":"ITEM-1","itemData":{"DOI":"10.2991/icetep-18.2019.33","ISBN":"2352-5398","author":[{"dropping-particle":"","family":"Iqbal","given":"Moch","non-dropping-particle":"","parse-names":false,"suffix":""}],"container-title":"Proceedings of the International Conference on Educational Sciences and Teacher Profession (ICETeP 2018)","id":"ITEM-1","issued":{"date-parts":[["2019","4"]]},"page":"136-140","publisher":"Atlantis Press","title":"Dualism System of Higher Education in Indonesia BT - Proceedings of the International Conference on Educational Sciences and Teacher Profession (ICETeP 2018)","type":"paper-conference"},"uris":["http://www.mendeley.com/documents/?uuid=7c5a84c1-8c05-4426-908c-feae4d540c38"]}],"mendeley":{"formattedCitation":"(Iqbal, 2019)","plainTextFormattedCitation":"(Iqbal, 2019)","previouslyFormattedCitation":"(Iqbal, 2019)"},"properties":{"noteIndex":0},"schema":"https://github.com/citation-style-language/schema/raw/master/csl-citation.json"}</w:instrText>
      </w:r>
      <w:r w:rsidR="00C4604B">
        <w:rPr>
          <w:rFonts w:ascii="Calibri Light" w:hAnsi="Calibri Light" w:cs="Calibri Light"/>
          <w:sz w:val="24"/>
          <w:szCs w:val="24"/>
        </w:rPr>
        <w:fldChar w:fldCharType="separate"/>
      </w:r>
      <w:r w:rsidR="00C4604B" w:rsidRPr="00C4604B">
        <w:rPr>
          <w:rFonts w:ascii="Calibri Light" w:hAnsi="Calibri Light" w:cs="Calibri Light"/>
          <w:noProof/>
          <w:sz w:val="24"/>
          <w:szCs w:val="24"/>
        </w:rPr>
        <w:t>(Iqbal, 2019)</w:t>
      </w:r>
      <w:r w:rsidR="00C4604B">
        <w:rPr>
          <w:rFonts w:ascii="Calibri Light" w:hAnsi="Calibri Light" w:cs="Calibri Light"/>
          <w:sz w:val="24"/>
          <w:szCs w:val="24"/>
        </w:rPr>
        <w:fldChar w:fldCharType="end"/>
      </w:r>
      <w:r w:rsidRPr="009C69F5">
        <w:rPr>
          <w:rFonts w:ascii="Calibri Light" w:hAnsi="Calibri Light" w:cs="Calibri Light"/>
          <w:sz w:val="24"/>
          <w:szCs w:val="24"/>
        </w:rPr>
        <w:t>. The Dutch colonial period also impacted the advancement of medical education in Indonesia, marked by the initiation of medical training for native youth in Jakarta in 1849</w:t>
      </w:r>
      <w:r w:rsidR="00C4604B">
        <w:rPr>
          <w:rFonts w:ascii="Calibri Light" w:hAnsi="Calibri Light" w:cs="Calibri Light"/>
          <w:sz w:val="24"/>
          <w:szCs w:val="24"/>
        </w:rPr>
        <w:t xml:space="preserve"> </w:t>
      </w:r>
      <w:r w:rsidR="00C4604B">
        <w:rPr>
          <w:rFonts w:ascii="Calibri Light" w:hAnsi="Calibri Light" w:cs="Calibri Light"/>
          <w:sz w:val="24"/>
          <w:szCs w:val="24"/>
        </w:rPr>
        <w:fldChar w:fldCharType="begin" w:fldLock="1"/>
      </w:r>
      <w:r w:rsidR="0000610E">
        <w:rPr>
          <w:rFonts w:ascii="Calibri Light" w:hAnsi="Calibri Light" w:cs="Calibri Light"/>
          <w:sz w:val="24"/>
          <w:szCs w:val="24"/>
        </w:rPr>
        <w:instrText>ADDIN CSL_CITATION {"citationItems":[{"id":"ITEM-1","itemData":{"DOI":"10.29060/TAPS.2019-4-1/GP1077","author":[{"dropping-particle":"","family":"Mustika","given":"Rita","non-dropping-particle":"","parse-names":false,"suffix":""},{"dropping-particle":"","family":"Nishigori","given":"Hiroshi","non-dropping-particle":"","parse-names":false,"suffix":""},{"dropping-particle":"","family":"Ronokusumo","given":"Sjamsuhidajat","non-dropping-particle":"","parse-names":false,"suffix":""},{"dropping-particle":"","family":"Scherpbier","given":"Albert","non-dropping-particle":"","parse-names":false,"suffix":""}],"container-title":"The Asia Pacific Scholar","id":"ITEM-1","issue":"1","issued":{"date-parts":[["2019"]]},"page":"4-8","title":"The Odyssey of Medical Education in Indonesia,","type":"article-journal","volume":"4"},"uris":["http://www.mendeley.com/documents/?uuid=3bf71a0d-d83b-4327-9533-e7837bfa3bc5"]}],"mendeley":{"formattedCitation":"(Mustika et al., 2019)","plainTextFormattedCitation":"(Mustika et al., 2019)","previouslyFormattedCitation":"(Mustika et al., 2019)"},"properties":{"noteIndex":0},"schema":"https://github.com/citation-style-language/schema/raw/master/csl-citation.json"}</w:instrText>
      </w:r>
      <w:r w:rsidR="00C4604B">
        <w:rPr>
          <w:rFonts w:ascii="Calibri Light" w:hAnsi="Calibri Light" w:cs="Calibri Light"/>
          <w:sz w:val="24"/>
          <w:szCs w:val="24"/>
        </w:rPr>
        <w:fldChar w:fldCharType="separate"/>
      </w:r>
      <w:r w:rsidR="00C4604B" w:rsidRPr="00C4604B">
        <w:rPr>
          <w:rFonts w:ascii="Calibri Light" w:hAnsi="Calibri Light" w:cs="Calibri Light"/>
          <w:noProof/>
          <w:sz w:val="24"/>
          <w:szCs w:val="24"/>
        </w:rPr>
        <w:t>(Mustika et al., 2019)</w:t>
      </w:r>
      <w:r w:rsidR="00C4604B">
        <w:rPr>
          <w:rFonts w:ascii="Calibri Light" w:hAnsi="Calibri Light" w:cs="Calibri Light"/>
          <w:sz w:val="24"/>
          <w:szCs w:val="24"/>
        </w:rPr>
        <w:fldChar w:fldCharType="end"/>
      </w:r>
      <w:r w:rsidRPr="009C69F5">
        <w:rPr>
          <w:rFonts w:ascii="Calibri Light" w:hAnsi="Calibri Light" w:cs="Calibri Light"/>
          <w:sz w:val="24"/>
          <w:szCs w:val="24"/>
        </w:rPr>
        <w:t>.</w:t>
      </w:r>
    </w:p>
    <w:p w:rsidR="0000610E" w:rsidRPr="0000610E" w:rsidRDefault="0000610E" w:rsidP="0000610E">
      <w:pPr>
        <w:spacing w:before="120" w:after="120"/>
        <w:ind w:left="440" w:right="-1" w:hanging="14"/>
        <w:jc w:val="both"/>
        <w:rPr>
          <w:rFonts w:ascii="Calibri Light" w:hAnsi="Calibri Light" w:cs="Calibri Light"/>
          <w:sz w:val="24"/>
          <w:szCs w:val="24"/>
        </w:rPr>
      </w:pPr>
      <w:r w:rsidRPr="0000610E">
        <w:rPr>
          <w:rFonts w:ascii="Calibri Light" w:hAnsi="Calibri Light" w:cs="Calibri Light"/>
          <w:sz w:val="24"/>
          <w:szCs w:val="24"/>
        </w:rPr>
        <w:t>Furthermore, the Dutch colonial legacy extended to inheritance laws, where customary and Islamic inheritance laws coexisted alongside Dutch practices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{"citationItems":[{"id":"ITEM-1","itemData":{"DOI":"10.2991/978-2-38476-164-7_2","ISBN":"2352-5398","author":[{"dropping-particle":"","family":"Adeline","given":"Agnes Listya","non-dropping-particle":"","parse-names":false,"suffix":""},{"dropping-particle":"","family":"Rahayu","given":"Mella Ismelina Farma","non-dropping-particle":"","parse-names":false,"suffix":""}],"container-title":"Proceedings of the 3rd International Conference on Law, Governance, and Social Justice (ICoLGaS 2023)","id":"ITEM-1","issued":{"date-parts":[["2023"]]},"page":"4-16","publisher":"Atlantis Press","title":"The Existence of Inheritance in Indonesia against Customary Inheritance Law and Islamic Inheritance Law BT - Proceedings of the 3rd International Conference on Law, Governance, and Social Justice (ICoLGaS 2023)","type":"paper-conference"},"uris":["http://www.mendeley.com/documents/?uuid=f1a3e201-d159-4c8f-a58f-bb01c00d90e1"]}],"mendeley":{"formattedCitation":"(Adeline &amp; Rahayu, 2023)","plainTextFormattedCitation":"(Adeline &amp; Rahayu, 2023)","previouslyFormattedCitation":"(Adeline &amp; Rahayu, 2023)"},"properties":{"noteIndex":0},"schema":"https://github.com/citation-style-language/schema/raw/master/csl-citation.json"}</w:instrText>
      </w:r>
      <w:r>
        <w:rPr>
          <w:rFonts w:ascii="Calibri Light" w:hAnsi="Calibri Light" w:cs="Calibri Light"/>
          <w:sz w:val="24"/>
          <w:szCs w:val="24"/>
        </w:rPr>
        <w:fldChar w:fldCharType="separate"/>
      </w:r>
      <w:r w:rsidRPr="0000610E">
        <w:rPr>
          <w:rFonts w:ascii="Calibri Light" w:hAnsi="Calibri Light" w:cs="Calibri Light"/>
          <w:noProof/>
          <w:sz w:val="24"/>
          <w:szCs w:val="24"/>
        </w:rPr>
        <w:t xml:space="preserve">(Adeline &amp; Rahayu, </w:t>
      </w:r>
      <w:r w:rsidRPr="0000610E">
        <w:rPr>
          <w:rFonts w:ascii="Calibri Light" w:hAnsi="Calibri Light" w:cs="Calibri Light"/>
          <w:noProof/>
          <w:sz w:val="24"/>
          <w:szCs w:val="24"/>
        </w:rPr>
        <w:lastRenderedPageBreak/>
        <w:t>2023)</w:t>
      </w:r>
      <w:r>
        <w:rPr>
          <w:rFonts w:ascii="Calibri Light" w:hAnsi="Calibri Light" w:cs="Calibri Light"/>
          <w:sz w:val="24"/>
          <w:szCs w:val="24"/>
        </w:rPr>
        <w:fldChar w:fldCharType="end"/>
      </w:r>
      <w:r w:rsidRPr="0000610E">
        <w:rPr>
          <w:rFonts w:ascii="Calibri Light" w:hAnsi="Calibri Light" w:cs="Calibri Light"/>
          <w:sz w:val="24"/>
          <w:szCs w:val="24"/>
        </w:rPr>
        <w:t>. The Dutch colonial government conducted ecological mapping for the establishment of salt production centers in Indonesia, reflecting their administrative and economic interests during that time</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{"citationItems":[{"id":"ITEM-1","itemData":{"DOI":"10.1051/e3sconf/202131704024","author":[{"dropping-particle":"","family":"Mahasin","given":"Mohamad Z.","non-dropping-particle":"","parse-names":false,"suffix":""},{"dropping-particle":"","family":"Rochwulaningsih","given":"Yety","non-dropping-particle":"","parse-names":false,"suffix":""},{"dropping-particle":"","family":"Sulistiyono","given":"Singgih T.","non-dropping-particle":"","parse-names":false,"suffix":""}],"container-title":"E3S web of conferences; The 6th International Conference on Energy, Environment, Epidemiology, and Information System (ICENIS 2021)","id":"ITEM-1","issue":"7","issued":{"date-parts":[["2021"]]},"page":"04024","title":"Ecological Mapping for the Development of Salt Production Centres in Indonesia During the Dutch Colonial Era","type":"article-journal","volume":"317"},"uris":["http://www.mendeley.com/documents/?uuid=7107c4c1-5945-4b39-8390-1aaa6158935f"]}],"mendeley":{"formattedCitation":"(Mahasin et al., 2021)","plainTextFormattedCitation":"(Mahasin et al., 2021)","previouslyFormattedCitation":"(Mahasin et al., 2021)"},"properties":{"noteIndex":0},"schema":"https://github.com/citation-style-language/schema/raw/master/csl-citation.json"}</w:instrText>
      </w:r>
      <w:r w:rsidR="00C66FC0">
        <w:rPr>
          <w:rFonts w:ascii="Calibri Light" w:hAnsi="Calibri Light" w:cs="Calibri Light"/>
          <w:sz w:val="24"/>
          <w:szCs w:val="24"/>
        </w:rPr>
        <w:fldChar w:fldCharType="separate"/>
      </w:r>
      <w:r w:rsidR="00C66FC0" w:rsidRPr="00C66FC0">
        <w:rPr>
          <w:rFonts w:ascii="Calibri Light" w:hAnsi="Calibri Light" w:cs="Calibri Light"/>
          <w:noProof/>
          <w:sz w:val="24"/>
          <w:szCs w:val="24"/>
        </w:rPr>
        <w:t>(Mahasin et al., 2021)</w:t>
      </w:r>
      <w:r w:rsidR="00C66FC0">
        <w:rPr>
          <w:rFonts w:ascii="Calibri Light" w:hAnsi="Calibri Light" w:cs="Calibri Light"/>
          <w:sz w:val="24"/>
          <w:szCs w:val="24"/>
        </w:rPr>
        <w:fldChar w:fldCharType="end"/>
      </w:r>
      <w:r w:rsidRPr="0000610E">
        <w:rPr>
          <w:rFonts w:ascii="Calibri Light" w:hAnsi="Calibri Light" w:cs="Calibri Light"/>
          <w:sz w:val="24"/>
          <w:szCs w:val="24"/>
        </w:rPr>
        <w:t>. Additionally, representations of nature and landscape in the Dutch East Indies (colonial Indonesia) were influenced by gender, race, and European ideologies</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C66FC0">
        <w:rPr>
          <w:rFonts w:ascii="Calibri Light" w:hAnsi="Calibri Light" w:cs="Calibri Light"/>
          <w:sz w:val="24"/>
          <w:szCs w:val="24"/>
        </w:rPr>
        <w:instrText>ADDIN CSL_CITATION {"citationItems":[{"id":"ITEM-1","itemData":{"DOI":"10.1111/j.1468-0424.2008.00530.x","author":[{"dropping-particle":"","family":"Protschky","given":"Susanne","non-dropping-particle":"","parse-names":false,"suffix":""}],"container-title":"Gender &amp; History","id":"ITEM-1","issue":"2","issued":{"date-parts":[["2008"]]},"title":"Seductive Landscapes: Gender, Race and European Representations of Nature in the Dutch East Indies During the Late Colonial Period","type":"article-journal","volume":"20"},"uris":["http://www.mendeley.com/documents/?uuid=14a463a4-0a99-465f-88b4-af2180184853"]}],"mendeley":{"formattedCitation":"(Protschky, 2008)","plainTextFormattedCitation":"(Protschky, 2008)","previouslyFormattedCitation":"(Protschky, 2008)"},"properties":{"noteIndex":0},"schema":"https://github.com/citation-style-language/schema/raw/master/csl-citation.json"}</w:instrText>
      </w:r>
      <w:r w:rsidR="00C66FC0">
        <w:rPr>
          <w:rFonts w:ascii="Calibri Light" w:hAnsi="Calibri Light" w:cs="Calibri Light"/>
          <w:sz w:val="24"/>
          <w:szCs w:val="24"/>
        </w:rPr>
        <w:fldChar w:fldCharType="separate"/>
      </w:r>
      <w:r w:rsidR="00C66FC0" w:rsidRPr="00C66FC0">
        <w:rPr>
          <w:rFonts w:ascii="Calibri Light" w:hAnsi="Calibri Light" w:cs="Calibri Light"/>
          <w:noProof/>
          <w:sz w:val="24"/>
          <w:szCs w:val="24"/>
        </w:rPr>
        <w:t>(Protschky, 2008)</w:t>
      </w:r>
      <w:r w:rsidR="00C66FC0">
        <w:rPr>
          <w:rFonts w:ascii="Calibri Light" w:hAnsi="Calibri Light" w:cs="Calibri Light"/>
          <w:sz w:val="24"/>
          <w:szCs w:val="24"/>
        </w:rPr>
        <w:fldChar w:fldCharType="end"/>
      </w:r>
      <w:r w:rsidRPr="0000610E">
        <w:rPr>
          <w:rFonts w:ascii="Calibri Light" w:hAnsi="Calibri Light" w:cs="Calibri Light"/>
          <w:sz w:val="24"/>
          <w:szCs w:val="24"/>
        </w:rPr>
        <w:t>.</w:t>
      </w:r>
    </w:p>
    <w:p w:rsidR="0000610E" w:rsidRDefault="0000610E" w:rsidP="0000610E">
      <w:pPr>
        <w:spacing w:before="120" w:after="120"/>
        <w:ind w:left="440" w:right="-1" w:hanging="14"/>
        <w:jc w:val="both"/>
        <w:rPr>
          <w:rFonts w:ascii="Calibri Light" w:hAnsi="Calibri Light" w:cs="Calibri Light"/>
          <w:sz w:val="24"/>
          <w:szCs w:val="24"/>
        </w:rPr>
      </w:pPr>
      <w:r w:rsidRPr="0000610E">
        <w:rPr>
          <w:rFonts w:ascii="Calibri Light" w:hAnsi="Calibri Light" w:cs="Calibri Light"/>
          <w:sz w:val="24"/>
          <w:szCs w:val="24"/>
        </w:rPr>
        <w:t>In the era of independence, religious life in Indonesia is still characterized by the diversity of religious identities intertwined with other aspects such as political dynamics and the quality of social life. The country’s shift to democracy after the downfall of the authoritarian New Order government in 1998 has led to notable transformations in the religious scenery, impacting the interplay between national and religious identities</w:t>
      </w:r>
      <w:r w:rsidR="00C66FC0">
        <w:rPr>
          <w:rFonts w:ascii="Calibri Light" w:hAnsi="Calibri Light" w:cs="Calibri Light"/>
          <w:sz w:val="24"/>
          <w:szCs w:val="24"/>
        </w:rPr>
        <w:t xml:space="preserve"> </w:t>
      </w:r>
      <w:r w:rsidR="00C66FC0">
        <w:rPr>
          <w:rFonts w:ascii="Calibri Light" w:hAnsi="Calibri Light" w:cs="Calibri Light"/>
          <w:sz w:val="24"/>
          <w:szCs w:val="24"/>
        </w:rPr>
        <w:fldChar w:fldCharType="begin" w:fldLock="1"/>
      </w:r>
      <w:r w:rsidR="007C0010">
        <w:rPr>
          <w:rFonts w:ascii="Calibri Light" w:hAnsi="Calibri Light" w:cs="Calibri Light"/>
          <w:sz w:val="24"/>
          <w:szCs w:val="24"/>
        </w:rPr>
        <w:instrText>ADDIN CSL_CITATION {"citationItems":[{"id":"ITEM-1","itemData":{"DOI":"10.1017/prp.2018.25","author":[{"dropping-particle":"","family":"Wibisono","given":"Susilo","non-dropping-particle":"","parse-names":false,"suffix":""},{"dropping-particle":"","family":"Louis","given":"Winnifred R.","non-dropping-particle":"","parse-names":false,"suffix":""},{"dropping-particle":"","family":"Jetten","given":"Jolanda","non-dropping-particle":"","parse-names":false,"suffix":""}],"container-title":"Journal of Pacific Rim Psychology","id":"ITEM-1","issued":{"date-parts":[["2019"]]},"title":"The Role of Religious Fundamentalism in the Intersection of National and Religious Identities","type":"article-journal","volume":"13"},"uris":["http://www.mendeley.com/documents/?uuid=513d480d-c10b-4583-83e1-31aa730742cc"]}],"mendeley":{"formattedCitation":"(Wibisono et al., 2019)","plainTextFormattedCitation":"(Wibisono et al., 2019)","previouslyFormattedCitation":"(Wibisono et al., 2019)"},"properties":{"noteIndex":0},"schema":"https://github.com/citation-style-language/schema/raw/master/csl-citation.json"}</w:instrText>
      </w:r>
      <w:r w:rsidR="00C66FC0">
        <w:rPr>
          <w:rFonts w:ascii="Calibri Light" w:hAnsi="Calibri Light" w:cs="Calibri Light"/>
          <w:sz w:val="24"/>
          <w:szCs w:val="24"/>
        </w:rPr>
        <w:fldChar w:fldCharType="separate"/>
      </w:r>
      <w:r w:rsidR="00C66FC0" w:rsidRPr="00C66FC0">
        <w:rPr>
          <w:rFonts w:ascii="Calibri Light" w:hAnsi="Calibri Light" w:cs="Calibri Light"/>
          <w:noProof/>
          <w:sz w:val="24"/>
          <w:szCs w:val="24"/>
        </w:rPr>
        <w:t>(Wibisono et al., 2019)</w:t>
      </w:r>
      <w:r w:rsidR="00C66FC0">
        <w:rPr>
          <w:rFonts w:ascii="Calibri Light" w:hAnsi="Calibri Light" w:cs="Calibri Light"/>
          <w:sz w:val="24"/>
          <w:szCs w:val="24"/>
        </w:rPr>
        <w:fldChar w:fldCharType="end"/>
      </w:r>
      <w:r w:rsidRPr="0000610E">
        <w:rPr>
          <w:rFonts w:ascii="Calibri Light" w:hAnsi="Calibri Light" w:cs="Calibri Light"/>
          <w:sz w:val="24"/>
          <w:szCs w:val="24"/>
        </w:rPr>
        <w:t>. The 1998 Reformasi has brought a new atmosphere to the democratic life in Indonesia with reforms in the economic, legal, and political realms.</w:t>
      </w:r>
    </w:p>
    <w:p w:rsidR="007C0010" w:rsidRPr="007C0010" w:rsidRDefault="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In the post-1998 Reform era, Indonesia experienced a shift towards greater openness in communication. This environment fostered a willingness among communities to express their identities. Individuals with religious fundamentalist beliefs have become more vocal in advocating for ideas that challenge the Indonesian constitution through an Islamic social lens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{"citationItems":[{"id":"ITEM-1","itemData":{"DOI":"10.1017/prp.2018.25","author":[{"dropping-particle":"","family":"Wibisono","given":"Susilo","non-dropping-particle":"","parse-names":false,"suffix":""},{"dropping-particle":"","family":"Louis","given":"Winnifred R.","non-dropping-particle":"","parse-names":false,"suffix":""},{"dropping-particle":"","family":"Jetten","given":"Jolanda","non-dropping-particle":"","parse-names":false,"suffix":""}],"container-title":"Journal of Pacific Rim Psychology","id":"ITEM-1","issued":{"date-parts":[["2019"]]},"title":"The Role of Religious Fundamentalism in the Intersection of National and Religious Identities","type":"article-journal","volume":"13"},"uris":["http://www.mendeley.com/documents/?uuid=513d480d-c10b-4583-83e1-31aa730742cc"]}],"mendeley":{"formattedCitation":"(Wibisono et al., 2019)","plainTextFormattedCitation":"(Wibisono et al., 2019)","previouslyFormattedCitation":"(Wibisono et al., 2019)"},"properties":{"noteIndex":0},"schema":"https://github.com/citation-style-language/schema/raw/master/csl-citation.json"}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(Wibisono et al., 2019)</w:t>
      </w:r>
      <w:r>
        <w:rPr>
          <w:rFonts w:ascii="Calibri Light" w:hAnsi="Calibri Light" w:cs="Calibri Light"/>
          <w:sz w:val="24"/>
          <w:szCs w:val="24"/>
        </w:rPr>
        <w:fldChar w:fldCharType="end"/>
      </w:r>
      <w:r w:rsidRPr="007C0010">
        <w:rPr>
          <w:rFonts w:ascii="Calibri Light" w:hAnsi="Calibri Light" w:cs="Calibri Light"/>
          <w:sz w:val="24"/>
          <w:szCs w:val="24"/>
        </w:rPr>
        <w:t>. This development ignited a nationwide dialogue on balancing the freedom to express religious beliefs with the need for national unity.</w:t>
      </w:r>
    </w:p>
    <w:p w:rsidR="007C0010" w:rsidRDefault="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{"citationItems":[{"id":"ITEM-1","itemData":{"DOI":"10.1558/isit.24603","author":[{"dropping-particle":"","family":"Cholil","given":"Suhadi","non-dropping-particle":"","parse-names":false,"suffix":""}],"container-title":"Interreligious Studies and Intercultural Theology","id":"ITEM-1","issue":"2","issued":{"date-parts":[["2023"]]},"page":"196-204","title":"Freedom of Religion Amid Polarization and Religious Moderation Policy","type":"article-journal","volume":"6"},"uris":["http://www.mendeley.com/documents/?uuid=3fc1bb3e-dd45-4147-a4ff-f37e32949e66"]}],"mendeley":{"formattedCitation":"(Cholil, 2023)","plainTextFormattedCitation":"(Cholil, 2023)","previouslyFormattedCitation":"(Cholil, 2023)"},"properties":{"noteIndex":0},"schema":"https://github.com/citation-style-language/schema/raw/master/csl-citation.json"}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(Cholil, 2023)</w:t>
      </w:r>
      <w:r>
        <w:rPr>
          <w:rFonts w:ascii="Calibri Light" w:hAnsi="Calibri Light" w:cs="Calibri Light"/>
          <w:sz w:val="24"/>
          <w:szCs w:val="24"/>
        </w:rPr>
        <w:fldChar w:fldCharType="end"/>
      </w:r>
      <w:r w:rsidRPr="007C0010">
        <w:rPr>
          <w:rFonts w:ascii="Calibri Light" w:hAnsi="Calibri Light" w:cs="Calibri Light"/>
          <w:sz w:val="24"/>
          <w:szCs w:val="24"/>
        </w:rPr>
        <w:t>. The primary focus of this effort is to strengthen awareness and cooperation among the extensive spectrum of religious groups in Indonesia, comprising Islam, Christianity, Hinduism, Buddhism, Confucianism, alongside numerous traditional beliefs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10.18326/ijims.v11i2.213-241","author":[{"dropping-particle":"","family":"Nasir","given":"Muhammad","non-dropping-particle":"","parse-names":false,"suffix":""},{"dropping-particle":"","family":"Rijal","given":"Muhammad","non-dropping-particle":"","parse-names":false,"suffix":""}],"container-title":"ndonesian Journal of Islam and Muslim Societies","id":"ITEM-1","issue":"2","issued":{"date-parts":[["2021"]]},"page":"213-241","title":"Keeping the Middle Path: Mainstreaming Religious Moderation through Islamic Higher Education Institutions in Indonesia","type":"article-journal","volume":"11"},"uris":["http://www.mendeley.com/documents/?uuid=f67567aa-2b9e-4379-9675-8d71019624dd"]}],"mendeley":{"formattedCitation":"(Nasir &amp; Rijal, 2021)","plainTextFormattedCitation":"(Nasir &amp; Rijal, 2021)","previouslyFormattedCitation":"(Nasir &amp; Rijal, 2021)"},"properties":{"noteIndex":0},"schema":"https://github.com/citation-style-language/schema/raw/master/csl-citation.json"}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(Nasir &amp; Rijal, 2021)</w:t>
      </w:r>
      <w:r>
        <w:rPr>
          <w:rFonts w:ascii="Calibri Light" w:hAnsi="Calibri Light" w:cs="Calibri Light"/>
          <w:sz w:val="24"/>
          <w:szCs w:val="24"/>
        </w:rPr>
        <w:fldChar w:fldCharType="end"/>
      </w:r>
      <w:r w:rsidRPr="007C0010">
        <w:rPr>
          <w:rFonts w:ascii="Calibri Light" w:hAnsi="Calibri Light" w:cs="Calibri Light"/>
          <w:sz w:val="24"/>
          <w:szCs w:val="24"/>
        </w:rPr>
        <w:t>. This initiative seeks to manage diversity while fostering harmonious coexistence among different religious groups, reaffirming a commitment to peaceful living and mutual respect.</w:t>
      </w:r>
    </w:p>
    <w:p w:rsidR="007C0010" w:rsidRPr="007C0010" w:rsidRDefault="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Despite efforts to advocate for religious moderation, interfaith tensions persist in post-authoritarian Indonesia, influenced by factors such as multiculturalism, political dynamics, and a history of conflict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{"citationItems":[{"id":"ITEM-1","itemData":{"DOI":"10.7454/jp.v5i2.1013","author":[{"dropping-particle":"","family":"Regus","given":"Maksimus","non-dropping-particle":"","parse-names":false,"suffix":""}],"container-title":"Jurnal Politik","id":"ITEM-1","issue":"2","issued":{"date-parts":[["2020"]]},"title":"Interreligious Conflicts in Post-Authoritarian Indonesia: Assumptions, Causes, and Implications","type":"article-journal","volume":"5"},"uris":["http://www.mendeley.com/documents/?uuid=8258cb1f-5203-4418-a44b-961781c6cfa0"]}],"mendeley":{"formattedCitation":"(Regus, 2020)","plainTextFormattedCitation":"(Regus, 2020)","previouslyFormattedCitation":"(Regus, 2020)"},"properties":{"noteIndex":0},"schema":"https://github.com/citation-style-language/schema/raw/master/csl-citation.json"}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(Regus, 2020)</w:t>
      </w:r>
      <w:r>
        <w:rPr>
          <w:rFonts w:ascii="Calibri Light" w:hAnsi="Calibri Light" w:cs="Calibri Light"/>
          <w:sz w:val="24"/>
          <w:szCs w:val="24"/>
        </w:rPr>
        <w:fldChar w:fldCharType="end"/>
      </w:r>
      <w:r w:rsidRPr="007C0010">
        <w:rPr>
          <w:rFonts w:ascii="Calibri Light" w:hAnsi="Calibri Light" w:cs="Calibri Light"/>
          <w:sz w:val="24"/>
          <w:szCs w:val="24"/>
        </w:rPr>
        <w:t>. The intricacies of religious pluralism in Indonesia are reflected in the difficulties of managing diversity and addressing internal religious factors that ignite discord. Within the sphere of education, integrating religious tolerance into the national syllabus seeks to encourage principles of acceptance, variety, and harmonious living among school students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author":[{"dropping-particle":"","family":"Inayatillah","given":"Inayatillah","non-dropping-particle":"","parse-names":false,"suffix":""},{"dropping-particle":"","family":"Kamaruddin","given":"Kamaruddin","non-dropping-particle":"","parse-names":false,"suffix":""},{"dropping-particle":"","family":"Anzaikhan","given":"M. A. M.","non-dropping-particle":"","parse-names":false,"suffix":""}],"container-title":"Journal of Al-Tamaddun","id":"ITEM-1","issue":"2","issued":{"date-parts":[["2022"]]},"title":"The History of Moderate Islam in Indonesia and Its Influence on the Content of National Education","type":"article-journal","volume":"17"},"uris":["http://www.mendeley.com/documents/?uuid=bec1c9b0-6729-4fc6-a4ad-b1e9593023ba"]}],"mendeley":{"formattedCitation":"(Inayatillah et al., 2022)","plainTextFormattedCitation":"(Inayatillah et al., 2022)","previouslyFormattedCitation":"(Inayatillah et al., 2022)"},"properties":{"noteIndex":0},"schema":"https://github.com/citation-style-language/schema/raw/master/csl-citation.json"}</w:instrText>
      </w:r>
      <w:r>
        <w:rPr>
          <w:rFonts w:ascii="Calibri Light" w:hAnsi="Calibri Light" w:cs="Calibri Light"/>
          <w:sz w:val="24"/>
          <w:szCs w:val="24"/>
        </w:rPr>
        <w:fldChar w:fldCharType="separate"/>
      </w:r>
      <w:r w:rsidRPr="007C0010">
        <w:rPr>
          <w:rFonts w:ascii="Calibri Light" w:hAnsi="Calibri Light" w:cs="Calibri Light"/>
          <w:noProof/>
          <w:sz w:val="24"/>
          <w:szCs w:val="24"/>
        </w:rPr>
        <w:t>(Inayatillah et al., 2022)</w:t>
      </w:r>
      <w:r>
        <w:rPr>
          <w:rFonts w:ascii="Calibri Light" w:hAnsi="Calibri Light" w:cs="Calibri Light"/>
          <w:sz w:val="24"/>
          <w:szCs w:val="24"/>
        </w:rPr>
        <w:fldChar w:fldCharType="end"/>
      </w:r>
      <w:r w:rsidRPr="007C0010">
        <w:rPr>
          <w:rFonts w:ascii="Calibri Light" w:hAnsi="Calibri Light" w:cs="Calibri Light"/>
          <w:sz w:val="24"/>
          <w:szCs w:val="24"/>
        </w:rPr>
        <w:t>.</w:t>
      </w:r>
    </w:p>
    <w:p w:rsidR="007C0010" w:rsidRDefault="007C0010" w:rsidP="007C0010">
      <w:pPr>
        <w:spacing w:before="120" w:after="120"/>
        <w:ind w:left="440" w:right="-1" w:hanging="14"/>
        <w:jc w:val="both"/>
        <w:rPr>
          <w:rFonts w:ascii="Calibri Light" w:hAnsi="Calibri Light" w:cs="Calibri Light"/>
          <w:sz w:val="24"/>
          <w:szCs w:val="24"/>
        </w:rPr>
      </w:pPr>
      <w:r w:rsidRPr="007C0010">
        <w:rPr>
          <w:rFonts w:ascii="Calibri Light" w:hAnsi="Calibri Light" w:cs="Calibri Light"/>
          <w:sz w:val="24"/>
          <w:szCs w:val="24"/>
        </w:rPr>
        <w:t xml:space="preserve">Integrating moderate Islam in education exemplifies efforts to cultivate a new generation in Indonesia dedicated to fostering interfaith harmony and understanding. Ultimately, Indonesia’s religious landscape throughout the 2000s exhibited a delicate balance between religious diversity, political evolution, and social cohesion. 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 After examining the historical context and development of religious life in </w:t>
      </w:r>
      <w:r w:rsidRPr="007C0010">
        <w:rPr>
          <w:rFonts w:ascii="Calibri Light" w:hAnsi="Calibri Light" w:cs="Calibri Light"/>
          <w:sz w:val="24"/>
          <w:szCs w:val="24"/>
        </w:rPr>
        <w:lastRenderedPageBreak/>
        <w:t xml:space="preserve">Indonesia, the following subset discusses the emergence of </w:t>
      </w:r>
      <w:r w:rsidR="00A052EF" w:rsidRPr="00A052EF">
        <w:rPr>
          <w:rFonts w:ascii="Calibri Light" w:hAnsi="Calibri Light" w:cs="Calibri Light"/>
          <w:i/>
          <w:iCs/>
          <w:sz w:val="24"/>
          <w:szCs w:val="24"/>
        </w:rPr>
        <w:t>Da’wah</w:t>
      </w:r>
      <w:r w:rsidRPr="007C0010">
        <w:rPr>
          <w:rFonts w:ascii="Calibri Light" w:hAnsi="Calibri Light" w:cs="Calibri Light"/>
          <w:sz w:val="24"/>
          <w:szCs w:val="24"/>
        </w:rPr>
        <w:t xml:space="preserve"> movements in Indonesia from the early 20th century and how they affect the sociopolitical conditions in the archipelago.</w:t>
      </w:r>
    </w:p>
    <w:p w:rsidR="007C0010" w:rsidRPr="007C0010" w:rsidRDefault="007C0010" w:rsidP="007C0010">
      <w:pPr>
        <w:spacing w:before="120" w:after="120"/>
        <w:ind w:left="440" w:right="-1" w:hanging="14"/>
        <w:jc w:val="both"/>
        <w:rPr>
          <w:rFonts w:ascii="Calibri Light" w:hAnsi="Calibri Light" w:cs="Calibri Light"/>
          <w:b/>
          <w:bCs/>
          <w:sz w:val="24"/>
          <w:szCs w:val="24"/>
        </w:rPr>
      </w:pPr>
      <w:r w:rsidRPr="007C0010">
        <w:rPr>
          <w:rFonts w:ascii="Calibri Light" w:hAnsi="Calibri Light" w:cs="Calibri Light"/>
          <w:b/>
          <w:bCs/>
          <w:sz w:val="24"/>
          <w:szCs w:val="24"/>
        </w:rPr>
        <w:t xml:space="preserve">The Inception of </w:t>
      </w:r>
      <w:r w:rsidR="00A052EF" w:rsidRPr="00A052EF">
        <w:rPr>
          <w:rFonts w:ascii="Calibri Light" w:hAnsi="Calibri Light" w:cs="Calibri Light"/>
          <w:b/>
          <w:bCs/>
          <w:i/>
          <w:iCs/>
          <w:sz w:val="24"/>
          <w:szCs w:val="24"/>
        </w:rPr>
        <w:t>Da’wah</w:t>
      </w:r>
      <w:r w:rsidRPr="007C0010">
        <w:rPr>
          <w:rFonts w:ascii="Calibri Light" w:hAnsi="Calibri Light" w:cs="Calibri Light"/>
          <w:b/>
          <w:bCs/>
          <w:sz w:val="24"/>
          <w:szCs w:val="24"/>
        </w:rPr>
        <w:t xml:space="preserve"> Movements in early 20th Century Indonesia</w:t>
      </w:r>
    </w:p>
    <w:p w:rsidR="00234C2D" w:rsidRPr="00234C2D" w:rsidRDefault="00234C2D" w:rsidP="00234C2D">
      <w:pPr>
        <w:spacing w:before="120" w:after="120"/>
        <w:ind w:left="440" w:right="-1" w:hanging="14"/>
        <w:jc w:val="both"/>
        <w:rPr>
          <w:rFonts w:ascii="Calibri Light" w:hAnsi="Calibri Light" w:cs="Calibri Light"/>
          <w:sz w:val="24"/>
          <w:szCs w:val="24"/>
        </w:rPr>
      </w:pPr>
      <w:r w:rsidRPr="00234C2D">
        <w:rPr>
          <w:rFonts w:ascii="Calibri Light" w:hAnsi="Calibri Light" w:cs="Calibri Light"/>
          <w:sz w:val="24"/>
          <w:szCs w:val="24"/>
        </w:rPr>
        <w:t xml:space="preserve">The rise of </w:t>
      </w:r>
      <w:r w:rsidR="00A052EF" w:rsidRPr="00A052EF">
        <w:rPr>
          <w:rFonts w:ascii="Calibri Light" w:hAnsi="Calibri Light" w:cs="Calibri Light"/>
          <w:i/>
          <w:iCs/>
          <w:sz w:val="24"/>
          <w:szCs w:val="24"/>
        </w:rPr>
        <w:t>Da’wah</w:t>
      </w:r>
      <w:r w:rsidRPr="00234C2D">
        <w:rPr>
          <w:rFonts w:ascii="Calibri Light" w:hAnsi="Calibri Light" w:cs="Calibri Light"/>
          <w:sz w:val="24"/>
          <w:szCs w:val="24"/>
        </w:rPr>
        <w:t xml:space="preserve"> activities in Indonesia can be traced back to the early 20th century. The unfavorable conditions for the Indigenous population under Dutch colonial rule, especially since implementing the </w:t>
      </w:r>
      <w:proofErr w:type="spellStart"/>
      <w:r w:rsidRPr="002F3F4C">
        <w:rPr>
          <w:rFonts w:ascii="Calibri Light" w:hAnsi="Calibri Light" w:cs="Calibri Light"/>
          <w:i/>
          <w:iCs/>
          <w:sz w:val="24"/>
          <w:szCs w:val="24"/>
        </w:rPr>
        <w:t>cultuurstelsel</w:t>
      </w:r>
      <w:proofErr w:type="spellEnd"/>
      <w:r w:rsidRPr="00234C2D">
        <w:rPr>
          <w:rFonts w:ascii="Calibri Light" w:hAnsi="Calibri Light" w:cs="Calibri Light"/>
          <w:sz w:val="24"/>
          <w:szCs w:val="24"/>
        </w:rPr>
        <w:t xml:space="preserve"> system in the 19th century, gradually triggered the emergence of nationalist movements and the </w:t>
      </w:r>
      <w:r w:rsidR="00A052EF" w:rsidRPr="00A052EF">
        <w:rPr>
          <w:rFonts w:ascii="Calibri Light" w:hAnsi="Calibri Light" w:cs="Calibri Light"/>
          <w:i/>
          <w:iCs/>
          <w:sz w:val="24"/>
          <w:szCs w:val="24"/>
        </w:rPr>
        <w:t>Da’wah</w:t>
      </w:r>
      <w:r w:rsidRPr="00234C2D">
        <w:rPr>
          <w:rFonts w:ascii="Calibri Light" w:hAnsi="Calibri Light" w:cs="Calibri Light"/>
          <w:sz w:val="24"/>
          <w:szCs w:val="24"/>
        </w:rPr>
        <w:t xml:space="preserve"> movements without exception.</w:t>
      </w:r>
    </w:p>
    <w:p w:rsidR="009C69F5" w:rsidRDefault="00234C2D" w:rsidP="00234C2D">
      <w:pPr>
        <w:spacing w:before="120" w:after="120"/>
        <w:ind w:left="440" w:right="-1" w:hanging="14"/>
        <w:jc w:val="both"/>
        <w:rPr>
          <w:rFonts w:ascii="Calibri Light" w:hAnsi="Calibri Light" w:cs="Calibri Light"/>
          <w:sz w:val="24"/>
          <w:szCs w:val="24"/>
        </w:rPr>
      </w:pPr>
      <w:r w:rsidRPr="00234C2D">
        <w:rPr>
          <w:rFonts w:ascii="Calibri Light" w:hAnsi="Calibri Light" w:cs="Calibri Light"/>
          <w:sz w:val="24"/>
          <w:szCs w:val="24"/>
        </w:rPr>
        <w:t>The increasing resistance against the Dutch colonial rule had developed the notion of promoting Islamic values and principles as oppositional to European values and system</w:t>
      </w:r>
      <w:r w:rsidR="00C50F21">
        <w:rPr>
          <w:rFonts w:ascii="Calibri Light" w:hAnsi="Calibri Light" w:cs="Calibri Light"/>
          <w:sz w:val="24"/>
          <w:szCs w:val="24"/>
        </w:rPr>
        <w:t xml:space="preserve"> </w:t>
      </w:r>
      <w:r w:rsidR="00C50F21">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{"citationItems":[{"id":"ITEM-1","itemData":{"author":[{"dropping-particle":"","family":"Ridwan","given":"Auliya","non-dropping-particle":"","parse-names":false,"suffix":""}],"container-title":"Marâji`: Jurnal Ilmu Keislaman","id":"ITEM-1","issue":"2","issued":{"date-parts":[["2016"]]},"page":"227-247","title":"Colonial Politics of Power and Cultural Identity Development of Islamic Education Vis-a-Vis European Education in the Netherlands East Indies Periods","type":"article-journal","volume":"2"},"uris":["http://www.mendeley.com/documents/?uuid=78eed206-3b16-4943-8897-64e7ba0b0424"]}],"mendeley":{"formattedCitation":"(Ridwan, 2016)","plainTextFormattedCitation":"(Ridwan, 2016)","previouslyFormattedCitation":"(Ridwan, 2016)"},"properties":{"noteIndex":0},"schema":"https://github.com/citation-style-language/schema/raw/master/csl-citation.json"}</w:instrText>
      </w:r>
      <w:r w:rsidR="00C50F21">
        <w:rPr>
          <w:rFonts w:ascii="Calibri Light" w:hAnsi="Calibri Light" w:cs="Calibri Light"/>
          <w:sz w:val="24"/>
          <w:szCs w:val="24"/>
        </w:rPr>
        <w:fldChar w:fldCharType="separate"/>
      </w:r>
      <w:r w:rsidR="00C50F21" w:rsidRPr="00C50F21">
        <w:rPr>
          <w:rFonts w:ascii="Calibri Light" w:hAnsi="Calibri Light" w:cs="Calibri Light"/>
          <w:noProof/>
          <w:sz w:val="24"/>
          <w:szCs w:val="24"/>
        </w:rPr>
        <w:t>(Ridwan, 2016)</w:t>
      </w:r>
      <w:r w:rsidR="00C50F21">
        <w:rPr>
          <w:rFonts w:ascii="Calibri Light" w:hAnsi="Calibri Light" w:cs="Calibri Light"/>
          <w:sz w:val="24"/>
          <w:szCs w:val="24"/>
        </w:rPr>
        <w:fldChar w:fldCharType="end"/>
      </w:r>
      <w:r w:rsidRPr="00234C2D">
        <w:rPr>
          <w:rFonts w:ascii="Calibri Light" w:hAnsi="Calibri Light" w:cs="Calibri Light"/>
          <w:sz w:val="24"/>
          <w:szCs w:val="24"/>
        </w:rPr>
        <w:t xml:space="preserve">. The oppression by the colonial government awakened Muslim social movements as a form of resistance. Organizations like </w:t>
      </w:r>
      <w:proofErr w:type="spellStart"/>
      <w:r w:rsidRPr="002F3F4C">
        <w:rPr>
          <w:rFonts w:ascii="Calibri Light" w:hAnsi="Calibri Light" w:cs="Calibri Light"/>
          <w:i/>
          <w:iCs/>
          <w:sz w:val="24"/>
          <w:szCs w:val="24"/>
        </w:rPr>
        <w:t>Sarekat</w:t>
      </w:r>
      <w:proofErr w:type="spellEnd"/>
      <w:r w:rsidRPr="002F3F4C">
        <w:rPr>
          <w:rFonts w:ascii="Calibri Light" w:hAnsi="Calibri Light" w:cs="Calibri Light"/>
          <w:i/>
          <w:iCs/>
          <w:sz w:val="24"/>
          <w:szCs w:val="24"/>
        </w:rPr>
        <w:t xml:space="preserve"> </w:t>
      </w:r>
      <w:proofErr w:type="spellStart"/>
      <w:r w:rsidRPr="002F3F4C">
        <w:rPr>
          <w:rFonts w:ascii="Calibri Light" w:hAnsi="Calibri Light" w:cs="Calibri Light"/>
          <w:i/>
          <w:iCs/>
          <w:sz w:val="24"/>
          <w:szCs w:val="24"/>
        </w:rPr>
        <w:t>Dagang</w:t>
      </w:r>
      <w:proofErr w:type="spellEnd"/>
      <w:r w:rsidRPr="002F3F4C">
        <w:rPr>
          <w:rFonts w:ascii="Calibri Light" w:hAnsi="Calibri Light" w:cs="Calibri Light"/>
          <w:i/>
          <w:iCs/>
          <w:sz w:val="24"/>
          <w:szCs w:val="24"/>
        </w:rPr>
        <w:t xml:space="preserve"> Islam (SDI)</w:t>
      </w:r>
      <w:r w:rsidRPr="00234C2D">
        <w:rPr>
          <w:rFonts w:ascii="Calibri Light" w:hAnsi="Calibri Light" w:cs="Calibri Light"/>
          <w:sz w:val="24"/>
          <w:szCs w:val="24"/>
        </w:rPr>
        <w:t xml:space="preserve">, which evolved into </w:t>
      </w:r>
      <w:proofErr w:type="spellStart"/>
      <w:r w:rsidRPr="002F3F4C">
        <w:rPr>
          <w:rFonts w:ascii="Calibri Light" w:hAnsi="Calibri Light" w:cs="Calibri Light"/>
          <w:i/>
          <w:iCs/>
          <w:sz w:val="24"/>
          <w:szCs w:val="24"/>
        </w:rPr>
        <w:t>Sarekat</w:t>
      </w:r>
      <w:proofErr w:type="spellEnd"/>
      <w:r w:rsidRPr="002F3F4C">
        <w:rPr>
          <w:rFonts w:ascii="Calibri Light" w:hAnsi="Calibri Light" w:cs="Calibri Light"/>
          <w:i/>
          <w:iCs/>
          <w:sz w:val="24"/>
          <w:szCs w:val="24"/>
        </w:rPr>
        <w:t xml:space="preserve"> Islam (SI)</w:t>
      </w:r>
      <w:r w:rsidRPr="00234C2D">
        <w:rPr>
          <w:rFonts w:ascii="Calibri Light" w:hAnsi="Calibri Light" w:cs="Calibri Light"/>
          <w:sz w:val="24"/>
          <w:szCs w:val="24"/>
        </w:rPr>
        <w:t xml:space="preserve"> in 1906, aimed to address the challenges faced by the Muslim community and advocate for greater autonomy and recognition within the colonial framework</w:t>
      </w:r>
      <w:r w:rsidR="00C50F21">
        <w:rPr>
          <w:rFonts w:ascii="Calibri Light" w:hAnsi="Calibri Light" w:cs="Calibri Light"/>
          <w:sz w:val="24"/>
          <w:szCs w:val="24"/>
        </w:rPr>
        <w:t xml:space="preserve"> </w:t>
      </w:r>
      <w:r w:rsidR="00C50F21">
        <w:rPr>
          <w:rFonts w:ascii="Calibri Light" w:hAnsi="Calibri Light" w:cs="Calibri Light"/>
          <w:sz w:val="24"/>
          <w:szCs w:val="24"/>
        </w:rPr>
        <w:fldChar w:fldCharType="begin" w:fldLock="1"/>
      </w:r>
      <w:r w:rsidR="00C50F21">
        <w:rPr>
          <w:rFonts w:ascii="Calibri Light" w:hAnsi="Calibri Light" w:cs="Calibri Light"/>
          <w:sz w:val="24"/>
          <w:szCs w:val="24"/>
        </w:rPr>
        <w:instrText>ADDIN CSL_CITATION {"citationItems":[{"id":"ITEM-1","itemData":{"DOI":"10.15575/ijni.v7i1.4807","author":[{"dropping-particle":"","family":"Mustakif","given":"Muhammad K.","non-dropping-particle":"","parse-names":false,"suffix":""},{"dropping-particle":"","family":"Mulyati","given":"Mumung","non-dropping-particle":"","parse-names":false,"suffix":""}],"container-title":"International Journal of Nusantara Islam","id":"ITEM-1","issue":"1","issued":{"date-parts":[["2019"]]},"page":"1-17","title":"Sarekat Dagang Islam Sdi (1905-1912): Between the Savagery of Vereenigde Oostindische Compagnie (Voc) and the Independence of Indonesia","type":"article-journal","volume":"7"},"uris":["http://www.mendeley.com/documents/?uuid=68f4710e-72cd-4180-80af-7bc8950f4c9e"]}],"mendeley":{"formattedCitation":"(Mustakif &amp; Mulyati, 2019)","plainTextFormattedCitation":"(Mustakif &amp; Mulyati, 2019)","previouslyFormattedCitation":"(Mustakif &amp; Mulyati, 2019)"},"properties":{"noteIndex":0},"schema":"https://github.com/citation-style-language/schema/raw/master/csl-citation.json"}</w:instrText>
      </w:r>
      <w:r w:rsidR="00C50F21">
        <w:rPr>
          <w:rFonts w:ascii="Calibri Light" w:hAnsi="Calibri Light" w:cs="Calibri Light"/>
          <w:sz w:val="24"/>
          <w:szCs w:val="24"/>
        </w:rPr>
        <w:fldChar w:fldCharType="separate"/>
      </w:r>
      <w:r w:rsidR="00C50F21" w:rsidRPr="00C50F21">
        <w:rPr>
          <w:rFonts w:ascii="Calibri Light" w:hAnsi="Calibri Light" w:cs="Calibri Light"/>
          <w:noProof/>
          <w:sz w:val="24"/>
          <w:szCs w:val="24"/>
        </w:rPr>
        <w:t>(Mustakif &amp; Mulyati, 2019)</w:t>
      </w:r>
      <w:r w:rsidR="00C50F21">
        <w:rPr>
          <w:rFonts w:ascii="Calibri Light" w:hAnsi="Calibri Light" w:cs="Calibri Light"/>
          <w:sz w:val="24"/>
          <w:szCs w:val="24"/>
        </w:rPr>
        <w:fldChar w:fldCharType="end"/>
      </w:r>
      <w:r w:rsidRPr="00234C2D">
        <w:rPr>
          <w:rFonts w:ascii="Calibri Light" w:hAnsi="Calibri Light" w:cs="Calibri Light"/>
          <w:sz w:val="24"/>
          <w:szCs w:val="24"/>
        </w:rPr>
        <w:t xml:space="preserve">. Such example provides an argument that the rise of these </w:t>
      </w:r>
      <w:r w:rsidR="00A052EF" w:rsidRPr="00A052EF">
        <w:rPr>
          <w:rFonts w:ascii="Calibri Light" w:hAnsi="Calibri Light" w:cs="Calibri Light"/>
          <w:i/>
          <w:iCs/>
          <w:sz w:val="24"/>
          <w:szCs w:val="24"/>
        </w:rPr>
        <w:t>Da’wah</w:t>
      </w:r>
      <w:r w:rsidRPr="00234C2D">
        <w:rPr>
          <w:rFonts w:ascii="Calibri Light" w:hAnsi="Calibri Light" w:cs="Calibri Light"/>
          <w:sz w:val="24"/>
          <w:szCs w:val="24"/>
        </w:rPr>
        <w:t xml:space="preserve"> movements was not solely a religious matter but a social one, grounded in spiritual values.</w:t>
      </w:r>
    </w:p>
    <w:p w:rsidR="00C50F21" w:rsidRPr="00C50F21" w:rsidRDefault="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In the early 20th century, Islamic organizations such as Muhammadiyah (1912) and </w:t>
      </w:r>
      <w:proofErr w:type="spellStart"/>
      <w:r w:rsidRPr="00C50F21">
        <w:rPr>
          <w:rFonts w:ascii="Calibri Light" w:hAnsi="Calibri Light" w:cs="Calibri Light"/>
          <w:sz w:val="24"/>
          <w:szCs w:val="24"/>
        </w:rPr>
        <w:t>Nahdlatul</w:t>
      </w:r>
      <w:proofErr w:type="spellEnd"/>
      <w:r w:rsidRPr="00C50F21">
        <w:rPr>
          <w:rFonts w:ascii="Calibri Light" w:hAnsi="Calibri Light" w:cs="Calibri Light"/>
          <w:sz w:val="24"/>
          <w:szCs w:val="24"/>
        </w:rPr>
        <w:t xml:space="preserve"> Ulama (1926) were established. It reflects the merger of the social movements of Muslims, [which] emerged as a nationalist movement and endeavored to take over from the Dutch colonial administration. In his view, the tank and its cannon served only as a shapeshifter that morphed into that of the ideology espoused by the various Indigenous movements. These movements provided platforms to propagate Islamic teachings for Muslims to bond in solidarity with one another while attempting to champion social and economic justice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{"citationItems":[{"id":"ITEM-1","itemData":{"DOI":"10.15575/jassr.v4i1.64","author":[{"dropping-particle":"","family":"Rosidin","given":"Didin Nurul","non-dropping-particle":"","parse-names":false,"suffix":""},{"dropping-particle":"","family":"Amalia","given":"Mila","non-dropping-particle":"","parse-names":false,"suffix":""},{"dropping-particle":"","family":"Sa'dudin","given":"Ihsan","non-dropping-particle":"","parse-names":false,"suffix":""},{"dropping-particle":"","family":"Safitri","given":"Eka","non-dropping-particle":"","parse-names":false,"suffix":""}],"container-title":"Journal of Asian Social Science Research","id":"ITEM-1","issue":"1","issued":{"date-parts":[["2022"]]},"page":"63-86","title":"Muslim Social Movements in Cirebon and the Emergence of National Resistance Movements Against the Dutch Colonial Government in the Early 20th Century Indonesia","type":"article-journal","volume":"4"},"uris":["http://www.mendeley.com/documents/?uuid=1c637b51-62e5-40f2-af52-4e110fc8157e"]}],"mendeley":{"formattedCitation":"(Rosidin et al., 2022)","plainTextFormattedCitation":"(Rosidin et al., 2022)","previouslyFormattedCitation":"(Rosidin et al., 2022)"},"properties":{"noteIndex":0},"schema":"https://github.com/citation-style-language/schema/raw/master/csl-citation.json"}</w:instrText>
      </w:r>
      <w:r>
        <w:rPr>
          <w:rFonts w:ascii="Calibri Light" w:hAnsi="Calibri Light" w:cs="Calibri Light"/>
          <w:sz w:val="24"/>
          <w:szCs w:val="24"/>
        </w:rPr>
        <w:fldChar w:fldCharType="separate"/>
      </w:r>
      <w:r w:rsidRPr="00C50F21">
        <w:rPr>
          <w:rFonts w:ascii="Calibri Light" w:hAnsi="Calibri Light" w:cs="Calibri Light"/>
          <w:noProof/>
          <w:sz w:val="24"/>
          <w:szCs w:val="24"/>
        </w:rPr>
        <w:t>(Rosidin et al., 2022)</w:t>
      </w:r>
      <w:r>
        <w:rPr>
          <w:rFonts w:ascii="Calibri Light" w:hAnsi="Calibri Light" w:cs="Calibri Light"/>
          <w:sz w:val="24"/>
          <w:szCs w:val="24"/>
        </w:rPr>
        <w:fldChar w:fldCharType="end"/>
      </w:r>
      <w:r w:rsidRPr="00C50F21">
        <w:rPr>
          <w:rFonts w:ascii="Calibri Light" w:hAnsi="Calibri Light" w:cs="Calibri Light"/>
          <w:sz w:val="24"/>
          <w:szCs w:val="24"/>
        </w:rPr>
        <w:t>. These thoughts mirrored a more significant awakening among Muslims in Indonesia about reaffirming their religious and cultural identity in response to the colonial pressures.</w:t>
      </w:r>
    </w:p>
    <w:p w:rsidR="00C50F21" w:rsidRDefault="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The contextualized </w:t>
      </w:r>
      <w:r w:rsidR="00A052EF" w:rsidRPr="00A052EF">
        <w:rPr>
          <w:rFonts w:ascii="Calibri Light" w:hAnsi="Calibri Light" w:cs="Calibri Light"/>
          <w:i/>
          <w:iCs/>
          <w:sz w:val="24"/>
          <w:szCs w:val="24"/>
        </w:rPr>
        <w:t>Da’wah</w:t>
      </w:r>
      <w:r w:rsidRPr="00C50F21">
        <w:rPr>
          <w:rFonts w:ascii="Calibri Light" w:hAnsi="Calibri Light" w:cs="Calibri Light"/>
          <w:sz w:val="24"/>
          <w:szCs w:val="24"/>
        </w:rPr>
        <w:t xml:space="preserve">, promoting Islamic values in a social-practical context, is supported by prominent Islamic scholars, activists, and institutions that were critical in promoting Islamic teachings and values during the early 20th century. One of the notable figures in the early </w:t>
      </w:r>
      <w:r w:rsidR="00A052EF" w:rsidRPr="00A052EF">
        <w:rPr>
          <w:rFonts w:ascii="Calibri Light" w:hAnsi="Calibri Light" w:cs="Calibri Light"/>
          <w:i/>
          <w:iCs/>
          <w:sz w:val="24"/>
          <w:szCs w:val="24"/>
        </w:rPr>
        <w:t>Da’wah</w:t>
      </w:r>
      <w:r w:rsidRPr="00C50F21">
        <w:rPr>
          <w:rFonts w:ascii="Calibri Light" w:hAnsi="Calibri Light" w:cs="Calibri Light"/>
          <w:sz w:val="24"/>
          <w:szCs w:val="24"/>
        </w:rPr>
        <w:t xml:space="preserve"> movement was Haji Agus Salim, a respected Muslim leader and diplomat who advocated for Islamic education and social reform.</w:t>
      </w:r>
    </w:p>
    <w:p w:rsidR="00C50F21" w:rsidRPr="00C50F21" w:rsidRDefault="00C50F21" w:rsidP="00C50F21">
      <w:pPr>
        <w:spacing w:before="120" w:after="120"/>
        <w:ind w:left="440" w:right="-1" w:hanging="14"/>
        <w:jc w:val="both"/>
        <w:rPr>
          <w:rFonts w:ascii="Calibri Light" w:hAnsi="Calibri Light" w:cs="Calibri Light"/>
          <w:sz w:val="24"/>
          <w:szCs w:val="24"/>
        </w:rPr>
      </w:pPr>
      <w:r w:rsidRPr="00C50F21">
        <w:rPr>
          <w:rFonts w:ascii="Calibri Light" w:hAnsi="Calibri Light" w:cs="Calibri Light"/>
          <w:sz w:val="24"/>
          <w:szCs w:val="24"/>
        </w:rPr>
        <w:t xml:space="preserve">In 1912, Ahmad Dahlan made Muhammadiyah a space for </w:t>
      </w:r>
      <w:r w:rsidR="00A052EF" w:rsidRPr="00A052EF">
        <w:rPr>
          <w:rFonts w:ascii="Calibri Light" w:hAnsi="Calibri Light" w:cs="Calibri Light"/>
          <w:i/>
          <w:iCs/>
          <w:sz w:val="24"/>
          <w:szCs w:val="24"/>
        </w:rPr>
        <w:t>Da’wah</w:t>
      </w:r>
      <w:r w:rsidRPr="00C50F21">
        <w:rPr>
          <w:rFonts w:ascii="Calibri Light" w:hAnsi="Calibri Light" w:cs="Calibri Light"/>
          <w:sz w:val="24"/>
          <w:szCs w:val="24"/>
        </w:rPr>
        <w:t xml:space="preserve"> and social activities emphasizing educational and societal changes founded upon Islamic principles. The group sought to improve the status of Muslims through education and social welfare. Muhammadiyah during the Dutch colonial era was crucial in advancing </w:t>
      </w:r>
      <w:r w:rsidR="00A052EF" w:rsidRPr="00A052EF">
        <w:rPr>
          <w:rFonts w:ascii="Calibri Light" w:hAnsi="Calibri Light" w:cs="Calibri Light"/>
          <w:i/>
          <w:iCs/>
          <w:sz w:val="24"/>
          <w:szCs w:val="24"/>
        </w:rPr>
        <w:t>Da’wah</w:t>
      </w:r>
      <w:r w:rsidRPr="00C50F21">
        <w:rPr>
          <w:rFonts w:ascii="Calibri Light" w:hAnsi="Calibri Light" w:cs="Calibri Light"/>
          <w:sz w:val="24"/>
          <w:szCs w:val="24"/>
        </w:rPr>
        <w:t xml:space="preserve"> and social change by their belief that Islam runs not only vis-s-à-vis worship but also through the realization of education, modernization, and social welfare according to Islamic principles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237BC8">
        <w:rPr>
          <w:rFonts w:ascii="Calibri Light" w:hAnsi="Calibri Light" w:cs="Calibri Light"/>
          <w:sz w:val="24"/>
          <w:szCs w:val="24"/>
        </w:rPr>
        <w:instrText>ADDIN CSL_CITATION {"citationItems":[{"id":"ITEM-1","itemData":{"author":[{"dropping-particle":"","family":"Alexanderson","given":"Kris","non-dropping-particle":"","parse-names":false,"suffix":""}],"id":"ITEM-1","issued":{"date-parts":[["2019"]]},"publisher":"Britania Raya: Cambridge University Press","title":"Subversive Seas: Anticolonial Networks across the Twentieth-Century Dutch Empire","type":"book"},"uris":["http://www.mendeley.com/documents/?uuid=21aa3bbf-8f8c-4a2b-a832-c92ccda794ca"]}],"mendeley":{"formattedCitation":"(Alexanderson, 2019)","plainTextFormattedCitation":"(Alexanderson, 2019)","previouslyFormattedCitation":"(Alexanderson, 2019)"},"properties":{"noteIndex":0},"schema":"https://github.com/citation-style-language/schema/raw/master/csl-citation.json"}</w:instrText>
      </w:r>
      <w:r>
        <w:rPr>
          <w:rFonts w:ascii="Calibri Light" w:hAnsi="Calibri Light" w:cs="Calibri Light"/>
          <w:sz w:val="24"/>
          <w:szCs w:val="24"/>
        </w:rPr>
        <w:fldChar w:fldCharType="separate"/>
      </w:r>
      <w:r w:rsidRPr="00C50F21">
        <w:rPr>
          <w:rFonts w:ascii="Calibri Light" w:hAnsi="Calibri Light" w:cs="Calibri Light"/>
          <w:noProof/>
          <w:sz w:val="24"/>
          <w:szCs w:val="24"/>
        </w:rPr>
        <w:t>(Alexanderson, 2019)</w:t>
      </w:r>
      <w:r>
        <w:rPr>
          <w:rFonts w:ascii="Calibri Light" w:hAnsi="Calibri Light" w:cs="Calibri Light"/>
          <w:sz w:val="24"/>
          <w:szCs w:val="24"/>
        </w:rPr>
        <w:fldChar w:fldCharType="end"/>
      </w:r>
      <w:r w:rsidRPr="00C50F21">
        <w:rPr>
          <w:rFonts w:ascii="Calibri Light" w:hAnsi="Calibri Light" w:cs="Calibri Light"/>
          <w:sz w:val="24"/>
          <w:szCs w:val="24"/>
        </w:rPr>
        <w:t>. It was designed as a counter to Dutch colonial influences by encouraging Islamic values, education, and charitable enterprise among the Indonesian Muslim population.</w:t>
      </w:r>
    </w:p>
    <w:p w:rsidR="00C50F21" w:rsidRDefault="00C50F21" w:rsidP="00C50F21">
      <w:pPr>
        <w:spacing w:before="120" w:after="120"/>
        <w:ind w:left="440" w:right="-1" w:hanging="14"/>
        <w:jc w:val="both"/>
        <w:rPr>
          <w:rFonts w:ascii="Calibri Light" w:hAnsi="Calibri Light" w:cs="Calibri Light"/>
          <w:sz w:val="24"/>
          <w:szCs w:val="24"/>
        </w:rPr>
      </w:pPr>
      <w:proofErr w:type="spellStart"/>
      <w:r w:rsidRPr="00C50F21">
        <w:rPr>
          <w:rFonts w:ascii="Calibri Light" w:hAnsi="Calibri Light" w:cs="Calibri Light"/>
          <w:sz w:val="24"/>
          <w:szCs w:val="24"/>
        </w:rPr>
        <w:lastRenderedPageBreak/>
        <w:t>Hadratusy</w:t>
      </w:r>
      <w:proofErr w:type="spellEnd"/>
      <w:r w:rsidRPr="00C50F21">
        <w:rPr>
          <w:rFonts w:ascii="Calibri Light" w:hAnsi="Calibri Light" w:cs="Calibri Light"/>
          <w:sz w:val="24"/>
          <w:szCs w:val="24"/>
        </w:rPr>
        <w:t xml:space="preserve"> Shaikh KH established </w:t>
      </w:r>
      <w:proofErr w:type="spellStart"/>
      <w:r w:rsidRPr="00C50F21">
        <w:rPr>
          <w:rFonts w:ascii="Calibri Light" w:hAnsi="Calibri Light" w:cs="Calibri Light"/>
          <w:sz w:val="24"/>
          <w:szCs w:val="24"/>
        </w:rPr>
        <w:t>Nahdlatul</w:t>
      </w:r>
      <w:proofErr w:type="spellEnd"/>
      <w:r w:rsidRPr="00C50F21">
        <w:rPr>
          <w:rFonts w:ascii="Calibri Light" w:hAnsi="Calibri Light" w:cs="Calibri Light"/>
          <w:sz w:val="24"/>
          <w:szCs w:val="24"/>
        </w:rPr>
        <w:t xml:space="preserve"> Ulama (NU). Hashim </w:t>
      </w:r>
      <w:proofErr w:type="spellStart"/>
      <w:r w:rsidRPr="00C50F21">
        <w:rPr>
          <w:rFonts w:ascii="Calibri Light" w:hAnsi="Calibri Light" w:cs="Calibri Light"/>
          <w:sz w:val="24"/>
          <w:szCs w:val="24"/>
        </w:rPr>
        <w:t>Asy’ari</w:t>
      </w:r>
      <w:proofErr w:type="spellEnd"/>
      <w:r w:rsidRPr="00C50F21">
        <w:rPr>
          <w:rFonts w:ascii="Calibri Light" w:hAnsi="Calibri Light" w:cs="Calibri Light"/>
          <w:sz w:val="24"/>
          <w:szCs w:val="24"/>
        </w:rPr>
        <w:t xml:space="preserve"> in 1926 had emerged as one of Indonesia's most significant and impactful Islamic organizations. The primary emphasis of NU lies in education, alongside the preservation of community traditions and culture. During Dutch colonization, NU, in conjunction with Muhammadiyah, played a vital role in the </w:t>
      </w:r>
      <w:r w:rsidR="00A052EF" w:rsidRPr="00A052EF">
        <w:rPr>
          <w:rFonts w:ascii="Calibri Light" w:hAnsi="Calibri Light" w:cs="Calibri Light"/>
          <w:i/>
          <w:iCs/>
          <w:sz w:val="24"/>
          <w:szCs w:val="24"/>
        </w:rPr>
        <w:t>Da’wah</w:t>
      </w:r>
      <w:r w:rsidRPr="00C50F21">
        <w:rPr>
          <w:rFonts w:ascii="Calibri Light" w:hAnsi="Calibri Light" w:cs="Calibri Light"/>
          <w:sz w:val="24"/>
          <w:szCs w:val="24"/>
        </w:rPr>
        <w:t xml:space="preserve"> movement</w:t>
      </w:r>
      <w:r w:rsidR="00237BC8">
        <w:rPr>
          <w:rFonts w:ascii="Calibri Light" w:hAnsi="Calibri Light" w:cs="Calibri Light"/>
          <w:sz w:val="24"/>
          <w:szCs w:val="24"/>
        </w:rPr>
        <w:t xml:space="preserve"> </w:t>
      </w:r>
      <w:r w:rsidR="00237BC8">
        <w:rPr>
          <w:rFonts w:ascii="Calibri Light" w:hAnsi="Calibri Light" w:cs="Calibri Light"/>
          <w:sz w:val="24"/>
          <w:szCs w:val="24"/>
        </w:rPr>
        <w:fldChar w:fldCharType="begin" w:fldLock="1"/>
      </w:r>
      <w:r w:rsidR="00237BC8">
        <w:rPr>
          <w:rFonts w:ascii="Calibri Light" w:hAnsi="Calibri Light" w:cs="Calibri Light"/>
          <w:sz w:val="24"/>
          <w:szCs w:val="24"/>
        </w:rPr>
        <w:instrText>ADDIN CSL_CITATION {"citationItems":[{"id":"ITEM-1","itemData":{"DOI":"10.37812/iiej.v1i2.915","author":[{"dropping-particle":"","family":"Adawiyyah","given":"Vina Robi'atul","non-dropping-particle":"","parse-names":false,"suffix":""},{"dropping-particle":"","family":"Wati","given":"Erlina Eka","non-dropping-particle":"","parse-names":false,"suffix":""},{"dropping-particle":"","family":"Nasikhin","given":"","non-dropping-particle":"","parse-names":false,"suffix":""},{"dropping-particle":"","family":"Fihris","given":"","non-dropping-particle":"","parse-names":false,"suffix":""}],"container-title":"Indonesia Islamic Education Journal","id":"ITEM-1","issue":"2","issued":{"date-parts":[["2023"]]},"page":"104-115","title":"The Development of Indonesian Islamic Civilization During the Dutch Colonial Period","type":"article-journal","volume":"1"},"uris":["http://www.mendeley.com/documents/?uuid=dc52ed97-006b-43e5-8088-35861f5a456b"]}],"mendeley":{"formattedCitation":"(Adawiyyah et al., 2023)","plainTextFormattedCitation":"(Adawiyyah et al., 2023)","previouslyFormattedCitation":"(Adawiyyah et al., 2023)"},"properties":{"noteIndex":0},"schema":"https://github.com/citation-style-language/schema/raw/master/csl-citation.json"}</w:instrText>
      </w:r>
      <w:r w:rsidR="00237BC8">
        <w:rPr>
          <w:rFonts w:ascii="Calibri Light" w:hAnsi="Calibri Light" w:cs="Calibri Light"/>
          <w:sz w:val="24"/>
          <w:szCs w:val="24"/>
        </w:rPr>
        <w:fldChar w:fldCharType="separate"/>
      </w:r>
      <w:r w:rsidR="00237BC8" w:rsidRPr="00237BC8">
        <w:rPr>
          <w:rFonts w:ascii="Calibri Light" w:hAnsi="Calibri Light" w:cs="Calibri Light"/>
          <w:noProof/>
          <w:sz w:val="24"/>
          <w:szCs w:val="24"/>
        </w:rPr>
        <w:t>(Adawiyyah et al., 2023)</w:t>
      </w:r>
      <w:r w:rsidR="00237BC8">
        <w:rPr>
          <w:rFonts w:ascii="Calibri Light" w:hAnsi="Calibri Light" w:cs="Calibri Light"/>
          <w:sz w:val="24"/>
          <w:szCs w:val="24"/>
        </w:rPr>
        <w:fldChar w:fldCharType="end"/>
      </w:r>
      <w:r w:rsidRPr="00C50F21">
        <w:rPr>
          <w:rFonts w:ascii="Calibri Light" w:hAnsi="Calibri Light" w:cs="Calibri Light"/>
          <w:sz w:val="24"/>
          <w:szCs w:val="24"/>
        </w:rPr>
        <w:t>. Both groups have contributed substantially to disseminating Islamic teachings, enhancing social welfare, and promoting educational initiatives across Indonesia.</w:t>
      </w:r>
    </w:p>
    <w:p w:rsidR="00237BC8" w:rsidRPr="00237BC8" w:rsidRDefault="00237BC8" w:rsidP="00237BC8">
      <w:pPr>
        <w:spacing w:before="120" w:after="120"/>
        <w:ind w:left="440" w:right="-1" w:hanging="14"/>
        <w:jc w:val="both"/>
        <w:rPr>
          <w:rFonts w:ascii="Calibri Light" w:hAnsi="Calibri Light" w:cs="Calibri Light"/>
          <w:sz w:val="24"/>
          <w:szCs w:val="24"/>
        </w:rPr>
      </w:pPr>
      <w:r w:rsidRPr="00237BC8">
        <w:rPr>
          <w:rFonts w:ascii="Calibri Light" w:hAnsi="Calibri Light" w:cs="Calibri Light"/>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successfully upheld Islamic identity and reinforced social cohesion despite the adversities encountered during the Dutch colonial period.</w:t>
      </w:r>
    </w:p>
    <w:p w:rsidR="00237BC8" w:rsidRDefault="00A052EF" w:rsidP="00237BC8">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00237BC8" w:rsidRPr="00237BC8">
        <w:rPr>
          <w:rFonts w:ascii="Calibri Light" w:hAnsi="Calibri Light" w:cs="Calibri Light"/>
          <w:sz w:val="24"/>
          <w:szCs w:val="24"/>
        </w:rPr>
        <w:t xml:space="preserve"> in Indonesia evolved through the pre- and post-independence eras, involving several socio-political transitions and reactions to the stances of prominent individuals and organizations. Duplex models were the cornerstones of pre-independence Nationalism movements to mobilize Muslim masses against colonial oppression, calling for social justice and empowerment through some </w:t>
      </w:r>
      <w:proofErr w:type="spellStart"/>
      <w:r w:rsidR="00237BC8" w:rsidRPr="002F3F4C">
        <w:rPr>
          <w:rFonts w:ascii="Calibri Light" w:hAnsi="Calibri Light" w:cs="Calibri Light"/>
          <w:i/>
          <w:iCs/>
          <w:sz w:val="24"/>
          <w:szCs w:val="24"/>
        </w:rPr>
        <w:t>da’i</w:t>
      </w:r>
      <w:proofErr w:type="spellEnd"/>
      <w:r w:rsidR="00237BC8" w:rsidRPr="00237BC8">
        <w:rPr>
          <w:rFonts w:ascii="Calibri Light" w:hAnsi="Calibri Light" w:cs="Calibri Light"/>
          <w:sz w:val="24"/>
          <w:szCs w:val="24"/>
        </w:rPr>
        <w:t xml:space="preserve"> on activities. Via organizations such as </w:t>
      </w:r>
      <w:proofErr w:type="spellStart"/>
      <w:r w:rsidR="00237BC8" w:rsidRPr="00237BC8">
        <w:rPr>
          <w:rFonts w:ascii="Calibri Light" w:hAnsi="Calibri Light" w:cs="Calibri Light"/>
          <w:sz w:val="24"/>
          <w:szCs w:val="24"/>
        </w:rPr>
        <w:t>Sarekat</w:t>
      </w:r>
      <w:proofErr w:type="spellEnd"/>
      <w:r w:rsidR="00237BC8" w:rsidRPr="00237BC8">
        <w:rPr>
          <w:rFonts w:ascii="Calibri Light" w:hAnsi="Calibri Light" w:cs="Calibri Light"/>
          <w:sz w:val="24"/>
          <w:szCs w:val="24"/>
        </w:rPr>
        <w:t xml:space="preserve"> Islam and Muhammadiyah, they sought ways to spread Islamic teachings and help meet Indonesian Muslims' material needs. Prominent figures such as Haji Agus Salim and Kiai Haji Mas Mansur played essential roles in connecting Islamic principles with nationalist demands, supporting the interests of Muslims, and fostering inter-religious concord. They must be seen as major participants in Indonesia's early development of Islamic activism.</w:t>
      </w:r>
    </w:p>
    <w:p w:rsidR="00237BC8" w:rsidRDefault="00237BC8" w:rsidP="00237BC8">
      <w:pPr>
        <w:spacing w:before="120" w:after="120"/>
        <w:ind w:left="440" w:right="-1" w:hanging="14"/>
        <w:jc w:val="both"/>
        <w:rPr>
          <w:rFonts w:ascii="Calibri Light" w:hAnsi="Calibri Light" w:cs="Calibri Light"/>
          <w:sz w:val="24"/>
          <w:szCs w:val="24"/>
        </w:rPr>
      </w:pPr>
      <w:r w:rsidRPr="00237BC8">
        <w:rPr>
          <w:rFonts w:ascii="Calibri Light" w:hAnsi="Calibri Light" w:cs="Calibri Light"/>
          <w:sz w:val="24"/>
          <w:szCs w:val="24"/>
        </w:rPr>
        <w:t xml:space="preserve">In the post-independence era,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 xml:space="preserve"> movements would persist in developing and Islamic parties and organizations would look to grant their actualization within the broader social landscape. Islamic parties emphasized Islamic values, endeavored to interact with post-independence socio-cultural conditions, and developed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 xml:space="preserve"> strategies to respond to contemporary challenges. The figures and Ulama that influenced the post-independence period of Indonesia were crucial in setting the direction of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 xml:space="preserve"> movements and fulfilling the needs of a new republic for Muslims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{"citationItems":[{"id":"ITEM-1","itemData":{"DOI":"10.240­90/jsij.v2­i02.8213","author":[{"dropping-particle":"","family":"Rachmanto","given":"Arif F.","non-dropping-particle":"","parse-names":false,"suffix":""}],"container-title":"Jsi Jurnal Sejarah Islam","id":"ITEM-1","issued":{"date-parts":[["2023"]]},"title":"The Formation of Islamic Parties in Post-Independence Indonesia","type":"article-journal"},"uris":["http://www.mendeley.com/documents/?uuid=8783fa40-d3a0-4251-a1be-680a8b76893b"]}],"mendeley":{"formattedCitation":"(Rachmanto, 2023)","plainTextFormattedCitation":"(Rachmanto, 2023)","previouslyFormattedCitation":"(Rachmanto, 2023)"},"properties":{"noteIndex":0},"schema":"https://github.com/citation-style-language/schema/raw/master/csl-citation.json"}</w:instrText>
      </w:r>
      <w:r>
        <w:rPr>
          <w:rFonts w:ascii="Calibri Light" w:hAnsi="Calibri Light" w:cs="Calibri Light"/>
          <w:sz w:val="24"/>
          <w:szCs w:val="24"/>
        </w:rPr>
        <w:fldChar w:fldCharType="separate"/>
      </w:r>
      <w:r w:rsidRPr="00237BC8">
        <w:rPr>
          <w:rFonts w:ascii="Calibri Light" w:hAnsi="Calibri Light" w:cs="Calibri Light"/>
          <w:noProof/>
          <w:sz w:val="24"/>
          <w:szCs w:val="24"/>
        </w:rPr>
        <w:t>(Rachmanto, 2023)</w:t>
      </w:r>
      <w:r>
        <w:rPr>
          <w:rFonts w:ascii="Calibri Light" w:hAnsi="Calibri Light" w:cs="Calibri Light"/>
          <w:sz w:val="24"/>
          <w:szCs w:val="24"/>
        </w:rPr>
        <w:fldChar w:fldCharType="end"/>
      </w:r>
      <w:r w:rsidRPr="00237BC8">
        <w:rPr>
          <w:rFonts w:ascii="Calibri Light" w:hAnsi="Calibri Light" w:cs="Calibri Light"/>
          <w:sz w:val="24"/>
          <w:szCs w:val="24"/>
        </w:rPr>
        <w:t xml:space="preserve">. Similarly, the post-independence period witnessed the establishment of modern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706127">
        <w:rPr>
          <w:rFonts w:ascii="Calibri Light" w:hAnsi="Calibri Light" w:cs="Calibri Light"/>
          <w:sz w:val="24"/>
          <w:szCs w:val="24"/>
        </w:rPr>
        <w:instrText>ADDIN CSL_CITATION {"citationItems":[{"id":"ITEM-1","itemData":{"DOI":"10.59024/jipa.v1i1.54","author":[{"dropping-particle":"","family":"Anas","given":"Ahmad","non-dropping-particle":"","parse-names":false,"suffix":""}],"container-title":"Jurnal Ilmiah Pendidikan Kebudayaan Dan Agama","id":"ITEM-1","issue":"1","issued":{"date-parts":[["2023"]]},"page":"1-12","title":"Contemporary Da’wah Empowerment Institute in Indonesia","type":"article-journal","volume":"1"},"uris":["http://www.mendeley.com/documents/?uuid=58c2f92f-5648-4620-8039-e0d9e67bc567"]}],"mendeley":{"formattedCitation":"(Anas, 2023)","plainTextFormattedCitation":"(Anas, 2023)","previouslyFormattedCitation":"(Anas, 2023)"},"properties":{"noteIndex":0},"schema":"https://github.com/citation-style-language/schema/raw/master/csl-citation.json"}</w:instrText>
      </w:r>
      <w:r>
        <w:rPr>
          <w:rFonts w:ascii="Calibri Light" w:hAnsi="Calibri Light" w:cs="Calibri Light"/>
          <w:sz w:val="24"/>
          <w:szCs w:val="24"/>
        </w:rPr>
        <w:fldChar w:fldCharType="separate"/>
      </w:r>
      <w:r w:rsidRPr="00237BC8">
        <w:rPr>
          <w:rFonts w:ascii="Calibri Light" w:hAnsi="Calibri Light" w:cs="Calibri Light"/>
          <w:noProof/>
          <w:sz w:val="24"/>
          <w:szCs w:val="24"/>
        </w:rPr>
        <w:t>(Anas, 2023)</w:t>
      </w:r>
      <w:r>
        <w:rPr>
          <w:rFonts w:ascii="Calibri Light" w:hAnsi="Calibri Light" w:cs="Calibri Light"/>
          <w:sz w:val="24"/>
          <w:szCs w:val="24"/>
        </w:rPr>
        <w:fldChar w:fldCharType="end"/>
      </w:r>
      <w:r w:rsidRPr="00237BC8">
        <w:rPr>
          <w:rFonts w:ascii="Calibri Light" w:hAnsi="Calibri Light" w:cs="Calibri Light"/>
          <w:sz w:val="24"/>
          <w:szCs w:val="24"/>
        </w:rPr>
        <w:t xml:space="preserve">. As such,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 xml:space="preserve"> movements during Indonesia’s transition from pre- to post-independence eras were a continuation of efforts to propagate Islamic teachings, strengthen Muslim communal life as well as respond to socio-political challenges in the country. Some key figures and organizations took this trajectory of </w:t>
      </w:r>
      <w:r w:rsidR="00A052EF" w:rsidRPr="00A052EF">
        <w:rPr>
          <w:rFonts w:ascii="Calibri Light" w:hAnsi="Calibri Light" w:cs="Calibri Light"/>
          <w:i/>
          <w:iCs/>
          <w:sz w:val="24"/>
          <w:szCs w:val="24"/>
        </w:rPr>
        <w:t>Da’wah</w:t>
      </w:r>
      <w:r w:rsidRPr="00237BC8">
        <w:rPr>
          <w:rFonts w:ascii="Calibri Light" w:hAnsi="Calibri Light" w:cs="Calibri Light"/>
          <w:sz w:val="24"/>
          <w:szCs w:val="24"/>
        </w:rPr>
        <w:t xml:space="preserve"> movements into pertinence and adjusted their strategies according to the social needs of the Indonesian community, hence fostering flourishing debates in the Islamic paradigm within the society.</w:t>
      </w:r>
    </w:p>
    <w:p w:rsidR="002F3F4C" w:rsidRDefault="002F3F4C" w:rsidP="00237BC8">
      <w:pPr>
        <w:spacing w:before="120" w:after="120"/>
        <w:ind w:left="440" w:right="-1" w:hanging="14"/>
        <w:jc w:val="both"/>
        <w:rPr>
          <w:rFonts w:ascii="Calibri Light" w:hAnsi="Calibri Light" w:cs="Calibri Light"/>
          <w:sz w:val="24"/>
          <w:szCs w:val="24"/>
        </w:rPr>
      </w:pPr>
    </w:p>
    <w:p w:rsidR="00237BC8" w:rsidRPr="00237BC8" w:rsidRDefault="00A052EF" w:rsidP="00237BC8">
      <w:pPr>
        <w:spacing w:before="120" w:after="120"/>
        <w:ind w:left="440" w:right="-1" w:hanging="14"/>
        <w:jc w:val="both"/>
        <w:rPr>
          <w:rFonts w:ascii="Calibri Light" w:hAnsi="Calibri Light" w:cs="Calibri Light"/>
          <w:b/>
          <w:bCs/>
          <w:sz w:val="24"/>
          <w:szCs w:val="24"/>
        </w:rPr>
      </w:pPr>
      <w:r w:rsidRPr="00A052EF">
        <w:rPr>
          <w:rFonts w:ascii="Calibri Light" w:hAnsi="Calibri Light" w:cs="Calibri Light"/>
          <w:b/>
          <w:bCs/>
          <w:i/>
          <w:iCs/>
          <w:sz w:val="24"/>
          <w:szCs w:val="24"/>
        </w:rPr>
        <w:lastRenderedPageBreak/>
        <w:t>Da’wah</w:t>
      </w:r>
      <w:r w:rsidR="00237BC8" w:rsidRPr="00237BC8">
        <w:rPr>
          <w:rFonts w:ascii="Calibri Light" w:hAnsi="Calibri Light" w:cs="Calibri Light"/>
          <w:b/>
          <w:bCs/>
          <w:sz w:val="24"/>
          <w:szCs w:val="24"/>
        </w:rPr>
        <w:t xml:space="preserve"> and Its Role Against Religious Blasphemy</w:t>
      </w:r>
    </w:p>
    <w:p w:rsidR="00706127" w:rsidRPr="00706127" w:rsidRDefault="00706127" w:rsidP="00706127">
      <w:pPr>
        <w:spacing w:before="120" w:after="120"/>
        <w:ind w:left="440" w:right="-1" w:hanging="14"/>
        <w:jc w:val="both"/>
        <w:rPr>
          <w:rFonts w:ascii="Calibri Light" w:hAnsi="Calibri Light" w:cs="Calibri Light"/>
          <w:sz w:val="24"/>
          <w:szCs w:val="24"/>
        </w:rPr>
      </w:pPr>
      <w:r w:rsidRPr="00706127">
        <w:rPr>
          <w:rFonts w:ascii="Calibri Light" w:hAnsi="Calibri Light" w:cs="Calibri Light"/>
          <w:sz w:val="24"/>
          <w:szCs w:val="24"/>
        </w:rPr>
        <w:t>The term ‘religious blasphemy’ is used to refer to actions or expressions, whether written or spoken, that insult or insult and cause a direction of hatred and hatred for abuse towards religion in Indonesia. Religious blasphemy concerns are inherent to the perception of the protection and preservation of religious values, the continuation of social stability, and, in this case, identity. Religious blasphemy in Indonesia is regulated predominantly through criminal law, with the crime of Blasphemy (Law No. 1/PNPS/1965) in force since 1965 punishing acts deemed blasphemous against a small number of officially recognized religions. Designed to protect religious harmony, the law punishes insulting or offensive acts relating to religious beliefs as tools of incitement of religious hatred or violence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(Hasani &amp; Halili, 2022)</w:t>
      </w:r>
      <w:r>
        <w:rPr>
          <w:rFonts w:ascii="Calibri Light" w:hAnsi="Calibri Light" w:cs="Calibri Light"/>
          <w:sz w:val="24"/>
          <w:szCs w:val="24"/>
        </w:rPr>
        <w:fldChar w:fldCharType="end"/>
      </w:r>
      <w:r w:rsidRPr="00706127">
        <w:rPr>
          <w:rFonts w:ascii="Calibri Light" w:hAnsi="Calibri Light" w:cs="Calibri Light"/>
          <w:sz w:val="24"/>
          <w:szCs w:val="24"/>
        </w:rPr>
        <w:t>.</w:t>
      </w:r>
    </w:p>
    <w:p w:rsidR="009C69F5" w:rsidRDefault="00706127" w:rsidP="00706127">
      <w:pPr>
        <w:spacing w:before="120" w:after="120"/>
        <w:ind w:left="440" w:right="-1" w:hanging="14"/>
        <w:jc w:val="both"/>
        <w:rPr>
          <w:rFonts w:ascii="Calibri Light" w:hAnsi="Calibri Light" w:cs="Calibri Light"/>
          <w:sz w:val="24"/>
          <w:szCs w:val="24"/>
        </w:rPr>
      </w:pPr>
      <w:r w:rsidRPr="00706127">
        <w:rPr>
          <w:rFonts w:ascii="Calibri Light" w:hAnsi="Calibri Light" w:cs="Calibri Light"/>
          <w:sz w:val="24"/>
          <w:szCs w:val="24"/>
        </w:rPr>
        <w:t>Blasphemy laws in Indonesia regulate the prejudicial treatment and hate speech between religions that surround hateful, defamatory opinions. The acts of blasphemy can be directed towards the religious symbols, leaders, scriptures, or practices and are commonly perceived as a violation of the norms and values of religion that exist in Indonesian society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10.31078/jk1927","author":[{"dropping-particle":"","family":"Hasani","given":"Ismail","non-dropping-particle":"","parse-names":false,"suffix":""},{"dropping-particle":"","family":"Halili","given":"Halili","non-dropping-particle":"","parse-names":false,"suffix":""}],"container-title":"Jurnal Konstitusi","id":"ITEM-1","issue":"2","issued":{"date-parts":[["2022"]]},"page":"406-430","title":"Human Rights and Constitutionality Issues of Blasphemy Law in Indonesia","type":"article-journal","volume":"19"},"uris":["http://www.mendeley.com/documents/?uuid=d1aa39c8-7d08-44d1-bdfc-f14dbac8a55b"]}],"mendeley":{"formattedCitation":"(Hasani &amp; Halili, 2022)","plainTextFormattedCitation":"(Hasani &amp; Halili, 2022)","previouslyFormattedCitation":"(Hasani &amp; Halili, 2022)"},"properties":{"noteIndex":0},"schema":"https://github.com/citation-style-language/schema/raw/master/csl-citation.json"}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(Hasani &amp; Halili, 2022)</w:t>
      </w:r>
      <w:r>
        <w:rPr>
          <w:rFonts w:ascii="Calibri Light" w:hAnsi="Calibri Light" w:cs="Calibri Light"/>
          <w:sz w:val="24"/>
          <w:szCs w:val="24"/>
        </w:rPr>
        <w:fldChar w:fldCharType="end"/>
      </w:r>
      <w:r w:rsidRPr="00706127">
        <w:rPr>
          <w:rFonts w:ascii="Calibri Light" w:hAnsi="Calibri Light" w:cs="Calibri Light"/>
          <w:sz w:val="24"/>
          <w:szCs w:val="24"/>
        </w:rPr>
        <w:t>.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 societal cohesion, and defense for minority religious bodies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3A029A">
        <w:rPr>
          <w:rFonts w:ascii="Calibri Light" w:hAnsi="Calibri Light" w:cs="Calibri Light"/>
          <w:sz w:val="24"/>
          <w:szCs w:val="24"/>
        </w:rPr>
        <w:instrText>ADDIN CSL_CITATION {"citationItems":[{"id":"ITEM-1","itemData":{"DOI":"10.1017/S1755048319000427","author":[{"dropping-particle":"","family":"Tyson","given":"Adam","non-dropping-particle":"","parse-names":false,"suffix":""}],"container-title":"Politics and Religion","id":"ITEM-1","issue":"1","issued":{"date-parts":[["2020"]]},"page":"182-205","title":"Blasphemy and Judicial Legitimacy in Indonesia","type":"article-journal","volume":"14"},"uris":["http://www.mendeley.com/documents/?uuid=184a227c-f801-49e4-9f17-ab29f3e71537"]}],"mendeley":{"formattedCitation":"(Tyson, 2020)","plainTextFormattedCitation":"(Tyson, 2020)","previouslyFormattedCitation":"(Tyson, 2020)"},"properties":{"noteIndex":0},"schema":"https://github.com/citation-style-language/schema/raw/master/csl-citation.json"}</w:instrText>
      </w:r>
      <w:r>
        <w:rPr>
          <w:rFonts w:ascii="Calibri Light" w:hAnsi="Calibri Light" w:cs="Calibri Light"/>
          <w:sz w:val="24"/>
          <w:szCs w:val="24"/>
        </w:rPr>
        <w:fldChar w:fldCharType="separate"/>
      </w:r>
      <w:r w:rsidRPr="00706127">
        <w:rPr>
          <w:rFonts w:ascii="Calibri Light" w:hAnsi="Calibri Light" w:cs="Calibri Light"/>
          <w:noProof/>
          <w:sz w:val="24"/>
          <w:szCs w:val="24"/>
        </w:rPr>
        <w:t>(Tyson, 2020)</w:t>
      </w:r>
      <w:r>
        <w:rPr>
          <w:rFonts w:ascii="Calibri Light" w:hAnsi="Calibri Light" w:cs="Calibri Light"/>
          <w:sz w:val="24"/>
          <w:szCs w:val="24"/>
        </w:rPr>
        <w:fldChar w:fldCharType="end"/>
      </w:r>
      <w:r w:rsidRPr="00706127">
        <w:rPr>
          <w:rFonts w:ascii="Calibri Light" w:hAnsi="Calibri Light" w:cs="Calibri Light"/>
          <w:sz w:val="24"/>
          <w:szCs w:val="24"/>
        </w:rPr>
        <w:t>.</w:t>
      </w:r>
    </w:p>
    <w:p w:rsidR="003A029A" w:rsidRPr="003A029A" w:rsidRDefault="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In the Indonesian case, religious blasphemy is an explosive issue. It is deeply rooted in broader debates around freedom of religion, tolerance and the rights of individuals to practice their faith while maintaining social harmony. How the interpretation and enforcement of blasphemy laws have been carried out as a reflection of Indonesia’s complicated relationship between religion, law, and politics, thus pointing to the difficulty it faces when it comes to accommodating religious diversity while still respecting fundamental human rights within its multi-religious society. Religious blasphemy as a whole is a rich tapestry of different actions and memories rooted in the efforts of Indonesia to protect religious values while also renewing social harmony in a multiplicity in various groups. The interpretation and enforcement of the blasphemy laws in Indonesia are still in process. Still, this phenomenon will impact how religious freedom is addressed in discourse by illustrating the limits between acts permitted when public tolerance is not applicable or even where under what circumstances the protection of identity becomes a right that must be respected.</w:t>
      </w:r>
    </w:p>
    <w:p w:rsidR="003A029A" w:rsidRDefault="00A052EF" w:rsidP="003A029A">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003A029A" w:rsidRPr="003A029A">
        <w:rPr>
          <w:rFonts w:ascii="Calibri Light" w:hAnsi="Calibri Light" w:cs="Calibri Light"/>
          <w:sz w:val="24"/>
          <w:szCs w:val="24"/>
        </w:rPr>
        <w:t xml:space="preserve">’s strategies in Indonesia have experienced development from traditional methods that rely on a peaceful educational approach to an increasingly assertive one that is more compatible with societal changes and technological developments. In the beginning, the issue of </w:t>
      </w:r>
      <w:r w:rsidRPr="00A052EF">
        <w:rPr>
          <w:rFonts w:ascii="Calibri Light" w:hAnsi="Calibri Light" w:cs="Calibri Light"/>
          <w:i/>
          <w:iCs/>
          <w:sz w:val="24"/>
          <w:szCs w:val="24"/>
        </w:rPr>
        <w:t>Da’wah</w:t>
      </w:r>
      <w:r w:rsidR="003A029A" w:rsidRPr="003A029A">
        <w:rPr>
          <w:rFonts w:ascii="Calibri Light" w:hAnsi="Calibri Light" w:cs="Calibri Light"/>
          <w:sz w:val="24"/>
          <w:szCs w:val="24"/>
        </w:rPr>
        <w:t xml:space="preserve"> strategies is prioritized for educational activities, peaceful opening presentations and the habit of moderation preaching through media tools and discussions with community leaders</w:t>
      </w:r>
      <w:r w:rsidR="003A029A">
        <w:rPr>
          <w:rFonts w:ascii="Calibri Light" w:hAnsi="Calibri Light" w:cs="Calibri Light"/>
          <w:sz w:val="24"/>
          <w:szCs w:val="24"/>
        </w:rPr>
        <w:t xml:space="preserve"> </w:t>
      </w:r>
      <w:r w:rsidR="003A029A">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{"citationItems":[{"id":"ITEM-1","itemData":{"DOI":"10.15575/ath.v7i2.20901","author":[{"dropping-particle":"","family":"Pratama","given":"Arizqi I.","non-dropping-particle":"","parse-names":false,"suffix":""},{"dropping-particle":"","family":"Rusman","given":"Deni","non-dropping-particle":"","parse-names":false,"suffix":""},{"dropping-particle":"","family":"Zahir","given":"Mustofa","non-dropping-particle":"","parse-names":false,"suffix":""}],"container-title":"Atthulab Islamic Religion Teaching and Learning Journal","id":"ITEM-1","issue":"2","issued":{"date-parts":[["2022"]]},"page":"131 - 140","title":"Educational Da'wah Strategy for Increasing Religious Activities","type":"article-journal","volume":"7"},"uris":["http://www.mendeley.com/documents/?uuid=8cf649ec-9424-4769-b9a8-779b204af929"]},{"id":"ITEM-2","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Sciences","id":"ITEM-2","issue":"2","issued":{"date-parts":[["2023"]]},"page":"110–121","title":"Understanding the Urgency of Da'wah of Islam in the Context of Peace in the Nuances of Pluralism in Indonesia","type":"article-journal","volume":"10"},"uris":["http://www.mendeley.com/documents/?uuid=74845864-fafa-4769-8c54-b542f1bbc208"]},{"id":"ITEM-3","itemData":{"DOI":"10.51672/alfikru.v16i2.107","author":[{"dropping-particle":"","family":"Amin","given":"Nazrial","non-dropping-particle":"","parse-names":false,"suffix":""}],"container-title":"Al-Fikru Jurnal Ilmiah","id":"ITEM-3","issue":"2","issued":{"date-parts":[["2022"]]},"page":"188–199","title":"Contemporary Da'wah Strategies to Educate the Religious Life of Minority Muslims","type":"article-journal","volume":"16"},"uris":["http://www.mendeley.com/documents/?uuid=0a983e01-ff79-4ab2-ae91-c70e919ab592"]}],"mendeley":{"formattedCitation":"(Amin, 2022; Pratama et al., 2022; Rahmah &amp; Aslamiah, 2023)","plainTextFormattedCitation":"(Amin, 2022; Pratama et al., 2022; Rahmah &amp; Aslamiah, 2023)","previouslyFormattedCitation":"(Amin, 2022; Pratama et al., 2022; Rahmah &amp; Aslamiah, 2023)"},"properties":{"noteIndex":0},"schema":"https://github.com/citation-style-language/schema/raw/master/csl-citation.json"}</w:instrText>
      </w:r>
      <w:r w:rsidR="003A029A">
        <w:rPr>
          <w:rFonts w:ascii="Calibri Light" w:hAnsi="Calibri Light" w:cs="Calibri Light"/>
          <w:sz w:val="24"/>
          <w:szCs w:val="24"/>
        </w:rPr>
        <w:fldChar w:fldCharType="separate"/>
      </w:r>
      <w:r w:rsidR="003A029A" w:rsidRPr="003A029A">
        <w:rPr>
          <w:rFonts w:ascii="Calibri Light" w:hAnsi="Calibri Light" w:cs="Calibri Light"/>
          <w:noProof/>
          <w:sz w:val="24"/>
          <w:szCs w:val="24"/>
        </w:rPr>
        <w:t>(Amin, 2022; Pratama et al., 2022; Rahmah &amp; Aslamiah, 2023)</w:t>
      </w:r>
      <w:r w:rsidR="003A029A">
        <w:rPr>
          <w:rFonts w:ascii="Calibri Light" w:hAnsi="Calibri Light" w:cs="Calibri Light"/>
          <w:sz w:val="24"/>
          <w:szCs w:val="24"/>
        </w:rPr>
        <w:fldChar w:fldCharType="end"/>
      </w:r>
      <w:r w:rsidR="003A029A" w:rsidRPr="003A029A">
        <w:rPr>
          <w:rFonts w:ascii="Calibri Light" w:hAnsi="Calibri Light" w:cs="Calibri Light"/>
          <w:sz w:val="24"/>
          <w:szCs w:val="24"/>
        </w:rPr>
        <w:t>.</w:t>
      </w:r>
    </w:p>
    <w:p w:rsidR="003A029A" w:rsidRPr="003A029A" w:rsidRDefault="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 xml:space="preserve">As societal dynamics changed,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in Indonesia adopted more assertive approaches to meet contemporary challenges. In this conversion, the spread of faith </w:t>
      </w:r>
      <w:r w:rsidRPr="003A029A">
        <w:rPr>
          <w:rFonts w:ascii="Calibri Light" w:hAnsi="Calibri Light" w:cs="Calibri Light"/>
          <w:sz w:val="24"/>
          <w:szCs w:val="24"/>
        </w:rPr>
        <w:lastRenderedPageBreak/>
        <w:t xml:space="preserve">through preventive action to apostasy thrust some social media in communication and directing measures in the activity favors </w:t>
      </w:r>
      <w:r w:rsidR="00A052EF" w:rsidRPr="00A052EF">
        <w:rPr>
          <w:rFonts w:ascii="Calibri Light" w:hAnsi="Calibri Light" w:cs="Calibri Light"/>
          <w:i/>
          <w:iCs/>
          <w:sz w:val="24"/>
          <w:szCs w:val="24"/>
        </w:rPr>
        <w:t>Da’wah</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{"citationItems":[{"id":"ITEM-1","itemData":{"DOI":"10.15294/lc.v15i2.26285","author":[{"dropping-particle":"","family":"Kusmanto","given":"Hari","non-dropping-particle":"","parse-names":false,"suffix":""},{"dropping-particle":"","family":"Prayitno","given":"Harun Joko","non-dropping-particle":"","parse-names":false,"suffix":""},{"dropping-particle":"","family":"Sofiana","given":"Isnaeni","non-dropping-particle":"","parse-names":false,"suffix":""},{"dropping-particle":"","family":"Jamaluddin","given":"Norliza","non-dropping-particle":"","parse-names":false,"suffix":""}],"container-title":"Language Circle Journal of Language and Literature","id":"ITEM-1","issue":"2","issued":{"date-parts":[["2021"]]},"page":"219-228","title":"Persuasion Action Strategies in Da'wah Discourse on Social Media in the Global Communication Era","type":"article-journal","volume":"15"},"uris":["http://www.mendeley.com/documents/?uuid=b07c999b-d85e-4fd0-b969-9c01c7078317"]},{"id":"ITEM-2","itemData":{"DOI":"10.38214/jurnalbinaummatstidnatsir.v5i2.150","author":[{"dropping-particle":"","family":"Yuliasih","given":"Muzayyanah","non-dropping-particle":"","parse-names":false,"suffix":""},{"dropping-particle":"","family":"Rahyu","given":"Tri","non-dropping-particle":"","parse-names":false,"suffix":""}],"container-title":"Jurnal Bina Ummat: Membina dan Membentengi Ummat","id":"ITEM-2","issue":"2","issued":{"date-parts":[["2022","12","25"]]},"page":"115-125","title":"Da'wah Strategy in Preventing Apostasy in Cisantana Village, Cigugur District, Kuningan District","type":"article-journal","volume":"5"},"uris":["http://www.mendeley.com/documents/?uuid=3202dd7b-7ea5-4c5e-b5f0-283338abe672"]}],"mendeley":{"formattedCitation":"(Kusmanto et al., 2021; Yuliasih &amp; Rahyu, 2022)","plainTextFormattedCitation":"(Kusmanto et al., 2021; Yuliasih &amp; Rahyu, 2022)","previouslyFormattedCitation":"(Kusmanto et al., 2021; Yuliasih &amp; Rahyu, 2022)"},"properties":{"noteIndex":0},"schema":"https://github.com/citation-style-language/schema/raw/master/csl-citation.json"}</w:instrText>
      </w:r>
      <w:r w:rsidR="0094019C">
        <w:rPr>
          <w:rFonts w:ascii="Calibri Light" w:hAnsi="Calibri Light" w:cs="Calibri Light"/>
          <w:sz w:val="24"/>
          <w:szCs w:val="24"/>
        </w:rPr>
        <w:fldChar w:fldCharType="separate"/>
      </w:r>
      <w:r w:rsidR="0094019C" w:rsidRPr="0094019C">
        <w:rPr>
          <w:rFonts w:ascii="Calibri Light" w:hAnsi="Calibri Light" w:cs="Calibri Light"/>
          <w:noProof/>
          <w:sz w:val="24"/>
          <w:szCs w:val="24"/>
        </w:rPr>
        <w:t>(Kusmanto et al., 2021; Yuliasih &amp; Rahyu, 2022)</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Digital channels and social media have indeed shaped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in the dissemination of religious messages geared towards reaching diverse audiences</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94019C">
        <w:rPr>
          <w:rFonts w:ascii="Calibri Light" w:hAnsi="Calibri Light" w:cs="Calibri Light"/>
          <w:sz w:val="24"/>
          <w:szCs w:val="24"/>
        </w:rPr>
        <w:instrText>ADDIN CSL_CITATION {"citationItems":[{"id":"ITEM-1","itemData":{"DOI":"10.37812/fikroh.v16i1.681","author":[{"dropping-particle":"","family":"Aslan","given":"Aslan","non-dropping-particle":"","parse-names":false,"suffix":""},{"dropping-particle":"","family":"Pong","given":"Kok S.","non-dropping-particle":"","parse-names":false,"suffix":""}],"container-title":"Fikroh Jurnal Pemikiran Dan Pendidikan Islam","id":"ITEM-1","issue":"1","issued":{"date-parts":[["2023"]]},"page":"11-22","title":"Understanding the Trend of Digital Da'wah among Muslim Housewives in Indonesia","type":"article-journal","volume":"16"},"uris":["http://www.mendeley.com/documents/?uuid=33dac14d-2cdf-4a2f-9d7e-6e3c2bd8996b"]},{"id":"ITEM-2","itemData":{"DOI":"10.56613/islam-universalia.v1i1.111","author":[{"dropping-particle":"","family":"Saputra","given":"Rahmat","non-dropping-particle":"","parse-names":false,"suffix":""},{"dropping-particle":"","family":"Islamiyah","given":"Ummi H.","non-dropping-particle":"","parse-names":false,"suffix":""}],"container-title":"Islam Universalia International Journal of Islamic Studies and Social Sciences","id":"ITEM-2","issue":"1","issued":{"date-parts":[["2019"]]},"page":"19-41","title":"Da’wah Strategy through Google Search Engine Optimization","type":"article-journal","volume":"1"},"uris":["http://www.mendeley.com/documents/?uuid=96190363-c2ad-4413-bd2a-2f23c0cefdac"]}],"mendeley":{"formattedCitation":"(Aslan &amp; Pong, 2023; Saputra &amp; Islamiyah, 2019)","plainTextFormattedCitation":"(Aslan &amp; Pong, 2023; Saputra &amp; Islamiyah, 2019)","previouslyFormattedCitation":"(Aslan &amp; Pong, 2023; Saputra &amp; Islamiyah, 2019)"},"properties":{"noteIndex":0},"schema":"https://github.com/citation-style-language/schema/raw/master/csl-citation.json"}</w:instrText>
      </w:r>
      <w:r w:rsidR="0094019C">
        <w:rPr>
          <w:rFonts w:ascii="Calibri Light" w:hAnsi="Calibri Light" w:cs="Calibri Light"/>
          <w:sz w:val="24"/>
          <w:szCs w:val="24"/>
        </w:rPr>
        <w:fldChar w:fldCharType="separate"/>
      </w:r>
      <w:r w:rsidR="0094019C" w:rsidRPr="0094019C">
        <w:rPr>
          <w:rFonts w:ascii="Calibri Light" w:hAnsi="Calibri Light" w:cs="Calibri Light"/>
          <w:noProof/>
          <w:sz w:val="24"/>
          <w:szCs w:val="24"/>
        </w:rPr>
        <w:t>(Aslan &amp; Pong, 2023; Saputra &amp; Islamiyah, 2019)</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Contemporary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practices today deployed search engine optimization, multimedia applications and digital communication to ensure the continuality of broader outreach and engagement. </w:t>
      </w:r>
    </w:p>
    <w:p w:rsidR="003A029A" w:rsidRDefault="003A029A" w:rsidP="003A029A">
      <w:pPr>
        <w:spacing w:before="120" w:after="120"/>
        <w:ind w:left="440" w:right="-1" w:hanging="14"/>
        <w:jc w:val="both"/>
        <w:rPr>
          <w:rFonts w:ascii="Calibri Light" w:hAnsi="Calibri Light" w:cs="Calibri Light"/>
          <w:sz w:val="24"/>
          <w:szCs w:val="24"/>
        </w:rPr>
      </w:pPr>
      <w:r w:rsidRPr="003A029A">
        <w:rPr>
          <w:rFonts w:ascii="Calibri Light" w:hAnsi="Calibri Light" w:cs="Calibri Light"/>
          <w:sz w:val="24"/>
          <w:szCs w:val="24"/>
        </w:rPr>
        <w:t xml:space="preserve">In addition, the development of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strategies that are more assertive can be seen from the use of persuasion techniques, stories and multimedia that are interesting as a form of delivery or socialization of religious messages and the solution to today’s problems</w:t>
      </w:r>
      <w:r w:rsidR="0094019C">
        <w:rPr>
          <w:rFonts w:ascii="Calibri Light" w:hAnsi="Calibri Light" w:cs="Calibri Light"/>
          <w:sz w:val="24"/>
          <w:szCs w:val="24"/>
        </w:rPr>
        <w:t xml:space="preserve"> </w:t>
      </w:r>
      <w:r w:rsidR="0094019C">
        <w:rPr>
          <w:rFonts w:ascii="Calibri Light" w:hAnsi="Calibri Light" w:cs="Calibri Light"/>
          <w:sz w:val="24"/>
          <w:szCs w:val="24"/>
        </w:rPr>
        <w:fldChar w:fldCharType="begin" w:fldLock="1"/>
      </w:r>
      <w:r w:rsidR="002F6172">
        <w:rPr>
          <w:rFonts w:ascii="Calibri Light" w:hAnsi="Calibri Light" w:cs="Calibri Light"/>
          <w:sz w:val="24"/>
          <w:szCs w:val="24"/>
        </w:rPr>
        <w:instrText>ADDIN CSL_CITATION {"citationItems":[{"id":"ITEM-1","itemData":{"DOI":"10.15294/lc.v15i2.26285","author":[{"dropping-particle":"","family":"Kusmanto","given":"Hari","non-dropping-particle":"","parse-names":false,"suffix":""},{"dropping-particle":"","family":"Prayitno","given":"Harun Joko","non-dropping-particle":"","parse-names":false,"suffix":""},{"dropping-particle":"","family":"Sofiana","given":"Isnaeni","non-dropping-particle":"","parse-names":false,"suffix":""},{"dropping-particle":"","family":"Jamaluddin","given":"Norliza","non-dropping-particle":"","parse-names":false,"suffix":""}],"container-title":"Language Circle Journal of Language and Literature","id":"ITEM-1","issue":"2","issued":{"date-parts":[["2021"]]},"page":"219-228","title":"Persuasion Action Strategies in Da'wah Discourse on Social Media in the Global Communication Era","type":"article-journal","volume":"15"},"uris":["http://www.mendeley.com/documents/?uuid=b07c999b-d85e-4fd0-b969-9c01c7078317"]}],"mendeley":{"formattedCitation":"(Kusmanto et al., 2021)","plainTextFormattedCitation":"(Kusmanto et al., 2021)","previouslyFormattedCitation":"(Kusmanto et al., 2021)"},"properties":{"noteIndex":0},"schema":"https://github.com/citation-style-language/schema/raw/master/csl-citation.json"}</w:instrText>
      </w:r>
      <w:r w:rsidR="0094019C">
        <w:rPr>
          <w:rFonts w:ascii="Calibri Light" w:hAnsi="Calibri Light" w:cs="Calibri Light"/>
          <w:sz w:val="24"/>
          <w:szCs w:val="24"/>
        </w:rPr>
        <w:fldChar w:fldCharType="separate"/>
      </w:r>
      <w:r w:rsidR="0094019C" w:rsidRPr="0094019C">
        <w:rPr>
          <w:rFonts w:ascii="Calibri Light" w:hAnsi="Calibri Light" w:cs="Calibri Light"/>
          <w:noProof/>
          <w:sz w:val="24"/>
          <w:szCs w:val="24"/>
        </w:rPr>
        <w:t>(Kusmanto et al., 2021)</w:t>
      </w:r>
      <w:r w:rsidR="0094019C">
        <w:rPr>
          <w:rFonts w:ascii="Calibri Light" w:hAnsi="Calibri Light" w:cs="Calibri Light"/>
          <w:sz w:val="24"/>
          <w:szCs w:val="24"/>
        </w:rPr>
        <w:fldChar w:fldCharType="end"/>
      </w:r>
      <w:r w:rsidRPr="003A029A">
        <w:rPr>
          <w:rFonts w:ascii="Calibri Light" w:hAnsi="Calibri Light" w:cs="Calibri Light"/>
          <w:sz w:val="24"/>
          <w:szCs w:val="24"/>
        </w:rPr>
        <w:t xml:space="preserve">. These strategies look to coalition-stakeholder engagement, navigate contemporary social complexity and disseminate religious imperatives in innovative ways. This transformation has been channeled into the forms of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strategy in Indonesia, which are marked by more assertive character beliefs because of several factors, such as the shifts in societal demands, technological advances, and the space for religious communication. There is growing awareness of the benefits of adopting innovative ways and means of carrying out </w:t>
      </w:r>
      <w:r w:rsidR="00A052EF" w:rsidRPr="00A052EF">
        <w:rPr>
          <w:rFonts w:ascii="Calibri Light" w:hAnsi="Calibri Light" w:cs="Calibri Light"/>
          <w:i/>
          <w:iCs/>
          <w:sz w:val="24"/>
          <w:szCs w:val="24"/>
        </w:rPr>
        <w:t>Da’wah</w:t>
      </w:r>
      <w:r w:rsidRPr="003A029A">
        <w:rPr>
          <w:rFonts w:ascii="Calibri Light" w:hAnsi="Calibri Light" w:cs="Calibri Light"/>
          <w:sz w:val="24"/>
          <w:szCs w:val="24"/>
        </w:rPr>
        <w:t xml:space="preserve"> to transmit the message of Islam, engage diverse groups, and maintain Islamic teachings and values.</w:t>
      </w:r>
    </w:p>
    <w:p w:rsidR="002F6172" w:rsidRDefault="002F6172" w:rsidP="003A029A">
      <w:pPr>
        <w:spacing w:before="120" w:after="120"/>
        <w:ind w:left="440" w:right="-1" w:hanging="14"/>
        <w:jc w:val="both"/>
        <w:rPr>
          <w:rFonts w:ascii="Calibri Light" w:hAnsi="Calibri Light" w:cs="Calibri Light"/>
          <w:sz w:val="24"/>
          <w:szCs w:val="24"/>
        </w:rPr>
      </w:pPr>
      <w:r w:rsidRPr="002F6172">
        <w:rPr>
          <w:rFonts w:ascii="Calibri Light" w:hAnsi="Calibri Light" w:cs="Calibri Light"/>
          <w:sz w:val="24"/>
          <w:szCs w:val="24"/>
        </w:rPr>
        <w:t xml:space="preserve">The exposure of </w:t>
      </w:r>
      <w:r w:rsidR="00A052EF" w:rsidRPr="00A052EF">
        <w:rPr>
          <w:rFonts w:ascii="Calibri Light" w:hAnsi="Calibri Light" w:cs="Calibri Light"/>
          <w:i/>
          <w:iCs/>
          <w:sz w:val="24"/>
          <w:szCs w:val="24"/>
        </w:rPr>
        <w:t>Da’wah</w:t>
      </w:r>
      <w:r w:rsidRPr="002F6172">
        <w:rPr>
          <w:rFonts w:ascii="Calibri Light" w:hAnsi="Calibri Light" w:cs="Calibri Light"/>
          <w:sz w:val="24"/>
          <w:szCs w:val="24"/>
        </w:rPr>
        <w:t xml:space="preserve"> against blasphemy cases in Indonesia has contributed to the history of demographic change in terms of religious thoughts and social dynamics. A pertinent example of this is the rejection of non-Muslim leaders, such as in the case of Basuki </w:t>
      </w:r>
      <w:proofErr w:type="spellStart"/>
      <w:r w:rsidRPr="002F6172">
        <w:rPr>
          <w:rFonts w:ascii="Calibri Light" w:hAnsi="Calibri Light" w:cs="Calibri Light"/>
          <w:sz w:val="24"/>
          <w:szCs w:val="24"/>
        </w:rPr>
        <w:t>Tjahya</w:t>
      </w:r>
      <w:proofErr w:type="spellEnd"/>
      <w:r w:rsidRPr="002F6172">
        <w:rPr>
          <w:rFonts w:ascii="Calibri Light" w:hAnsi="Calibri Light" w:cs="Calibri Light"/>
          <w:sz w:val="24"/>
          <w:szCs w:val="24"/>
        </w:rPr>
        <w:t xml:space="preserve"> Purnama (better known as Ahok), the former Jakarta Governor who was on trial for blasphemy against the Quran. These arrests were followed by protests and further allegations of blasphemy against Islam, which sparked resistance among Muslim youth</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{"citationItems":[{"id":"ITEM-1","itemData":{"DOI":"10.4102/hts.v78i4.7526","author":[{"dropping-particle":"","family":"Nasution","given":"Muhammad Syukri Albani","non-dropping-particle":"","parse-names":false,"suffix":""},{"dropping-particle":"","family":"Syam","given":"Syafruddin","non-dropping-particle":"","parse-names":false,"suffix":""},{"dropping-particle":"","family":"Matsum","given":"Hasan","non-dropping-particle":"","parse-names":false,"suffix":""},{"dropping-particle":"","family":"Siregar","given":"Putra Apriadi","non-dropping-particle":"","parse-names":false,"suffix":""},{"dropping-particle":"","family":"Dayu","given":"Wulan","non-dropping-particle":"","parse-names":false,"suffix":""}],"container-title":"HTS Teologiese Studies / Theological Studies","id":"ITEM-1","issue":"4","issued":{"date-parts":[["2022"]]},"title":"Hifz Al-Din (Maintaining Religion) and Hifz Al-Ummah (Developing National Integration): Resistance of Muslim Youth to Non-Muslim Leader Candidates in Election","type":"article-journal","volume":"78"},"uris":["http://www.mendeley.com/documents/?uuid=2e29ce31-e596-4309-98e9-6494efdff6ff"]}],"mendeley":{"formattedCitation":"(Nasution et al., 2022)","plainTextFormattedCitation":"(Nasution et al., 2022)","previouslyFormattedCitation":"(Nasution et al., 2022)"},"properties":{"noteIndex":0},"schema":"https://github.com/citation-style-language/schema/raw/master/csl-citation.json"}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(Nasution et al., 2022)</w:t>
      </w:r>
      <w:r>
        <w:rPr>
          <w:rFonts w:ascii="Calibri Light" w:hAnsi="Calibri Light" w:cs="Calibri Light"/>
          <w:sz w:val="24"/>
          <w:szCs w:val="24"/>
        </w:rPr>
        <w:fldChar w:fldCharType="end"/>
      </w:r>
      <w:r w:rsidRPr="002F6172">
        <w:rPr>
          <w:rFonts w:ascii="Calibri Light" w:hAnsi="Calibri Light" w:cs="Calibri Light"/>
          <w:sz w:val="24"/>
          <w:szCs w:val="24"/>
        </w:rPr>
        <w:t>.</w:t>
      </w:r>
    </w:p>
    <w:p w:rsidR="002F6172" w:rsidRDefault="002F6172" w:rsidP="003A029A">
      <w:pPr>
        <w:spacing w:before="120" w:after="120"/>
        <w:ind w:left="440" w:right="-1" w:hanging="14"/>
        <w:jc w:val="both"/>
        <w:rPr>
          <w:rFonts w:ascii="Calibri Light" w:hAnsi="Calibri Light" w:cs="Calibri Light"/>
          <w:sz w:val="24"/>
          <w:szCs w:val="24"/>
        </w:rPr>
      </w:pPr>
      <w:r w:rsidRPr="002F6172">
        <w:rPr>
          <w:rFonts w:ascii="Calibri Light" w:hAnsi="Calibri Light" w:cs="Calibri Light"/>
          <w:sz w:val="24"/>
          <w:szCs w:val="24"/>
        </w:rPr>
        <w:t xml:space="preserve">The following case study of the victimization of </w:t>
      </w:r>
      <w:proofErr w:type="spellStart"/>
      <w:r w:rsidRPr="002F6172">
        <w:rPr>
          <w:rFonts w:ascii="Calibri Light" w:hAnsi="Calibri Light" w:cs="Calibri Light"/>
          <w:sz w:val="24"/>
          <w:szCs w:val="24"/>
        </w:rPr>
        <w:t>Ahmadiyyah</w:t>
      </w:r>
      <w:proofErr w:type="spellEnd"/>
      <w:r w:rsidRPr="002F6172">
        <w:rPr>
          <w:rFonts w:ascii="Calibri Light" w:hAnsi="Calibri Light" w:cs="Calibri Light"/>
          <w:sz w:val="24"/>
          <w:szCs w:val="24"/>
        </w:rPr>
        <w:t xml:space="preserve"> in Indonesia, again heavily discriminated against with various violence charges (mostly of heresy) against its member. Putra et al. discuss the implementation of these above challenges by referring to how difficult it is for the </w:t>
      </w:r>
      <w:proofErr w:type="spellStart"/>
      <w:r w:rsidRPr="002F6172">
        <w:rPr>
          <w:rFonts w:ascii="Calibri Light" w:hAnsi="Calibri Light" w:cs="Calibri Light"/>
          <w:sz w:val="24"/>
          <w:szCs w:val="24"/>
        </w:rPr>
        <w:t>Ahmadiyyah</w:t>
      </w:r>
      <w:proofErr w:type="spellEnd"/>
      <w:r w:rsidRPr="002F6172">
        <w:rPr>
          <w:rFonts w:ascii="Calibri Light" w:hAnsi="Calibri Light" w:cs="Calibri Light"/>
          <w:sz w:val="24"/>
          <w:szCs w:val="24"/>
        </w:rPr>
        <w:t xml:space="preserve"> community to be an </w:t>
      </w:r>
      <w:proofErr w:type="spellStart"/>
      <w:r w:rsidRPr="002F6172">
        <w:rPr>
          <w:rFonts w:ascii="Calibri Light" w:hAnsi="Calibri Light" w:cs="Calibri Light"/>
          <w:sz w:val="24"/>
          <w:szCs w:val="24"/>
        </w:rPr>
        <w:t>interpart</w:t>
      </w:r>
      <w:proofErr w:type="spellEnd"/>
      <w:r w:rsidRPr="002F6172">
        <w:rPr>
          <w:rFonts w:ascii="Calibri Light" w:hAnsi="Calibri Light" w:cs="Calibri Light"/>
          <w:sz w:val="24"/>
          <w:szCs w:val="24"/>
        </w:rPr>
        <w:t xml:space="preserve"> in religious pluralism and what kind of tolerance in Indonesia needs further investigation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{"citationItems":[{"id":"ITEM-1","itemData":{"DOI":"10.1037/rel0000186","author":[{"dropping-particle":"","family":"Putra","given":"Idhamsyah E.","non-dropping-particle":"","parse-names":false,"suffix":""},{"dropping-particle":"","family":"Holtz","given":"Peter","non-dropping-particle":"","parse-names":false,"suffix":""},{"dropping-particle":"","family":"Rufaedah","given":"Any","non-dropping-particle":"","parse-names":false,"suffix":""}],"container-title":"Psychology of Religion and Spirituality","id":"ITEM-1","issue":"2","issued":{"date-parts":[["2018"]]},"page":"166–173","title":"Who is to blame, the victims or the perpetrators? A study to understand a series of violence targeting the accused heretic group Ahmadiyya","type":"article-journal","volume":"10"},"uris":["http://www.mendeley.com/documents/?uuid=3116602c-d3fd-4500-8b32-f5ed02263d25"]}],"mendeley":{"formattedCitation":"(Putra et al., 2018)","plainTextFormattedCitation":"(Putra et al., 2018)","previouslyFormattedCitation":"(Putra et al., 2018)"},"properties":{"noteIndex":0},"schema":"https://github.com/citation-style-language/schema/raw/master/csl-citation.json"}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(Putra et al., 2018)</w:t>
      </w:r>
      <w:r>
        <w:rPr>
          <w:rFonts w:ascii="Calibri Light" w:hAnsi="Calibri Light" w:cs="Calibri Light"/>
          <w:sz w:val="24"/>
          <w:szCs w:val="24"/>
        </w:rPr>
        <w:fldChar w:fldCharType="end"/>
      </w:r>
      <w:r w:rsidRPr="002F6172">
        <w:rPr>
          <w:rFonts w:ascii="Calibri Light" w:hAnsi="Calibri Light" w:cs="Calibri Light"/>
          <w:sz w:val="24"/>
          <w:szCs w:val="24"/>
        </w:rPr>
        <w:t>. On the other hand, the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B450BF">
        <w:rPr>
          <w:rFonts w:ascii="Calibri Light" w:hAnsi="Calibri Light" w:cs="Calibri Light"/>
          <w:sz w:val="24"/>
          <w:szCs w:val="24"/>
        </w:rPr>
        <w:instrText>ADDIN CSL_CITATION {"citationItems":[{"id":"ITEM-1","itemData":{"DOI":"10.20961/bestuur.v9i1.51632","author":[{"dropping-particle":"","family":"Lintang","given":"Loresta C.","non-dropping-particle":"","parse-names":false,"suffix":""},{"dropping-particle":"","family":"Martufi","given":"Adriano","non-dropping-particle":"","parse-names":false,"suffix":""},{"dropping-particle":"","family":"Ouwerker","given":"J. W.","non-dropping-particle":"","parse-names":false,"suffix":""}],"container-title":"Bestuur","id":"ITEM-1","issue":"1","issued":{"date-parts":[["2021"]]},"page":"13-25","title":"The Alternative Concepts of Blasphemy Law in Indonesia: Legal Comparison with Ireland and Canada","type":"article-journal","volume":"9"},"uris":["http://www.mendeley.com/documents/?uuid=5ceb1d00-2e5f-4fec-a6bf-3c93c0837fdc"]}],"mendeley":{"formattedCitation":"(Lintang et al., 2021)","plainTextFormattedCitation":"(Lintang et al., 2021)","previouslyFormattedCitation":"(Lintang et al., 2021)"},"properties":{"noteIndex":0},"schema":"https://github.com/citation-style-language/schema/raw/master/csl-citation.json"}</w:instrText>
      </w:r>
      <w:r>
        <w:rPr>
          <w:rFonts w:ascii="Calibri Light" w:hAnsi="Calibri Light" w:cs="Calibri Light"/>
          <w:sz w:val="24"/>
          <w:szCs w:val="24"/>
        </w:rPr>
        <w:fldChar w:fldCharType="separate"/>
      </w:r>
      <w:r w:rsidRPr="002F6172">
        <w:rPr>
          <w:rFonts w:ascii="Calibri Light" w:hAnsi="Calibri Light" w:cs="Calibri Light"/>
          <w:noProof/>
          <w:sz w:val="24"/>
          <w:szCs w:val="24"/>
        </w:rPr>
        <w:t>(Lintang et al., 2021)</w:t>
      </w:r>
      <w:r>
        <w:rPr>
          <w:rFonts w:ascii="Calibri Light" w:hAnsi="Calibri Light" w:cs="Calibri Light"/>
          <w:sz w:val="24"/>
          <w:szCs w:val="24"/>
        </w:rPr>
        <w:fldChar w:fldCharType="end"/>
      </w:r>
      <w:r w:rsidRPr="002F6172">
        <w:rPr>
          <w:rFonts w:ascii="Calibri Light" w:hAnsi="Calibri Light" w:cs="Calibri Light"/>
          <w:sz w:val="24"/>
          <w:szCs w:val="24"/>
        </w:rPr>
        <w:t xml:space="preserve">. Also, the use of digital platforms and social media in </w:t>
      </w:r>
      <w:r w:rsidR="00A052EF" w:rsidRPr="00A052EF">
        <w:rPr>
          <w:rFonts w:ascii="Calibri Light" w:hAnsi="Calibri Light" w:cs="Calibri Light"/>
          <w:i/>
          <w:iCs/>
          <w:sz w:val="24"/>
          <w:szCs w:val="24"/>
        </w:rPr>
        <w:t>Da’wah</w:t>
      </w:r>
      <w:r w:rsidRPr="002F6172">
        <w:rPr>
          <w:rFonts w:ascii="Calibri Light" w:hAnsi="Calibri Light" w:cs="Calibri Light"/>
          <w:sz w:val="24"/>
          <w:szCs w:val="24"/>
        </w:rPr>
        <w:t xml:space="preserve"> activities has been a progressive step towards solving blasphemy problems. These case studies shed light on the intertwined character of </w:t>
      </w:r>
      <w:r w:rsidR="00A052EF" w:rsidRPr="00A052EF">
        <w:rPr>
          <w:rFonts w:ascii="Calibri Light" w:hAnsi="Calibri Light" w:cs="Calibri Light"/>
          <w:i/>
          <w:iCs/>
          <w:sz w:val="24"/>
          <w:szCs w:val="24"/>
        </w:rPr>
        <w:t>Da’wah</w:t>
      </w:r>
      <w:r w:rsidRPr="002F6172">
        <w:rPr>
          <w:rFonts w:ascii="Calibri Light" w:hAnsi="Calibri Light" w:cs="Calibri Light"/>
          <w:sz w:val="24"/>
          <w:szCs w:val="24"/>
        </w:rPr>
        <w:t xml:space="preserve"> against blasphemy in Indonesia, echoing how religious discourse, legal system, and social context played out in dealing with questions of religious tolerance, freedom of expression and societal harmony.</w:t>
      </w:r>
    </w:p>
    <w:p w:rsidR="00FB4D6C" w:rsidRPr="00FB4D6C" w:rsidRDefault="00FB4D6C" w:rsidP="003A029A">
      <w:pPr>
        <w:spacing w:before="120" w:after="120"/>
        <w:ind w:left="440" w:right="-1" w:hanging="14"/>
        <w:jc w:val="both"/>
        <w:rPr>
          <w:rFonts w:ascii="Calibri Light" w:hAnsi="Calibri Light" w:cs="Calibri Light"/>
          <w:b/>
          <w:bCs/>
          <w:sz w:val="24"/>
          <w:szCs w:val="24"/>
        </w:rPr>
      </w:pPr>
      <w:r w:rsidRPr="00FB4D6C">
        <w:rPr>
          <w:rFonts w:ascii="Calibri Light" w:hAnsi="Calibri Light" w:cs="Calibri Light"/>
          <w:b/>
          <w:bCs/>
          <w:sz w:val="24"/>
          <w:szCs w:val="24"/>
        </w:rPr>
        <w:t xml:space="preserve">Contemporary Perspectives of </w:t>
      </w:r>
      <w:r w:rsidR="00A052EF" w:rsidRPr="00A052EF">
        <w:rPr>
          <w:rFonts w:ascii="Calibri Light" w:hAnsi="Calibri Light" w:cs="Calibri Light"/>
          <w:b/>
          <w:bCs/>
          <w:i/>
          <w:iCs/>
          <w:sz w:val="24"/>
          <w:szCs w:val="24"/>
        </w:rPr>
        <w:t>Da’wah</w:t>
      </w:r>
      <w:r w:rsidRPr="00FB4D6C">
        <w:rPr>
          <w:rFonts w:ascii="Calibri Light" w:hAnsi="Calibri Light" w:cs="Calibri Light"/>
          <w:b/>
          <w:bCs/>
          <w:sz w:val="24"/>
          <w:szCs w:val="24"/>
        </w:rPr>
        <w:t xml:space="preserve"> in Indonesia</w:t>
      </w:r>
    </w:p>
    <w:p w:rsidR="009C69F5" w:rsidRDefault="00B450BF" w:rsidP="00B25EDF">
      <w:pPr>
        <w:spacing w:before="120" w:after="120"/>
        <w:ind w:left="440" w:right="-1" w:hanging="14"/>
        <w:jc w:val="both"/>
        <w:rPr>
          <w:rFonts w:ascii="Calibri Light" w:hAnsi="Calibri Light" w:cs="Calibri Light"/>
          <w:sz w:val="24"/>
          <w:szCs w:val="24"/>
        </w:rPr>
      </w:pPr>
      <w:r w:rsidRPr="00B450BF">
        <w:rPr>
          <w:rFonts w:ascii="Calibri Light" w:hAnsi="Calibri Light" w:cs="Calibri Light"/>
          <w:sz w:val="24"/>
          <w:szCs w:val="24"/>
        </w:rPr>
        <w:t xml:space="preserve">Social media and the internet have revolutionized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movements across Indonesia, transforming the flow of religious messages and audience interaction. Islamic outreach is </w:t>
      </w:r>
      <w:r w:rsidRPr="00B450BF">
        <w:rPr>
          <w:rFonts w:ascii="Calibri Light" w:hAnsi="Calibri Light" w:cs="Calibri Light"/>
          <w:sz w:val="24"/>
          <w:szCs w:val="24"/>
        </w:rPr>
        <w:lastRenderedPageBreak/>
        <w:t xml:space="preserve">undoubtedly more easily obtained globally in the digital age. Taking example from Bandung of West Java, social media has initiated the formation of digital Islamic social networks, which are marked by the presence of Muslim intellectuals who are influential in establishing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activities at universities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{"citationItems":[{"id":"ITEM-1","itemData":{"DOI":"10.1080/13639811.2018.1415276","author":[{"dropping-particle":"","family":"Lengauer","given":"Dayana","non-dropping-particle":"","parse-names":false,"suffix":""}],"container-title":"Indonesia and the Malay World","id":"ITEM-1","issue":"134","issued":{"date-parts":[["2018"]]},"page":"5-23","title":"Sharing Semangat Taqwa: Social Media and Digital Islamic Socialities in Bandung","type":"article-journal","volume":"46"},"uris":["http://www.mendeley.com/documents/?uuid=094649b8-86a9-404f-92d9-52b4ab7e0e61"]}],"mendeley":{"formattedCitation":"(Lengauer, 2018)","plainTextFormattedCitation":"(Lengauer, 2018)","previouslyFormattedCitation":"(Lengauer, 2018)"},"properties":{"noteIndex":0},"schema":"https://github.com/citation-style-language/schema/raw/master/csl-citation.json"}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(Lengauer, 2018)</w:t>
      </w:r>
      <w:r>
        <w:rPr>
          <w:rFonts w:ascii="Calibri Light" w:hAnsi="Calibri Light" w:cs="Calibri Light"/>
          <w:sz w:val="24"/>
          <w:szCs w:val="24"/>
        </w:rPr>
        <w:fldChar w:fldCharType="end"/>
      </w:r>
      <w:r w:rsidRPr="00B450BF">
        <w:rPr>
          <w:rFonts w:ascii="Calibri Light" w:hAnsi="Calibri Light" w:cs="Calibri Light"/>
          <w:sz w:val="24"/>
          <w:szCs w:val="24"/>
        </w:rPr>
        <w:t xml:space="preserve">. Similarly, the convergent digital media era has also had its impacts on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by manifesting cyber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activism as a manifestation of political and ideological motives in online religious messages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dt.v24i1.41657","author":[{"dropping-particle":"","family":"Muhammad","given":"Firdaus","non-dropping-particle":"","parse-names":false,"suffix":""},{"dropping-particle":"","family":"Irwan","given":"","non-dropping-particle":"","parse-names":false,"suffix":""}],"container-title":"Jurnal Dakwah Tabligh","id":"ITEM-1","issue":"1","issued":{"date-parts":[["2023"]]},"title":"Diseminasi Komunikasi Politik Islam Dan Dakwah Era Konvergensi Media Digital","type":"article-journal","volume":"24"},"uris":["http://www.mendeley.com/documents/?uuid=a2169cfb-a590-4e71-a993-0dff0501b588"]}],"mendeley":{"formattedCitation":"(F. Muhammad &amp; Irwan, 2023)","plainTextFormattedCitation":"(F. Muhammad &amp; Irwan, 2023)","previouslyFormattedCitation":"(F. Muhammad &amp; Irwan, 2023)"},"properties":{"noteIndex":0},"schema":"https://github.com/citation-style-language/schema/raw/master/csl-citation.json"}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(F. Muhammad &amp; Irwan, 2023)</w:t>
      </w:r>
      <w:r>
        <w:rPr>
          <w:rFonts w:ascii="Calibri Light" w:hAnsi="Calibri Light" w:cs="Calibri Light"/>
          <w:sz w:val="24"/>
          <w:szCs w:val="24"/>
        </w:rPr>
        <w:fldChar w:fldCharType="end"/>
      </w:r>
      <w:r w:rsidRPr="00B450BF">
        <w:rPr>
          <w:rFonts w:ascii="Calibri Light" w:hAnsi="Calibri Light" w:cs="Calibri Light"/>
          <w:sz w:val="24"/>
          <w:szCs w:val="24"/>
        </w:rPr>
        <w:t xml:space="preserve">. This practice of utilizing social media and live streaming has been especially important for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during the pandemic period, giving students an opportunity to engage with wider audiences and carry on their work despite limitations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{"citationItems":[{"id":"ITEM-1","itemData":{"DOI":"10.29240/jdk.v6i1.2954","author":[{"dropping-particle":"","family":"Fajar","given":"Mohammad R.","non-dropping-particle":"","parse-names":false,"suffix":""}],"container-title":"Jurnal Dakwah Dan Komunikasi","id":"ITEM-1","issue":"1","issued":{"date-parts":[["2021"]]},"page":"1-22","title":"Optimalisasi Dakwah Media Sosial Di Kalangan Mahasiswa Di Masa Pandemi Dalam Dimensi Globalisasi","type":"article-journal","volume":"6"},"uris":["http://www.mendeley.com/documents/?uuid=4b72fa93-cc05-43ef-9441-626875c9ddf8"]}],"mendeley":{"formattedCitation":"(Fajar, 2021)","plainTextFormattedCitation":"(Fajar, 2021)","previouslyFormattedCitation":"(Fajar, 2021)"},"properties":{"noteIndex":0},"schema":"https://github.com/citation-style-language/schema/raw/master/csl-citation.json"}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(Fajar, 2021)</w:t>
      </w:r>
      <w:r>
        <w:rPr>
          <w:rFonts w:ascii="Calibri Light" w:hAnsi="Calibri Light" w:cs="Calibri Light"/>
          <w:sz w:val="24"/>
          <w:szCs w:val="24"/>
        </w:rPr>
        <w:fldChar w:fldCharType="end"/>
      </w:r>
      <w:r w:rsidRPr="00B450BF">
        <w:rPr>
          <w:rFonts w:ascii="Calibri Light" w:hAnsi="Calibri Light" w:cs="Calibri Light"/>
          <w:sz w:val="24"/>
          <w:szCs w:val="24"/>
        </w:rPr>
        <w:t xml:space="preserve">. Specifically, digital media role as a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tool is very much visible and essential as it acts spreading messages of religion to the public at large with thematically interactive and remotely engaging</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Pr>
          <w:rFonts w:ascii="Calibri Light" w:hAnsi="Calibri Light" w:cs="Calibri Light"/>
          <w:sz w:val="24"/>
          <w:szCs w:val="24"/>
        </w:rPr>
        <w:fldChar w:fldCharType="separate"/>
      </w:r>
      <w:r w:rsidRPr="00B450BF">
        <w:rPr>
          <w:rFonts w:ascii="Calibri Light" w:hAnsi="Calibri Light" w:cs="Calibri Light"/>
          <w:noProof/>
          <w:sz w:val="24"/>
          <w:szCs w:val="24"/>
        </w:rPr>
        <w:t>(Aziz et al., 2022)</w:t>
      </w:r>
      <w:r>
        <w:rPr>
          <w:rFonts w:ascii="Calibri Light" w:hAnsi="Calibri Light" w:cs="Calibri Light"/>
          <w:sz w:val="24"/>
          <w:szCs w:val="24"/>
        </w:rPr>
        <w:fldChar w:fldCharType="end"/>
      </w:r>
      <w:r w:rsidRPr="00B450BF">
        <w:rPr>
          <w:rFonts w:ascii="Calibri Light" w:hAnsi="Calibri Light" w:cs="Calibri Light"/>
          <w:sz w:val="24"/>
          <w:szCs w:val="24"/>
        </w:rPr>
        <w:t xml:space="preserve">. By way of example, the </w:t>
      </w:r>
      <w:proofErr w:type="spellStart"/>
      <w:r w:rsidRPr="008D41DD">
        <w:rPr>
          <w:rFonts w:ascii="Calibri Light" w:hAnsi="Calibri Light" w:cs="Calibri Light"/>
          <w:i/>
          <w:iCs/>
          <w:sz w:val="24"/>
          <w:szCs w:val="24"/>
        </w:rPr>
        <w:t>Tastafi</w:t>
      </w:r>
      <w:proofErr w:type="spellEnd"/>
      <w:r w:rsidRPr="008D41DD">
        <w:rPr>
          <w:rFonts w:ascii="Calibri Light" w:hAnsi="Calibri Light" w:cs="Calibri Light"/>
          <w:i/>
          <w:iCs/>
          <w:sz w:val="24"/>
          <w:szCs w:val="24"/>
        </w:rPr>
        <w:t xml:space="preserve">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movement during the pandemic shows how social media and live streaming enabled practitioners to scale up and respond at speed</w:t>
      </w:r>
      <w:r w:rsidR="00337B03">
        <w:rPr>
          <w:rFonts w:ascii="Calibri Light" w:hAnsi="Calibri Light" w:cs="Calibri Light"/>
          <w:sz w:val="24"/>
          <w:szCs w:val="24"/>
        </w:rPr>
        <w:t xml:space="preserve"> </w:t>
      </w:r>
      <w:r w:rsidR="00337B03">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{"citationItems":[{"id":"ITEM-1","itemData":{"DOI":"10.14421/panangkaran.v6i1.2788","author":[{"dropping-particle":"","family":"Fikar","given":"Zulfikar","non-dropping-particle":"","parse-names":false,"suffix":""}],"container-title":"Panangkaran Jurnal Penelitian Agama Dan Masyarakat","id":"ITEM-1","issue":"1","issued":{"date-parts":[["2022"]]},"page":"132-146","title":"Dakwah Ulama Dayah Aceh Di Masa Pandemi","type":"article-journal","volume":"6"},"uris":["http://www.mendeley.com/documents/?uuid=a9de121f-9a1f-40a1-b31c-ba84491e0d6e"]}],"mendeley":{"formattedCitation":"(Fikar, 2022)","plainTextFormattedCitation":"(Fikar, 2022)","previouslyFormattedCitation":"(Fikar, 2022)"},"properties":{"noteIndex":0},"schema":"https://github.com/citation-style-language/schema/raw/master/csl-citation.json"}</w:instrText>
      </w:r>
      <w:r w:rsidR="00337B03">
        <w:rPr>
          <w:rFonts w:ascii="Calibri Light" w:hAnsi="Calibri Light" w:cs="Calibri Light"/>
          <w:sz w:val="24"/>
          <w:szCs w:val="24"/>
        </w:rPr>
        <w:fldChar w:fldCharType="separate"/>
      </w:r>
      <w:r w:rsidR="00337B03" w:rsidRPr="00337B03">
        <w:rPr>
          <w:rFonts w:ascii="Calibri Light" w:hAnsi="Calibri Light" w:cs="Calibri Light"/>
          <w:noProof/>
          <w:sz w:val="24"/>
          <w:szCs w:val="24"/>
        </w:rPr>
        <w:t>(Fikar, 2022)</w:t>
      </w:r>
      <w:r w:rsidR="00337B03">
        <w:rPr>
          <w:rFonts w:ascii="Calibri Light" w:hAnsi="Calibri Light" w:cs="Calibri Light"/>
          <w:sz w:val="24"/>
          <w:szCs w:val="24"/>
        </w:rPr>
        <w:fldChar w:fldCharType="end"/>
      </w:r>
      <w:r w:rsidRPr="00B450BF">
        <w:rPr>
          <w:rFonts w:ascii="Calibri Light" w:hAnsi="Calibri Light" w:cs="Calibri Light"/>
          <w:sz w:val="24"/>
          <w:szCs w:val="24"/>
        </w:rPr>
        <w:t xml:space="preserve">. This is an advancement in </w:t>
      </w:r>
      <w:r w:rsidR="00A052EF" w:rsidRPr="00A052EF">
        <w:rPr>
          <w:rFonts w:ascii="Calibri Light" w:hAnsi="Calibri Light" w:cs="Calibri Light"/>
          <w:i/>
          <w:iCs/>
          <w:sz w:val="24"/>
          <w:szCs w:val="24"/>
        </w:rPr>
        <w:t>Da’wah</w:t>
      </w:r>
      <w:r w:rsidRPr="00B450BF">
        <w:rPr>
          <w:rFonts w:ascii="Calibri Light" w:hAnsi="Calibri Light" w:cs="Calibri Light"/>
          <w:sz w:val="24"/>
          <w:szCs w:val="24"/>
        </w:rPr>
        <w:t xml:space="preserve"> strategies in the country by embracing social media and internet to improve communication, involve the audience and increase influence.</w:t>
      </w:r>
    </w:p>
    <w:p w:rsidR="00337B03" w:rsidRPr="00337B03" w:rsidRDefault="00A052EF" w:rsidP="00337B03">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00337B03" w:rsidRPr="00337B03">
        <w:rPr>
          <w:rFonts w:ascii="Calibri Light" w:hAnsi="Calibri Light" w:cs="Calibri Light"/>
          <w:sz w:val="24"/>
          <w:szCs w:val="24"/>
        </w:rPr>
        <w:t xml:space="preserve"> practices in Indonesia are also partially defined by state regulations and laws on blasphemy. Respecting religious freedom, appreciating differences and focusing on positive goals in </w:t>
      </w:r>
      <w:r w:rsidRPr="00A052EF">
        <w:rPr>
          <w:rFonts w:ascii="Calibri Light" w:hAnsi="Calibri Light" w:cs="Calibri Light"/>
          <w:i/>
          <w:iCs/>
          <w:sz w:val="24"/>
          <w:szCs w:val="24"/>
        </w:rPr>
        <w:t>Da’wah</w:t>
      </w:r>
      <w:r w:rsidR="008D41DD" w:rsidRPr="00337B03">
        <w:rPr>
          <w:rFonts w:ascii="Calibri Light" w:hAnsi="Calibri Light" w:cs="Calibri Light"/>
          <w:sz w:val="24"/>
          <w:szCs w:val="24"/>
        </w:rPr>
        <w:t xml:space="preserve"> </w:t>
      </w:r>
      <w:r w:rsidR="00337B03" w:rsidRPr="00337B03">
        <w:rPr>
          <w:rFonts w:ascii="Calibri Light" w:hAnsi="Calibri Light" w:cs="Calibri Light"/>
          <w:sz w:val="24"/>
          <w:szCs w:val="24"/>
        </w:rPr>
        <w:t>efforts could be a good way to create tolerance, harmony and peace among religious communities</w:t>
      </w:r>
      <w:r w:rsidR="00337B03">
        <w:rPr>
          <w:rFonts w:ascii="Calibri Light" w:hAnsi="Calibri Light" w:cs="Calibri Light"/>
          <w:sz w:val="24"/>
          <w:szCs w:val="24"/>
        </w:rPr>
        <w:t xml:space="preserve"> </w:t>
      </w:r>
      <w:r w:rsidR="00337B03">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Sciences","id":"ITEM-1","issue":"2","issued":{"date-parts":[["2023"]]},"page":"110–121","title":"Understanding the Urgency of Da'wah of Islam in the Context of Peace in the Nuances of Pluralism in Indonesia","type":"article-journal","volume":"10"},"uris":["http://www.mendeley.com/documents/?uuid=74845864-fafa-4769-8c54-b542f1bbc208"]}],"mendeley":{"formattedCitation":"(Rahmah &amp; Aslamiah, 2023)","plainTextFormattedCitation":"(Rahmah &amp; Aslamiah, 2023)","previouslyFormattedCitation":"(Rahmah &amp; Aslamiah, 2023)"},"properties":{"noteIndex":0},"schema":"https://github.com/citation-style-language/schema/raw/master/csl-citation.json"}</w:instrText>
      </w:r>
      <w:r w:rsidR="00337B03">
        <w:rPr>
          <w:rFonts w:ascii="Calibri Light" w:hAnsi="Calibri Light" w:cs="Calibri Light"/>
          <w:sz w:val="24"/>
          <w:szCs w:val="24"/>
        </w:rPr>
        <w:fldChar w:fldCharType="separate"/>
      </w:r>
      <w:r w:rsidR="00337B03" w:rsidRPr="00337B03">
        <w:rPr>
          <w:rFonts w:ascii="Calibri Light" w:hAnsi="Calibri Light" w:cs="Calibri Light"/>
          <w:noProof/>
          <w:sz w:val="24"/>
          <w:szCs w:val="24"/>
        </w:rPr>
        <w:t>(Rahmah &amp; Aslamiah, 2023)</w:t>
      </w:r>
      <w:r w:rsidR="00337B03">
        <w:rPr>
          <w:rFonts w:ascii="Calibri Light" w:hAnsi="Calibri Light" w:cs="Calibri Light"/>
          <w:sz w:val="24"/>
          <w:szCs w:val="24"/>
        </w:rPr>
        <w:fldChar w:fldCharType="end"/>
      </w:r>
      <w:r w:rsidR="00337B03" w:rsidRPr="00337B03">
        <w:rPr>
          <w:rFonts w:ascii="Calibri Light" w:hAnsi="Calibri Light" w:cs="Calibri Light"/>
          <w:sz w:val="24"/>
          <w:szCs w:val="24"/>
        </w:rPr>
        <w:t>.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sidR="00337B03">
        <w:rPr>
          <w:rFonts w:ascii="Calibri Light" w:hAnsi="Calibri Light" w:cs="Calibri Light"/>
          <w:sz w:val="24"/>
          <w:szCs w:val="24"/>
        </w:rPr>
        <w:t xml:space="preserve"> </w:t>
      </w:r>
      <w:r w:rsidR="00337B03">
        <w:rPr>
          <w:rFonts w:ascii="Calibri Light" w:hAnsi="Calibri Light" w:cs="Calibri Light"/>
          <w:sz w:val="24"/>
          <w:szCs w:val="24"/>
        </w:rPr>
        <w:fldChar w:fldCharType="begin" w:fldLock="1"/>
      </w:r>
      <w:r w:rsidR="00337B03">
        <w:rPr>
          <w:rFonts w:ascii="Calibri Light" w:hAnsi="Calibri Light" w:cs="Calibri Light"/>
          <w:sz w:val="24"/>
          <w:szCs w:val="24"/>
        </w:rPr>
        <w:instrText>ADDIN CSL_CITATION {"citationItems":[{"id":"ITEM-1","itemData":{"DOI":"10.51672/alfikru.v16i2.107","author":[{"dropping-particle":"","family":"Amin","given":"Nazrial","non-dropping-particle":"","parse-names":false,"suffix":""}],"container-title":"Al-Fikru Jurnal Ilmiah","id":"ITEM-1","issue":"2","issued":{"date-parts":[["2022"]]},"page":"188–199","title":"Contemporary Da'wah Strategies to Educate the Religious Life of Minority Muslims","type":"article-journal","volume":"16"},"uris":["http://www.mendeley.com/documents/?uuid=0a983e01-ff79-4ab2-ae91-c70e919ab592"]}],"mendeley":{"formattedCitation":"(Amin, 2022)","plainTextFormattedCitation":"(Amin, 2022)","previouslyFormattedCitation":"(Amin, 2022)"},"properties":{"noteIndex":0},"schema":"https://github.com/citation-style-language/schema/raw/master/csl-citation.json"}</w:instrText>
      </w:r>
      <w:r w:rsidR="00337B03">
        <w:rPr>
          <w:rFonts w:ascii="Calibri Light" w:hAnsi="Calibri Light" w:cs="Calibri Light"/>
          <w:sz w:val="24"/>
          <w:szCs w:val="24"/>
        </w:rPr>
        <w:fldChar w:fldCharType="separate"/>
      </w:r>
      <w:r w:rsidR="00337B03" w:rsidRPr="00337B03">
        <w:rPr>
          <w:rFonts w:ascii="Calibri Light" w:hAnsi="Calibri Light" w:cs="Calibri Light"/>
          <w:noProof/>
          <w:sz w:val="24"/>
          <w:szCs w:val="24"/>
        </w:rPr>
        <w:t>(Amin, 2022)</w:t>
      </w:r>
      <w:r w:rsidR="00337B03">
        <w:rPr>
          <w:rFonts w:ascii="Calibri Light" w:hAnsi="Calibri Light" w:cs="Calibri Light"/>
          <w:sz w:val="24"/>
          <w:szCs w:val="24"/>
        </w:rPr>
        <w:fldChar w:fldCharType="end"/>
      </w:r>
      <w:r w:rsidR="00337B03" w:rsidRPr="00337B03">
        <w:rPr>
          <w:rFonts w:ascii="Calibri Light" w:hAnsi="Calibri Light" w:cs="Calibri Light"/>
          <w:sz w:val="24"/>
          <w:szCs w:val="24"/>
        </w:rPr>
        <w:t>. The integration between religion and state by fostering the values of anti-radicalism, religious moderation, nationalism, tolerance and encouragement for local cultures to reduce conflicts in with other beliefs</w:t>
      </w:r>
      <w:r w:rsidR="00337B03">
        <w:rPr>
          <w:rFonts w:ascii="Calibri Light" w:hAnsi="Calibri Light" w:cs="Calibri Light"/>
          <w:sz w:val="24"/>
          <w:szCs w:val="24"/>
        </w:rPr>
        <w:t xml:space="preserve"> </w:t>
      </w:r>
      <w:r w:rsidR="00337B03">
        <w:rPr>
          <w:rFonts w:ascii="Calibri Light" w:hAnsi="Calibri Light" w:cs="Calibri Light"/>
          <w:sz w:val="24"/>
          <w:szCs w:val="24"/>
        </w:rPr>
        <w:fldChar w:fldCharType="begin" w:fldLock="1"/>
      </w:r>
      <w:r w:rsidR="00144C1C">
        <w:rPr>
          <w:rFonts w:ascii="Calibri Light" w:hAnsi="Calibri Light" w:cs="Calibri Light"/>
          <w:sz w:val="24"/>
          <w:szCs w:val="24"/>
        </w:rPr>
        <w:instrText>ADDIN CSL_CITATION {"citationItems":[{"id":"ITEM-1","itemData":{"DOI":"10.35673/ajhpi.v7i1.2128","author":[{"dropping-particle":"","family":"Husaini","given":"Husaini","non-dropping-particle":"","parse-names":false,"suffix":""},{"dropping-particle":"","family":"Islamy","given":"Athoillah","non-dropping-particle":"","parse-names":false,"suffix":""}],"container-title":"Al-Adalah Jurnal Hukum Dan Politik Islam","id":"ITEM-1","issue":"1","issued":{"date-parts":[["2022"]]},"page":"51-73","title":"Harmonization of Religion and State : Mainstreaming the Values of Religious Moderation in Indonesian Da'wah Orientation","type":"article-journal","volume":"7"},"uris":["http://www.mendeley.com/documents/?uuid=675daaca-94bb-4d03-a1f5-d01d371d43cc"]}],"mendeley":{"formattedCitation":"(Husaini &amp; Islamy, 2022)","plainTextFormattedCitation":"(Husaini &amp; Islamy, 2022)","previouslyFormattedCitation":"(Husaini &amp; Islamy, 2022)"},"properties":{"noteIndex":0},"schema":"https://github.com/citation-style-language/schema/raw/master/csl-citation.json"}</w:instrText>
      </w:r>
      <w:r w:rsidR="00337B03">
        <w:rPr>
          <w:rFonts w:ascii="Calibri Light" w:hAnsi="Calibri Light" w:cs="Calibri Light"/>
          <w:sz w:val="24"/>
          <w:szCs w:val="24"/>
        </w:rPr>
        <w:fldChar w:fldCharType="separate"/>
      </w:r>
      <w:r w:rsidR="00337B03" w:rsidRPr="00337B03">
        <w:rPr>
          <w:rFonts w:ascii="Calibri Light" w:hAnsi="Calibri Light" w:cs="Calibri Light"/>
          <w:noProof/>
          <w:sz w:val="24"/>
          <w:szCs w:val="24"/>
        </w:rPr>
        <w:t>(Husaini &amp; Islamy, 2022)</w:t>
      </w:r>
      <w:r w:rsidR="00337B03">
        <w:rPr>
          <w:rFonts w:ascii="Calibri Light" w:hAnsi="Calibri Light" w:cs="Calibri Light"/>
          <w:sz w:val="24"/>
          <w:szCs w:val="24"/>
        </w:rPr>
        <w:fldChar w:fldCharType="end"/>
      </w:r>
      <w:r w:rsidR="00337B03" w:rsidRPr="00337B03">
        <w:rPr>
          <w:rFonts w:ascii="Calibri Light" w:hAnsi="Calibri Light" w:cs="Calibri Light"/>
          <w:sz w:val="24"/>
          <w:szCs w:val="24"/>
        </w:rPr>
        <w:t>.</w:t>
      </w:r>
    </w:p>
    <w:p w:rsidR="00337B03" w:rsidRDefault="00337B03" w:rsidP="00337B03">
      <w:pPr>
        <w:spacing w:before="120" w:after="120"/>
        <w:ind w:left="440" w:right="-1" w:hanging="14"/>
        <w:jc w:val="both"/>
        <w:rPr>
          <w:rFonts w:ascii="Calibri Light" w:hAnsi="Calibri Light" w:cs="Calibri Light"/>
          <w:sz w:val="24"/>
          <w:szCs w:val="24"/>
        </w:rPr>
      </w:pPr>
      <w:r w:rsidRPr="00337B03">
        <w:rPr>
          <w:rFonts w:ascii="Calibri Light" w:hAnsi="Calibri Light" w:cs="Calibri Light"/>
          <w:sz w:val="24"/>
          <w:szCs w:val="24"/>
        </w:rPr>
        <w:t xml:space="preserve">The state regulations and laws of blasphemy affect the </w:t>
      </w:r>
      <w:r w:rsidR="00A052EF" w:rsidRPr="00A052EF">
        <w:rPr>
          <w:rFonts w:ascii="Calibri Light" w:hAnsi="Calibri Light" w:cs="Calibri Light"/>
          <w:i/>
          <w:iCs/>
          <w:sz w:val="24"/>
          <w:szCs w:val="24"/>
        </w:rPr>
        <w:t>Da’wah</w:t>
      </w:r>
      <w:r w:rsidR="008D41DD" w:rsidRPr="00337B03">
        <w:rPr>
          <w:rFonts w:ascii="Calibri Light" w:hAnsi="Calibri Light" w:cs="Calibri Light"/>
          <w:sz w:val="24"/>
          <w:szCs w:val="24"/>
        </w:rPr>
        <w:t xml:space="preserve"> </w:t>
      </w:r>
      <w:r w:rsidRPr="00337B03">
        <w:rPr>
          <w:rFonts w:ascii="Calibri Light" w:hAnsi="Calibri Light" w:cs="Calibri Light"/>
          <w:sz w:val="24"/>
          <w:szCs w:val="24"/>
        </w:rPr>
        <w:t xml:space="preserve">by encouraging religious tolerance and education in terms of faith and as well moderation. The dynamics of legal systems, social norms, and religious doctrines guide </w:t>
      </w:r>
      <w:r w:rsidR="00A052EF" w:rsidRPr="00A052EF">
        <w:rPr>
          <w:rFonts w:ascii="Calibri Light" w:hAnsi="Calibri Light" w:cs="Calibri Light"/>
          <w:i/>
          <w:iCs/>
          <w:sz w:val="24"/>
          <w:szCs w:val="24"/>
        </w:rPr>
        <w:t>Da’wah</w:t>
      </w:r>
      <w:r w:rsidR="008D41DD" w:rsidRPr="00337B03">
        <w:rPr>
          <w:rFonts w:ascii="Calibri Light" w:hAnsi="Calibri Light" w:cs="Calibri Light"/>
          <w:sz w:val="24"/>
          <w:szCs w:val="24"/>
        </w:rPr>
        <w:t xml:space="preserve"> </w:t>
      </w:r>
      <w:r w:rsidRPr="00337B03">
        <w:rPr>
          <w:rFonts w:ascii="Calibri Light" w:hAnsi="Calibri Light" w:cs="Calibri Light"/>
          <w:sz w:val="24"/>
          <w:szCs w:val="24"/>
        </w:rPr>
        <w:t>practitioners in managing the narrative of religion and maintaining its balance within Indonesian society.</w:t>
      </w:r>
    </w:p>
    <w:p w:rsidR="00482013" w:rsidRPr="00144C1C" w:rsidRDefault="00482013" w:rsidP="00337B03">
      <w:pPr>
        <w:spacing w:before="120" w:after="120"/>
        <w:ind w:left="440" w:right="-1" w:hanging="14"/>
        <w:jc w:val="both"/>
        <w:rPr>
          <w:rFonts w:ascii="Calibri Light" w:hAnsi="Calibri Light" w:cs="Calibri Light"/>
          <w:b/>
          <w:bCs/>
          <w:sz w:val="24"/>
          <w:szCs w:val="24"/>
        </w:rPr>
      </w:pPr>
      <w:r w:rsidRPr="00144C1C">
        <w:rPr>
          <w:rFonts w:ascii="Calibri Light" w:hAnsi="Calibri Light" w:cs="Calibri Light"/>
          <w:b/>
          <w:bCs/>
          <w:sz w:val="24"/>
          <w:szCs w:val="24"/>
        </w:rPr>
        <w:t xml:space="preserve">Promoting Peace through </w:t>
      </w:r>
      <w:r w:rsidR="00A052EF" w:rsidRPr="00A052EF">
        <w:rPr>
          <w:rFonts w:ascii="Calibri Light" w:hAnsi="Calibri Light" w:cs="Calibri Light"/>
          <w:b/>
          <w:bCs/>
          <w:i/>
          <w:iCs/>
          <w:sz w:val="24"/>
          <w:szCs w:val="24"/>
        </w:rPr>
        <w:t>Da’wah</w:t>
      </w:r>
    </w:p>
    <w:p w:rsidR="00144C1C" w:rsidRPr="00144C1C" w:rsidRDefault="00A052EF" w:rsidP="00144C1C">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00144C1C" w:rsidRPr="00144C1C">
        <w:rPr>
          <w:rFonts w:ascii="Calibri Light" w:hAnsi="Calibri Light" w:cs="Calibri Light"/>
          <w:sz w:val="24"/>
          <w:szCs w:val="24"/>
        </w:rPr>
        <w:t xml:space="preserve">, which translates to the act of inviting individuals to understand and embrace Islam, in Indonesia has taken a new turn specifically about the question of blasphemy. Some approaches and strategies have changed over the years in </w:t>
      </w:r>
      <w:r w:rsidRPr="00A052EF">
        <w:rPr>
          <w:rFonts w:ascii="Calibri Light" w:hAnsi="Calibri Light" w:cs="Calibri Light"/>
          <w:i/>
          <w:iCs/>
          <w:sz w:val="24"/>
          <w:szCs w:val="24"/>
        </w:rPr>
        <w:t>Da’wah</w:t>
      </w:r>
      <w:r w:rsidR="00144C1C" w:rsidRPr="00144C1C">
        <w:rPr>
          <w:rFonts w:ascii="Calibri Light" w:hAnsi="Calibri Light" w:cs="Calibri Light"/>
          <w:sz w:val="24"/>
          <w:szCs w:val="24"/>
        </w:rPr>
        <w:t xml:space="preserve">’s efforts and remained unchanged for some. In Indonesia, however, </w:t>
      </w:r>
      <w:r w:rsidRPr="00A052EF">
        <w:rPr>
          <w:rFonts w:ascii="Calibri Light" w:hAnsi="Calibri Light" w:cs="Calibri Light"/>
          <w:i/>
          <w:iCs/>
          <w:sz w:val="24"/>
          <w:szCs w:val="24"/>
        </w:rPr>
        <w:t>Da’wah</w:t>
      </w:r>
      <w:r w:rsidR="00144C1C" w:rsidRPr="00144C1C">
        <w:rPr>
          <w:rFonts w:ascii="Calibri Light" w:hAnsi="Calibri Light" w:cs="Calibri Light"/>
          <w:sz w:val="24"/>
          <w:szCs w:val="24"/>
        </w:rPr>
        <w:t xml:space="preserve"> has been one of the most effective ways to deal with social problems and at the same time maintain peace in a plural society</w:t>
      </w:r>
      <w:r w:rsidR="00144C1C">
        <w:rPr>
          <w:rFonts w:ascii="Calibri Light" w:hAnsi="Calibri Light" w:cs="Calibri Light"/>
          <w:sz w:val="24"/>
          <w:szCs w:val="24"/>
        </w:rPr>
        <w:t xml:space="preserve"> </w:t>
      </w:r>
      <w:r w:rsidR="00144C1C">
        <w:rPr>
          <w:rFonts w:ascii="Calibri Light" w:hAnsi="Calibri Light" w:cs="Calibri Light"/>
          <w:sz w:val="24"/>
          <w:szCs w:val="24"/>
        </w:rPr>
        <w:fldChar w:fldCharType="begin" w:fldLock="1"/>
      </w:r>
      <w:r w:rsidR="00144C1C">
        <w:rPr>
          <w:rFonts w:ascii="Calibri Light" w:hAnsi="Calibri Light" w:cs="Calibri Light"/>
          <w:sz w:val="24"/>
          <w:szCs w:val="24"/>
        </w:rPr>
        <w:instrText>ADDIN CSL_CITATION {"citationItems":[{"id":"ITEM-1","itemData":{"DOI":"10.21744/irjmis.v10n2.2295","author":[{"dropping-particle":"","family":"Rahmah","given":"St","non-dropping-particle":"","parse-names":false,"suffix":""},{"dropping-particle":"","family":"Aslamiah","given":"Rabiatul","non-dropping-particle":"","parse-names":false,"suffix":""}],"container-title":"International Research Journal of Management It and Social Sciences","id":"ITEM-1","issue":"2","issued":{"date-parts":[["2023"]]},"page":"110–121","title":"Understanding the Urgency of Da'wah of Islam in the Context of Peace in the Nuances of Pluralism in Indonesia","type":"article-journal","volume":"10"},"uris":["http://www.mendeley.com/documents/?uuid=74845864-fafa-4769-8c54-b542f1bbc208"]}],"mendeley":{"formattedCitation":"(Rahmah &amp; Aslamiah, 2023)","plainTextFormattedCitation":"(Rahmah &amp; Aslamiah, 2023)","previouslyFormattedCitation":"(Rahmah &amp; Aslamiah, 2023)"},"properties":{"noteIndex":0},"schema":"https://github.com/citation-style-language/schema/raw/master/csl-citation.json"}</w:instrText>
      </w:r>
      <w:r w:rsidR="00144C1C">
        <w:rPr>
          <w:rFonts w:ascii="Calibri Light" w:hAnsi="Calibri Light" w:cs="Calibri Light"/>
          <w:sz w:val="24"/>
          <w:szCs w:val="24"/>
        </w:rPr>
        <w:fldChar w:fldCharType="separate"/>
      </w:r>
      <w:r w:rsidR="00144C1C" w:rsidRPr="00144C1C">
        <w:rPr>
          <w:rFonts w:ascii="Calibri Light" w:hAnsi="Calibri Light" w:cs="Calibri Light"/>
          <w:noProof/>
          <w:sz w:val="24"/>
          <w:szCs w:val="24"/>
        </w:rPr>
        <w:t>(Rahmah &amp; Aslamiah, 2023)</w:t>
      </w:r>
      <w:r w:rsidR="00144C1C">
        <w:rPr>
          <w:rFonts w:ascii="Calibri Light" w:hAnsi="Calibri Light" w:cs="Calibri Light"/>
          <w:sz w:val="24"/>
          <w:szCs w:val="24"/>
        </w:rPr>
        <w:fldChar w:fldCharType="end"/>
      </w:r>
      <w:r w:rsidR="00144C1C" w:rsidRPr="00144C1C">
        <w:rPr>
          <w:rFonts w:ascii="Calibri Light" w:hAnsi="Calibri Light" w:cs="Calibri Light"/>
          <w:sz w:val="24"/>
          <w:szCs w:val="24"/>
        </w:rPr>
        <w:t xml:space="preserve">. It has been stressed the urgency of </w:t>
      </w:r>
      <w:r w:rsidRPr="00A052EF">
        <w:rPr>
          <w:rFonts w:ascii="Calibri Light" w:hAnsi="Calibri Light" w:cs="Calibri Light"/>
          <w:i/>
          <w:iCs/>
          <w:sz w:val="24"/>
          <w:szCs w:val="24"/>
        </w:rPr>
        <w:t>Da’wah</w:t>
      </w:r>
      <w:r w:rsidR="00144C1C" w:rsidRPr="00144C1C">
        <w:rPr>
          <w:rFonts w:ascii="Calibri Light" w:hAnsi="Calibri Light" w:cs="Calibri Light"/>
          <w:sz w:val="24"/>
          <w:szCs w:val="24"/>
        </w:rPr>
        <w:t xml:space="preserve"> in creating harmony and understanding among different people in a plural society where it would play its role to create a cohabiting peacefully and harmoniously. Moreover, </w:t>
      </w:r>
      <w:r w:rsidRPr="00A052EF">
        <w:rPr>
          <w:rFonts w:ascii="Calibri Light" w:hAnsi="Calibri Light" w:cs="Calibri Light"/>
          <w:i/>
          <w:iCs/>
          <w:sz w:val="24"/>
          <w:szCs w:val="24"/>
        </w:rPr>
        <w:t>Da’wah</w:t>
      </w:r>
      <w:r w:rsidR="00144C1C" w:rsidRPr="00144C1C">
        <w:rPr>
          <w:rFonts w:ascii="Calibri Light" w:hAnsi="Calibri Light" w:cs="Calibri Light"/>
          <w:sz w:val="24"/>
          <w:szCs w:val="24"/>
        </w:rPr>
        <w:t xml:space="preserve"> has been an instrument of social justice, educating people about social ills and striving for a better society but viewing it through the lens of religion</w:t>
      </w:r>
      <w:r w:rsidR="00144C1C">
        <w:rPr>
          <w:rFonts w:ascii="Calibri Light" w:hAnsi="Calibri Light" w:cs="Calibri Light"/>
          <w:sz w:val="24"/>
          <w:szCs w:val="24"/>
        </w:rPr>
        <w:t xml:space="preserve"> </w:t>
      </w:r>
      <w:r w:rsidR="00144C1C">
        <w:rPr>
          <w:rFonts w:ascii="Calibri Light" w:hAnsi="Calibri Light" w:cs="Calibri Light"/>
          <w:sz w:val="24"/>
          <w:szCs w:val="24"/>
        </w:rPr>
        <w:fldChar w:fldCharType="begin" w:fldLock="1"/>
      </w:r>
      <w:r w:rsidR="00144C1C">
        <w:rPr>
          <w:rFonts w:ascii="Calibri Light" w:hAnsi="Calibri Light" w:cs="Calibri Light"/>
          <w:sz w:val="24"/>
          <w:szCs w:val="24"/>
        </w:rPr>
        <w:instrText>ADDIN CSL_CITATION {"citationItems":[{"id":"ITEM-1","itemData":{"DOI":"10.24014/jdr.v34i2.25373","author":[{"dropping-particle":"","family":"Karimullah","given":"Suud S.","non-dropping-particle":"","parse-names":false,"suffix":""}],"container-title":"Jurnal Dakwah Risalah","id":"ITEM-1","issue":"2","issued":{"date-parts":[["2023"]]},"title":"Da'wah for Social Justice: Creating Awareness of Social Issues through a Religious Approach","type":"article-journal","volume":"34"},"uris":["http://www.mendeley.com/documents/?uuid=3f0ace85-55a1-4a1d-afe3-f9c92257a2f1"]}],"mendeley":{"formattedCitation":"(Karimullah, 2023)","plainTextFormattedCitation":"(Karimullah, 2023)","previouslyFormattedCitation":"(Karimullah, 2023)"},"properties":{"noteIndex":0},"schema":"https://github.com/citation-style-language/schema/raw/master/csl-citation.json"}</w:instrText>
      </w:r>
      <w:r w:rsidR="00144C1C">
        <w:rPr>
          <w:rFonts w:ascii="Calibri Light" w:hAnsi="Calibri Light" w:cs="Calibri Light"/>
          <w:sz w:val="24"/>
          <w:szCs w:val="24"/>
        </w:rPr>
        <w:fldChar w:fldCharType="separate"/>
      </w:r>
      <w:r w:rsidR="00144C1C" w:rsidRPr="00144C1C">
        <w:rPr>
          <w:rFonts w:ascii="Calibri Light" w:hAnsi="Calibri Light" w:cs="Calibri Light"/>
          <w:noProof/>
          <w:sz w:val="24"/>
          <w:szCs w:val="24"/>
        </w:rPr>
        <w:t>(Karimullah, 2023)</w:t>
      </w:r>
      <w:r w:rsidR="00144C1C">
        <w:rPr>
          <w:rFonts w:ascii="Calibri Light" w:hAnsi="Calibri Light" w:cs="Calibri Light"/>
          <w:sz w:val="24"/>
          <w:szCs w:val="24"/>
        </w:rPr>
        <w:fldChar w:fldCharType="end"/>
      </w:r>
      <w:r w:rsidR="00144C1C" w:rsidRPr="00144C1C">
        <w:rPr>
          <w:rFonts w:ascii="Calibri Light" w:hAnsi="Calibri Light" w:cs="Calibri Light"/>
          <w:sz w:val="24"/>
          <w:szCs w:val="24"/>
        </w:rPr>
        <w:t>.</w:t>
      </w:r>
    </w:p>
    <w:p w:rsidR="009C69F5" w:rsidRDefault="00144C1C"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Highlighting that the use of digital media for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communication is not only relevant but even more desired for communicating religious messages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{"citationItems":[{"id":"ITEM-1","itemData":{"DOI":"10.37826/spektrum.v10i2.324","ISSN":"2338-0861","abstract":"Study was carried out with the aim of analyzing the use of digital media as a means of da'wah communication. Obtain some data about the benefits resulting from digital media for da'wah methods in this digital era. In the digital era, the role of digital media is very important in the spread of da'wah. Study uses a PRISMA systematic review approach by collecting several articles from the literature database. From the results of the systematic review analysis with PRISMA, significant results were obtained from the benefits of digital media for da'wah communication facilities. The form of spreading da'wah that is easy and more familiar with the support of good visual displays is the main attraction. The presence of digital media opens up opportunities for new da'i who want to expand their wings to preach widely alongside leading da'i in cyberspace very easily. Digital media makes the audience of connoisseurs of the da'i unlimited, so a lot of digital media becomes a reference for finding new knowledge treasures or just enjoying the beautiful design combined with brief tausyiah of the da'i in it. From the scale of use, Facebook, Instagram and websites still outperform other digital media in terms of their use as a means of communicating da'wah to the community","author":[{"dropping-particle":"","family":"Aziz","given":"Muhajir Sulthonul","non-dropping-particle":"","parse-names":false,"suffix":""},{"dropping-particle":"","family":"Indrasari","given":"Meithiana","non-dropping-particle":"","parse-names":false,"suffix":""},{"dropping-particle":"","family":"Pamuji","given":"Eko","non-dropping-particle":"","parse-names":false,"suffix":""},{"dropping-particle":"","family":"Wulandari","given":"E Rizky","non-dropping-particle":"","parse-names":false,"suffix":""},{"dropping-particle":"","family":"Prasnowo","given":"M Adhi","non-dropping-particle":"","parse-names":false,"suffix":""}],"container-title":"Jurnal Spektrum Komunikasi","id":"ITEM-1","issue":"2","issued":{"date-parts":[["2022"]]},"page":"187-193","title":"Systematic Review: Use of Digital Media as a Means of Communication of Da’wah","type":"article-journal","volume":"10"},"uris":["http://www.mendeley.com/documents/?uuid=4308d6c2-97f9-4b7c-98e8-d68440eb208f"]}],"mendeley":{"formattedCitation":"(Aziz et al., 2022)","plainTextFormattedCitation":"(Aziz et al., 2022)","previouslyFormattedCitation":"(Aziz et al., 2022)"},"properties":{"noteIndex":0},"schema":"https://github.com/citation-style-language/schema/raw/master/csl-citation.json"}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(Aziz et al., 2022)</w:t>
      </w:r>
      <w:r>
        <w:rPr>
          <w:rFonts w:ascii="Calibri Light" w:hAnsi="Calibri Light" w:cs="Calibri Light"/>
          <w:sz w:val="24"/>
          <w:szCs w:val="24"/>
        </w:rPr>
        <w:fldChar w:fldCharType="end"/>
      </w:r>
      <w:r w:rsidRPr="00144C1C">
        <w:rPr>
          <w:rFonts w:ascii="Calibri Light" w:hAnsi="Calibri Light" w:cs="Calibri Light"/>
          <w:sz w:val="24"/>
          <w:szCs w:val="24"/>
        </w:rPr>
        <w:t xml:space="preserve">. In </w:t>
      </w:r>
      <w:r w:rsidRPr="00144C1C">
        <w:rPr>
          <w:rFonts w:ascii="Calibri Light" w:hAnsi="Calibri Light" w:cs="Calibri Light"/>
          <w:sz w:val="24"/>
          <w:szCs w:val="24"/>
        </w:rPr>
        <w:lastRenderedPageBreak/>
        <w:t xml:space="preserve">addition to that, </w:t>
      </w:r>
      <w:r w:rsidR="00A052EF" w:rsidRPr="00A052EF">
        <w:rPr>
          <w:rFonts w:ascii="Calibri Light" w:hAnsi="Calibri Light" w:cs="Calibri Light"/>
          <w:i/>
          <w:iCs/>
          <w:sz w:val="24"/>
          <w:szCs w:val="24"/>
        </w:rPr>
        <w:t>Da’wah</w:t>
      </w:r>
      <w:r w:rsidR="008D41DD" w:rsidRPr="00144C1C">
        <w:rPr>
          <w:rFonts w:ascii="Calibri Light" w:hAnsi="Calibri Light" w:cs="Calibri Light"/>
          <w:sz w:val="24"/>
          <w:szCs w:val="24"/>
        </w:rPr>
        <w:t xml:space="preserve"> </w:t>
      </w:r>
      <w:r w:rsidRPr="00144C1C">
        <w:rPr>
          <w:rFonts w:ascii="Calibri Light" w:hAnsi="Calibri Light" w:cs="Calibri Light"/>
          <w:sz w:val="24"/>
          <w:szCs w:val="24"/>
        </w:rPr>
        <w:t xml:space="preserve">has penetrated the entertainment and education spheres. Music has become one of </w:t>
      </w:r>
      <w:r w:rsidR="00A052EF" w:rsidRPr="00A052EF">
        <w:rPr>
          <w:rFonts w:ascii="Calibri Light" w:hAnsi="Calibri Light" w:cs="Calibri Light"/>
          <w:i/>
          <w:iCs/>
          <w:sz w:val="24"/>
          <w:szCs w:val="24"/>
        </w:rPr>
        <w:t>Da’wah</w:t>
      </w:r>
      <w:r w:rsidR="008D41DD" w:rsidRPr="008D41DD">
        <w:rPr>
          <w:rFonts w:ascii="Calibri Light" w:hAnsi="Calibri Light" w:cs="Calibri Light"/>
          <w:i/>
          <w:iCs/>
          <w:sz w:val="24"/>
          <w:szCs w:val="24"/>
        </w:rPr>
        <w:t>’s</w:t>
      </w:r>
      <w:r w:rsidR="008D41DD" w:rsidRPr="00144C1C">
        <w:rPr>
          <w:rFonts w:ascii="Calibri Light" w:hAnsi="Calibri Light" w:cs="Calibri Light"/>
          <w:sz w:val="24"/>
          <w:szCs w:val="24"/>
        </w:rPr>
        <w:t xml:space="preserve"> </w:t>
      </w:r>
      <w:r w:rsidRPr="00144C1C">
        <w:rPr>
          <w:rFonts w:ascii="Calibri Light" w:hAnsi="Calibri Light" w:cs="Calibri Light"/>
          <w:sz w:val="24"/>
          <w:szCs w:val="24"/>
        </w:rPr>
        <w:t>integrations into pop culture, for example, through the music of Maher Zain, which blends Islamic activism and engagement.</w:t>
      </w:r>
    </w:p>
    <w:p w:rsidR="00144C1C" w:rsidRPr="00144C1C" w:rsidRDefault="00144C1C"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On the other hand,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institutions on campus have contributed to the formation of ideological movements at public universities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E12B59">
        <w:rPr>
          <w:rFonts w:ascii="Calibri Light" w:hAnsi="Calibri Light" w:cs="Calibri Light"/>
          <w:sz w:val="24"/>
          <w:szCs w:val="24"/>
        </w:rPr>
        <w:instrText>ADDIN CSL_CITATION {"citationItems":[{"id":"ITEM-1","itemData":{"DOI":"10.33650/al-tanzim.v7i3.5244","author":[{"dropping-particle":"","family":"Muhdi","given":"","non-dropping-particle":"","parse-names":false,"suffix":""}],"container-title":"Al-Tanzim Jurnal Manajemen Pendidikan Islam","id":"ITEM-1","issue":"3","issued":{"date-parts":[["2023"]]},"title":"Strengthening Movement Ideology through the Management of Campus Da'wah Institutions","type":"article-journal","volume":"7"},"uris":["http://www.mendeley.com/documents/?uuid=de0ece11-eb6a-4770-b5da-3bbe431cbe7e"]}],"mendeley":{"formattedCitation":"(Muhdi, 2023)","plainTextFormattedCitation":"(Muhdi, 2023)","previouslyFormattedCitation":"(Muhdi, 2023)"},"properties":{"noteIndex":0},"schema":"https://github.com/citation-style-language/schema/raw/master/csl-citation.json"}</w:instrText>
      </w:r>
      <w:r>
        <w:rPr>
          <w:rFonts w:ascii="Calibri Light" w:hAnsi="Calibri Light" w:cs="Calibri Light"/>
          <w:sz w:val="24"/>
          <w:szCs w:val="24"/>
        </w:rPr>
        <w:fldChar w:fldCharType="separate"/>
      </w:r>
      <w:r w:rsidRPr="00144C1C">
        <w:rPr>
          <w:rFonts w:ascii="Calibri Light" w:hAnsi="Calibri Light" w:cs="Calibri Light"/>
          <w:noProof/>
          <w:sz w:val="24"/>
          <w:szCs w:val="24"/>
        </w:rPr>
        <w:t>(Muhdi, 2023)</w:t>
      </w:r>
      <w:r>
        <w:rPr>
          <w:rFonts w:ascii="Calibri Light" w:hAnsi="Calibri Light" w:cs="Calibri Light"/>
          <w:sz w:val="24"/>
          <w:szCs w:val="24"/>
        </w:rPr>
        <w:fldChar w:fldCharType="end"/>
      </w:r>
      <w:r w:rsidRPr="00144C1C">
        <w:rPr>
          <w:rFonts w:ascii="Calibri Light" w:hAnsi="Calibri Light" w:cs="Calibri Light"/>
          <w:sz w:val="24"/>
          <w:szCs w:val="24"/>
        </w:rPr>
        <w:t xml:space="preserve">. Many of these processes have undergone substantial transformation. However, the principles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continue to tie in with traditional practices. To conclude, the evolution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in Indonesia demonstrates a fusion between traditional and modern methods to square with day-and-day challenges. The theory and medium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have changed with the times, but the ultimate goal of presenting Islamic values is still seen as an essential agenda in Indonesia.</w:t>
      </w:r>
    </w:p>
    <w:p w:rsidR="00144C1C" w:rsidRDefault="00144C1C" w:rsidP="00144C1C">
      <w:pPr>
        <w:spacing w:before="120" w:after="120"/>
        <w:ind w:left="440" w:right="-1" w:hanging="14"/>
        <w:jc w:val="both"/>
        <w:rPr>
          <w:rFonts w:ascii="Calibri Light" w:hAnsi="Calibri Light" w:cs="Calibri Light"/>
          <w:sz w:val="24"/>
          <w:szCs w:val="24"/>
        </w:rPr>
      </w:pPr>
      <w:r w:rsidRPr="00144C1C">
        <w:rPr>
          <w:rFonts w:ascii="Calibri Light" w:hAnsi="Calibri Light" w:cs="Calibri Light"/>
          <w:sz w:val="24"/>
          <w:szCs w:val="24"/>
        </w:rPr>
        <w:t xml:space="preserve">The effectiveness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in Indonesia in maintaining religious harmony without leading to the potential escalation of conflict is a complex matter that appears to be conditioned on several variables. The whole enterprise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that is to say, the delivery of Islamic teachings to others (and vice versa) through whatever mechanism, has major accounts in feeding into the nature of inter-religious relations in any country. Several studies have recognized the importance of </w:t>
      </w:r>
      <w:r w:rsidR="00A052EF" w:rsidRPr="00A052EF">
        <w:rPr>
          <w:rFonts w:ascii="Calibri Light" w:hAnsi="Calibri Light" w:cs="Calibri Light"/>
          <w:i/>
          <w:iCs/>
          <w:sz w:val="24"/>
          <w:szCs w:val="24"/>
        </w:rPr>
        <w:t>Da’wah</w:t>
      </w:r>
      <w:r w:rsidRPr="00144C1C">
        <w:rPr>
          <w:rFonts w:ascii="Calibri Light" w:hAnsi="Calibri Light" w:cs="Calibri Light"/>
          <w:sz w:val="24"/>
          <w:szCs w:val="24"/>
        </w:rPr>
        <w:t xml:space="preserve"> to enhance mutual understanding, empathy and coexistence among communities with different religions to strengthen religious harmony</w:t>
      </w:r>
      <w:r w:rsidR="00E12B59">
        <w:rPr>
          <w:rFonts w:ascii="Calibri Light" w:hAnsi="Calibri Light" w:cs="Calibri Light"/>
          <w:sz w:val="24"/>
          <w:szCs w:val="24"/>
        </w:rPr>
        <w:t xml:space="preserve"> </w:t>
      </w:r>
      <w:r w:rsidR="00E12B59">
        <w:rPr>
          <w:rFonts w:ascii="Calibri Light" w:hAnsi="Calibri Light" w:cs="Calibri Light"/>
          <w:sz w:val="24"/>
          <w:szCs w:val="24"/>
        </w:rPr>
        <w:fldChar w:fldCharType="begin" w:fldLock="1"/>
      </w:r>
      <w:r w:rsidR="00141946">
        <w:rPr>
          <w:rFonts w:ascii="Calibri Light" w:hAnsi="Calibri Light" w:cs="Calibri Light"/>
          <w:sz w:val="24"/>
          <w:szCs w:val="24"/>
        </w:rPr>
        <w:instrText>ADDIN CSL_CITATION {"citationItems":[{"id":"ITEM-1","itemData":{"DOI":"10.29240/jdk.v8i2.8752","author":[{"dropping-particle":"","family":"Irwandi","given":"Irwandi","non-dropping-particle":"","parse-names":false,"suffix":""},{"dropping-particle":"","family":"Saad","given":"Duskiman","non-dropping-particle":"","parse-names":false,"suffix":""},{"dropping-particle":"","family":"Rais","given":"Zaim","non-dropping-particle":"","parse-names":false,"suffix":""},{"dropping-particle":"","family":"Toni","given":"Hariya","non-dropping-particle":"","parse-names":false,"suffix":""},{"dropping-particle":"","family":"Nazirman","given":"Nazirman","non-dropping-particle":"","parse-names":false,"suffix":""},{"dropping-particle":"","family":"Jemkhairil","given":"Jemkhairil","non-dropping-particle":"","parse-names":false,"suffix":""}],"container-title":"Jurnal Dakwah dan Komunikasi","id":"ITEM-1","issue":"2","issued":{"date-parts":[["2023","11","30"]]},"page":"309","title":"Da'wah and Religious Harmony, Harmony in the Nation and State","type":"article-journal","volume":"8"},"uris":["http://www.mendeley.com/documents/?uuid=07fb5a39-8a31-4947-b4ab-cc4245731b64"]},{"id":"ITEM-2","itemData":{"DOI":"10.4102/hts.v78i4.7043","author":[{"dropping-particle":"","family":"Pajarianto","given":"Hadi","non-dropping-particle":"","parse-names":false,"suffix":""},{"dropping-particle":"","family":"Pribadi","given":"Imam","non-dropping-particle":"","parse-names":false,"suffix":""},{"dropping-particle":"","family":"Sari","given":"Puspa","non-dropping-particle":"","parse-names":false,"suffix":""}],"container-title":"HTS Teologiese Studies / Theological Studies","id":"ITEM-2","issue":"4","issued":{"date-parts":[["2022"]]},"title":"Tolerance between Religions through the Role of Local Wisdom and Religious Moderation","type":"article-journal","volume":"78"},"uris":["http://www.mendeley.com/documents/?uuid=5bf1b286-c465-4489-bf71-f9e442ae96c4"]}],"mendeley":{"formattedCitation":"(Irwandi et al., 2023; Pajarianto et al., 2022)","plainTextFormattedCitation":"(Irwandi et al., 2023; Pajarianto et al., 2022)","previouslyFormattedCitation":"(Irwandi et al., 2023; Pajarianto et al., 2022)"},"properties":{"noteIndex":0},"schema":"https://github.com/citation-style-language/schema/raw/master/csl-citation.json"}</w:instrText>
      </w:r>
      <w:r w:rsidR="00E12B59">
        <w:rPr>
          <w:rFonts w:ascii="Calibri Light" w:hAnsi="Calibri Light" w:cs="Calibri Light"/>
          <w:sz w:val="24"/>
          <w:szCs w:val="24"/>
        </w:rPr>
        <w:fldChar w:fldCharType="separate"/>
      </w:r>
      <w:r w:rsidR="00E12B59" w:rsidRPr="00E12B59">
        <w:rPr>
          <w:rFonts w:ascii="Calibri Light" w:hAnsi="Calibri Light" w:cs="Calibri Light"/>
          <w:noProof/>
          <w:sz w:val="24"/>
          <w:szCs w:val="24"/>
        </w:rPr>
        <w:t>(Irwandi et al., 2023; Pajarianto et al., 2022)</w:t>
      </w:r>
      <w:r w:rsidR="00E12B59">
        <w:rPr>
          <w:rFonts w:ascii="Calibri Light" w:hAnsi="Calibri Light" w:cs="Calibri Light"/>
          <w:sz w:val="24"/>
          <w:szCs w:val="24"/>
        </w:rPr>
        <w:fldChar w:fldCharType="end"/>
      </w:r>
      <w:r w:rsidRPr="00144C1C">
        <w:rPr>
          <w:rFonts w:ascii="Calibri Light" w:hAnsi="Calibri Light" w:cs="Calibri Light"/>
          <w:sz w:val="24"/>
          <w:szCs w:val="24"/>
        </w:rPr>
        <w:t>.</w:t>
      </w:r>
    </w:p>
    <w:p w:rsidR="00141946" w:rsidRPr="00141946" w:rsidRDefault="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Promoting religious harmony through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has been highlighted as an effort to counter radicalism and promote religious moderation in the practice of Islamic teachings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10.24014/af.v17i1.5212","author":[{"dropping-particle":"","family":"Faiqah","given":"Nurul","non-dropping-particle":"","parse-names":false,"suffix":""},{"dropping-particle":"","family":"Pransiska","given":"Toni","non-dropping-particle":"","parse-names":false,"suffix":""}],"container-title":"Al-Fikra Jurnal Ilmiah Keislaman","id":"ITEM-1","issue":"1","issued":{"date-parts":[["2018"]]},"title":"Radikalisme Islam Vs Moderasi Islam: Upaya Membangun Wajah Islam Indonesia Yang Damai","type":"article-journal","volume":"17"},"uris":["http://www.mendeley.com/documents/?uuid=34661ea0-1682-4a59-ae33-f3d0a81709f2"]}],"mendeley":{"formattedCitation":"(Faiqah &amp; Pransiska, 2018)","plainTextFormattedCitation":"(Faiqah &amp; Pransiska, 2018)","previouslyFormattedCitation":"(Faiqah &amp; Pransiska, 2018)"},"properties":{"noteIndex":0},"schema":"https://github.com/citation-style-language/schema/raw/master/csl-citation.json"}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(Faiqah &amp; Pransiska, 2018)</w:t>
      </w:r>
      <w:r>
        <w:rPr>
          <w:rFonts w:ascii="Calibri Light" w:hAnsi="Calibri Light" w:cs="Calibri Light"/>
          <w:sz w:val="24"/>
          <w:szCs w:val="24"/>
        </w:rPr>
        <w:fldChar w:fldCharType="end"/>
      </w:r>
      <w:r w:rsidRPr="00141946">
        <w:rPr>
          <w:rFonts w:ascii="Calibri Light" w:hAnsi="Calibri Light" w:cs="Calibri Light"/>
          <w:sz w:val="24"/>
          <w:szCs w:val="24"/>
        </w:rPr>
        <w:t xml:space="preserve">. It could lead to a more harmonious and tolerant society if the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calling for tolerance, peaceful interactions and mutual respect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10.32923/kjmp.v6i2.4068","author":[{"dropping-particle":"","family":"Maryance","given":"Maryance","non-dropping-particle":"","parse-names":false,"suffix":""},{"dropping-particle":"","family":"Alvio","given":"Wira","non-dropping-particle":"","parse-names":false,"suffix":""},{"dropping-particle":"","family":"Irawan","given":"Bambang","non-dropping-particle":"","parse-names":false,"suffix":""},{"dropping-particle":"","family":"Assoburu","given":"Silvia","non-dropping-particle":"","parse-names":false,"suffix":""},{"dropping-particle":"","family":"Zulaiha","given":"Hera","non-dropping-particle":"","parse-names":false,"suffix":""}],"container-title":"Sustainable Jurnal Kajian Mutu Pendidikan","id":"ITEM-1","issue":"2","issued":{"date-parts":[["2023","12","16"]]},"page":"602-607","title":"The Role of the Principal in Rohis Da'wah Activities in Schools","type":"article-journal","volume":"6"},"uris":["http://www.mendeley.com/documents/?uuid=b847c34b-4693-4369-9b06-36ab5e9351b8"]}],"mendeley":{"formattedCitation":"(Maryance et al., 2023)","plainTextFormattedCitation":"(Maryance et al., 2023)","previouslyFormattedCitation":"(Maryance et al., 2023)"},"properties":{"noteIndex":0},"schema":"https://github.com/citation-style-language/schema/raw/master/csl-citation.json"}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(Maryance et al., 2023)</w:t>
      </w:r>
      <w:r>
        <w:rPr>
          <w:rFonts w:ascii="Calibri Light" w:hAnsi="Calibri Light" w:cs="Calibri Light"/>
          <w:sz w:val="24"/>
          <w:szCs w:val="24"/>
        </w:rPr>
        <w:fldChar w:fldCharType="end"/>
      </w:r>
      <w:r w:rsidRPr="00141946">
        <w:rPr>
          <w:rFonts w:ascii="Calibri Light" w:hAnsi="Calibri Light" w:cs="Calibri Light"/>
          <w:sz w:val="24"/>
          <w:szCs w:val="24"/>
        </w:rPr>
        <w:t>.</w:t>
      </w:r>
    </w:p>
    <w:p w:rsidR="00141946" w:rsidRDefault="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Many factors can also influence the effectiveness of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in fostering religious harmony. People need to take into account the way Islamic preachers (</w:t>
      </w:r>
      <w:proofErr w:type="spellStart"/>
      <w:r w:rsidRPr="00A052EF">
        <w:rPr>
          <w:rFonts w:ascii="Calibri Light" w:hAnsi="Calibri Light" w:cs="Calibri Light"/>
          <w:i/>
          <w:iCs/>
          <w:sz w:val="24"/>
          <w:szCs w:val="24"/>
        </w:rPr>
        <w:t>da’i</w:t>
      </w:r>
      <w:proofErr w:type="spellEnd"/>
      <w:r w:rsidRPr="00141946">
        <w:rPr>
          <w:rFonts w:ascii="Calibri Light" w:hAnsi="Calibri Light" w:cs="Calibri Light"/>
          <w:sz w:val="24"/>
          <w:szCs w:val="24"/>
        </w:rPr>
        <w:t xml:space="preserve">) spread Islam in Indonesia, where their communication style may affect the success of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effort both verbally and non-verbally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10.18502/kss.v3i19.4906","author":[{"dropping-particle":"","family":"Qarni","given":"Waizul","non-dropping-particle":"","parse-names":false,"suffix":""},{"dropping-particle":"","family":"Syahnan","given":"Mhd.","non-dropping-particle":"","parse-names":false,"suffix":""},{"dropping-particle":"","family":"Harahap","given":"Isnaini","non-dropping-particle":"","parse-names":false,"suffix":""},{"dropping-particle":"","family":"Nasution","given":"Sahkholid","non-dropping-particle":"","parse-names":false,"suffix":""},{"dropping-particle":"","family":"Fithriani","given":"Rahmah","non-dropping-particle":"","parse-names":false,"suffix":""}],"container-title":"KnE Social Sciences","id":"ITEM-1","issue":"19","issued":{"date-parts":[["2019"]]},"page":"804–812","title":"Verbal and Nonverbal Factors Influencing the Success of Da’wah Communication By Ustadz Abdul Somad","type":"article-journal","volume":"3"},"uris":["http://www.mendeley.com/documents/?uuid=6c688a72-a11d-4ad9-b86c-379555c8c666"]}],"mendeley":{"formattedCitation":"(Qarni et al., 2019)","plainTextFormattedCitation":"(Qarni et al., 2019)","previouslyFormattedCitation":"(Qarni et al., 2019)"},"properties":{"noteIndex":0},"schema":"https://github.com/citation-style-language/schema/raw/master/csl-citation.json"}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(Qarni et al., 2019)</w:t>
      </w:r>
      <w:r>
        <w:rPr>
          <w:rFonts w:ascii="Calibri Light" w:hAnsi="Calibri Light" w:cs="Calibri Light"/>
          <w:sz w:val="24"/>
          <w:szCs w:val="24"/>
        </w:rPr>
        <w:fldChar w:fldCharType="end"/>
      </w:r>
      <w:r w:rsidRPr="00141946">
        <w:rPr>
          <w:rFonts w:ascii="Calibri Light" w:hAnsi="Calibri Light" w:cs="Calibri Light"/>
          <w:sz w:val="24"/>
          <w:szCs w:val="24"/>
        </w:rPr>
        <w:t xml:space="preserve">. The utilization of Islamic counseling and art performances in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activities also proven effective in raising religious awareness and delivering religious messages as intended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10.24014/jdr.v33i1.15879","author":[{"dropping-particle":"","family":"Silvianetri","given":"Silvianetri","non-dropping-particle":"","parse-names":false,"suffix":""},{"dropping-particle":"","family":"Irman","given":"Irman","non-dropping-particle":"","parse-names":false,"suffix":""},{"dropping-particle":"","family":"Rajab","given":"Khairunnas","non-dropping-particle":"","parse-names":false,"suffix":""},{"dropping-particle":"","family":"Zulamri","given":"Zulamri","non-dropping-particle":"","parse-names":false,"suffix":""},{"dropping-particle":"","family":"Zubaidah","given":"Zubaidah","non-dropping-particle":"","parse-names":false,"suffix":""},{"dropping-particle":"","family":"Zulfikar","given":"Zulfikar","non-dropping-particle":"","parse-names":false,"suffix":""}],"container-title":"Jurnal Dakwah Risalah","id":"ITEM-1","issue":"1","issued":{"date-parts":[["2022","7","1"]]},"title":"The Effectiveness of Islamic Counseling as a Dakwah Approach to increase the Religious Awareness of Ex-Prostitute","type":"article-journal","volume":"33"},"uris":["http://www.mendeley.com/documents/?uuid=2f0a6740-5dda-4865-abd9-9b2cdb50673d"]}],"mendeley":{"formattedCitation":"(Silvianetri et al., 2022)","plainTextFormattedCitation":"(Silvianetri et al., 2022)","previouslyFormattedCitation":"(Silvianetri et al., 2022)"},"properties":{"noteIndex":0},"schema":"https://github.com/citation-style-language/schema/raw/master/csl-citation.json"}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(Silvianetri et al., 2022)</w:t>
      </w:r>
      <w:r>
        <w:rPr>
          <w:rFonts w:ascii="Calibri Light" w:hAnsi="Calibri Light" w:cs="Calibri Light"/>
          <w:sz w:val="24"/>
          <w:szCs w:val="24"/>
        </w:rPr>
        <w:fldChar w:fldCharType="end"/>
      </w:r>
      <w:r w:rsidRPr="00141946">
        <w:rPr>
          <w:rFonts w:ascii="Calibri Light" w:hAnsi="Calibri Light" w:cs="Calibri Light"/>
          <w:sz w:val="24"/>
          <w:szCs w:val="24"/>
        </w:rPr>
        <w:t>.</w:t>
      </w:r>
    </w:p>
    <w:p w:rsidR="00141946" w:rsidRPr="00141946" w:rsidRDefault="00A052EF" w:rsidP="00141946">
      <w:pPr>
        <w:spacing w:before="120" w:after="120"/>
        <w:ind w:left="440" w:right="-1" w:hanging="14"/>
        <w:jc w:val="both"/>
        <w:rPr>
          <w:rFonts w:ascii="Calibri Light" w:hAnsi="Calibri Light" w:cs="Calibri Light"/>
          <w:sz w:val="24"/>
          <w:szCs w:val="24"/>
        </w:rPr>
      </w:pPr>
      <w:r w:rsidRPr="00A052EF">
        <w:rPr>
          <w:rFonts w:ascii="Calibri Light" w:hAnsi="Calibri Light" w:cs="Calibri Light"/>
          <w:i/>
          <w:iCs/>
          <w:sz w:val="24"/>
          <w:szCs w:val="24"/>
        </w:rPr>
        <w:t>Da’wah</w:t>
      </w:r>
      <w:r w:rsidR="00141946" w:rsidRPr="00141946">
        <w:rPr>
          <w:rFonts w:ascii="Calibri Light" w:hAnsi="Calibri Light" w:cs="Calibri Light"/>
          <w:sz w:val="24"/>
          <w:szCs w:val="24"/>
        </w:rPr>
        <w:t xml:space="preserve"> activities must be closely monitored so as not to inflame hostilities further or, in the extreme, incite violence. A key point in fostering religious harmony is avoiding claiming shared social identity with other believers while at the same time minimizing denigration of different religions</w:t>
      </w:r>
      <w:r w:rsidR="00141946">
        <w:rPr>
          <w:rFonts w:ascii="Calibri Light" w:hAnsi="Calibri Light" w:cs="Calibri Light"/>
          <w:sz w:val="24"/>
          <w:szCs w:val="24"/>
        </w:rPr>
        <w:t xml:space="preserve"> </w:t>
      </w:r>
      <w:r w:rsidR="00141946">
        <w:rPr>
          <w:rFonts w:ascii="Calibri Light" w:hAnsi="Calibri Light" w:cs="Calibri Light"/>
          <w:sz w:val="24"/>
          <w:szCs w:val="24"/>
        </w:rPr>
        <w:fldChar w:fldCharType="begin" w:fldLock="1"/>
      </w:r>
      <w:r w:rsidR="00141946">
        <w:rPr>
          <w:rFonts w:ascii="Calibri Light" w:hAnsi="Calibri Light" w:cs="Calibri Light"/>
          <w:sz w:val="24"/>
          <w:szCs w:val="24"/>
        </w:rPr>
        <w:instrText>ADDIN CSL_CITATION {"citationItems":[{"id":"ITEM-1","itemData":{"DOI":"10.15575/jpiu.23344","author":[{"dropping-particle":"","family":"Firdaus","given":"Muhamad","non-dropping-particle":"","parse-names":false,"suffix":""},{"dropping-particle":"","family":"Assauri","given":"Muhamad","non-dropping-particle":"","parse-names":false,"suffix":""},{"dropping-particle":"","family":"Haqqi","given":"Nurul","non-dropping-particle":"","parse-names":false,"suffix":""}],"container-title":"Jurnal Penelitian Ilmu Ushuluddin","id":"ITEM-1","issue":"1","issued":{"date-parts":[["2023","1","11"]]},"page":"120-130","title":"The Botram Harmony Tradition: Knitting a Harmonious Life in Frames Islamic Moderation","type":"article-journal","volume":"3"},"uris":["http://www.mendeley.com/documents/?uuid=2e452ab7-8070-4716-973c-7bc208c5e685"]}],"mendeley":{"formattedCitation":"(Firdaus et al., 2023)","plainTextFormattedCitation":"(Firdaus et al., 2023)","previouslyFormattedCitation":"(Firdaus et al., 2023)"},"properties":{"noteIndex":0},"schema":"https://github.com/citation-style-language/schema/raw/master/csl-citation.json"}</w:instrText>
      </w:r>
      <w:r w:rsidR="00141946">
        <w:rPr>
          <w:rFonts w:ascii="Calibri Light" w:hAnsi="Calibri Light" w:cs="Calibri Light"/>
          <w:sz w:val="24"/>
          <w:szCs w:val="24"/>
        </w:rPr>
        <w:fldChar w:fldCharType="separate"/>
      </w:r>
      <w:r w:rsidR="00141946" w:rsidRPr="00141946">
        <w:rPr>
          <w:rFonts w:ascii="Calibri Light" w:hAnsi="Calibri Light" w:cs="Calibri Light"/>
          <w:noProof/>
          <w:sz w:val="24"/>
          <w:szCs w:val="24"/>
        </w:rPr>
        <w:t>(Firdaus et al., 2023)</w:t>
      </w:r>
      <w:r w:rsidR="00141946">
        <w:rPr>
          <w:rFonts w:ascii="Calibri Light" w:hAnsi="Calibri Light" w:cs="Calibri Light"/>
          <w:sz w:val="24"/>
          <w:szCs w:val="24"/>
        </w:rPr>
        <w:fldChar w:fldCharType="end"/>
      </w:r>
      <w:r w:rsidR="00141946" w:rsidRPr="00141946">
        <w:rPr>
          <w:rFonts w:ascii="Calibri Light" w:hAnsi="Calibri Light" w:cs="Calibri Light"/>
          <w:sz w:val="24"/>
          <w:szCs w:val="24"/>
        </w:rPr>
        <w:t xml:space="preserve">. Keeping an equilibrium of </w:t>
      </w:r>
      <w:r w:rsidRPr="00A052EF">
        <w:rPr>
          <w:rFonts w:ascii="Calibri Light" w:hAnsi="Calibri Light" w:cs="Calibri Light"/>
          <w:i/>
          <w:iCs/>
          <w:sz w:val="24"/>
          <w:szCs w:val="24"/>
        </w:rPr>
        <w:t>Da’wah</w:t>
      </w:r>
      <w:r w:rsidR="00141946" w:rsidRPr="00141946">
        <w:rPr>
          <w:rFonts w:ascii="Calibri Light" w:hAnsi="Calibri Light" w:cs="Calibri Light"/>
          <w:sz w:val="24"/>
          <w:szCs w:val="24"/>
        </w:rPr>
        <w:t xml:space="preserve"> and tolerance will try not to cause division or create conflict. Thus, the </w:t>
      </w:r>
      <w:r w:rsidRPr="00A052EF">
        <w:rPr>
          <w:rFonts w:ascii="Calibri Light" w:hAnsi="Calibri Light" w:cs="Calibri Light"/>
          <w:i/>
          <w:iCs/>
          <w:sz w:val="24"/>
          <w:szCs w:val="24"/>
        </w:rPr>
        <w:t>Da’wah</w:t>
      </w:r>
      <w:r w:rsidR="00141946" w:rsidRPr="00141946">
        <w:rPr>
          <w:rFonts w:ascii="Calibri Light" w:hAnsi="Calibri Light" w:cs="Calibri Light"/>
          <w:sz w:val="24"/>
          <w:szCs w:val="24"/>
        </w:rPr>
        <w:t xml:space="preserve"> community in Indonesia can work to become a tool that will be very helpful in advancing harmony and comprehension between religious communities that are so diverse. If </w:t>
      </w:r>
      <w:r w:rsidRPr="00A052EF">
        <w:rPr>
          <w:rFonts w:ascii="Calibri Light" w:hAnsi="Calibri Light" w:cs="Calibri Light"/>
          <w:i/>
          <w:iCs/>
          <w:sz w:val="24"/>
          <w:szCs w:val="24"/>
        </w:rPr>
        <w:t>Da’wah</w:t>
      </w:r>
      <w:r w:rsidR="00141946" w:rsidRPr="00141946">
        <w:rPr>
          <w:rFonts w:ascii="Calibri Light" w:hAnsi="Calibri Light" w:cs="Calibri Light"/>
          <w:sz w:val="24"/>
          <w:szCs w:val="24"/>
        </w:rPr>
        <w:t xml:space="preserve"> emphasizes empathy, tolerance, and peaceful co-existence, it will help build a more transparent, loving society. Yet, it is necessary to carry out </w:t>
      </w:r>
      <w:r w:rsidRPr="00A052EF">
        <w:rPr>
          <w:rFonts w:ascii="Calibri Light" w:hAnsi="Calibri Light" w:cs="Calibri Light"/>
          <w:i/>
          <w:iCs/>
          <w:sz w:val="24"/>
          <w:szCs w:val="24"/>
        </w:rPr>
        <w:t>Da’wah</w:t>
      </w:r>
      <w:r w:rsidR="00141946" w:rsidRPr="00141946">
        <w:rPr>
          <w:rFonts w:ascii="Calibri Light" w:hAnsi="Calibri Light" w:cs="Calibri Light"/>
          <w:sz w:val="24"/>
          <w:szCs w:val="24"/>
        </w:rPr>
        <w:t xml:space="preserve"> in a way that respects the beliefs of others and cultivates mutual respect so as not to agitate the situation which ultimately results in tensions or conflict.</w:t>
      </w:r>
    </w:p>
    <w:p w:rsidR="00141946" w:rsidRDefault="00141946" w:rsidP="00141946">
      <w:pPr>
        <w:spacing w:before="120" w:after="120"/>
        <w:ind w:left="440" w:right="-1" w:hanging="14"/>
        <w:jc w:val="both"/>
        <w:rPr>
          <w:rFonts w:ascii="Calibri Light" w:hAnsi="Calibri Light" w:cs="Calibri Light"/>
          <w:sz w:val="24"/>
          <w:szCs w:val="24"/>
        </w:rPr>
      </w:pPr>
      <w:r w:rsidRPr="00141946">
        <w:rPr>
          <w:rFonts w:ascii="Calibri Light" w:hAnsi="Calibri Light" w:cs="Calibri Light"/>
          <w:sz w:val="24"/>
          <w:szCs w:val="24"/>
        </w:rPr>
        <w:t xml:space="preserve">Education is essential to </w:t>
      </w:r>
      <w:r w:rsidR="00A052EF" w:rsidRPr="00A052EF">
        <w:rPr>
          <w:rFonts w:ascii="Calibri Light" w:hAnsi="Calibri Light" w:cs="Calibri Light"/>
          <w:i/>
          <w:iCs/>
          <w:sz w:val="24"/>
          <w:szCs w:val="24"/>
        </w:rPr>
        <w:t>Da’wah</w:t>
      </w:r>
      <w:r w:rsidRPr="00141946">
        <w:rPr>
          <w:rFonts w:ascii="Calibri Light" w:hAnsi="Calibri Light" w:cs="Calibri Light"/>
          <w:sz w:val="24"/>
          <w:szCs w:val="24"/>
        </w:rPr>
        <w:t xml:space="preserve"> in how it molds one’s perception of Islam and engages with the progressive multicultural society. Religious education versus fostering a tolerant, </w:t>
      </w:r>
      <w:r w:rsidRPr="00141946">
        <w:rPr>
          <w:rFonts w:ascii="Calibri Light" w:hAnsi="Calibri Light" w:cs="Calibri Light"/>
          <w:sz w:val="24"/>
          <w:szCs w:val="24"/>
        </w:rPr>
        <w:lastRenderedPageBreak/>
        <w:t>multicultural society: The dilemma between the two ideas is one of Indonesia's most critical issues in educational practice. Some have argued that education plays a key role in fostering tolerance, understanding, and inter-religious harmony between different religious communities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0C6543">
        <w:rPr>
          <w:rFonts w:ascii="Calibri Light" w:hAnsi="Calibri Light" w:cs="Calibri Light"/>
          <w:sz w:val="24"/>
          <w:szCs w:val="24"/>
        </w:rPr>
        <w:instrText>ADDIN CSL_CITATION {"citationItems":[{"id":"ITEM-1","itemData":{"DOI":"10.21580/nw.2020.14.1.5766","author":[{"dropping-particle":"","family":"Husna","given":"Ulfatul","non-dropping-particle":"","parse-names":false,"suffix":""},{"dropping-particle":"","family":"Thohir","given":"Muhammad","non-dropping-particle":"","parse-names":false,"suffix":""}],"container-title":"Nadwa Jurnal Pendidikan Islam","id":"ITEM-1","issue":"1","issued":{"date-parts":[["2020"]]},"page":"199 - 222","title":"Religious Moderation as a New Approach to Learning Islamic Religious Education in Schools","type":"article-journal","volume":"14"},"uris":["http://www.mendeley.com/documents/?uuid=9e02089f-ef71-438e-a658-9b67745b1000"]}],"mendeley":{"formattedCitation":"(Husna &amp; Thohir, 2020)","plainTextFormattedCitation":"(Husna &amp; Thohir, 2020)","previouslyFormattedCitation":"(Husna &amp; Thohir, 2020)"},"properties":{"noteIndex":0},"schema":"https://github.com/citation-style-language/schema/raw/master/csl-citation.json"}</w:instrText>
      </w:r>
      <w:r>
        <w:rPr>
          <w:rFonts w:ascii="Calibri Light" w:hAnsi="Calibri Light" w:cs="Calibri Light"/>
          <w:sz w:val="24"/>
          <w:szCs w:val="24"/>
        </w:rPr>
        <w:fldChar w:fldCharType="separate"/>
      </w:r>
      <w:r w:rsidRPr="00141946">
        <w:rPr>
          <w:rFonts w:ascii="Calibri Light" w:hAnsi="Calibri Light" w:cs="Calibri Light"/>
          <w:noProof/>
          <w:sz w:val="24"/>
          <w:szCs w:val="24"/>
        </w:rPr>
        <w:t>(Husna &amp; Thohir, 2020)</w:t>
      </w:r>
      <w:r>
        <w:rPr>
          <w:rFonts w:ascii="Calibri Light" w:hAnsi="Calibri Light" w:cs="Calibri Light"/>
          <w:sz w:val="24"/>
          <w:szCs w:val="24"/>
        </w:rPr>
        <w:fldChar w:fldCharType="end"/>
      </w:r>
      <w:r w:rsidRPr="00141946">
        <w:rPr>
          <w:rFonts w:ascii="Calibri Light" w:hAnsi="Calibri Light" w:cs="Calibri Light"/>
          <w:sz w:val="24"/>
          <w:szCs w:val="24"/>
        </w:rPr>
        <w:t>.</w:t>
      </w:r>
    </w:p>
    <w:p w:rsidR="000C6543" w:rsidRPr="000C6543" w:rsidRDefault="000C6543" w:rsidP="000C6543">
      <w:pPr>
        <w:spacing w:before="120" w:after="120"/>
        <w:ind w:left="440" w:right="-1" w:hanging="14"/>
        <w:jc w:val="both"/>
        <w:rPr>
          <w:rFonts w:ascii="Calibri Light" w:hAnsi="Calibri Light" w:cs="Calibri Light"/>
          <w:sz w:val="24"/>
          <w:szCs w:val="24"/>
        </w:rPr>
      </w:pPr>
      <w:r w:rsidRPr="000C6543">
        <w:rPr>
          <w:rFonts w:ascii="Calibri Light" w:hAnsi="Calibri Light" w:cs="Calibri Light"/>
          <w:sz w:val="24"/>
          <w:szCs w:val="24"/>
        </w:rPr>
        <w:t xml:space="preserve">In Indonesia, implementing religious education in schools, especially Islamic Religious Education (PAI) is important to build up values of peace, tolerance and multiculturalism among students. PAI teachers guide students to respect diversity, be moderate in understanding religion, and have the importance of living side by side. Other than that, the Islamic curriculum could also serve as one medium to build a tolerant and inclusive society by emphasizing significant issues and sparking critical consciousness. </w:t>
      </w:r>
    </w:p>
    <w:p w:rsidR="000C6543" w:rsidRDefault="000C6543" w:rsidP="000C6543">
      <w:pPr>
        <w:spacing w:before="120" w:after="120"/>
        <w:ind w:left="440" w:right="-1" w:hanging="14"/>
        <w:jc w:val="both"/>
        <w:rPr>
          <w:rFonts w:ascii="Calibri Light" w:hAnsi="Calibri Light" w:cs="Calibri Light"/>
          <w:sz w:val="24"/>
          <w:szCs w:val="24"/>
        </w:rPr>
      </w:pPr>
      <w:r w:rsidRPr="000C6543">
        <w:rPr>
          <w:rFonts w:ascii="Calibri Light" w:hAnsi="Calibri Light" w:cs="Calibri Light"/>
          <w:sz w:val="24"/>
          <w:szCs w:val="24"/>
        </w:rPr>
        <w:t>Universities can contribute to creating a harmonious and inclusive society by establishing an environment conducive to religious diversity and encouraging respectful interactions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10.35878/santri.v4i2.958","author":[{"dropping-particle":"","family":"Aksa","given":"Ahmad","non-dropping-particle":"","parse-names":false,"suffix":""},{"dropping-particle":"","family":"Hakim","given":"Muh","non-dropping-particle":"","parse-names":false,"suffix":""}],"container-title":"Santri: Journal of Pesantren and Fiqh Sosial","id":"ITEM-1","issue":"2","issued":{"date-parts":[["2023","12","21"]]},"page":"131-142","title":"Santri in the Frame of Religious Harmony","type":"article-journal","volume":"4"},"uris":["http://www.mendeley.com/documents/?uuid=aab7fc47-32c1-4299-8f06-87c6faafe4f1"]}],"mendeley":{"formattedCitation":"(Aksa &amp; Hakim, 2023)","plainTextFormattedCitation":"(Aksa &amp; Hakim, 2023)","previouslyFormattedCitation":"(Aksa &amp; Hakim, 2023)"},"properties":{"noteIndex":0},"schema":"https://github.com/citation-style-language/schema/raw/master/csl-citation.json"}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(Aksa &amp; Hakim, 2023)</w:t>
      </w:r>
      <w:r>
        <w:rPr>
          <w:rFonts w:ascii="Calibri Light" w:hAnsi="Calibri Light" w:cs="Calibri Light"/>
          <w:sz w:val="24"/>
          <w:szCs w:val="24"/>
        </w:rPr>
        <w:fldChar w:fldCharType="end"/>
      </w:r>
      <w:r w:rsidRPr="000C6543">
        <w:rPr>
          <w:rFonts w:ascii="Calibri Light" w:hAnsi="Calibri Light" w:cs="Calibri Light"/>
          <w:sz w:val="24"/>
          <w:szCs w:val="24"/>
        </w:rPr>
        <w:t>. As important as the above, they certainly contribute a lot to promoting peace and tolerance on the part of the Islamic boarding schools/</w:t>
      </w:r>
      <w:proofErr w:type="spellStart"/>
      <w:r w:rsidR="00A052EF" w:rsidRPr="00A052EF">
        <w:rPr>
          <w:rFonts w:ascii="Calibri Light" w:hAnsi="Calibri Light" w:cs="Calibri Light"/>
          <w:i/>
          <w:iCs/>
          <w:sz w:val="24"/>
          <w:szCs w:val="24"/>
        </w:rPr>
        <w:t>Pesantren</w:t>
      </w:r>
      <w:proofErr w:type="spellEnd"/>
      <w:r w:rsidRPr="000C6543">
        <w:rPr>
          <w:rFonts w:ascii="Calibri Light" w:hAnsi="Calibri Light" w:cs="Calibri Light"/>
          <w:sz w:val="24"/>
          <w:szCs w:val="24"/>
        </w:rPr>
        <w:t xml:space="preserve">. </w:t>
      </w:r>
      <w:proofErr w:type="spellStart"/>
      <w:r w:rsidRPr="00A052EF">
        <w:rPr>
          <w:rFonts w:ascii="Calibri Light" w:hAnsi="Calibri Light" w:cs="Calibri Light"/>
          <w:i/>
          <w:iCs/>
          <w:sz w:val="24"/>
          <w:szCs w:val="24"/>
        </w:rPr>
        <w:t>Pesantren</w:t>
      </w:r>
      <w:proofErr w:type="spellEnd"/>
      <w:r w:rsidRPr="000C6543">
        <w:rPr>
          <w:rFonts w:ascii="Calibri Light" w:hAnsi="Calibri Light" w:cs="Calibri Light"/>
          <w:sz w:val="24"/>
          <w:szCs w:val="24"/>
        </w:rPr>
        <w:t xml:space="preserve"> has helped to encourage a peaceful relationship and understanding between followers of different faiths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{"citationItems":[{"id":"ITEM-1","itemData":{"DOI":"10.33852/jurnalnu.v6i2.339","author":[{"dropping-particle":"","family":"Qornain","given":"Dzul","non-dropping-particle":"","parse-names":false,"suffix":""}],"container-title":"Jurnal Islam Nusantara","id":"ITEM-1","issue":"2","issued":{"date-parts":[["2022"]]},"title":"Fostering Islamic Education: Embracing Multicultural Islamic Religious Education Values","type":"article-journal","volume":"6"},"uris":["http://www.mendeley.com/documents/?uuid=bce02413-6130-432a-8650-ac6db985892b"]}],"mendeley":{"formattedCitation":"(Qornain, 2022)","plainTextFormattedCitation":"(Qornain, 2022)","previouslyFormattedCitation":"(Qornain, 2022)"},"properties":{"noteIndex":0},"schema":"https://github.com/citation-style-language/schema/raw/master/csl-citation.json"}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(Qornain, 2022)</w:t>
      </w:r>
      <w:r>
        <w:rPr>
          <w:rFonts w:ascii="Calibri Light" w:hAnsi="Calibri Light" w:cs="Calibri Light"/>
          <w:sz w:val="24"/>
          <w:szCs w:val="24"/>
        </w:rPr>
        <w:fldChar w:fldCharType="end"/>
      </w:r>
      <w:r w:rsidRPr="000C6543">
        <w:rPr>
          <w:rFonts w:ascii="Calibri Light" w:hAnsi="Calibri Light" w:cs="Calibri Light"/>
          <w:sz w:val="24"/>
          <w:szCs w:val="24"/>
        </w:rPr>
        <w:t xml:space="preserve">. </w:t>
      </w:r>
      <w:proofErr w:type="spellStart"/>
      <w:r w:rsidRPr="00A052EF">
        <w:rPr>
          <w:rFonts w:ascii="Calibri Light" w:hAnsi="Calibri Light" w:cs="Calibri Light"/>
          <w:i/>
          <w:iCs/>
          <w:sz w:val="24"/>
          <w:szCs w:val="24"/>
        </w:rPr>
        <w:t>Pesantren</w:t>
      </w:r>
      <w:proofErr w:type="spellEnd"/>
      <w:r w:rsidRPr="000C6543">
        <w:rPr>
          <w:rFonts w:ascii="Calibri Light" w:hAnsi="Calibri Light" w:cs="Calibri Light"/>
          <w:sz w:val="24"/>
          <w:szCs w:val="24"/>
        </w:rPr>
        <w:t xml:space="preserve"> also builds on interfaith cooperation and respect to draw pathways through building community synergy and enhancing peaceful life. It is imperative that the Islamic education curriculum include multicultural values and adhere to them to establish a tolerant and accepting culture. So, by incorporating the values of multicultural Islamic Religious Education, educational institutions can form students expected to have skills and positive attitudes towards a heterogeneous society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2845BE">
        <w:rPr>
          <w:rFonts w:ascii="Calibri Light" w:hAnsi="Calibri Light" w:cs="Calibri Light"/>
          <w:sz w:val="24"/>
          <w:szCs w:val="24"/>
        </w:rPr>
        <w:instrText>ADDIN CSL_CITATION {"citationItems":[{"id":"ITEM-1","itemData":{"author":[{"dropping-particle":"","family":"Saefudin","given":"Ahmad","non-dropping-particle":"","parse-names":false,"suffix":""},{"dropping-particle":"","family":"Munip","given":"Abdul","non-dropping-particle":"","parse-names":false,"suffix":""},{"dropping-particle":"","family":"Ulfa","given":"Khoirotul L.","non-dropping-particle":"","parse-names":false,"suffix":""}],"container-title":"Edukasia Jurnal Penelitian Pendidikan Islam","id":"ITEM-1","issue":"1","issued":{"date-parts":[["2021"]]},"page":"37-56","title":"Internalization of Multicultural-Based Islamic Education: Sunni-Shia Synergy in Banjaran Bangsri Village, Jepara","type":"article-journal","volume":"16"},"uris":["http://www.mendeley.com/documents/?uuid=76935629-0897-419c-beb3-c0e11cfb6bff"]}],"mendeley":{"formattedCitation":"(Saefudin et al., 2021)","plainTextFormattedCitation":"(Saefudin et al., 2021)","previouslyFormattedCitation":"(Saefudin et al., 2021)"},"properties":{"noteIndex":0},"schema":"https://github.com/citation-style-language/schema/raw/master/csl-citation.json"}</w:instrText>
      </w:r>
      <w:r>
        <w:rPr>
          <w:rFonts w:ascii="Calibri Light" w:hAnsi="Calibri Light" w:cs="Calibri Light"/>
          <w:sz w:val="24"/>
          <w:szCs w:val="24"/>
        </w:rPr>
        <w:fldChar w:fldCharType="separate"/>
      </w:r>
      <w:r w:rsidRPr="000C6543">
        <w:rPr>
          <w:rFonts w:ascii="Calibri Light" w:hAnsi="Calibri Light" w:cs="Calibri Light"/>
          <w:noProof/>
          <w:sz w:val="24"/>
          <w:szCs w:val="24"/>
        </w:rPr>
        <w:t>(Saefudin et al., 2021)</w:t>
      </w:r>
      <w:r>
        <w:rPr>
          <w:rFonts w:ascii="Calibri Light" w:hAnsi="Calibri Light" w:cs="Calibri Light"/>
          <w:sz w:val="24"/>
          <w:szCs w:val="24"/>
        </w:rPr>
        <w:fldChar w:fldCharType="end"/>
      </w:r>
      <w:r w:rsidRPr="000C6543">
        <w:rPr>
          <w:rFonts w:ascii="Calibri Light" w:hAnsi="Calibri Light" w:cs="Calibri Light"/>
          <w:sz w:val="24"/>
          <w:szCs w:val="24"/>
        </w:rPr>
        <w:t xml:space="preserve">. By embracing multicultural-based Islamic education, it can return the spirit of togetherness and trust between diverse religious communities. So, in a nutshell, education is an integral part of the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to learn about the religion and instill values of tolerance, respect, and understanding in a multicultural society. There are many steps educational institutions in Indonesia can take to build a harmonious and inclusive culture where different backgrounds can exist, among other is by bringing religious moderation into the education system, promote interfaith dialogue, and embrace multicultural values.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0C6543"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C6543">
        <w:rPr>
          <w:rFonts w:ascii="Calibri Light" w:hAnsi="Calibri Light" w:cs="Calibri Light"/>
          <w:sz w:val="24"/>
          <w:szCs w:val="24"/>
        </w:rPr>
        <w:t xml:space="preserve">The historical evolution of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in addressing blasphemy in Indonesia demonstrates its adaptability in reinforcing religious principles while fostering social harmony. Through education, interfaith dialogue, and legal measures,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has contributed to conflict resolution and promoted peaceful coexistence among diverse religious communities. This approach highlights the importance of integrating religious teachings with multicultural values and interfaith dialogue to nurture mutual respect and understanding. These findings imply that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should continue evolving to address contemporary challenges by leveraging digital platforms, fostering constructive discussions, and prioritizing empathy and tolerance. Future research should explore innovative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strategies that engage younger, tech-savvy audiences and assess their impact on interreligious relations and social cohesion. By advancing these efforts, </w:t>
      </w:r>
      <w:r w:rsidR="00A052EF" w:rsidRPr="00A052EF">
        <w:rPr>
          <w:rFonts w:ascii="Calibri Light" w:hAnsi="Calibri Light" w:cs="Calibri Light"/>
          <w:i/>
          <w:iCs/>
          <w:sz w:val="24"/>
          <w:szCs w:val="24"/>
        </w:rPr>
        <w:t>Da’wah</w:t>
      </w:r>
      <w:r w:rsidRPr="000C6543">
        <w:rPr>
          <w:rFonts w:ascii="Calibri Light" w:hAnsi="Calibri Light" w:cs="Calibri Light"/>
          <w:sz w:val="24"/>
          <w:szCs w:val="24"/>
        </w:rPr>
        <w:t xml:space="preserve"> can remain pivotal in building inclusive and peaceful societies.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0C6543">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2F3F4C" w:rsidRPr="00E8670C" w:rsidRDefault="002845BE"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color w:val="A6A6A6"/>
          <w:sz w:val="24"/>
          <w:szCs w:val="24"/>
        </w:rPr>
        <w:fldChar w:fldCharType="begin" w:fldLock="1"/>
      </w:r>
      <w:r w:rsidRPr="00E8670C">
        <w:rPr>
          <w:rFonts w:ascii="Calibri Light" w:hAnsi="Calibri Light" w:cs="Calibri Light"/>
          <w:color w:val="A6A6A6"/>
          <w:sz w:val="24"/>
          <w:szCs w:val="24"/>
        </w:rPr>
        <w:instrText xml:space="preserve">ADDIN Mendeley Bibliography CSL_BIBLIOGRAPHY </w:instrText>
      </w:r>
      <w:r w:rsidRPr="00E8670C">
        <w:rPr>
          <w:rFonts w:ascii="Calibri Light" w:hAnsi="Calibri Light" w:cs="Calibri Light"/>
          <w:color w:val="A6A6A6"/>
          <w:sz w:val="24"/>
          <w:szCs w:val="24"/>
        </w:rPr>
        <w:fldChar w:fldCharType="separate"/>
      </w:r>
      <w:r w:rsidR="002F3F4C" w:rsidRPr="00E8670C">
        <w:rPr>
          <w:rFonts w:ascii="Calibri Light" w:hAnsi="Calibri Light" w:cs="Calibri Light"/>
          <w:sz w:val="24"/>
          <w:szCs w:val="24"/>
        </w:rPr>
        <w:t xml:space="preserve">A’Yun, R. Q. (2021). Religion at the Ballot Box: The Politics of Indonesia’s Blasphemy Laws. </w:t>
      </w:r>
      <w:r w:rsidR="002F3F4C" w:rsidRPr="00E8670C">
        <w:rPr>
          <w:rFonts w:ascii="Calibri Light" w:hAnsi="Calibri Light" w:cs="Calibri Light"/>
          <w:i/>
          <w:iCs/>
          <w:sz w:val="24"/>
          <w:szCs w:val="24"/>
        </w:rPr>
        <w:t>Indonesia</w:t>
      </w:r>
      <w:r w:rsidR="002F3F4C" w:rsidRPr="00E8670C">
        <w:rPr>
          <w:rFonts w:ascii="Calibri Light" w:hAnsi="Calibri Light" w:cs="Calibri Light"/>
          <w:sz w:val="24"/>
          <w:szCs w:val="24"/>
        </w:rPr>
        <w:t xml:space="preserve">, </w:t>
      </w:r>
      <w:r w:rsidR="002F3F4C" w:rsidRPr="00E8670C">
        <w:rPr>
          <w:rFonts w:ascii="Calibri Light" w:hAnsi="Calibri Light" w:cs="Calibri Light"/>
          <w:i/>
          <w:iCs/>
          <w:sz w:val="24"/>
          <w:szCs w:val="24"/>
        </w:rPr>
        <w:t>112</w:t>
      </w:r>
      <w:r w:rsidR="002F3F4C" w:rsidRPr="00E8670C">
        <w:rPr>
          <w:rFonts w:ascii="Calibri Light" w:hAnsi="Calibri Light" w:cs="Calibri Light"/>
          <w:sz w:val="24"/>
          <w:szCs w:val="24"/>
        </w:rPr>
        <w:t>, 1–29. http://dx.doi.org/10.1353/ind.2021.0005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Abdullah, A. (2023). The Crime of Blasphemy in Indonesia: A Comparative Study. </w:t>
      </w:r>
      <w:r w:rsidRPr="00E8670C">
        <w:rPr>
          <w:rFonts w:ascii="Calibri Light" w:hAnsi="Calibri Light" w:cs="Calibri Light"/>
          <w:i/>
          <w:iCs/>
          <w:sz w:val="24"/>
          <w:szCs w:val="24"/>
        </w:rPr>
        <w:t>Sasi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29</w:t>
      </w:r>
      <w:r w:rsidRPr="00E8670C">
        <w:rPr>
          <w:rFonts w:ascii="Calibri Light" w:hAnsi="Calibri Light" w:cs="Calibri Light"/>
          <w:sz w:val="24"/>
          <w:szCs w:val="24"/>
        </w:rPr>
        <w:t>(2), 354–367. https://doi.org/10.47268/sasi.v29i2.1374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Adawiyyah, V. R., Wati, E. E., Nasikhin, &amp; Fihris. (2023). The Development of Indonesian Islamic Civilization During the Dutch Colonial Period. </w:t>
      </w:r>
      <w:r w:rsidRPr="00E8670C">
        <w:rPr>
          <w:rFonts w:ascii="Calibri Light" w:hAnsi="Calibri Light" w:cs="Calibri Light"/>
          <w:i/>
          <w:iCs/>
          <w:sz w:val="24"/>
          <w:szCs w:val="24"/>
        </w:rPr>
        <w:t>Indonesia Islamic Education Journal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(2), 104–115. https://doi.org/10.37812/iiej.v1i2.915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Adeline, A. L., &amp; Rahayu, M. I. F. (2023). The Existence of Inheritance in Indonesia against Customary Inheritance Law and Islamic Inheritance Law BT - Proceedings of the 3rd International Conference on Law, Governance, and Social Justice (ICoLGaS 2023). </w:t>
      </w:r>
      <w:r w:rsidRPr="00E8670C">
        <w:rPr>
          <w:rFonts w:ascii="Calibri Light" w:hAnsi="Calibri Light" w:cs="Calibri Light"/>
          <w:i/>
          <w:iCs/>
          <w:sz w:val="24"/>
          <w:szCs w:val="24"/>
        </w:rPr>
        <w:t>Proceedings of the 3rd International Conference on Law, Governance, and Social Justice (ICoLGaS 2023)</w:t>
      </w:r>
      <w:r w:rsidRPr="00E8670C">
        <w:rPr>
          <w:rFonts w:ascii="Calibri Light" w:hAnsi="Calibri Light" w:cs="Calibri Light"/>
          <w:sz w:val="24"/>
          <w:szCs w:val="24"/>
        </w:rPr>
        <w:t>, 4–16. https://doi.org/10.2991/978-2-38476-164-7_2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Aksa, A., &amp; Hakim, M. (2023). Santri in the Frame of Religious Harmony. </w:t>
      </w:r>
      <w:r w:rsidRPr="00E8670C">
        <w:rPr>
          <w:rFonts w:ascii="Calibri Light" w:hAnsi="Calibri Light" w:cs="Calibri Light"/>
          <w:i/>
          <w:iCs/>
          <w:sz w:val="24"/>
          <w:szCs w:val="24"/>
        </w:rPr>
        <w:t>Santri: Journal of Pesantren and Fiqh Sosial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(2), 131–142. https://doi.org/10.35878/santri.v4i2.958</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Alexanderson, K. (2019). </w:t>
      </w:r>
      <w:r w:rsidRPr="00E8670C">
        <w:rPr>
          <w:rFonts w:ascii="Calibri Light" w:hAnsi="Calibri Light" w:cs="Calibri Light"/>
          <w:i/>
          <w:iCs/>
          <w:sz w:val="24"/>
          <w:szCs w:val="24"/>
        </w:rPr>
        <w:t>Subversive Seas: Anticolonial Networks across the Twentieth-Century Dutch Empire</w:t>
      </w:r>
      <w:r w:rsidRPr="00E8670C">
        <w:rPr>
          <w:rFonts w:ascii="Calibri Light" w:hAnsi="Calibri Light" w:cs="Calibri Light"/>
          <w:sz w:val="24"/>
          <w:szCs w:val="24"/>
        </w:rPr>
        <w:t>. Britania Raya: Cambridge University Press.</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Amin, N. (2022). Contemporary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Strategies to Educate the Religious Life of Minority Muslims. </w:t>
      </w:r>
      <w:r w:rsidRPr="00E8670C">
        <w:rPr>
          <w:rFonts w:ascii="Calibri Light" w:hAnsi="Calibri Light" w:cs="Calibri Light"/>
          <w:i/>
          <w:iCs/>
          <w:sz w:val="24"/>
          <w:szCs w:val="24"/>
        </w:rPr>
        <w:t>Al-Fikru Jurnal Ilmiah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(2), 188–199. https://doi.org/10.51672/alfikru.v16i2.107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Anas, A. (2023). Contemporary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Empowerment Institute in Indonesia. </w:t>
      </w:r>
      <w:r w:rsidRPr="00E8670C">
        <w:rPr>
          <w:rFonts w:ascii="Calibri Light" w:hAnsi="Calibri Light" w:cs="Calibri Light"/>
          <w:i/>
          <w:iCs/>
          <w:sz w:val="24"/>
          <w:szCs w:val="24"/>
        </w:rPr>
        <w:t>Jurnal Ilmiah Pendidikan Kebudayaan Dan Agama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(1), 1–12. https://doi.org/10.59024/jipa.v1i1.54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Aslan, A., &amp; Pong, K. S. (2023). Understanding the Trend of Digital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among Muslim Housewives in Indonesia. </w:t>
      </w:r>
      <w:r w:rsidRPr="00E8670C">
        <w:rPr>
          <w:rFonts w:ascii="Calibri Light" w:hAnsi="Calibri Light" w:cs="Calibri Light"/>
          <w:i/>
          <w:iCs/>
          <w:sz w:val="24"/>
          <w:szCs w:val="24"/>
        </w:rPr>
        <w:t>Fikroh Jurnal Pemikiran Dan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(1), 11–22. https://doi.org/10.37812/fikroh.v16i1.681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Aziz, M. S., Indrasari, M., Pamuji, E., Wulandari, E. R., &amp; Prasnowo, M. A. (2022). Systematic Review: Use of Digital Media as a Means of Communication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Jurnal Spektrum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187–193. https://doi.org/10.37826/spektrum.v10i2.324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Azzahra, R., &amp; Shuaib, F. S. (2022). Religious Courts in Indonesia and Malaysia: History, Structure, and Jurisdiction. </w:t>
      </w:r>
      <w:r w:rsidRPr="00E8670C">
        <w:rPr>
          <w:rFonts w:ascii="Calibri Light" w:hAnsi="Calibri Light" w:cs="Calibri Light"/>
          <w:i/>
          <w:iCs/>
          <w:sz w:val="24"/>
          <w:szCs w:val="24"/>
        </w:rPr>
        <w:t>Indonesian Comparative Law Review</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(2), 115–130. https://doi.org/10.18196/iclr.v4i2.15911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Cholil, S. (2023). Freedom of Religion Amid Polarization and Religious Moderation </w:t>
      </w:r>
      <w:r w:rsidRPr="00E8670C">
        <w:rPr>
          <w:rFonts w:ascii="Calibri Light" w:hAnsi="Calibri Light" w:cs="Calibri Light"/>
          <w:sz w:val="24"/>
          <w:szCs w:val="24"/>
        </w:rPr>
        <w:lastRenderedPageBreak/>
        <w:t xml:space="preserve">Policy. </w:t>
      </w:r>
      <w:r w:rsidRPr="00E8670C">
        <w:rPr>
          <w:rFonts w:ascii="Calibri Light" w:hAnsi="Calibri Light" w:cs="Calibri Light"/>
          <w:i/>
          <w:iCs/>
          <w:sz w:val="24"/>
          <w:szCs w:val="24"/>
        </w:rPr>
        <w:t>Interreligious Studies and Intercultural Theology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196–204. https://doi.org/10.1558/isit.24603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Creswell, J. W. (2019). </w:t>
      </w:r>
      <w:r w:rsidRPr="00E8670C">
        <w:rPr>
          <w:rFonts w:ascii="Calibri Light" w:hAnsi="Calibri Light" w:cs="Calibri Light"/>
          <w:i/>
          <w:iCs/>
          <w:sz w:val="24"/>
          <w:szCs w:val="24"/>
        </w:rPr>
        <w:t>Research Design: Qualitative, Quantitative, and Mixed Methods Approaches</w:t>
      </w:r>
      <w:r w:rsidRPr="00E8670C">
        <w:rPr>
          <w:rFonts w:ascii="Calibri Light" w:hAnsi="Calibri Light" w:cs="Calibri Light"/>
          <w:sz w:val="24"/>
          <w:szCs w:val="24"/>
        </w:rPr>
        <w:t>. London: Sage Publications.</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El Ishaq, R. (2022). Political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Strategy of Islamic Parties in Indonesia. </w:t>
      </w:r>
      <w:r w:rsidRPr="00E8670C">
        <w:rPr>
          <w:rFonts w:ascii="Calibri Light" w:hAnsi="Calibri Light" w:cs="Calibri Light"/>
          <w:i/>
          <w:iCs/>
          <w:sz w:val="24"/>
          <w:szCs w:val="24"/>
        </w:rPr>
        <w:t xml:space="preserve">Ilmu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Academic Journal for Homiletic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(2), 345–364. https://doi.org/10.15575/idajhs.v16i2.19861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Emzir. (2014). </w:t>
      </w:r>
      <w:r w:rsidRPr="00E8670C">
        <w:rPr>
          <w:rFonts w:ascii="Calibri Light" w:hAnsi="Calibri Light" w:cs="Calibri Light"/>
          <w:i/>
          <w:iCs/>
          <w:sz w:val="24"/>
          <w:szCs w:val="24"/>
        </w:rPr>
        <w:t>Metodologi Penelitian Kualitatif Analisis Data</w:t>
      </w:r>
      <w:r w:rsidRPr="00E8670C">
        <w:rPr>
          <w:rFonts w:ascii="Calibri Light" w:hAnsi="Calibri Light" w:cs="Calibri Light"/>
          <w:sz w:val="24"/>
          <w:szCs w:val="24"/>
        </w:rPr>
        <w:t>. PT Raja Grafindo Persada.</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Epafras, L. C., Kaunang, H. P., &amp; Asri, S. (2019). Religious Blasphemy and Monitory Society in Indonesian Digital Age. </w:t>
      </w:r>
      <w:r w:rsidRPr="00E8670C">
        <w:rPr>
          <w:rFonts w:ascii="Calibri Light" w:hAnsi="Calibri Light" w:cs="Calibri Light"/>
          <w:i/>
          <w:iCs/>
          <w:sz w:val="24"/>
          <w:szCs w:val="24"/>
        </w:rPr>
        <w:t>Jurnal Kawistara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(2), 220—230. https://doi.org/10.22146/kawistara.41169</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Faiqah, N., &amp; Pransiska, T. (2018). Radikalisme Islam Vs Moderasi Islam: Upaya Membangun Wajah Islam Indonesia Yang Damai. </w:t>
      </w:r>
      <w:r w:rsidRPr="00E8670C">
        <w:rPr>
          <w:rFonts w:ascii="Calibri Light" w:hAnsi="Calibri Light" w:cs="Calibri Light"/>
          <w:i/>
          <w:iCs/>
          <w:sz w:val="24"/>
          <w:szCs w:val="24"/>
        </w:rPr>
        <w:t>Al-Fikra Jurnal Ilmiah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(1). https://doi.org/10.24014/af.v17i1.5212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Fajar, M. R. (2021). Optimalisasi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Media Sosial Di Kalangan Mahasiswa Di Masa Pandemi Dalam Dimensi Globalisasi. </w:t>
      </w:r>
      <w:r w:rsidRPr="00E8670C">
        <w:rPr>
          <w:rFonts w:ascii="Calibri Light" w:hAnsi="Calibri Light" w:cs="Calibri Light"/>
          <w:i/>
          <w:iCs/>
          <w:sz w:val="24"/>
          <w:szCs w:val="24"/>
        </w:rPr>
        <w:t xml:space="preserve">Jurnal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Dan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(1), 1–22. https://doi.org/10.29240/jdk.v6i1.2954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Fenton, A. J. (2016). Faith, Intolerance, Violence and Bigotry: Legal and Constitutional Issues of Freedom of Religion in Indonesia.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181–212. https://doi.org/10.15642/JIIS.2016.10.2.181-212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Fikar, Z. (2022).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Ulama Dayah Aceh Di Masa Pandemi. </w:t>
      </w:r>
      <w:r w:rsidRPr="00E8670C">
        <w:rPr>
          <w:rFonts w:ascii="Calibri Light" w:hAnsi="Calibri Light" w:cs="Calibri Light"/>
          <w:i/>
          <w:iCs/>
          <w:sz w:val="24"/>
          <w:szCs w:val="24"/>
        </w:rPr>
        <w:t>Panangkaran Jurnal Penelitian Agama Dan Masyarakat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(1), 132–146. https://doi.org/10.14421/panangkaran.v6i1.2788</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Firdaus, M., Assauri, M., &amp; Haqqi, N. (2023). The Botram Harmony Tradition: Knitting a Harmonious Life in Frames Islamic Moderation. </w:t>
      </w:r>
      <w:r w:rsidRPr="00E8670C">
        <w:rPr>
          <w:rFonts w:ascii="Calibri Light" w:hAnsi="Calibri Light" w:cs="Calibri Light"/>
          <w:i/>
          <w:iCs/>
          <w:sz w:val="24"/>
          <w:szCs w:val="24"/>
        </w:rPr>
        <w:t>Jurnal Penelitian Ilmu Ushuluddin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(1), 120–130. https://doi.org/10.15575/jpiu.23344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Gunawan, R., &amp; Muhid, A. (2022). The Strategy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Bil Hal Communication: Literature Review. </w:t>
      </w:r>
      <w:r w:rsidRPr="00E8670C">
        <w:rPr>
          <w:rFonts w:ascii="Calibri Light" w:hAnsi="Calibri Light" w:cs="Calibri Light"/>
          <w:i/>
          <w:iCs/>
          <w:sz w:val="24"/>
          <w:szCs w:val="24"/>
        </w:rPr>
        <w:t>Komunike</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33–50. https://doi.org/10.20414/jurkom.v14i1.5270</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Haq, T., &amp; Isa, N. A. N. M. (2023). Discourse, Law, and Digital Communication: Unraveling the Hate Speech in Basuki Tjahaja Purnama’s Case of Religious Blasphemy.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(2), 376–402. https://doi.org/10.15642/JIIS.2023.17.2.376-402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Hariyatoni, H., &amp; Saputra, H. (2018). The Mapping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Potencies in Supporting Rejang Lebong to Be a Religious Regency. </w:t>
      </w:r>
      <w:r w:rsidRPr="00E8670C">
        <w:rPr>
          <w:rFonts w:ascii="Calibri Light" w:hAnsi="Calibri Light" w:cs="Calibri Light"/>
          <w:i/>
          <w:iCs/>
          <w:sz w:val="24"/>
          <w:szCs w:val="24"/>
        </w:rPr>
        <w:t>Ajis Academic Journal of Islamic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lastRenderedPageBreak/>
        <w:t>3</w:t>
      </w:r>
      <w:r w:rsidRPr="00E8670C">
        <w:rPr>
          <w:rFonts w:ascii="Calibri Light" w:hAnsi="Calibri Light" w:cs="Calibri Light"/>
          <w:sz w:val="24"/>
          <w:szCs w:val="24"/>
        </w:rPr>
        <w:t>(1), 41–68. https://doi.org/10.29240/ajis.v3i1.485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Hasani, I., &amp; Halili, H. (2022). Human Rights and Constitutionality Issues of Blasphemy Law in Indonesia. </w:t>
      </w:r>
      <w:r w:rsidRPr="00E8670C">
        <w:rPr>
          <w:rFonts w:ascii="Calibri Light" w:hAnsi="Calibri Light" w:cs="Calibri Light"/>
          <w:i/>
          <w:iCs/>
          <w:sz w:val="24"/>
          <w:szCs w:val="24"/>
        </w:rPr>
        <w:t>Jurnal Konstitusi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19</w:t>
      </w:r>
      <w:r w:rsidRPr="00E8670C">
        <w:rPr>
          <w:rFonts w:ascii="Calibri Light" w:hAnsi="Calibri Light" w:cs="Calibri Light"/>
          <w:sz w:val="24"/>
          <w:szCs w:val="24"/>
        </w:rPr>
        <w:t>(2), 406–430. https://doi.org/10.31078/jk1927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Hopkins, N., Greenwood, R. M., &amp; Birchall, M. (2007). Minority Understandings of the Dynamics to Intergroup Contact Encounters: British Muslims’ (Sometimes Ambivalent) Experiences of Representing Their Group to Others. </w:t>
      </w:r>
      <w:r w:rsidRPr="00E8670C">
        <w:rPr>
          <w:rFonts w:ascii="Calibri Light" w:hAnsi="Calibri Light" w:cs="Calibri Light"/>
          <w:i/>
          <w:iCs/>
          <w:sz w:val="24"/>
          <w:szCs w:val="24"/>
        </w:rPr>
        <w:t>South African Journal of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37</w:t>
      </w:r>
      <w:r w:rsidRPr="00E8670C">
        <w:rPr>
          <w:rFonts w:ascii="Calibri Light" w:hAnsi="Calibri Light" w:cs="Calibri Light"/>
          <w:sz w:val="24"/>
          <w:szCs w:val="24"/>
        </w:rPr>
        <w:t>(4), 679–701. https://doi.org/10.1177/008124630703700402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Huda, M. (2019). The Local Construction of Religious Blasphemy in East Java. </w:t>
      </w:r>
      <w:r w:rsidRPr="00E8670C">
        <w:rPr>
          <w:rFonts w:ascii="Calibri Light" w:hAnsi="Calibri Light" w:cs="Calibri Light"/>
          <w:i/>
          <w:iCs/>
          <w:sz w:val="24"/>
          <w:szCs w:val="24"/>
        </w:rPr>
        <w:t>Journal of Indonesian Islam</w:t>
      </w:r>
      <w:r w:rsidRPr="00E8670C">
        <w:rPr>
          <w:rFonts w:ascii="Calibri Light" w:hAnsi="Calibri Light" w:cs="Calibri Light"/>
          <w:sz w:val="24"/>
          <w:szCs w:val="24"/>
        </w:rPr>
        <w:t>. https://doi.org/10.15­642/jiis.2019.13.1.96-114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Husaini, H., &amp; Islamy, A. (2022). Harmonization of Religion and State : Mainstreaming the Values of Religious Moderation in Indonesian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Orientation. </w:t>
      </w:r>
      <w:r w:rsidRPr="00E8670C">
        <w:rPr>
          <w:rFonts w:ascii="Calibri Light" w:hAnsi="Calibri Light" w:cs="Calibri Light"/>
          <w:i/>
          <w:iCs/>
          <w:sz w:val="24"/>
          <w:szCs w:val="24"/>
        </w:rPr>
        <w:t>Al-Adalah Jurnal Hukum Dan Politik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(1), 51–73. https://doi.org/10.35673/ajhpi.v7i1.2128</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Husna, U., &amp; Thohir, M. (2020). Religious Moderation as a New Approach to Learning Islamic Religious Education in Schools. </w:t>
      </w:r>
      <w:r w:rsidRPr="00E8670C">
        <w:rPr>
          <w:rFonts w:ascii="Calibri Light" w:hAnsi="Calibri Light" w:cs="Calibri Light"/>
          <w:i/>
          <w:iCs/>
          <w:sz w:val="24"/>
          <w:szCs w:val="24"/>
        </w:rPr>
        <w:t>Nadwa Jurnal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199–222. https://doi.org/10.21580/nw.2020.14.1.5766</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Husni, H., Zulfan, Z., Afrizal, T., Nurarafah, N., &amp; Sumiadi, S. (2022). Religious Diversity and its Legal Problems. </w:t>
      </w:r>
      <w:r w:rsidRPr="00E8670C">
        <w:rPr>
          <w:rFonts w:ascii="Calibri Light" w:hAnsi="Calibri Light" w:cs="Calibri Light"/>
          <w:i/>
          <w:iCs/>
          <w:sz w:val="24"/>
          <w:szCs w:val="24"/>
        </w:rPr>
        <w:t>Journal Research of Social, Science, Economics, and Management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(9). https://doi.org/10.36418/jrssem.v1i9.149</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Ikhwan, N., &amp; Burhanuddin. (2024).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Dan Peran Pembelajaran Bahasa Arab Dalam Perubahan Sosial. </w:t>
      </w:r>
      <w:r w:rsidRPr="00E8670C">
        <w:rPr>
          <w:rFonts w:ascii="Calibri Light" w:hAnsi="Calibri Light" w:cs="Calibri Light"/>
          <w:i/>
          <w:iCs/>
          <w:sz w:val="24"/>
          <w:szCs w:val="24"/>
        </w:rPr>
        <w:t>Jkomdis Jurnal Ilmu Komunikasi Dan Media Sosial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48–60. https://doi.org/10.47233/jkomdis.v4i1.1430</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Inayatillah, I., Kamaruddin, K., &amp; Anzaikhan, M. A. M. (2022). The History of Moderate Islam in Indonesia and Its Influence on the Content of National Education. </w:t>
      </w:r>
      <w:r w:rsidRPr="00E8670C">
        <w:rPr>
          <w:rFonts w:ascii="Calibri Light" w:hAnsi="Calibri Light" w:cs="Calibri Light"/>
          <w:i/>
          <w:iCs/>
          <w:sz w:val="24"/>
          <w:szCs w:val="24"/>
        </w:rPr>
        <w:t>Journal of Al-Tamaddun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17</w:t>
      </w:r>
      <w:r w:rsidRPr="00E8670C">
        <w:rPr>
          <w:rFonts w:ascii="Calibri Light" w:hAnsi="Calibri Light" w:cs="Calibri Light"/>
          <w:sz w:val="24"/>
          <w:szCs w:val="24"/>
        </w:rPr>
        <w:t>(2). http://dx.doi.org/10.22452/jat­.vol17­no2.17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Iqbal, M. (2019). Dualism System of Higher Education in Indonesia BT - Proceedings of the International Conference on Educational Sciences and Teacher Profession (ICETeP 2018). </w:t>
      </w:r>
      <w:r w:rsidRPr="00E8670C">
        <w:rPr>
          <w:rFonts w:ascii="Calibri Light" w:hAnsi="Calibri Light" w:cs="Calibri Light"/>
          <w:i/>
          <w:iCs/>
          <w:sz w:val="24"/>
          <w:szCs w:val="24"/>
        </w:rPr>
        <w:t>Proceedings of the International Conference on Educational Sciences and Teacher Profession (ICETeP 2018)</w:t>
      </w:r>
      <w:r w:rsidRPr="00E8670C">
        <w:rPr>
          <w:rFonts w:ascii="Calibri Light" w:hAnsi="Calibri Light" w:cs="Calibri Light"/>
          <w:sz w:val="24"/>
          <w:szCs w:val="24"/>
        </w:rPr>
        <w:t>, 136–140. https://doi.org/10.2991/icetep-18.2019.33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Irwandi, I., Saad, D., Rais, Z., Toni, H., Nazirman, N., &amp; Jemkhairil, J. (2023).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and Religious Harmony, Harmony in the Nation and State. </w:t>
      </w:r>
      <w:r w:rsidRPr="00E8670C">
        <w:rPr>
          <w:rFonts w:ascii="Calibri Light" w:hAnsi="Calibri Light" w:cs="Calibri Light"/>
          <w:i/>
          <w:iCs/>
          <w:sz w:val="24"/>
          <w:szCs w:val="24"/>
        </w:rPr>
        <w:t xml:space="preserve">Jurnal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Dan Komunikasi</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8</w:t>
      </w:r>
      <w:r w:rsidRPr="00E8670C">
        <w:rPr>
          <w:rFonts w:ascii="Calibri Light" w:hAnsi="Calibri Light" w:cs="Calibri Light"/>
          <w:sz w:val="24"/>
          <w:szCs w:val="24"/>
        </w:rPr>
        <w:t>(2), 309. https://doi.org/10.29240/jdk.v8i2.8752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Karimullah, S. S. (2023).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for Social Justice: Creating Awareness of Social Issues through a Religious Approach. </w:t>
      </w:r>
      <w:r w:rsidRPr="00E8670C">
        <w:rPr>
          <w:rFonts w:ascii="Calibri Light" w:hAnsi="Calibri Light" w:cs="Calibri Light"/>
          <w:i/>
          <w:iCs/>
          <w:sz w:val="24"/>
          <w:szCs w:val="24"/>
        </w:rPr>
        <w:t xml:space="preserve">Jurnal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Risalah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34</w:t>
      </w:r>
      <w:r w:rsidRPr="00E8670C">
        <w:rPr>
          <w:rFonts w:ascii="Calibri Light" w:hAnsi="Calibri Light" w:cs="Calibri Light"/>
          <w:sz w:val="24"/>
          <w:szCs w:val="24"/>
        </w:rPr>
        <w:t>(2). https://doi.org/10.24014/jdr.v34i2.25373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lastRenderedPageBreak/>
        <w:t xml:space="preserve">Kusmanto, H., Prayitno, H. J., Sofiana, I., &amp; Jamaluddin, N. (2021). Persuasion Action Strategies in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Discourse on Social Media in the Global Communication Era. </w:t>
      </w:r>
      <w:r w:rsidRPr="00E8670C">
        <w:rPr>
          <w:rFonts w:ascii="Calibri Light" w:hAnsi="Calibri Light" w:cs="Calibri Light"/>
          <w:i/>
          <w:iCs/>
          <w:sz w:val="24"/>
          <w:szCs w:val="24"/>
        </w:rPr>
        <w:t>Language Circle Journal of Language and Literature</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15</w:t>
      </w:r>
      <w:r w:rsidRPr="00E8670C">
        <w:rPr>
          <w:rFonts w:ascii="Calibri Light" w:hAnsi="Calibri Light" w:cs="Calibri Light"/>
          <w:sz w:val="24"/>
          <w:szCs w:val="24"/>
        </w:rPr>
        <w:t>(2), 219–228. https://doi.org/10.15294/lc.v15i2.26285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Lengauer, D. (2018). Sharing Semangat Taqwa: Social Media and Digital Islamic Socialities in Bandung. </w:t>
      </w:r>
      <w:r w:rsidRPr="00E8670C">
        <w:rPr>
          <w:rFonts w:ascii="Calibri Light" w:hAnsi="Calibri Light" w:cs="Calibri Light"/>
          <w:i/>
          <w:iCs/>
          <w:sz w:val="24"/>
          <w:szCs w:val="24"/>
        </w:rPr>
        <w:t>Indonesia and the Malay World</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46</w:t>
      </w:r>
      <w:r w:rsidRPr="00E8670C">
        <w:rPr>
          <w:rFonts w:ascii="Calibri Light" w:hAnsi="Calibri Light" w:cs="Calibri Light"/>
          <w:sz w:val="24"/>
          <w:szCs w:val="24"/>
        </w:rPr>
        <w:t>(134), 5–23. https://doi.org/10.1080/13639811.2018.1415276</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Lintang, L. C., Martufi, A., &amp; Ouwerker, J. W. (2021). The Alternative Concepts of Blasphemy Law in Indonesia: Legal Comparison with Ireland and Canada. </w:t>
      </w:r>
      <w:r w:rsidRPr="00E8670C">
        <w:rPr>
          <w:rFonts w:ascii="Calibri Light" w:hAnsi="Calibri Light" w:cs="Calibri Light"/>
          <w:i/>
          <w:iCs/>
          <w:sz w:val="24"/>
          <w:szCs w:val="24"/>
        </w:rPr>
        <w:t>Bestuur</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(1), 13–25. https://doi.org/10.20961/bestuur.v9i1.51632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Mahasin, M. Z., Rochwulaningsih, Y., &amp; Sulistiyono, S. T. (2021). Ecological Mapping for the Development of Salt Production Centres in Indonesia During the Dutch Colonial Era. </w:t>
      </w:r>
      <w:r w:rsidRPr="00E8670C">
        <w:rPr>
          <w:rFonts w:ascii="Calibri Light" w:hAnsi="Calibri Light" w:cs="Calibri Light"/>
          <w:i/>
          <w:iCs/>
          <w:sz w:val="24"/>
          <w:szCs w:val="24"/>
        </w:rPr>
        <w:t>E3S Web of Conferences; The 6th International Conference on Energy, Environment, Epidemiology, and Information System (ICENIS 2021)</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317</w:t>
      </w:r>
      <w:r w:rsidRPr="00E8670C">
        <w:rPr>
          <w:rFonts w:ascii="Calibri Light" w:hAnsi="Calibri Light" w:cs="Calibri Light"/>
          <w:sz w:val="24"/>
          <w:szCs w:val="24"/>
        </w:rPr>
        <w:t>(7), 04024. https://doi.org/10.1051/e3sconf/202131704024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Maryance, M., Alvio, W., Irawan, B., Assoburu, S., &amp; Zulaiha, H. (2023). The Role of the Principal in Rohis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Activities in Schools. </w:t>
      </w:r>
      <w:r w:rsidRPr="00E8670C">
        <w:rPr>
          <w:rFonts w:ascii="Calibri Light" w:hAnsi="Calibri Light" w:cs="Calibri Light"/>
          <w:i/>
          <w:iCs/>
          <w:sz w:val="24"/>
          <w:szCs w:val="24"/>
        </w:rPr>
        <w:t>Sustainable Jurnal Kajian Mutu Pendidikan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602–607. https://doi.org/10.32923/kjmp.v6i2.4068</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Miles, M. B., Huberman, A. M., &amp; Saldaña, J. (2014). </w:t>
      </w:r>
      <w:r w:rsidRPr="00E8670C">
        <w:rPr>
          <w:rFonts w:ascii="Calibri Light" w:hAnsi="Calibri Light" w:cs="Calibri Light"/>
          <w:i/>
          <w:iCs/>
          <w:sz w:val="24"/>
          <w:szCs w:val="24"/>
        </w:rPr>
        <w:t>Qualitative Data Analysis: A Methods Sourcebook (3rd ed.)</w:t>
      </w:r>
      <w:r w:rsidRPr="00E8670C">
        <w:rPr>
          <w:rFonts w:ascii="Calibri Light" w:hAnsi="Calibri Light" w:cs="Calibri Light"/>
          <w:sz w:val="24"/>
          <w:szCs w:val="24"/>
        </w:rPr>
        <w:t>. New York: SAGE Publications.</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Muhammad, F., &amp; Irwan. (2023). Diseminasi Komunikasi Politik Islam Dan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Era Konvergensi Media Digital. </w:t>
      </w:r>
      <w:r w:rsidRPr="00E8670C">
        <w:rPr>
          <w:rFonts w:ascii="Calibri Light" w:hAnsi="Calibri Light" w:cs="Calibri Light"/>
          <w:i/>
          <w:iCs/>
          <w:sz w:val="24"/>
          <w:szCs w:val="24"/>
        </w:rPr>
        <w:t xml:space="preserve">Jurnal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Tabligh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24</w:t>
      </w:r>
      <w:r w:rsidRPr="00E8670C">
        <w:rPr>
          <w:rFonts w:ascii="Calibri Light" w:hAnsi="Calibri Light" w:cs="Calibri Light"/>
          <w:sz w:val="24"/>
          <w:szCs w:val="24"/>
        </w:rPr>
        <w:t>(1). https://doi.org/10.24252/jdt.v24i1.41657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Muhammad, H., &amp; Sari, N. P. (2021). Implementation of the Synergy of Transformational-Servant Leadership Character in Islamic Boarding School. </w:t>
      </w:r>
      <w:r w:rsidRPr="00E8670C">
        <w:rPr>
          <w:rFonts w:ascii="Calibri Light" w:hAnsi="Calibri Light" w:cs="Calibri Light"/>
          <w:i/>
          <w:iCs/>
          <w:sz w:val="24"/>
          <w:szCs w:val="24"/>
        </w:rPr>
        <w:t>Journal of Leadership in Organizations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(2). https://doi.org/10.22146/jlo.65642</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Muhdi. (2023). Strengthening Movement Ideology through the Management of Campus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Institutions. </w:t>
      </w:r>
      <w:r w:rsidRPr="00E8670C">
        <w:rPr>
          <w:rFonts w:ascii="Calibri Light" w:hAnsi="Calibri Light" w:cs="Calibri Light"/>
          <w:i/>
          <w:iCs/>
          <w:sz w:val="24"/>
          <w:szCs w:val="24"/>
        </w:rPr>
        <w:t>Al-Tanzim Jurnal Manajemen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(3). https://doi.org/10.33650/al-tanzim.v7i3.5244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Murray, M. D., &amp; De Sanctis, C. H. (2015). </w:t>
      </w:r>
      <w:r w:rsidRPr="00E8670C">
        <w:rPr>
          <w:rFonts w:ascii="Calibri Light" w:hAnsi="Calibri Light" w:cs="Calibri Light"/>
          <w:i/>
          <w:iCs/>
          <w:sz w:val="24"/>
          <w:szCs w:val="24"/>
        </w:rPr>
        <w:t>Legal research methods (Second edition)</w:t>
      </w:r>
      <w:r w:rsidRPr="00E8670C">
        <w:rPr>
          <w:rFonts w:ascii="Calibri Light" w:hAnsi="Calibri Light" w:cs="Calibri Light"/>
          <w:sz w:val="24"/>
          <w:szCs w:val="24"/>
        </w:rPr>
        <w:t>. Foundation Press.</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Mustakif, M. K., &amp; Mulyati, M. (2019). Sarekat Dagang Islam Sdi (1905-1912): Between the Savagery of Vereenigde Oostindische Compagnie (Voc) and the Independence of Indonesia. </w:t>
      </w:r>
      <w:r w:rsidRPr="00E8670C">
        <w:rPr>
          <w:rFonts w:ascii="Calibri Light" w:hAnsi="Calibri Light" w:cs="Calibri Light"/>
          <w:i/>
          <w:iCs/>
          <w:sz w:val="24"/>
          <w:szCs w:val="24"/>
        </w:rPr>
        <w:t>International Journal of Nusantara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(1), 1–17. https://doi.org/10.15575/ijni.v7i1.4807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lastRenderedPageBreak/>
        <w:t xml:space="preserve">Mustika, R., Nishigori, H., Ronokusumo, S., &amp; Scherpbier, A. (2019). The Odyssey of Medical Education in Indonesia,. </w:t>
      </w:r>
      <w:r w:rsidRPr="00E8670C">
        <w:rPr>
          <w:rFonts w:ascii="Calibri Light" w:hAnsi="Calibri Light" w:cs="Calibri Light"/>
          <w:i/>
          <w:iCs/>
          <w:sz w:val="24"/>
          <w:szCs w:val="24"/>
        </w:rPr>
        <w:t>The Asia Pacific Scholar</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4–8. https://doi.org/10.29060/TAPS.2019-4-1/GP1077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Nasir, M., &amp; Rijal, M. (2021). Keeping the Middle Path: Mainstreaming Religious Moderation through Islamic Higher Education Institutions in Indonesia. </w:t>
      </w:r>
      <w:r w:rsidRPr="00E8670C">
        <w:rPr>
          <w:rFonts w:ascii="Calibri Light" w:hAnsi="Calibri Light" w:cs="Calibri Light"/>
          <w:i/>
          <w:iCs/>
          <w:sz w:val="24"/>
          <w:szCs w:val="24"/>
        </w:rPr>
        <w:t>Ndonesian Journal of Islam and Muslim Societies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11</w:t>
      </w:r>
      <w:r w:rsidRPr="00E8670C">
        <w:rPr>
          <w:rFonts w:ascii="Calibri Light" w:hAnsi="Calibri Light" w:cs="Calibri Light"/>
          <w:sz w:val="24"/>
          <w:szCs w:val="24"/>
        </w:rPr>
        <w:t>(2), 213–241. https://doi.org/10.18326/ijims.v11i2.213-241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Nasution, M. S. A., Syam, S., Matsum, H., Siregar, P. A., &amp; Dayu, W. (2022). Hifz Al-Din (Maintaining Religion) and Hifz Al-Ummah (Developing National Integration): Resistance of Muslim Youth to Non-Muslim Leader Candidates in Election. </w:t>
      </w:r>
      <w:r w:rsidRPr="00E8670C">
        <w:rPr>
          <w:rFonts w:ascii="Calibri Light" w:hAnsi="Calibri Light" w:cs="Calibri Light"/>
          <w:i/>
          <w:iCs/>
          <w:sz w:val="24"/>
          <w:szCs w:val="24"/>
        </w:rPr>
        <w:t>HTS Teologiese Studies / Theological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78</w:t>
      </w:r>
      <w:r w:rsidRPr="00E8670C">
        <w:rPr>
          <w:rFonts w:ascii="Calibri Light" w:hAnsi="Calibri Light" w:cs="Calibri Light"/>
          <w:sz w:val="24"/>
          <w:szCs w:val="24"/>
        </w:rPr>
        <w:t>(4). https://doi.org/10.4102/hts.v78i4.7526</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Octaviani, A. (2022). From Cafe to the Mosque: The Construction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Digital Communication of Shift Community. </w:t>
      </w:r>
      <w:r w:rsidRPr="00E8670C">
        <w:rPr>
          <w:rFonts w:ascii="Calibri Light" w:hAnsi="Calibri Light" w:cs="Calibri Light"/>
          <w:i/>
          <w:iCs/>
          <w:sz w:val="24"/>
          <w:szCs w:val="24"/>
        </w:rPr>
        <w:t>Dimas Jurnal Pemikiran Agama Untuk Pemberdayaan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21</w:t>
      </w:r>
      <w:r w:rsidRPr="00E8670C">
        <w:rPr>
          <w:rFonts w:ascii="Calibri Light" w:hAnsi="Calibri Light" w:cs="Calibri Light"/>
          <w:sz w:val="24"/>
          <w:szCs w:val="24"/>
        </w:rPr>
        <w:t>(2), 275–296. https://doi.org/10.21580/dms.2021.212.9429</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Pajarianto, H., Pribadi, I., &amp; Sari, P. (2022). Tolerance between Religions through the Role of Local Wisdom and Religious Moderation. </w:t>
      </w:r>
      <w:r w:rsidRPr="00E8670C">
        <w:rPr>
          <w:rFonts w:ascii="Calibri Light" w:hAnsi="Calibri Light" w:cs="Calibri Light"/>
          <w:i/>
          <w:iCs/>
          <w:sz w:val="24"/>
          <w:szCs w:val="24"/>
        </w:rPr>
        <w:t>HTS Teologiese Studies / Theological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78</w:t>
      </w:r>
      <w:r w:rsidRPr="00E8670C">
        <w:rPr>
          <w:rFonts w:ascii="Calibri Light" w:hAnsi="Calibri Light" w:cs="Calibri Light"/>
          <w:sz w:val="24"/>
          <w:szCs w:val="24"/>
        </w:rPr>
        <w:t>(4). https://doi.org/10.4102/hts.v78i4.7043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Pratama, A. I., Rusman, D., &amp; Zahir, M. (2022). Educational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Strategy for Increasing Religious Activities. </w:t>
      </w:r>
      <w:r w:rsidRPr="00E8670C">
        <w:rPr>
          <w:rFonts w:ascii="Calibri Light" w:hAnsi="Calibri Light" w:cs="Calibri Light"/>
          <w:i/>
          <w:iCs/>
          <w:sz w:val="24"/>
          <w:szCs w:val="24"/>
        </w:rPr>
        <w:t>Atthulab Islamic Religion Teaching and Learning Journal</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7</w:t>
      </w:r>
      <w:r w:rsidRPr="00E8670C">
        <w:rPr>
          <w:rFonts w:ascii="Calibri Light" w:hAnsi="Calibri Light" w:cs="Calibri Light"/>
          <w:sz w:val="24"/>
          <w:szCs w:val="24"/>
        </w:rPr>
        <w:t>(2), 131–140. https://doi.org/10.15575/ath.v7i2.20901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Protschky, S. (2008). Seductive Landscapes: Gender, Race and European Representations of Nature in the Dutch East Indies During the Late Colonial Period. </w:t>
      </w:r>
      <w:r w:rsidRPr="00E8670C">
        <w:rPr>
          <w:rFonts w:ascii="Calibri Light" w:hAnsi="Calibri Light" w:cs="Calibri Light"/>
          <w:i/>
          <w:iCs/>
          <w:sz w:val="24"/>
          <w:szCs w:val="24"/>
        </w:rPr>
        <w:t>Gender &amp; History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20</w:t>
      </w:r>
      <w:r w:rsidRPr="00E8670C">
        <w:rPr>
          <w:rFonts w:ascii="Calibri Light" w:hAnsi="Calibri Light" w:cs="Calibri Light"/>
          <w:sz w:val="24"/>
          <w:szCs w:val="24"/>
        </w:rPr>
        <w:t>(2). https://doi.org/10.1111/j.1468-0424.2008.00530.x</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Putra, I. E., Holtz, P., &amp; Rufaedah, A. (2018). Who is to blame, the victims or the perpetrators? A study to understand a series of violence targeting the accused heretic group Ahmadiyya. </w:t>
      </w:r>
      <w:r w:rsidRPr="00E8670C">
        <w:rPr>
          <w:rFonts w:ascii="Calibri Light" w:hAnsi="Calibri Light" w:cs="Calibri Light"/>
          <w:i/>
          <w:iCs/>
          <w:sz w:val="24"/>
          <w:szCs w:val="24"/>
        </w:rPr>
        <w:t>Psychology of Religion and Spirituality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166–173. https://doi.org/10.1037/rel0000186</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Putra, I. E., Wagner, W., Holtz, P., &amp; Rufaedah, A. (2021). Accounting for a Riot: Religious Identity, Denying One’s Prejudice, and the Tool of Blasphemy. </w:t>
      </w:r>
      <w:r w:rsidRPr="00E8670C">
        <w:rPr>
          <w:rFonts w:ascii="Calibri Light" w:hAnsi="Calibri Light" w:cs="Calibri Light"/>
          <w:i/>
          <w:iCs/>
          <w:sz w:val="24"/>
          <w:szCs w:val="24"/>
        </w:rPr>
        <w:t>Journal of Social and Political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(1), 69–85. https://doi.org/10.5964/jspp.5565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Qarni, W., Syahnan, M., Harahap, I., Nasution, S., &amp; Fithriani, R. (2019). Verbal and Nonverbal Factors Influencing the Success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Communication By Ustadz Abdul Somad. </w:t>
      </w:r>
      <w:r w:rsidRPr="00E8670C">
        <w:rPr>
          <w:rFonts w:ascii="Calibri Light" w:hAnsi="Calibri Light" w:cs="Calibri Light"/>
          <w:i/>
          <w:iCs/>
          <w:sz w:val="24"/>
          <w:szCs w:val="24"/>
        </w:rPr>
        <w:t>KnE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w:t>
      </w:r>
      <w:r w:rsidRPr="00E8670C">
        <w:rPr>
          <w:rFonts w:ascii="Calibri Light" w:hAnsi="Calibri Light" w:cs="Calibri Light"/>
          <w:sz w:val="24"/>
          <w:szCs w:val="24"/>
        </w:rPr>
        <w:t>(19), 804–812. https://doi.org/10.18502/kss.v3i19.4906</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Qornain, D. (2022). Fostering Islamic Education: Embracing Multicultural Islamic Religious Education Values. </w:t>
      </w:r>
      <w:r w:rsidRPr="00E8670C">
        <w:rPr>
          <w:rFonts w:ascii="Calibri Light" w:hAnsi="Calibri Light" w:cs="Calibri Light"/>
          <w:i/>
          <w:iCs/>
          <w:sz w:val="24"/>
          <w:szCs w:val="24"/>
        </w:rPr>
        <w:t>Jurnal Islam Nusantara</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6</w:t>
      </w:r>
      <w:r w:rsidRPr="00E8670C">
        <w:rPr>
          <w:rFonts w:ascii="Calibri Light" w:hAnsi="Calibri Light" w:cs="Calibri Light"/>
          <w:sz w:val="24"/>
          <w:szCs w:val="24"/>
        </w:rPr>
        <w:t>(2). https://doi.org/10.33852/jurnalnu.v6i2.339</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lastRenderedPageBreak/>
        <w:t xml:space="preserve">Rachmanto, A. F. (2023). The Formation of Islamic Parties in Post-Independence Indonesia. </w:t>
      </w:r>
      <w:r w:rsidRPr="00E8670C">
        <w:rPr>
          <w:rFonts w:ascii="Calibri Light" w:hAnsi="Calibri Light" w:cs="Calibri Light"/>
          <w:i/>
          <w:iCs/>
          <w:sz w:val="24"/>
          <w:szCs w:val="24"/>
        </w:rPr>
        <w:t>Jsi Jurnal Sejarah Islam</w:t>
      </w:r>
      <w:r w:rsidRPr="00E8670C">
        <w:rPr>
          <w:rFonts w:ascii="Calibri Light" w:hAnsi="Calibri Light" w:cs="Calibri Light"/>
          <w:sz w:val="24"/>
          <w:szCs w:val="24"/>
        </w:rPr>
        <w:t>. https://doi.org/10.240­90/jsij.v2­i02.8213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Rahmah, S., &amp; Aslamiah, R. (2023). Understanding the Urgency of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of Islam in the Context of Peace in the Nuances of Pluralism in Indonesia. </w:t>
      </w:r>
      <w:r w:rsidRPr="00E8670C">
        <w:rPr>
          <w:rFonts w:ascii="Calibri Light" w:hAnsi="Calibri Light" w:cs="Calibri Light"/>
          <w:i/>
          <w:iCs/>
          <w:sz w:val="24"/>
          <w:szCs w:val="24"/>
        </w:rPr>
        <w:t>International Research Journal of Management It and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10</w:t>
      </w:r>
      <w:r w:rsidRPr="00E8670C">
        <w:rPr>
          <w:rFonts w:ascii="Calibri Light" w:hAnsi="Calibri Light" w:cs="Calibri Light"/>
          <w:sz w:val="24"/>
          <w:szCs w:val="24"/>
        </w:rPr>
        <w:t>(2), 110–121. https://doi.org/10.21744/irjmis.v10n2.2295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Regus, M. (2020). Interreligious Conflicts in Post-Authoritarian Indonesia: Assumptions, Causes, and Implications. </w:t>
      </w:r>
      <w:r w:rsidRPr="00E8670C">
        <w:rPr>
          <w:rFonts w:ascii="Calibri Light" w:hAnsi="Calibri Light" w:cs="Calibri Light"/>
          <w:i/>
          <w:iCs/>
          <w:sz w:val="24"/>
          <w:szCs w:val="24"/>
        </w:rPr>
        <w:t>Jurnal Politik</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5</w:t>
      </w:r>
      <w:r w:rsidRPr="00E8670C">
        <w:rPr>
          <w:rFonts w:ascii="Calibri Light" w:hAnsi="Calibri Light" w:cs="Calibri Light"/>
          <w:sz w:val="24"/>
          <w:szCs w:val="24"/>
        </w:rPr>
        <w:t>(2). https://doi.org/10.7454/jp.v5i2.1013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Ridwan, A. (2016). Colonial Politics of Power and Cultural Identity Development of Islamic Education Vis-a-Vis European Education in the Netherlands East Indies Periods. </w:t>
      </w:r>
      <w:r w:rsidRPr="00E8670C">
        <w:rPr>
          <w:rFonts w:ascii="Calibri Light" w:hAnsi="Calibri Light" w:cs="Calibri Light"/>
          <w:i/>
          <w:iCs/>
          <w:sz w:val="24"/>
          <w:szCs w:val="24"/>
        </w:rPr>
        <w:t>Marâji`: Jurnal Ilmu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2</w:t>
      </w:r>
      <w:r w:rsidRPr="00E8670C">
        <w:rPr>
          <w:rFonts w:ascii="Calibri Light" w:hAnsi="Calibri Light" w:cs="Calibri Light"/>
          <w:sz w:val="24"/>
          <w:szCs w:val="24"/>
        </w:rPr>
        <w:t>(2), 227–247. https://www.neliti.com/id/publications/148289/colonial-politics-of-power-and-cultural-identity-development-of-islamic-educatio#cite</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Ridwan, A. (2020). The Dynamics of Pesantren Leadership from the Dutch Ethical Policy to the Reformation Periods. </w:t>
      </w:r>
      <w:r w:rsidRPr="00E8670C">
        <w:rPr>
          <w:rFonts w:ascii="Calibri Light" w:hAnsi="Calibri Light" w:cs="Calibri Light"/>
          <w:i/>
          <w:iCs/>
          <w:sz w:val="24"/>
          <w:szCs w:val="24"/>
        </w:rPr>
        <w:t>Epistemé: Jurnal Pengembangan Ilmu Keislaman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15</w:t>
      </w:r>
      <w:r w:rsidRPr="00E8670C">
        <w:rPr>
          <w:rFonts w:ascii="Calibri Light" w:hAnsi="Calibri Light" w:cs="Calibri Light"/>
          <w:sz w:val="24"/>
          <w:szCs w:val="24"/>
        </w:rPr>
        <w:t>(2). https://doi.org/10.21274/epis.2020.15.02.365-400</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Rosidin, D. N., Amalia, M., Sa’dudin, I., &amp; Safitri, E. (2022). Muslim Social Movements in Cirebon and the Emergence of National Resistance Movements Against the Dutch Colonial Government in the Early 20th Century Indonesia. </w:t>
      </w:r>
      <w:r w:rsidRPr="00E8670C">
        <w:rPr>
          <w:rFonts w:ascii="Calibri Light" w:hAnsi="Calibri Light" w:cs="Calibri Light"/>
          <w:i/>
          <w:iCs/>
          <w:sz w:val="24"/>
          <w:szCs w:val="24"/>
        </w:rPr>
        <w:t>Journal of Asian Social Science Research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4</w:t>
      </w:r>
      <w:r w:rsidRPr="00E8670C">
        <w:rPr>
          <w:rFonts w:ascii="Calibri Light" w:hAnsi="Calibri Light" w:cs="Calibri Light"/>
          <w:sz w:val="24"/>
          <w:szCs w:val="24"/>
        </w:rPr>
        <w:t>(1), 63–86. https://doi.org/10.15575/jassr.v4i1.64</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Saefudin, A., Munip, A., &amp; Ulfa, K. L. (2021). Internalization of Multicultural-Based Islamic Education: Sunni-Shia Synergy in Banjaran Bangsri Village, Jepara. </w:t>
      </w:r>
      <w:r w:rsidRPr="00E8670C">
        <w:rPr>
          <w:rFonts w:ascii="Calibri Light" w:hAnsi="Calibri Light" w:cs="Calibri Light"/>
          <w:i/>
          <w:iCs/>
          <w:sz w:val="24"/>
          <w:szCs w:val="24"/>
        </w:rPr>
        <w:t>Edukasia Jurnal Penelitian Pendidikan Islam</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16</w:t>
      </w:r>
      <w:r w:rsidRPr="00E8670C">
        <w:rPr>
          <w:rFonts w:ascii="Calibri Light" w:hAnsi="Calibri Light" w:cs="Calibri Light"/>
          <w:sz w:val="24"/>
          <w:szCs w:val="24"/>
        </w:rPr>
        <w:t>(1), 37–56. http://dx.doi.org/10.21043/edukasia.v16i1.8803</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Saputra, R., &amp; Islamiyah, U. H. (2019).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Strategy through Google Search Engine Optimization. </w:t>
      </w:r>
      <w:r w:rsidRPr="00E8670C">
        <w:rPr>
          <w:rFonts w:ascii="Calibri Light" w:hAnsi="Calibri Light" w:cs="Calibri Light"/>
          <w:i/>
          <w:iCs/>
          <w:sz w:val="24"/>
          <w:szCs w:val="24"/>
        </w:rPr>
        <w:t>Islam Universalia International Journal of Islamic Studies and Social Sciences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w:t>
      </w:r>
      <w:r w:rsidRPr="00E8670C">
        <w:rPr>
          <w:rFonts w:ascii="Calibri Light" w:hAnsi="Calibri Light" w:cs="Calibri Light"/>
          <w:sz w:val="24"/>
          <w:szCs w:val="24"/>
        </w:rPr>
        <w:t>(1), 19–41. https://doi.org/10.56613/islam-universalia.v1i1.111</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Silvianetri, S., Irman, I., Rajab, K., Zulamri, Z., Zubaidah, Z., &amp; Zulfikar, Z. (2022). The Effectiveness of Islamic Counseling as a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Approach to increase the Religious Awareness of Ex-Prostitute. </w:t>
      </w:r>
      <w:r w:rsidRPr="00E8670C">
        <w:rPr>
          <w:rFonts w:ascii="Calibri Light" w:hAnsi="Calibri Light" w:cs="Calibri Light"/>
          <w:i/>
          <w:iCs/>
          <w:sz w:val="24"/>
          <w:szCs w:val="24"/>
        </w:rPr>
        <w:t xml:space="preserve">Jurnal </w:t>
      </w:r>
      <w:r w:rsidR="00A052EF" w:rsidRPr="00E8670C">
        <w:rPr>
          <w:rFonts w:ascii="Calibri Light" w:hAnsi="Calibri Light" w:cs="Calibri Light"/>
          <w:i/>
          <w:iCs/>
          <w:sz w:val="24"/>
          <w:szCs w:val="24"/>
        </w:rPr>
        <w:t>Da’wah</w:t>
      </w:r>
      <w:r w:rsidRPr="00E8670C">
        <w:rPr>
          <w:rFonts w:ascii="Calibri Light" w:hAnsi="Calibri Light" w:cs="Calibri Light"/>
          <w:i/>
          <w:iCs/>
          <w:sz w:val="24"/>
          <w:szCs w:val="24"/>
        </w:rPr>
        <w:t xml:space="preserve"> Risalah</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33</w:t>
      </w:r>
      <w:r w:rsidRPr="00E8670C">
        <w:rPr>
          <w:rFonts w:ascii="Calibri Light" w:hAnsi="Calibri Light" w:cs="Calibri Light"/>
          <w:sz w:val="24"/>
          <w:szCs w:val="24"/>
        </w:rPr>
        <w:t>(1). https://doi.org/10.24014/jdr.v33i1.15879</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Suradi, A. (2022). The Social, Political, and Cultural Perspective of Islamic Education in Palembang Malay: A Continuous Evaluation from the Dutch Colonial Period to Today. </w:t>
      </w:r>
      <w:r w:rsidRPr="00E8670C">
        <w:rPr>
          <w:rFonts w:ascii="Calibri Light" w:hAnsi="Calibri Light" w:cs="Calibri Light"/>
          <w:i/>
          <w:iCs/>
          <w:sz w:val="24"/>
          <w:szCs w:val="24"/>
        </w:rPr>
        <w:t>Journal of Ethnic and Cultural Studies</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9</w:t>
      </w:r>
      <w:r w:rsidRPr="00E8670C">
        <w:rPr>
          <w:rFonts w:ascii="Calibri Light" w:hAnsi="Calibri Light" w:cs="Calibri Light"/>
          <w:sz w:val="24"/>
          <w:szCs w:val="24"/>
        </w:rPr>
        <w:t>(3), 56–71. https://doi.org/10.29333/ejecs/1200</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lastRenderedPageBreak/>
        <w:t xml:space="preserve">Tyson, A. (2020). Blasphemy and Judicial Legitimacy in Indonesia. </w:t>
      </w:r>
      <w:r w:rsidRPr="00E8670C">
        <w:rPr>
          <w:rFonts w:ascii="Calibri Light" w:hAnsi="Calibri Light" w:cs="Calibri Light"/>
          <w:i/>
          <w:iCs/>
          <w:sz w:val="24"/>
          <w:szCs w:val="24"/>
        </w:rPr>
        <w:t>Politics and Religion</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14</w:t>
      </w:r>
      <w:r w:rsidRPr="00E8670C">
        <w:rPr>
          <w:rFonts w:ascii="Calibri Light" w:hAnsi="Calibri Light" w:cs="Calibri Light"/>
          <w:sz w:val="24"/>
          <w:szCs w:val="24"/>
        </w:rPr>
        <w:t>(1), 182–205. https://doi.org/10.1017/S1755048319000427</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szCs w:val="24"/>
        </w:rPr>
      </w:pPr>
      <w:r w:rsidRPr="00E8670C">
        <w:rPr>
          <w:rFonts w:ascii="Calibri Light" w:hAnsi="Calibri Light" w:cs="Calibri Light"/>
          <w:sz w:val="24"/>
          <w:szCs w:val="24"/>
        </w:rPr>
        <w:t xml:space="preserve">Wibisono, S., Louis, W. R., &amp; Jetten, J. (2019). The Role of Religious Fundamentalism in the Intersection of National and Religious Identities. </w:t>
      </w:r>
      <w:r w:rsidRPr="00E8670C">
        <w:rPr>
          <w:rFonts w:ascii="Calibri Light" w:hAnsi="Calibri Light" w:cs="Calibri Light"/>
          <w:i/>
          <w:iCs/>
          <w:sz w:val="24"/>
          <w:szCs w:val="24"/>
        </w:rPr>
        <w:t>Journal of Pacific Rim Psychology</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13</w:t>
      </w:r>
      <w:r w:rsidRPr="00E8670C">
        <w:rPr>
          <w:rFonts w:ascii="Calibri Light" w:hAnsi="Calibri Light" w:cs="Calibri Light"/>
          <w:sz w:val="24"/>
          <w:szCs w:val="24"/>
        </w:rPr>
        <w:t>. https://doi.org/10.1017/prp.2018.25</w:t>
      </w:r>
    </w:p>
    <w:p w:rsidR="002F3F4C" w:rsidRPr="00E8670C" w:rsidRDefault="002F3F4C" w:rsidP="00E8670C">
      <w:pPr>
        <w:pStyle w:val="ListParagraph"/>
        <w:widowControl w:val="0"/>
        <w:numPr>
          <w:ilvl w:val="0"/>
          <w:numId w:val="31"/>
        </w:numPr>
        <w:adjustRightInd w:val="0"/>
        <w:spacing w:before="120" w:after="120"/>
        <w:ind w:hanging="436"/>
        <w:contextualSpacing w:val="0"/>
        <w:jc w:val="both"/>
        <w:rPr>
          <w:rFonts w:ascii="Calibri Light" w:hAnsi="Calibri Light" w:cs="Calibri Light"/>
          <w:sz w:val="24"/>
        </w:rPr>
      </w:pPr>
      <w:r w:rsidRPr="00E8670C">
        <w:rPr>
          <w:rFonts w:ascii="Calibri Light" w:hAnsi="Calibri Light" w:cs="Calibri Light"/>
          <w:sz w:val="24"/>
          <w:szCs w:val="24"/>
        </w:rPr>
        <w:t xml:space="preserve">Yuliasih, M., &amp; Rahyu, T. (2022). </w:t>
      </w:r>
      <w:r w:rsidR="00A052EF" w:rsidRPr="00E8670C">
        <w:rPr>
          <w:rFonts w:ascii="Calibri Light" w:hAnsi="Calibri Light" w:cs="Calibri Light"/>
          <w:i/>
          <w:iCs/>
          <w:sz w:val="24"/>
          <w:szCs w:val="24"/>
        </w:rPr>
        <w:t>Da’wah</w:t>
      </w:r>
      <w:r w:rsidRPr="00E8670C">
        <w:rPr>
          <w:rFonts w:ascii="Calibri Light" w:hAnsi="Calibri Light" w:cs="Calibri Light"/>
          <w:sz w:val="24"/>
          <w:szCs w:val="24"/>
        </w:rPr>
        <w:t xml:space="preserve"> Strategy in Preventing Apostasy in Cisantana Village, Cigugur District, Kuningan District. </w:t>
      </w:r>
      <w:r w:rsidRPr="00E8670C">
        <w:rPr>
          <w:rFonts w:ascii="Calibri Light" w:hAnsi="Calibri Light" w:cs="Calibri Light"/>
          <w:i/>
          <w:iCs/>
          <w:sz w:val="24"/>
          <w:szCs w:val="24"/>
        </w:rPr>
        <w:t>Jurnal Bina Ummat: Membina Dan Membentengi Ummat</w:t>
      </w:r>
      <w:r w:rsidRPr="00E8670C">
        <w:rPr>
          <w:rFonts w:ascii="Calibri Light" w:hAnsi="Calibri Light" w:cs="Calibri Light"/>
          <w:sz w:val="24"/>
          <w:szCs w:val="24"/>
        </w:rPr>
        <w:t xml:space="preserve">, </w:t>
      </w:r>
      <w:r w:rsidRPr="00E8670C">
        <w:rPr>
          <w:rFonts w:ascii="Calibri Light" w:hAnsi="Calibri Light" w:cs="Calibri Light"/>
          <w:i/>
          <w:iCs/>
          <w:sz w:val="24"/>
          <w:szCs w:val="24"/>
        </w:rPr>
        <w:t>5</w:t>
      </w:r>
      <w:r w:rsidRPr="00E8670C">
        <w:rPr>
          <w:rFonts w:ascii="Calibri Light" w:hAnsi="Calibri Light" w:cs="Calibri Light"/>
          <w:sz w:val="24"/>
          <w:szCs w:val="24"/>
        </w:rPr>
        <w:t>(2), 115–125. https://doi.org/10.38214/jurnalbinaummatstidnatsir.v5i2.150</w:t>
      </w:r>
    </w:p>
    <w:p w:rsidR="006538D6" w:rsidRPr="00540F02" w:rsidRDefault="002845BE" w:rsidP="00E8670C">
      <w:pPr>
        <w:pStyle w:val="ListParagraph"/>
        <w:tabs>
          <w:tab w:val="left" w:pos="1134"/>
        </w:tabs>
        <w:spacing w:before="120" w:after="120" w:line="240" w:lineRule="auto"/>
        <w:ind w:left="1134"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4C4A9F">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9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4DD6" w:rsidRDefault="00084DD6">
      <w:r>
        <w:separator/>
      </w:r>
    </w:p>
  </w:endnote>
  <w:endnote w:type="continuationSeparator" w:id="0">
    <w:p w:rsidR="00084DD6" w:rsidRDefault="0008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4549875</wp:posOffset>
              </wp:positionH>
              <wp:positionV relativeFrom="paragraph">
                <wp:posOffset>-66474</wp:posOffset>
              </wp:positionV>
              <wp:extent cx="1221573" cy="278130"/>
              <wp:effectExtent l="0" t="0" r="1714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573" cy="278130"/>
                      </a:xfrm>
                      <a:prstGeom prst="rect">
                        <a:avLst/>
                      </a:prstGeom>
                      <a:solidFill>
                        <a:srgbClr val="FFFFFF"/>
                      </a:solidFill>
                      <a:ln w="9525">
                        <a:solidFill>
                          <a:srgbClr val="FFFFFF"/>
                        </a:solidFill>
                        <a:miter lim="800000"/>
                        <a:headEnd/>
                        <a:tailEnd/>
                      </a:ln>
                    </wps:spPr>
                    <wps:txbx>
                      <w:txbxContent>
                        <w:p w:rsidR="00122F5F" w:rsidRPr="00122F5F" w:rsidRDefault="00653DBC" w:rsidP="00122F5F">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8.25pt;margin-top:-5.25pt;width:96.2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" strokecolor="white">
              <v:textbox>
                <w:txbxContent>
                  <w:p w:rsidR="00122F5F" w:rsidRPr="00122F5F" w:rsidRDefault="00653DBC" w:rsidP="00122F5F">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E7BB6" w:rsidRPr="00BE7BB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4585970</wp:posOffset>
              </wp:positionH>
              <wp:positionV relativeFrom="paragraph">
                <wp:posOffset>-66474</wp:posOffset>
              </wp:positionV>
              <wp:extent cx="1185478" cy="278130"/>
              <wp:effectExtent l="0" t="0" r="1524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478" cy="278130"/>
                      </a:xfrm>
                      <a:prstGeom prst="rect">
                        <a:avLst/>
                      </a:prstGeom>
                      <a:solidFill>
                        <a:srgbClr val="FFFFFF"/>
                      </a:solidFill>
                      <a:ln w="9525">
                        <a:solidFill>
                          <a:srgbClr val="FFFFFF"/>
                        </a:solidFill>
                        <a:miter lim="800000"/>
                        <a:headEnd/>
                        <a:tailEnd/>
                      </a:ln>
                    </wps:spPr>
                    <wps:txbx>
                      <w:txbxContent>
                        <w:p w:rsidR="0008220C" w:rsidRPr="00122F5F" w:rsidRDefault="00653DBC" w:rsidP="0008220C">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1pt;margin-top:-5.25pt;width:93.3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" strokecolor="white">
              <v:textbox>
                <w:txbxContent>
                  <w:p w:rsidR="0008220C" w:rsidRPr="00122F5F" w:rsidRDefault="00653DBC" w:rsidP="0008220C">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E7BB6" w:rsidRPr="00BE7BB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4517791</wp:posOffset>
              </wp:positionH>
              <wp:positionV relativeFrom="paragraph">
                <wp:posOffset>-66474</wp:posOffset>
              </wp:positionV>
              <wp:extent cx="1253657" cy="278130"/>
              <wp:effectExtent l="0" t="0" r="2286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3657" cy="278130"/>
                      </a:xfrm>
                      <a:prstGeom prst="rect">
                        <a:avLst/>
                      </a:prstGeom>
                      <a:solidFill>
                        <a:srgbClr val="FFFFFF"/>
                      </a:solidFill>
                      <a:ln w="9525">
                        <a:solidFill>
                          <a:srgbClr val="FFFFFF"/>
                        </a:solidFill>
                        <a:miter lim="800000"/>
                        <a:headEnd/>
                        <a:tailEnd/>
                      </a:ln>
                    </wps:spPr>
                    <wps:txbx>
                      <w:txbxContent>
                        <w:p w:rsidR="00122F5F" w:rsidRPr="00540F02" w:rsidRDefault="00653DBC" w:rsidP="00122F5F">
                          <w:pPr>
                            <w:jc w:val="center"/>
                            <w:rPr>
                              <w:rFonts w:ascii="Calibri" w:hAnsi="Calibri" w:cs="Calibri"/>
                              <w:sz w:val="16"/>
                              <w:szCs w:val="16"/>
                            </w:rPr>
                          </w:pPr>
                          <w:r w:rsidRPr="00653DBC">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5.75pt;margin-top:-5.25pt;width:98.7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" strokecolor="white">
              <v:textbox>
                <w:txbxContent>
                  <w:p w:rsidR="00122F5F" w:rsidRPr="00540F02" w:rsidRDefault="00653DBC" w:rsidP="00122F5F">
                    <w:pPr>
                      <w:jc w:val="center"/>
                      <w:rPr>
                        <w:rFonts w:ascii="Calibri" w:hAnsi="Calibri" w:cs="Calibri"/>
                        <w:sz w:val="16"/>
                        <w:szCs w:val="16"/>
                      </w:rPr>
                    </w:pPr>
                    <w:r w:rsidRPr="00653DBC">
                      <w:rPr>
                        <w:rFonts w:ascii="Calibri" w:hAnsi="Calibri" w:cs="Calibri"/>
                        <w:sz w:val="16"/>
                        <w:szCs w:val="16"/>
                      </w:rPr>
                      <w:t>Volume 3, Issue 2,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BE7BB6" w:rsidRPr="00BE7BB6">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4DD6" w:rsidRDefault="00084DD6">
      <w:r>
        <w:separator/>
      </w:r>
    </w:p>
  </w:footnote>
  <w:footnote w:type="continuationSeparator" w:id="0">
    <w:p w:rsidR="00084DD6" w:rsidRDefault="00084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60FE1" w:rsidP="00122F5F">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560FE1" w:rsidP="00122F5F">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60FE1" w:rsidP="00540F02">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60FE1" w:rsidP="00540F02">
                    <w:pPr>
                      <w:ind w:left="23"/>
                      <w:jc w:val="both"/>
                      <w:rPr>
                        <w:rFonts w:ascii="Calibri Light" w:hAnsi="Calibri Light" w:cs="Calibri Light"/>
                        <w:i/>
                        <w:sz w:val="18"/>
                      </w:rPr>
                    </w:pPr>
                    <w:r w:rsidRPr="008208BB">
                      <w:rPr>
                        <w:rFonts w:ascii="Calibri Light" w:hAnsi="Calibri Light" w:cs="Calibri Light"/>
                        <w:sz w:val="18"/>
                      </w:rPr>
                      <w:t>Haq, T. &amp; Mat Isa, N.A.N.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653DBC">
                      <w:rPr>
                        <w:rFonts w:ascii="Calibri Light" w:hAnsi="Calibri Light" w:cs="Calibri Light"/>
                        <w:sz w:val="12"/>
                        <w:szCs w:val="12"/>
                      </w:rPr>
                      <w:t>3</w:t>
                    </w:r>
                    <w:r w:rsidRPr="00FF1D30">
                      <w:rPr>
                        <w:rFonts w:ascii="Calibri Light" w:hAnsi="Calibri Light" w:cs="Calibri Light"/>
                        <w:sz w:val="12"/>
                        <w:szCs w:val="12"/>
                      </w:rPr>
                      <w:t xml:space="preserve">, Issue </w:t>
                    </w:r>
                    <w:r w:rsidR="00653DBC">
                      <w:rPr>
                        <w:rFonts w:ascii="Calibri Light" w:hAnsi="Calibri Light" w:cs="Calibri Light"/>
                        <w:sz w:val="12"/>
                        <w:szCs w:val="12"/>
                      </w:rPr>
                      <w:t>2</w:t>
                    </w:r>
                    <w:r w:rsidRPr="00FF1D30">
                      <w:rPr>
                        <w:rFonts w:ascii="Calibri Light" w:hAnsi="Calibri Light" w:cs="Calibri Light"/>
                        <w:sz w:val="12"/>
                        <w:szCs w:val="12"/>
                      </w:rPr>
                      <w:t>, 202</w:t>
                    </w:r>
                    <w:r w:rsidR="00653DBC">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8208BB" w:rsidP="00FF1D30">
                          <w:pPr>
                            <w:ind w:left="23"/>
                            <w:jc w:val="both"/>
                            <w:rPr>
                              <w:rFonts w:ascii="Calibri Light" w:hAnsi="Calibri Light" w:cs="Calibri Light"/>
                              <w:i/>
                              <w:sz w:val="18"/>
                            </w:rPr>
                          </w:pPr>
                          <w:r w:rsidRPr="008208BB">
                            <w:rPr>
                              <w:rFonts w:ascii="Calibri Light" w:hAnsi="Calibri Light" w:cs="Calibri Light"/>
                              <w:sz w:val="18"/>
                            </w:rPr>
                            <w:t>Haq, T. &amp; Mat Isa, N.A.N.</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8208BB" w:rsidP="00FF1D30">
                    <w:pPr>
                      <w:ind w:left="23"/>
                      <w:jc w:val="both"/>
                      <w:rPr>
                        <w:rFonts w:ascii="Calibri Light" w:hAnsi="Calibri Light" w:cs="Calibri Light"/>
                        <w:i/>
                        <w:sz w:val="18"/>
                      </w:rPr>
                    </w:pPr>
                    <w:r w:rsidRPr="008208BB">
                      <w:rPr>
                        <w:rFonts w:ascii="Calibri Light" w:hAnsi="Calibri Light" w:cs="Calibri Light"/>
                        <w:sz w:val="18"/>
                      </w:rPr>
                      <w:t>Haq, T. &amp; Mat Isa, N.A.N.</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8208BB">
                      <w:rPr>
                        <w:rFonts w:ascii="Calibri Light" w:hAnsi="Calibri Light" w:cs="Calibri Light"/>
                        <w:i/>
                        <w:sz w:val="18"/>
                      </w:rPr>
                      <w:t xml:space="preserve">From Combating Religious Blasphemy to Promoting Peace: Reflections on the Role of Islamic </w:t>
                    </w:r>
                    <w:r w:rsidR="00A052EF" w:rsidRPr="00A052EF">
                      <w:rPr>
                        <w:rFonts w:ascii="Calibri Light" w:hAnsi="Calibri Light" w:cs="Calibri Light"/>
                        <w:i/>
                        <w:iCs/>
                        <w:sz w:val="18"/>
                      </w:rPr>
                      <w:t>Da’wah</w:t>
                    </w:r>
                    <w:r w:rsidRPr="008208BB">
                      <w:rPr>
                        <w:rFonts w:ascii="Calibri Light" w:hAnsi="Calibri Light" w:cs="Calibri Light"/>
                        <w:i/>
                        <w:sz w:val="18"/>
                      </w:rPr>
                      <w:t xml:space="preserve"> and Law in Indonesia's Pluralistic Society</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5D83945"/>
    <w:multiLevelType w:val="hybridMultilevel"/>
    <w:tmpl w:val="AAA6510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88F5AE9"/>
    <w:multiLevelType w:val="hybridMultilevel"/>
    <w:tmpl w:val="D48A44D8"/>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21812285">
    <w:abstractNumId w:val="14"/>
  </w:num>
  <w:num w:numId="2" w16cid:durableId="907301833">
    <w:abstractNumId w:val="8"/>
  </w:num>
  <w:num w:numId="3" w16cid:durableId="804087445">
    <w:abstractNumId w:val="9"/>
  </w:num>
  <w:num w:numId="4" w16cid:durableId="2078941557">
    <w:abstractNumId w:val="23"/>
  </w:num>
  <w:num w:numId="5" w16cid:durableId="1940212263">
    <w:abstractNumId w:val="22"/>
  </w:num>
  <w:num w:numId="6" w16cid:durableId="1234193152">
    <w:abstractNumId w:val="21"/>
  </w:num>
  <w:num w:numId="7" w16cid:durableId="909459908">
    <w:abstractNumId w:val="29"/>
  </w:num>
  <w:num w:numId="8" w16cid:durableId="357658376">
    <w:abstractNumId w:val="15"/>
  </w:num>
  <w:num w:numId="9" w16cid:durableId="623317507">
    <w:abstractNumId w:val="24"/>
  </w:num>
  <w:num w:numId="10" w16cid:durableId="389814406">
    <w:abstractNumId w:val="25"/>
  </w:num>
  <w:num w:numId="11" w16cid:durableId="123892847">
    <w:abstractNumId w:val="11"/>
  </w:num>
  <w:num w:numId="12" w16cid:durableId="257182459">
    <w:abstractNumId w:val="19"/>
  </w:num>
  <w:num w:numId="13" w16cid:durableId="1922714627">
    <w:abstractNumId w:val="7"/>
  </w:num>
  <w:num w:numId="14" w16cid:durableId="1488206768">
    <w:abstractNumId w:val="0"/>
  </w:num>
  <w:num w:numId="15" w16cid:durableId="1449591902">
    <w:abstractNumId w:val="30"/>
  </w:num>
  <w:num w:numId="16" w16cid:durableId="693657514">
    <w:abstractNumId w:val="20"/>
  </w:num>
  <w:num w:numId="17" w16cid:durableId="24673114">
    <w:abstractNumId w:val="28"/>
  </w:num>
  <w:num w:numId="18" w16cid:durableId="1173959810">
    <w:abstractNumId w:val="26"/>
  </w:num>
  <w:num w:numId="19" w16cid:durableId="373429618">
    <w:abstractNumId w:val="18"/>
  </w:num>
  <w:num w:numId="20" w16cid:durableId="1210071723">
    <w:abstractNumId w:val="5"/>
  </w:num>
  <w:num w:numId="21" w16cid:durableId="299459964">
    <w:abstractNumId w:val="1"/>
  </w:num>
  <w:num w:numId="22" w16cid:durableId="442917460">
    <w:abstractNumId w:val="12"/>
  </w:num>
  <w:num w:numId="23" w16cid:durableId="1477380780">
    <w:abstractNumId w:val="2"/>
  </w:num>
  <w:num w:numId="24" w16cid:durableId="1921668762">
    <w:abstractNumId w:val="3"/>
  </w:num>
  <w:num w:numId="25" w16cid:durableId="1123037900">
    <w:abstractNumId w:val="4"/>
  </w:num>
  <w:num w:numId="26" w16cid:durableId="1981810411">
    <w:abstractNumId w:val="10"/>
  </w:num>
  <w:num w:numId="27" w16cid:durableId="430786644">
    <w:abstractNumId w:val="13"/>
  </w:num>
  <w:num w:numId="28" w16cid:durableId="803347489">
    <w:abstractNumId w:val="6"/>
  </w:num>
  <w:num w:numId="29" w16cid:durableId="1877691176">
    <w:abstractNumId w:val="16"/>
  </w:num>
  <w:num w:numId="30" w16cid:durableId="1783722283">
    <w:abstractNumId w:val="17"/>
  </w:num>
  <w:num w:numId="31" w16cid:durableId="368258927">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0610E"/>
    <w:rsid w:val="000061FF"/>
    <w:rsid w:val="00010DEE"/>
    <w:rsid w:val="000243A3"/>
    <w:rsid w:val="00024881"/>
    <w:rsid w:val="0002569B"/>
    <w:rsid w:val="000417D3"/>
    <w:rsid w:val="000475BE"/>
    <w:rsid w:val="00055FC4"/>
    <w:rsid w:val="0006191D"/>
    <w:rsid w:val="00066AC1"/>
    <w:rsid w:val="00076F8C"/>
    <w:rsid w:val="0008220C"/>
    <w:rsid w:val="00084DD6"/>
    <w:rsid w:val="000877EE"/>
    <w:rsid w:val="000A0B41"/>
    <w:rsid w:val="000A2548"/>
    <w:rsid w:val="000B0038"/>
    <w:rsid w:val="000B0CE5"/>
    <w:rsid w:val="000B59CD"/>
    <w:rsid w:val="000C3688"/>
    <w:rsid w:val="000C6543"/>
    <w:rsid w:val="000E1F30"/>
    <w:rsid w:val="000E31DC"/>
    <w:rsid w:val="000F66AA"/>
    <w:rsid w:val="00103AFF"/>
    <w:rsid w:val="00110D78"/>
    <w:rsid w:val="00116ED8"/>
    <w:rsid w:val="00117792"/>
    <w:rsid w:val="00122F5F"/>
    <w:rsid w:val="00123EF2"/>
    <w:rsid w:val="001245CB"/>
    <w:rsid w:val="0013783B"/>
    <w:rsid w:val="00141946"/>
    <w:rsid w:val="00144C1C"/>
    <w:rsid w:val="001578E9"/>
    <w:rsid w:val="00162A30"/>
    <w:rsid w:val="00165813"/>
    <w:rsid w:val="00171D19"/>
    <w:rsid w:val="00173196"/>
    <w:rsid w:val="0018288D"/>
    <w:rsid w:val="00187357"/>
    <w:rsid w:val="001A07A8"/>
    <w:rsid w:val="001B3613"/>
    <w:rsid w:val="001C2739"/>
    <w:rsid w:val="001C3D6C"/>
    <w:rsid w:val="001C7BDA"/>
    <w:rsid w:val="001D54B5"/>
    <w:rsid w:val="001D5E03"/>
    <w:rsid w:val="001D7DEE"/>
    <w:rsid w:val="001E02DA"/>
    <w:rsid w:val="001E2AAA"/>
    <w:rsid w:val="001F5FDC"/>
    <w:rsid w:val="0020406B"/>
    <w:rsid w:val="0020676E"/>
    <w:rsid w:val="002132FC"/>
    <w:rsid w:val="00216CB6"/>
    <w:rsid w:val="00217D1E"/>
    <w:rsid w:val="00223090"/>
    <w:rsid w:val="00224082"/>
    <w:rsid w:val="00234C2D"/>
    <w:rsid w:val="00237BC8"/>
    <w:rsid w:val="00241B8D"/>
    <w:rsid w:val="00251164"/>
    <w:rsid w:val="00253D8A"/>
    <w:rsid w:val="00260D64"/>
    <w:rsid w:val="002632DB"/>
    <w:rsid w:val="002676D3"/>
    <w:rsid w:val="00271DA6"/>
    <w:rsid w:val="0027200A"/>
    <w:rsid w:val="00274990"/>
    <w:rsid w:val="002845BE"/>
    <w:rsid w:val="00287EDB"/>
    <w:rsid w:val="00295FB9"/>
    <w:rsid w:val="002961FA"/>
    <w:rsid w:val="002A293E"/>
    <w:rsid w:val="002A4E05"/>
    <w:rsid w:val="002C2FAC"/>
    <w:rsid w:val="002D0F54"/>
    <w:rsid w:val="002D130D"/>
    <w:rsid w:val="002D1D04"/>
    <w:rsid w:val="002D2DAC"/>
    <w:rsid w:val="002E0452"/>
    <w:rsid w:val="002E695D"/>
    <w:rsid w:val="002F3F4C"/>
    <w:rsid w:val="002F4D18"/>
    <w:rsid w:val="002F6172"/>
    <w:rsid w:val="00301FEB"/>
    <w:rsid w:val="00303D42"/>
    <w:rsid w:val="0030640D"/>
    <w:rsid w:val="00312D76"/>
    <w:rsid w:val="00334520"/>
    <w:rsid w:val="00334792"/>
    <w:rsid w:val="003363F0"/>
    <w:rsid w:val="00336A9A"/>
    <w:rsid w:val="00337B03"/>
    <w:rsid w:val="0034128C"/>
    <w:rsid w:val="00362CBC"/>
    <w:rsid w:val="00381B26"/>
    <w:rsid w:val="00382478"/>
    <w:rsid w:val="00386F26"/>
    <w:rsid w:val="00387148"/>
    <w:rsid w:val="00387C94"/>
    <w:rsid w:val="003948B0"/>
    <w:rsid w:val="00395535"/>
    <w:rsid w:val="003A029A"/>
    <w:rsid w:val="003B28D6"/>
    <w:rsid w:val="003C40CE"/>
    <w:rsid w:val="003C482F"/>
    <w:rsid w:val="003C5369"/>
    <w:rsid w:val="003E1185"/>
    <w:rsid w:val="00400BB8"/>
    <w:rsid w:val="00404A89"/>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2013"/>
    <w:rsid w:val="004863B6"/>
    <w:rsid w:val="00486707"/>
    <w:rsid w:val="0048722D"/>
    <w:rsid w:val="004926FD"/>
    <w:rsid w:val="004928B8"/>
    <w:rsid w:val="00497A78"/>
    <w:rsid w:val="004A19B5"/>
    <w:rsid w:val="004A4564"/>
    <w:rsid w:val="004A68CB"/>
    <w:rsid w:val="004B08D8"/>
    <w:rsid w:val="004B0E60"/>
    <w:rsid w:val="004C15A0"/>
    <w:rsid w:val="004C4A9F"/>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0FE1"/>
    <w:rsid w:val="005611F1"/>
    <w:rsid w:val="005626AA"/>
    <w:rsid w:val="005635B4"/>
    <w:rsid w:val="00571CFE"/>
    <w:rsid w:val="00591DE5"/>
    <w:rsid w:val="0059236C"/>
    <w:rsid w:val="005A4F69"/>
    <w:rsid w:val="005C14AA"/>
    <w:rsid w:val="005C643D"/>
    <w:rsid w:val="005D4A0D"/>
    <w:rsid w:val="005E7673"/>
    <w:rsid w:val="006035FA"/>
    <w:rsid w:val="006052AE"/>
    <w:rsid w:val="00611411"/>
    <w:rsid w:val="0061613E"/>
    <w:rsid w:val="0062129F"/>
    <w:rsid w:val="00622926"/>
    <w:rsid w:val="0062388D"/>
    <w:rsid w:val="006352D0"/>
    <w:rsid w:val="006419D1"/>
    <w:rsid w:val="00642F0F"/>
    <w:rsid w:val="006538D6"/>
    <w:rsid w:val="00653DBC"/>
    <w:rsid w:val="00654B07"/>
    <w:rsid w:val="00674CB5"/>
    <w:rsid w:val="00680536"/>
    <w:rsid w:val="006902BB"/>
    <w:rsid w:val="00691D58"/>
    <w:rsid w:val="006A7DFF"/>
    <w:rsid w:val="006B0510"/>
    <w:rsid w:val="006B2D02"/>
    <w:rsid w:val="006B6E0F"/>
    <w:rsid w:val="006C34EE"/>
    <w:rsid w:val="006C65C4"/>
    <w:rsid w:val="006C6EBD"/>
    <w:rsid w:val="006C7730"/>
    <w:rsid w:val="006D6149"/>
    <w:rsid w:val="006D782E"/>
    <w:rsid w:val="006E2F83"/>
    <w:rsid w:val="006E7FC3"/>
    <w:rsid w:val="006F411A"/>
    <w:rsid w:val="00704378"/>
    <w:rsid w:val="00706127"/>
    <w:rsid w:val="00707398"/>
    <w:rsid w:val="007169EC"/>
    <w:rsid w:val="00727B9E"/>
    <w:rsid w:val="00741058"/>
    <w:rsid w:val="00755AB4"/>
    <w:rsid w:val="007616AD"/>
    <w:rsid w:val="00761E7C"/>
    <w:rsid w:val="007636FC"/>
    <w:rsid w:val="007816FC"/>
    <w:rsid w:val="00781D8B"/>
    <w:rsid w:val="0079311F"/>
    <w:rsid w:val="007933FE"/>
    <w:rsid w:val="00796577"/>
    <w:rsid w:val="00796A75"/>
    <w:rsid w:val="007A2AA8"/>
    <w:rsid w:val="007A5A78"/>
    <w:rsid w:val="007A62B7"/>
    <w:rsid w:val="007A65BF"/>
    <w:rsid w:val="007B6823"/>
    <w:rsid w:val="007C0010"/>
    <w:rsid w:val="007C4A8B"/>
    <w:rsid w:val="007D5BA1"/>
    <w:rsid w:val="007E508F"/>
    <w:rsid w:val="007F02FB"/>
    <w:rsid w:val="007F37D6"/>
    <w:rsid w:val="007F422E"/>
    <w:rsid w:val="00802718"/>
    <w:rsid w:val="00802990"/>
    <w:rsid w:val="00802A96"/>
    <w:rsid w:val="00810811"/>
    <w:rsid w:val="008157AA"/>
    <w:rsid w:val="00815993"/>
    <w:rsid w:val="008208BB"/>
    <w:rsid w:val="0082272E"/>
    <w:rsid w:val="008418A7"/>
    <w:rsid w:val="00842358"/>
    <w:rsid w:val="00852EC7"/>
    <w:rsid w:val="0085484D"/>
    <w:rsid w:val="00862178"/>
    <w:rsid w:val="00862DDA"/>
    <w:rsid w:val="00863A78"/>
    <w:rsid w:val="00874EB7"/>
    <w:rsid w:val="008765A5"/>
    <w:rsid w:val="008823EC"/>
    <w:rsid w:val="00882CAF"/>
    <w:rsid w:val="0088746C"/>
    <w:rsid w:val="00891322"/>
    <w:rsid w:val="00891EA7"/>
    <w:rsid w:val="008940D8"/>
    <w:rsid w:val="008B23F8"/>
    <w:rsid w:val="008B4BA9"/>
    <w:rsid w:val="008B7A0F"/>
    <w:rsid w:val="008C302B"/>
    <w:rsid w:val="008C3DC2"/>
    <w:rsid w:val="008C45DE"/>
    <w:rsid w:val="008C71B2"/>
    <w:rsid w:val="008D0F02"/>
    <w:rsid w:val="008D41DD"/>
    <w:rsid w:val="008E554D"/>
    <w:rsid w:val="008F3342"/>
    <w:rsid w:val="00902F9C"/>
    <w:rsid w:val="00906AC7"/>
    <w:rsid w:val="00911A24"/>
    <w:rsid w:val="009206DD"/>
    <w:rsid w:val="009276FB"/>
    <w:rsid w:val="00936811"/>
    <w:rsid w:val="0094019C"/>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69F5"/>
    <w:rsid w:val="009D38B6"/>
    <w:rsid w:val="009D7AA9"/>
    <w:rsid w:val="009E2468"/>
    <w:rsid w:val="009E3624"/>
    <w:rsid w:val="009E4EBA"/>
    <w:rsid w:val="009F091C"/>
    <w:rsid w:val="009F2D64"/>
    <w:rsid w:val="009F409C"/>
    <w:rsid w:val="009F6F7B"/>
    <w:rsid w:val="00A03126"/>
    <w:rsid w:val="00A052EF"/>
    <w:rsid w:val="00A13315"/>
    <w:rsid w:val="00A175E3"/>
    <w:rsid w:val="00A27B34"/>
    <w:rsid w:val="00A37C4B"/>
    <w:rsid w:val="00A43778"/>
    <w:rsid w:val="00A4558F"/>
    <w:rsid w:val="00A50B27"/>
    <w:rsid w:val="00A549F9"/>
    <w:rsid w:val="00A562A0"/>
    <w:rsid w:val="00A5630B"/>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50BF"/>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7BB6"/>
    <w:rsid w:val="00C02E08"/>
    <w:rsid w:val="00C03879"/>
    <w:rsid w:val="00C10C09"/>
    <w:rsid w:val="00C11C42"/>
    <w:rsid w:val="00C152F9"/>
    <w:rsid w:val="00C1756D"/>
    <w:rsid w:val="00C21420"/>
    <w:rsid w:val="00C26170"/>
    <w:rsid w:val="00C420B8"/>
    <w:rsid w:val="00C4604B"/>
    <w:rsid w:val="00C50A65"/>
    <w:rsid w:val="00C50F21"/>
    <w:rsid w:val="00C549E7"/>
    <w:rsid w:val="00C6051D"/>
    <w:rsid w:val="00C65813"/>
    <w:rsid w:val="00C66FC0"/>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4F7A"/>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2B59"/>
    <w:rsid w:val="00E30D6B"/>
    <w:rsid w:val="00E30E14"/>
    <w:rsid w:val="00E35BFD"/>
    <w:rsid w:val="00E36AA2"/>
    <w:rsid w:val="00E439CB"/>
    <w:rsid w:val="00E46E84"/>
    <w:rsid w:val="00E5640B"/>
    <w:rsid w:val="00E65AF8"/>
    <w:rsid w:val="00E73641"/>
    <w:rsid w:val="00E75F6E"/>
    <w:rsid w:val="00E77C4D"/>
    <w:rsid w:val="00E8670C"/>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57F5"/>
    <w:rsid w:val="00FA3FD1"/>
    <w:rsid w:val="00FB2A93"/>
    <w:rsid w:val="00FB4D6C"/>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6CA0A0"/>
  <w14:defaultImageDpi w14:val="0"/>
  <w15:docId w15:val="{01AD3617-E679-4666-AD0A-F1654C28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9608A-B58F-417D-A295-0FA33C4B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20</Pages>
  <Words>21894</Words>
  <Characters>124800</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D</cp:lastModifiedBy>
  <cp:revision>38</cp:revision>
  <cp:lastPrinted>2008-11-01T04:52:00Z</cp:lastPrinted>
  <dcterms:created xsi:type="dcterms:W3CDTF">2023-02-02T21:36:00Z</dcterms:created>
  <dcterms:modified xsi:type="dcterms:W3CDTF">2025-01-03T22:01:00Z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https://csl.mendeley.com/styles/475823531/apa</vt:lpwstr>
  </property>
  <property fmtid="{D5CDD505-2E9C-101B-9397-08002B2CF9AE}" pid="5" name="Mendeley Recent Style Name 1_1">
    <vt:lpwstr>American Psychological Association 6th edition - Mincho Slavov</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11th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