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11.0 -->
  <w:body>
    <w:p w:rsidR="00DE1E48" w:rsidRPr="00122F5F" w:rsidP="00122F5F">
      <w:pPr>
        <w:rPr>
          <w:rFonts w:ascii="Calibri Light" w:hAnsi="Calibri Light" w:cs="Calibri Light"/>
          <w:b/>
          <w:bCs/>
          <w:sz w:val="24"/>
          <w:szCs w:val="24"/>
        </w:rPr>
      </w:pPr>
    </w:p>
    <w:p w:rsidR="00DE1E48" w:rsidRPr="00122F5F" w:rsidP="00122F5F">
      <w:pPr>
        <w:rPr>
          <w:rFonts w:ascii="Calibri Light" w:hAnsi="Calibri Light" w:cs="Calibri Light"/>
          <w:b/>
          <w:bCs/>
          <w:iCs/>
          <w:sz w:val="28"/>
          <w:szCs w:val="28"/>
          <w:lang w:val="id-ID"/>
        </w:rPr>
      </w:pPr>
      <w:r w:rsidRPr="007C4A8B">
        <w:rPr>
          <w:rFonts w:ascii="Calibri Light" w:hAnsi="Calibri Light" w:cs="Calibri Light"/>
          <w:b/>
          <w:bCs/>
          <w:sz w:val="28"/>
          <w:szCs w:val="28"/>
        </w:rPr>
        <w:t xml:space="preserve">From Combating Religious Blasphemy to Promoting Peace: Reflections on the Role of Islamic </w:t>
      </w:r>
      <w:r w:rsidRPr="00A052EF" w:rsidR="00A052EF">
        <w:rPr>
          <w:rFonts w:ascii="Calibri Light" w:hAnsi="Calibri Light" w:cs="Calibri Light"/>
          <w:b/>
          <w:bCs/>
          <w:i/>
          <w:iCs/>
          <w:sz w:val="28"/>
          <w:szCs w:val="28"/>
        </w:rPr>
        <w:t>Da’wah</w:t>
      </w:r>
      <w:r w:rsidRPr="007C4A8B">
        <w:rPr>
          <w:rFonts w:ascii="Calibri Light" w:hAnsi="Calibri Light" w:cs="Calibri Light"/>
          <w:b/>
          <w:bCs/>
          <w:sz w:val="28"/>
          <w:szCs w:val="28"/>
        </w:rPr>
        <w:t xml:space="preserve"> and Law in Indonesia's Pluralistic Society</w:t>
      </w:r>
    </w:p>
    <w:p w:rsidR="00DE1E48" w:rsidRPr="00122F5F" w:rsidP="001D7DEE">
      <w:pPr>
        <w:jc w:val="center"/>
        <w:rPr>
          <w:rFonts w:ascii="Calibri Light" w:hAnsi="Calibri Light" w:cs="Calibri Light"/>
          <w:sz w:val="24"/>
          <w:szCs w:val="24"/>
        </w:rPr>
      </w:pPr>
    </w:p>
    <w:p w:rsidR="008C45DE" w:rsidRPr="00540F02" w:rsidP="00122F5F">
      <w:pPr>
        <w:rPr>
          <w:rFonts w:ascii="Calibri Light" w:hAnsi="Calibri Light" w:cs="Calibri Light"/>
          <w:color w:val="A6A6A6"/>
          <w:sz w:val="24"/>
          <w:szCs w:val="24"/>
        </w:rPr>
      </w:pPr>
      <w:r w:rsidRPr="008418A7">
        <w:rPr>
          <w:rFonts w:ascii="Calibri Light" w:hAnsi="Calibri Light" w:cs="Calibri Light"/>
          <w:b/>
          <w:bCs/>
          <w:sz w:val="24"/>
          <w:szCs w:val="24"/>
        </w:rPr>
        <w:t>Thoriqul</w:t>
      </w:r>
      <w:r w:rsidRPr="008418A7">
        <w:rPr>
          <w:rFonts w:ascii="Calibri Light" w:hAnsi="Calibri Light" w:cs="Calibri Light"/>
          <w:b/>
          <w:bCs/>
          <w:sz w:val="24"/>
          <w:szCs w:val="24"/>
        </w:rPr>
        <w:t xml:space="preserve"> Haq</w:t>
      </w:r>
      <w:r w:rsidRPr="00122F5F" w:rsidR="00863A78">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8418A7">
        <w:rPr>
          <w:rFonts w:ascii="Calibri Light" w:hAnsi="Calibri Light" w:cs="Calibri Light"/>
          <w:b/>
          <w:bCs/>
          <w:sz w:val="24"/>
          <w:szCs w:val="24"/>
        </w:rPr>
        <w:t>Noor Aqsa Nabila Mat Isa</w:t>
      </w:r>
      <w:r w:rsidRPr="00122F5F">
        <w:rPr>
          <w:rFonts w:ascii="Calibri Light" w:hAnsi="Calibri Light" w:cs="Calibri Light"/>
          <w:b/>
          <w:bCs/>
          <w:sz w:val="24"/>
          <w:szCs w:val="24"/>
          <w:vertAlign w:val="superscript"/>
        </w:rPr>
        <w:t>2</w:t>
      </w:r>
    </w:p>
    <w:p w:rsidR="008C45DE" w:rsidRPr="00122F5F"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1D54B5">
        <w:rPr>
          <w:rFonts w:ascii="Calibri Light" w:hAnsi="Calibri Light" w:cs="Calibri Light"/>
          <w:sz w:val="24"/>
          <w:szCs w:val="24"/>
          <w:vertAlign w:val="superscript"/>
        </w:rPr>
        <w:t>,2</w:t>
      </w:r>
      <w:r w:rsidRPr="001D54B5" w:rsidR="001D54B5">
        <w:rPr>
          <w:rFonts w:ascii="Calibri Light" w:hAnsi="Calibri Light" w:cs="Calibri Light"/>
          <w:sz w:val="24"/>
          <w:szCs w:val="24"/>
        </w:rPr>
        <w:t>Universiti Malaya, 50603, Kuala Lumpur, Malaysia</w:t>
      </w:r>
    </w:p>
    <w:p w:rsidR="009E4EBA" w:rsidRPr="00F957F5" w:rsidP="00122F5F">
      <w:pPr>
        <w:rPr>
          <w:rFonts w:ascii="Calibri Light" w:hAnsi="Calibri Light" w:cs="Calibri Light"/>
          <w:sz w:val="24"/>
          <w:szCs w:val="24"/>
          <w:lang w:val="id-ID"/>
        </w:rPr>
      </w:pPr>
      <w:r w:rsidRPr="00F957F5">
        <w:rPr>
          <w:rFonts w:ascii="Calibri Light" w:hAnsi="Calibri Light" w:cs="Calibri Light"/>
          <w:sz w:val="24"/>
          <w:szCs w:val="24"/>
          <w:lang w:val="id-ID"/>
        </w:rPr>
        <w:t>*</w:t>
      </w:r>
      <w:r w:rsidRPr="00F957F5" w:rsidR="00F957F5">
        <w:rPr>
          <w:rFonts w:ascii="Calibri Light" w:hAnsi="Calibri Light" w:cs="Calibri Light"/>
          <w:sz w:val="24"/>
          <w:szCs w:val="24"/>
          <w:lang w:val="id-ID"/>
        </w:rPr>
        <w:t>s2006545@siswa.um.edu.my</w:t>
      </w:r>
    </w:p>
    <w:p w:rsidR="00DE1E48" w:rsidRPr="00122F5F" w:rsidP="001D7DEE">
      <w:pPr>
        <w:jc w:val="center"/>
        <w:rPr>
          <w:rFonts w:ascii="Calibri Light" w:hAnsi="Calibri Light" w:cs="Calibri Light"/>
          <w:sz w:val="24"/>
          <w:szCs w:val="24"/>
        </w:rPr>
      </w:pPr>
    </w:p>
    <w:p w:rsidR="00863A78" w:rsidRPr="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P="00863A78">
      <w:pPr>
        <w:ind w:right="737"/>
        <w:rPr>
          <w:rFonts w:ascii="Calibri Light" w:hAnsi="Calibri Light" w:cs="Calibri Light"/>
          <w:b/>
          <w:bCs/>
        </w:rPr>
      </w:pPr>
    </w:p>
    <w:p w:rsidR="00863A78" w:rsidRPr="00863A78"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rsidTr="00540F02">
        <w:tblPrEx>
          <w:tblW w:w="0" w:type="auto"/>
          <w:tblLook w:val="04A0"/>
        </w:tblPrEx>
        <w:tc>
          <w:tcPr>
            <w:tcW w:w="9004" w:type="dxa"/>
            <w:tcBorders>
              <w:left w:val="nil"/>
              <w:right w:val="nil"/>
            </w:tcBorders>
          </w:tcPr>
          <w:p w:rsidR="00863A78" w:rsidRPr="00540F02" w:rsidP="00540F02">
            <w:pPr>
              <w:ind w:right="2"/>
              <w:jc w:val="both"/>
              <w:rPr>
                <w:rFonts w:ascii="Calibri Light" w:hAnsi="Calibri Light" w:cs="Calibri Light"/>
                <w:sz w:val="12"/>
                <w:szCs w:val="12"/>
              </w:rPr>
            </w:pPr>
          </w:p>
          <w:p w:rsidR="00863A78" w:rsidRPr="00540F02"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8208BB" w:rsidR="008208BB">
              <w:rPr>
                <w:rFonts w:ascii="Calibri Light" w:hAnsi="Calibri Light" w:cs="Calibri Light"/>
              </w:rPr>
              <w:t>Haq, T. &amp; Mat Isa, N.A.N.</w:t>
            </w:r>
            <w:r w:rsidRPr="00540F02">
              <w:rPr>
                <w:rFonts w:ascii="Calibri Light" w:hAnsi="Calibri Light" w:cs="Calibri Light"/>
              </w:rPr>
              <w:t xml:space="preserve"> (202</w:t>
            </w:r>
            <w:r w:rsidR="008208BB">
              <w:rPr>
                <w:rFonts w:ascii="Calibri Light" w:hAnsi="Calibri Light" w:cs="Calibri Light"/>
              </w:rPr>
              <w:t>4</w:t>
            </w:r>
            <w:r w:rsidRPr="00540F02">
              <w:rPr>
                <w:rFonts w:ascii="Calibri Light" w:hAnsi="Calibri Light" w:cs="Calibri Light"/>
              </w:rPr>
              <w:t xml:space="preserve">). </w:t>
            </w:r>
            <w:r w:rsidRPr="008208BB" w:rsidR="008208BB">
              <w:rPr>
                <w:rFonts w:ascii="Calibri Light" w:hAnsi="Calibri Light" w:cs="Calibri Light"/>
              </w:rPr>
              <w:t xml:space="preserve">From Combating Religious Blasphemy to Promoting Peace: Reflections on the Role of Islamic </w:t>
            </w:r>
            <w:r w:rsidRPr="00A052EF" w:rsidR="00A052EF">
              <w:rPr>
                <w:rFonts w:ascii="Calibri Light" w:hAnsi="Calibri Light" w:cs="Calibri Light"/>
                <w:i/>
                <w:iCs/>
              </w:rPr>
              <w:t>Da’wah</w:t>
            </w:r>
            <w:r w:rsidRPr="008208BB" w:rsidR="008208BB">
              <w:rPr>
                <w:rFonts w:ascii="Calibri Light" w:hAnsi="Calibri Light" w:cs="Calibri Light"/>
              </w:rPr>
              <w:t xml:space="preserve"> and Law in Indonesia's Pluralistic Society</w:t>
            </w:r>
            <w:r w:rsidRPr="00540F02">
              <w:rPr>
                <w:rFonts w:ascii="Calibri Light" w:hAnsi="Calibri Light" w:cs="Calibri Light"/>
              </w:rPr>
              <w:t>.</w:t>
            </w:r>
            <w:r w:rsidRPr="00540F02">
              <w:rPr>
                <w:rFonts w:ascii="Calibri Light" w:hAnsi="Calibri Light" w:cs="Calibri Light"/>
                <w:spacing w:val="1"/>
              </w:rPr>
              <w:t xml:space="preserve"> </w:t>
            </w:r>
            <w:r w:rsidRPr="000061FF" w:rsidR="000061FF">
              <w:rPr>
                <w:rFonts w:ascii="Calibri Light" w:hAnsi="Calibri Light" w:cs="Calibri Light"/>
                <w:i/>
              </w:rPr>
              <w:t>International Journal of Law and Society (IJLS)</w:t>
            </w:r>
            <w:r w:rsidRPr="00540F02">
              <w:rPr>
                <w:rFonts w:ascii="Calibri Light" w:hAnsi="Calibri Light" w:cs="Calibri Light"/>
              </w:rPr>
              <w:t xml:space="preserve">, </w:t>
            </w:r>
            <w:r w:rsidR="000061FF">
              <w:rPr>
                <w:rFonts w:ascii="Calibri Light" w:hAnsi="Calibri Light" w:cs="Calibri Light"/>
              </w:rPr>
              <w:t>3</w:t>
            </w:r>
            <w:r w:rsidRPr="00540F02">
              <w:rPr>
                <w:rFonts w:ascii="Calibri Light" w:hAnsi="Calibri Light" w:cs="Calibri Light"/>
              </w:rPr>
              <w:t xml:space="preserve">(2), </w:t>
            </w:r>
            <w:r w:rsidR="004C4A9F">
              <w:rPr>
                <w:rFonts w:ascii="Calibri Light" w:hAnsi="Calibri Light" w:cs="Calibri Light"/>
              </w:rPr>
              <w:t>90</w:t>
            </w:r>
            <w:r w:rsidRPr="00540F02">
              <w:rPr>
                <w:rFonts w:ascii="Calibri Light" w:hAnsi="Calibri Light" w:cs="Calibri Light"/>
              </w:rPr>
              <w:t>-</w:t>
            </w:r>
            <w:r w:rsidR="004C4A9F">
              <w:rPr>
                <w:rFonts w:ascii="Calibri Light" w:hAnsi="Calibri Light" w:cs="Calibri Light"/>
              </w:rPr>
              <w:t>108</w:t>
            </w:r>
            <w:r w:rsidRPr="00540F02">
              <w:rPr>
                <w:rFonts w:ascii="Calibri Light" w:hAnsi="Calibri Light" w:cs="Calibri Light"/>
              </w:rPr>
              <w:t>.</w:t>
            </w:r>
            <w:r w:rsidRPr="00540F02">
              <w:rPr>
                <w:rFonts w:ascii="Calibri Light" w:hAnsi="Calibri Light" w:cs="Calibri Light"/>
                <w:spacing w:val="1"/>
              </w:rPr>
              <w:t xml:space="preserve"> </w:t>
            </w:r>
            <w:hyperlink r:id="rId6" w:history="1">
              <w:r w:rsidRPr="00540F02">
                <w:rPr>
                  <w:rStyle w:val="Hyperlink"/>
                  <w:rFonts w:ascii="Calibri Light" w:hAnsi="Calibri Light" w:cs="Calibri Light"/>
                </w:rPr>
                <w:t>https://doi.org/10.5758/ijls.2022.1</w:t>
              </w:r>
            </w:hyperlink>
          </w:p>
          <w:p w:rsidR="00863A78" w:rsidRPr="00540F02" w:rsidP="00540F02">
            <w:pPr>
              <w:ind w:right="2"/>
              <w:jc w:val="both"/>
              <w:rPr>
                <w:rFonts w:ascii="Calibri Light" w:hAnsi="Calibri Light" w:cs="Calibri Light"/>
                <w:color w:val="0462C1"/>
                <w:u w:val="single" w:color="0462C1"/>
              </w:rPr>
            </w:pPr>
          </w:p>
          <w:p w:rsidR="00863A78" w:rsidRPr="00540F0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pPr>
              <w:ind w:right="2"/>
              <w:jc w:val="both"/>
              <w:rPr>
                <w:rFonts w:ascii="Calibri Light" w:hAnsi="Calibri Light" w:cs="Calibri Light"/>
                <w:b/>
                <w:bCs/>
                <w:sz w:val="12"/>
                <w:szCs w:val="12"/>
              </w:rPr>
            </w:pPr>
          </w:p>
        </w:tc>
      </w:tr>
    </w:tbl>
    <w:p w:rsidR="00863A78" w:rsidP="00863A78">
      <w:pPr>
        <w:ind w:right="737"/>
        <w:rPr>
          <w:rFonts w:ascii="Calibri Light" w:hAnsi="Calibri Light" w:cs="Calibri Light"/>
          <w:b/>
          <w:bCs/>
          <w:sz w:val="24"/>
          <w:szCs w:val="24"/>
        </w:rPr>
      </w:pPr>
    </w:p>
    <w:p w:rsidR="00260D6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691D58" w:rsidR="00691D58">
        <w:rPr>
          <w:rFonts w:ascii="Calibri Light" w:hAnsi="Calibri Light" w:cs="Calibri Light"/>
          <w:i/>
          <w:iCs/>
          <w:noProof/>
          <w:color w:val="000000"/>
          <w:sz w:val="24"/>
          <w:szCs w:val="24"/>
        </w:rPr>
        <w:t xml:space="preserve">This study examines </w:t>
      </w:r>
      <w:r w:rsidRPr="00A052EF" w:rsidR="00A052EF">
        <w:rPr>
          <w:rFonts w:ascii="Calibri Light" w:hAnsi="Calibri Light" w:cs="Calibri Light"/>
          <w:i/>
          <w:iCs/>
          <w:noProof/>
          <w:color w:val="000000"/>
          <w:sz w:val="24"/>
          <w:szCs w:val="24"/>
        </w:rPr>
        <w:t>Da’wah</w:t>
      </w:r>
      <w:r w:rsidRPr="00691D58" w:rsidR="00691D58">
        <w:rPr>
          <w:rFonts w:ascii="Calibri Light" w:hAnsi="Calibri Light" w:cs="Calibri Light"/>
          <w:i/>
          <w:iCs/>
          <w:noProof/>
          <w:color w:val="000000"/>
          <w:sz w:val="24"/>
          <w:szCs w:val="24"/>
        </w:rPr>
        <w:t xml:space="preserve">'s role in addressing the blasphemy issue in Indonesia and promoting peace in a pluralistic society. As a form of spreading Islamic teachings, </w:t>
      </w:r>
      <w:r w:rsidRPr="00A052EF" w:rsidR="00A052EF">
        <w:rPr>
          <w:rFonts w:ascii="Calibri Light" w:hAnsi="Calibri Light" w:cs="Calibri Light"/>
          <w:i/>
          <w:iCs/>
          <w:noProof/>
          <w:color w:val="000000"/>
          <w:sz w:val="24"/>
          <w:szCs w:val="24"/>
        </w:rPr>
        <w:t>Da’wah</w:t>
      </w:r>
      <w:r w:rsidRPr="00691D58" w:rsidR="00691D58">
        <w:rPr>
          <w:rFonts w:ascii="Calibri Light" w:hAnsi="Calibri Light" w:cs="Calibri Light"/>
          <w:i/>
          <w:iCs/>
          <w:noProof/>
          <w:color w:val="000000"/>
          <w:sz w:val="24"/>
          <w:szCs w:val="24"/>
        </w:rPr>
        <w:t xml:space="preserve"> has a significant historical role in dealing with religious conflicts. This study aims to understand how Muslim leaders and communities use </w:t>
      </w:r>
      <w:r w:rsidRPr="00A052EF" w:rsidR="00A052EF">
        <w:rPr>
          <w:rFonts w:ascii="Calibri Light" w:hAnsi="Calibri Light" w:cs="Calibri Light"/>
          <w:i/>
          <w:iCs/>
          <w:noProof/>
          <w:color w:val="000000"/>
          <w:sz w:val="24"/>
          <w:szCs w:val="24"/>
        </w:rPr>
        <w:t>Da’wah</w:t>
      </w:r>
      <w:r w:rsidRPr="00691D58" w:rsidR="00691D58">
        <w:rPr>
          <w:rFonts w:ascii="Calibri Light" w:hAnsi="Calibri Light" w:cs="Calibri Light"/>
          <w:i/>
          <w:iCs/>
          <w:noProof/>
          <w:color w:val="000000"/>
          <w:sz w:val="24"/>
          <w:szCs w:val="24"/>
        </w:rPr>
        <w:t xml:space="preserve"> to address blasphemy, reduce conflict, and build social harmony. With a qualitative approach, this study uses a descriptive-analytical method through analysis of historical documents, in-depth interviews with religious figures, and literature studies related to blasphemy cases. Data analysis techniques involve data reduction, data presentation, and inductive drawing of conclusions. The validity of the data is guaranteed through triangulation of data sources, namely comparing the results of interviews, documents, and relevant literature. The study results show that </w:t>
      </w:r>
      <w:r w:rsidRPr="00A052EF" w:rsidR="00A052EF">
        <w:rPr>
          <w:rFonts w:ascii="Calibri Light" w:hAnsi="Calibri Light" w:cs="Calibri Light"/>
          <w:i/>
          <w:iCs/>
          <w:noProof/>
          <w:color w:val="000000"/>
          <w:sz w:val="24"/>
          <w:szCs w:val="24"/>
        </w:rPr>
        <w:t>Da’wah</w:t>
      </w:r>
      <w:r w:rsidRPr="00691D58" w:rsidR="00691D58">
        <w:rPr>
          <w:rFonts w:ascii="Calibri Light" w:hAnsi="Calibri Light" w:cs="Calibri Light"/>
          <w:i/>
          <w:iCs/>
          <w:noProof/>
          <w:color w:val="000000"/>
          <w:sz w:val="24"/>
          <w:szCs w:val="24"/>
        </w:rPr>
        <w:t xml:space="preserve"> is used through three main strategies: education to strengthen religious understanding, interfaith dialogue to build cross-faith communication, and a legal approach to handle blasphemy allegations formally. This strategy not only protects Islamic teachings but also strengthens social harmony. </w:t>
      </w:r>
      <w:r w:rsidRPr="00A052EF" w:rsidR="00A052EF">
        <w:rPr>
          <w:rFonts w:ascii="Calibri Light" w:hAnsi="Calibri Light" w:cs="Calibri Light"/>
          <w:i/>
          <w:iCs/>
          <w:noProof/>
          <w:color w:val="000000"/>
          <w:sz w:val="24"/>
          <w:szCs w:val="24"/>
        </w:rPr>
        <w:t>Da’wah</w:t>
      </w:r>
      <w:r w:rsidRPr="00691D58" w:rsidR="00691D58">
        <w:rPr>
          <w:rFonts w:ascii="Calibri Light" w:hAnsi="Calibri Light" w:cs="Calibri Light"/>
          <w:i/>
          <w:iCs/>
          <w:noProof/>
          <w:color w:val="000000"/>
          <w:sz w:val="24"/>
          <w:szCs w:val="24"/>
        </w:rPr>
        <w:t xml:space="preserve"> also plays a vital role in enhancing the values ​​of tolerance, mediating conflict, and promoting peaceful life in a pluralistic Indonesian society. </w:t>
      </w:r>
      <w:r w:rsidRPr="00A052EF" w:rsidR="00A052EF">
        <w:rPr>
          <w:rFonts w:ascii="Calibri Light" w:hAnsi="Calibri Light" w:cs="Calibri Light"/>
          <w:i/>
          <w:iCs/>
          <w:noProof/>
          <w:color w:val="000000"/>
          <w:sz w:val="24"/>
          <w:szCs w:val="24"/>
        </w:rPr>
        <w:t>Da’wah</w:t>
      </w:r>
      <w:r w:rsidRPr="00691D58" w:rsidR="00691D58">
        <w:rPr>
          <w:rFonts w:ascii="Calibri Light" w:hAnsi="Calibri Light" w:cs="Calibri Light"/>
          <w:i/>
          <w:iCs/>
          <w:noProof/>
          <w:color w:val="000000"/>
          <w:sz w:val="24"/>
          <w:szCs w:val="24"/>
        </w:rPr>
        <w:t xml:space="preserve"> is a tool for affirming Islamic identity and an effective instrument of social mediation. This finding contributes to the understanding of religious dynamics in Indonesia and its relevance in overcoming the challenges of interfaith relations in the era of globalization.</w:t>
      </w:r>
    </w:p>
    <w:p w:rsidR="00691D58" w:rsidRPr="00122F5F" w:rsidP="00540F02">
      <w:pPr>
        <w:ind w:right="-1"/>
        <w:jc w:val="both"/>
        <w:rPr>
          <w:rFonts w:ascii="Calibri Light" w:hAnsi="Calibri Light" w:cs="Calibri Light"/>
          <w:noProof/>
          <w:color w:val="000000"/>
          <w:sz w:val="24"/>
          <w:szCs w:val="24"/>
          <w:lang w:val="id-ID"/>
        </w:rPr>
      </w:pPr>
    </w:p>
    <w:p w:rsidR="00DE1E48" w:rsidRPr="00122F5F" w:rsidP="00863A78">
      <w:pPr>
        <w:ind w:right="-1"/>
        <w:jc w:val="both"/>
        <w:rPr>
          <w:rFonts w:ascii="Calibri Light" w:hAnsi="Calibri Light" w:cs="Calibri Light"/>
          <w:i/>
          <w:iCs/>
          <w:sz w:val="24"/>
          <w:szCs w:val="24"/>
          <w:lang w:val="id-ID"/>
        </w:rPr>
      </w:pPr>
      <w:r w:rsidRPr="00691D58">
        <w:rPr>
          <w:rFonts w:ascii="Calibri Light" w:hAnsi="Calibri Light" w:cs="Calibri Light"/>
          <w:noProof/>
          <w:sz w:val="24"/>
          <w:szCs w:val="24"/>
        </w:rPr>
        <w:t xml:space="preserve">Penelitian ini mengkaji peran </w:t>
      </w:r>
      <w:r w:rsidRPr="00A052EF" w:rsid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dalam menanggulangi isu penistaan agama di Indonesia dan mendorong perdamaian dalam masyarakat pluralistik. </w:t>
      </w:r>
      <w:r w:rsidRPr="00A052EF" w:rsid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sebagai bentuk penyebaran ajaran Islam, memiliki peran historis yang signifikan dalam menghadapi konflik agama. Penelitian ini bertujuan untuk memahami bagaimana para pemimpin dan komunitas Muslim memanfaatkan </w:t>
      </w:r>
      <w:r w:rsidRPr="00A052EF" w:rsid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sebagai sarana mengatasi penistaan agama, meredakan </w:t>
      </w:r>
      <w:r w:rsidRPr="00691D58">
        <w:rPr>
          <w:rFonts w:ascii="Calibri Light" w:hAnsi="Calibri Light" w:cs="Calibri Light"/>
          <w:noProof/>
          <w:sz w:val="24"/>
          <w:szCs w:val="24"/>
        </w:rPr>
        <w:t xml:space="preserve">konflik, dan membangun harmoni sosial. Dengan pendekatan kualitatif, penelitian ini menggunakan metode deskriptif-analitis melalui analisis dokumen sejarah, wawancara mendalam dengan tokoh agama, dan studi literatur terkait kasus penistaan agama. Teknik analisis data melibatkan reduksi, penyajian data, serta penarikan kesimpulan secara induktif. Keabsahan data dijamin melalui triangulasi sumber data, yaitu membandingkan hasil wawancara, dokumen, dan literatur yang relevan. Hasil penelitian menunjukkan bahwa </w:t>
      </w:r>
      <w:r w:rsidRPr="00A052EF" w:rsid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digunakan melalui tiga strategi utama: pendidikan untuk memperkuat pemahaman keagamaan, dialog antaragama untuk membangun komunikasi lintas kepercayaan, dan pendekatan hukum untuk menangani tuduhan penistaan agama secara formal. Strategi ini tidak hanya melindungi ajaran Islam tetapi juga memperkuat harmoni sosial. </w:t>
      </w:r>
      <w:r w:rsidRPr="00A052EF" w:rsid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juga berperan sebagai mekanisme penting dalam mengokohkan nilai-nilai toleransi, memediasi konflik, dan mendorong kehidupan damai di masyarakat Indonesia yang majemuk. </w:t>
      </w:r>
      <w:r w:rsidRPr="00A052EF" w:rsid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tidak hanya menjadi alat penegasan identitas Islam tetapi juga instrumen mediasi sosial yang efektif. Temuan ini memberikan kontribusi terhadap pemahaman tentang dinamika keagamaan di Indonesia serta relevansinya dalam mengatasi tantangan hubungan antaragama di era globalisasi.</w:t>
      </w:r>
    </w:p>
    <w:p w:rsidR="00486707" w:rsidRPr="00122F5F" w:rsidP="001D7DEE">
      <w:pPr>
        <w:ind w:left="709" w:right="737"/>
        <w:jc w:val="both"/>
        <w:rPr>
          <w:rFonts w:ascii="Calibri Light" w:hAnsi="Calibri Light" w:cs="Calibri Light"/>
          <w:i/>
          <w:iCs/>
          <w:sz w:val="24"/>
          <w:szCs w:val="24"/>
          <w:lang w:val="id-ID"/>
        </w:rPr>
      </w:pPr>
    </w:p>
    <w:p w:rsidR="00DE1E48" w:rsidRPr="00122F5F"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1F5FDC" w:rsidR="001F5FDC">
        <w:rPr>
          <w:rStyle w:val="shorttext"/>
          <w:rFonts w:ascii="Calibri Light" w:hAnsi="Calibri Light" w:cs="Calibri Light"/>
          <w:i/>
          <w:iCs/>
          <w:sz w:val="24"/>
          <w:szCs w:val="24"/>
        </w:rPr>
        <w:t>Blasphemy, Interfaith Peace, Islamic Law, Pluralistic Society.</w:t>
      </w:r>
    </w:p>
    <w:p w:rsidR="00F1027C" w:rsidRPr="00122F5F" w:rsidP="00F1027C">
      <w:pPr>
        <w:jc w:val="center"/>
        <w:rPr>
          <w:rFonts w:ascii="Calibri Light" w:hAnsi="Calibri Light" w:cs="Calibri Light"/>
          <w:i/>
          <w:iCs/>
          <w:lang w:val="id-ID"/>
        </w:rPr>
      </w:pPr>
    </w:p>
    <w:p w:rsidR="00F1027C" w:rsidRPr="00122F5F" w:rsidP="0095288D">
      <w:pPr>
        <w:rPr>
          <w:rFonts w:ascii="Calibri Light" w:hAnsi="Calibri Light" w:cs="Calibri Light"/>
          <w:b/>
          <w:bCs/>
          <w:sz w:val="24"/>
          <w:szCs w:val="24"/>
          <w:lang w:val="id-ID"/>
        </w:rPr>
      </w:pPr>
    </w:p>
    <w:p w:rsidR="0095288D" w:rsidRPr="00122F5F"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691D58" w:rsidRPr="00691D58" w:rsidP="00691D58">
      <w:pPr>
        <w:spacing w:before="120" w:after="120"/>
        <w:ind w:left="426"/>
        <w:jc w:val="both"/>
        <w:rPr>
          <w:rFonts w:ascii="Calibri Light" w:hAnsi="Calibri Light" w:cs="Calibri Light"/>
          <w:sz w:val="24"/>
          <w:szCs w:val="24"/>
        </w:rPr>
      </w:pPr>
      <w:r w:rsidRPr="00A052EF">
        <w:rPr>
          <w:rFonts w:ascii="Calibri Light" w:hAnsi="Calibri Light" w:cs="Calibri Light"/>
          <w:i/>
          <w:iCs/>
          <w:sz w:val="24"/>
          <w:szCs w:val="24"/>
        </w:rPr>
        <w:t>Da’wah</w:t>
      </w:r>
      <w:r w:rsidRPr="00691D58">
        <w:rPr>
          <w:rFonts w:ascii="Calibri Light" w:hAnsi="Calibri Light" w:cs="Calibri Light"/>
          <w:sz w:val="24"/>
          <w:szCs w:val="24"/>
        </w:rPr>
        <w:t xml:space="preserve"> (Islamic proselytization) is commonly encountered in various forms in Muslim-majority countries around the world. </w:t>
      </w:r>
      <w:r w:rsidRPr="00A052EF">
        <w:rPr>
          <w:rFonts w:ascii="Calibri Light" w:hAnsi="Calibri Light" w:cs="Calibri Light"/>
          <w:i/>
          <w:iCs/>
          <w:sz w:val="24"/>
          <w:szCs w:val="24"/>
        </w:rPr>
        <w:t>Da’wah</w:t>
      </w:r>
      <w:r w:rsidRPr="00691D58">
        <w:rPr>
          <w:rFonts w:ascii="Calibri Light" w:hAnsi="Calibri Light" w:cs="Calibri Light"/>
          <w:sz w:val="24"/>
          <w:szCs w:val="24"/>
        </w:rPr>
        <w:t xml:space="preserve"> is important in spreading Islam's message and fostering positive societal changes. The term encompasses the act of inviting individuals, groups, or communities to embrace Islamic teachings, values, and practices. </w:t>
      </w:r>
      <w:r w:rsidRPr="00A052EF">
        <w:rPr>
          <w:rFonts w:ascii="Calibri Light" w:hAnsi="Calibri Light" w:cs="Calibri Light"/>
          <w:i/>
          <w:iCs/>
          <w:sz w:val="24"/>
          <w:szCs w:val="24"/>
        </w:rPr>
        <w:t>Da’wah</w:t>
      </w:r>
      <w:r w:rsidRPr="00691D58">
        <w:rPr>
          <w:rFonts w:ascii="Calibri Light" w:hAnsi="Calibri Light" w:cs="Calibri Light"/>
          <w:sz w:val="24"/>
          <w:szCs w:val="24"/>
        </w:rPr>
        <w:t xml:space="preserve"> is not limited to verbal communication but extends to embodying Islamic principles in one’s actions and interactions with others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A5630B">
        <w:rPr>
          <w:rFonts w:ascii="Calibri Light" w:hAnsi="Calibri Light" w:cs="Calibri Light"/>
          <w:sz w:val="24"/>
          <w:szCs w:val="24"/>
        </w:rPr>
        <w:instrText>ADDIN CSL_CITATION {"citationItems":[{"id":"ITEM-1","itemData":{"DOI":"10.15575/idajhs.v16i2.19861","author":[{"dropping-particle":"","family":"Ishaq","given":"Ropingi","non-dropping-particle":"El","parse-names":false,"suffix":""}],"container-title":"Ilmu Dakwah Academic Journal for Homiletic Studies","id":"ITEM-1","issue":"2","issued":{"date-parts":[["2022"]]},"page":"345-364","title":"Political Da’wah Strategy of Islamic Parties in Indonesia","type":"article-journal","volume":"16"},"uris":["http://www.mendeley.com/documents/?uuid=338ffdc1-b70a-4d25-85da-530c8f759b2f"]}],"mendeley":{"formattedCitation":"(El Ishaq, 2022)","plainTextFormattedCitation":"(El Ishaq, 2022)","previouslyFormattedCitation":"(El Ishaq, 2022)"},"properties":{"noteIndex":0},"schema":"https://github.com/citation-style-language/schema/raw/master/csl-citation.json"}</w:instrText>
      </w:r>
      <w:r>
        <w:rPr>
          <w:rFonts w:ascii="Calibri Light" w:hAnsi="Calibri Light" w:cs="Calibri Light"/>
          <w:sz w:val="24"/>
          <w:szCs w:val="24"/>
        </w:rPr>
        <w:fldChar w:fldCharType="separate"/>
      </w:r>
      <w:r w:rsidRPr="00691D58">
        <w:rPr>
          <w:rFonts w:ascii="Calibri Light" w:hAnsi="Calibri Light" w:cs="Calibri Light"/>
          <w:noProof/>
          <w:sz w:val="24"/>
          <w:szCs w:val="24"/>
        </w:rPr>
        <w:t>(El Ishaq, 2022)</w:t>
      </w:r>
      <w:r>
        <w:rPr>
          <w:rFonts w:ascii="Calibri Light" w:hAnsi="Calibri Light" w:cs="Calibri Light"/>
          <w:sz w:val="24"/>
          <w:szCs w:val="24"/>
        </w:rPr>
        <w:fldChar w:fldCharType="end"/>
      </w:r>
      <w:r w:rsidRPr="00691D58">
        <w:rPr>
          <w:rFonts w:ascii="Calibri Light" w:hAnsi="Calibri Light" w:cs="Calibri Light"/>
          <w:sz w:val="24"/>
          <w:szCs w:val="24"/>
        </w:rPr>
        <w:t>.</w:t>
      </w:r>
    </w:p>
    <w:p w:rsidR="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 xml:space="preserve">In line with the previous statement, in the context of Islamic educational institutions in Indonesia, </w:t>
      </w:r>
      <w:r w:rsidRPr="00A5630B">
        <w:rPr>
          <w:rFonts w:ascii="Calibri Light" w:hAnsi="Calibri Light" w:cs="Calibri Light"/>
          <w:i/>
          <w:iCs/>
          <w:sz w:val="24"/>
          <w:szCs w:val="24"/>
        </w:rPr>
        <w:t>pesantren</w:t>
      </w:r>
      <w:r w:rsidRPr="00691D58">
        <w:rPr>
          <w:rFonts w:ascii="Calibri Light" w:hAnsi="Calibri Light" w:cs="Calibri Light"/>
          <w:sz w:val="24"/>
          <w:szCs w:val="24"/>
        </w:rPr>
        <w:t xml:space="preserve"> (Islamic boarding schools) as institutions of education and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have innovated remarkably. They deliver religious lectures and engage in more practical domains such as community service and environmental concerns, all grounded in religious interpretations</w:t>
      </w:r>
      <w:r w:rsidR="00A5630B">
        <w:rPr>
          <w:rFonts w:ascii="Calibri Light" w:hAnsi="Calibri Light" w:cs="Calibri Light"/>
          <w:sz w:val="24"/>
          <w:szCs w:val="24"/>
        </w:rPr>
        <w:t xml:space="preserve"> </w:t>
      </w:r>
      <w:r w:rsidR="00A5630B">
        <w:rPr>
          <w:rFonts w:ascii="Calibri Light" w:hAnsi="Calibri Light" w:cs="Calibri Light"/>
          <w:sz w:val="24"/>
          <w:szCs w:val="24"/>
        </w:rPr>
        <w:fldChar w:fldCharType="begin" w:fldLock="1"/>
      </w:r>
      <w:r w:rsidR="00A5630B">
        <w:rPr>
          <w:rFonts w:ascii="Calibri Light" w:hAnsi="Calibri Light" w:cs="Calibri Light"/>
          <w:sz w:val="24"/>
          <w:szCs w:val="24"/>
        </w:rPr>
        <w:instrText>ADDIN CSL_CITATION {"citationItems":[{"id":"ITEM-1","itemData":{"DOI":"10.21274/epis.2020.15.02.365-400","author":[{"dropping-particle":"","family":"Ridwan","given":"Auliya","non-dropping-particle":"","parse-names":false,"suffix":""}],"container-title":"Epistemé: Jurnal Pengembangan Ilmu Keislaman","id":"ITEM-1","issue":"2","issued":{"date-parts":[["2020"]]},"title":"The Dynamics of Pesantren Leadership from the Dutch Ethical Policy to the Reformation Periods","type":"article-journal","volume":"15"},"uris":["http://www.mendeley.com/documents/?uuid=0ba956e5-ec4d-453b-8a1e-f8562085329c"]}],"mendeley":{"formattedCitation":"(Ridwan, 2020)","plainTextFormattedCitation":"(Ridwan, 2020)","previouslyFormattedCitation":"(Ridwan, 2020)"},"properties":{"noteIndex":0},"schema":"https://github.com/citation-style-language/schema/raw/master/csl-citation.json"}</w:instrText>
      </w:r>
      <w:r w:rsidR="00A5630B">
        <w:rPr>
          <w:rFonts w:ascii="Calibri Light" w:hAnsi="Calibri Light" w:cs="Calibri Light"/>
          <w:sz w:val="24"/>
          <w:szCs w:val="24"/>
        </w:rPr>
        <w:fldChar w:fldCharType="separate"/>
      </w:r>
      <w:r w:rsidRPr="00A5630B" w:rsidR="00A5630B">
        <w:rPr>
          <w:rFonts w:ascii="Calibri Light" w:hAnsi="Calibri Light" w:cs="Calibri Light"/>
          <w:noProof/>
          <w:sz w:val="24"/>
          <w:szCs w:val="24"/>
        </w:rPr>
        <w:t>(Ridwan, 2020)</w:t>
      </w:r>
      <w:r w:rsidR="00A5630B">
        <w:rPr>
          <w:rFonts w:ascii="Calibri Light" w:hAnsi="Calibri Light" w:cs="Calibri Light"/>
          <w:sz w:val="24"/>
          <w:szCs w:val="24"/>
        </w:rPr>
        <w:fldChar w:fldCharType="end"/>
      </w:r>
      <w:r w:rsidRPr="00691D58">
        <w:rPr>
          <w:rFonts w:ascii="Calibri Light" w:hAnsi="Calibri Light" w:cs="Calibri Light"/>
          <w:sz w:val="24"/>
          <w:szCs w:val="24"/>
        </w:rPr>
        <w:t xml:space="preserve">. This demonstrates that the development of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is becoming increasingly contextual.</w:t>
      </w:r>
    </w:p>
    <w:p w:rsidR="00691D58" w:rsidRPr="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 xml:space="preserve">Philosophically and theologically,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should promote harmony, peace, and prosperity by encouraging adherence to Islamic norms and laws</w:t>
      </w:r>
      <w:r w:rsidR="00A5630B">
        <w:rPr>
          <w:rFonts w:ascii="Calibri Light" w:hAnsi="Calibri Light" w:cs="Calibri Light"/>
          <w:sz w:val="24"/>
          <w:szCs w:val="24"/>
        </w:rPr>
        <w:t xml:space="preserve"> </w:t>
      </w:r>
      <w:r w:rsidR="00A5630B">
        <w:rPr>
          <w:rFonts w:ascii="Calibri Light" w:hAnsi="Calibri Light" w:cs="Calibri Light"/>
          <w:sz w:val="24"/>
          <w:szCs w:val="24"/>
        </w:rPr>
        <w:fldChar w:fldCharType="begin" w:fldLock="1"/>
      </w:r>
      <w:r w:rsidR="007616AD">
        <w:rPr>
          <w:rFonts w:ascii="Calibri Light" w:hAnsi="Calibri Light" w:cs="Calibri Light"/>
          <w:sz w:val="24"/>
          <w:szCs w:val="24"/>
        </w:rPr>
        <w:instrText>ADDIN CSL_CITATION {"citationItems":[{"id":"ITEM-1","itemData":{"DOI":"10.47233/jkomdis.v4i1.1430","author":[{"dropping-particle":"","family":"Ikhwan","given":"Nur","non-dropping-particle":"","parse-names":false,"suffix":""},{"dropping-particle":"","family":"Burhanuddin","given":"","non-dropping-particle":"","parse-names":false,"suffix":""}],"container-title":"Jkomdis Jurnal Ilmu Komunikasi Dan Media Sosial","id":"ITEM-1","issue":"1","issued":{"date-parts":[["2024"]]},"page":"48–60","title":"Dakwah Dan Peran Pembelajaran Bahasa Arab Dalam Perubahan Sosial","type":"article-journal","volume":"4"},"uris":["http://www.mendeley.com/documents/?uuid=55ba7319-5238-413d-b82d-4d7597b9d774"]}],"mendeley":{"formattedCitation":"(Ikhwan &amp; Burhanuddin, 2024)","plainTextFormattedCitation":"(Ikhwan &amp; Burhanuddin, 2024)","previouslyFormattedCitation":"(Ikhwan &amp; Burhanuddin, 2024)"},"properties":{"noteIndex":0},"schema":"https://github.com/citation-style-language/schema/raw/master/csl-citation.json"}</w:instrText>
      </w:r>
      <w:r w:rsidR="00A5630B">
        <w:rPr>
          <w:rFonts w:ascii="Calibri Light" w:hAnsi="Calibri Light" w:cs="Calibri Light"/>
          <w:sz w:val="24"/>
          <w:szCs w:val="24"/>
        </w:rPr>
        <w:fldChar w:fldCharType="separate"/>
      </w:r>
      <w:r w:rsidRPr="00A5630B" w:rsidR="00A5630B">
        <w:rPr>
          <w:rFonts w:ascii="Calibri Light" w:hAnsi="Calibri Light" w:cs="Calibri Light"/>
          <w:noProof/>
          <w:sz w:val="24"/>
          <w:szCs w:val="24"/>
        </w:rPr>
        <w:t>(Ikhwan &amp; Burhanuddin, 2024)</w:t>
      </w:r>
      <w:r w:rsidR="00A5630B">
        <w:rPr>
          <w:rFonts w:ascii="Calibri Light" w:hAnsi="Calibri Light" w:cs="Calibri Light"/>
          <w:sz w:val="24"/>
          <w:szCs w:val="24"/>
        </w:rPr>
        <w:fldChar w:fldCharType="end"/>
      </w:r>
      <w:r w:rsidRPr="00691D58">
        <w:rPr>
          <w:rFonts w:ascii="Calibri Light" w:hAnsi="Calibri Light" w:cs="Calibri Light"/>
          <w:sz w:val="24"/>
          <w:szCs w:val="24"/>
        </w:rPr>
        <w:t xml:space="preserve">. Thus, the fundamental principle of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is peace. Every Muslim must participate in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activities to communicate Islamic values to others</w:t>
      </w:r>
      <w:r w:rsidR="007616AD">
        <w:rPr>
          <w:rFonts w:ascii="Calibri Light" w:hAnsi="Calibri Light" w:cs="Calibri Light"/>
          <w:sz w:val="24"/>
          <w:szCs w:val="24"/>
        </w:rPr>
        <w:t xml:space="preserve"> </w:t>
      </w:r>
      <w:r w:rsidR="007616AD">
        <w:rPr>
          <w:rFonts w:ascii="Calibri Light" w:hAnsi="Calibri Light" w:cs="Calibri Light"/>
          <w:sz w:val="24"/>
          <w:szCs w:val="24"/>
        </w:rPr>
        <w:fldChar w:fldCharType="begin" w:fldLock="1"/>
      </w:r>
      <w:r w:rsidR="007616AD">
        <w:rPr>
          <w:rFonts w:ascii="Calibri Light" w:hAnsi="Calibri Light" w:cs="Calibri Light"/>
          <w:sz w:val="24"/>
          <w:szCs w:val="24"/>
        </w:rPr>
        <w:instrText>ADDIN CSL_CITATION {"citationItems":[{"id":"ITEM-1","itemData":{"DOI":"10.1177/008124630703700402","author":[{"dropping-particle":"","family":"Hopkins","given":"Nick","non-dropping-particle":"","parse-names":false,"suffix":""},{"dropping-particle":"","family":"Greenwood","given":"Ronni M.","non-dropping-particle":"","parse-names":false,"suffix":""},{"dropping-particle":"","family":"Birchall","given":"Maisha","non-dropping-particle":"","parse-names":false,"suffix":""}],"container-title":"South African Journal of Psychology","id":"ITEM-1","issue":"4","issued":{"date-parts":[["2007"]]},"page":"679-701","title":"Minority Understandings of the Dynamics to Intergroup Contact Encounters: British Muslims' (Sometimes Ambivalent) Experiences of Representing Their Group to Others","type":"article-journal","volume":"37"},"uris":["http://www.mendeley.com/documents/?uuid=9ab0ac12-9a39-427e-9629-8a2cbb0809e6"]}],"mendeley":{"formattedCitation":"(Hopkins et al., 2007)","plainTextFormattedCitation":"(Hopkins et al., 2007)","previouslyFormattedCitation":"(Hopkins et al., 2007)"},"properties":{"noteIndex":0},"schema":"https://github.com/citation-style-language/schema/raw/master/csl-citation.json"}</w:instrText>
      </w:r>
      <w:r w:rsidR="007616AD">
        <w:rPr>
          <w:rFonts w:ascii="Calibri Light" w:hAnsi="Calibri Light" w:cs="Calibri Light"/>
          <w:sz w:val="24"/>
          <w:szCs w:val="24"/>
        </w:rPr>
        <w:fldChar w:fldCharType="separate"/>
      </w:r>
      <w:r w:rsidRPr="007616AD" w:rsidR="007616AD">
        <w:rPr>
          <w:rFonts w:ascii="Calibri Light" w:hAnsi="Calibri Light" w:cs="Calibri Light"/>
          <w:noProof/>
          <w:sz w:val="24"/>
          <w:szCs w:val="24"/>
        </w:rPr>
        <w:t>(Hopkins et al., 2007)</w:t>
      </w:r>
      <w:r w:rsidR="007616AD">
        <w:rPr>
          <w:rFonts w:ascii="Calibri Light" w:hAnsi="Calibri Light" w:cs="Calibri Light"/>
          <w:sz w:val="24"/>
          <w:szCs w:val="24"/>
        </w:rPr>
        <w:fldChar w:fldCharType="end"/>
      </w:r>
      <w:r w:rsidRPr="00691D58">
        <w:rPr>
          <w:rFonts w:ascii="Calibri Light" w:hAnsi="Calibri Light" w:cs="Calibri Light"/>
          <w:sz w:val="24"/>
          <w:szCs w:val="24"/>
        </w:rPr>
        <w:t xml:space="preserve">. I believe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can be conducted through speech and actions or simply by setting a living example that aligns with religious values, which can also be categorized as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activities</w:t>
      </w:r>
      <w:r w:rsidR="007616AD">
        <w:rPr>
          <w:rFonts w:ascii="Calibri Light" w:hAnsi="Calibri Light" w:cs="Calibri Light"/>
          <w:sz w:val="24"/>
          <w:szCs w:val="24"/>
        </w:rPr>
        <w:t xml:space="preserve"> </w:t>
      </w:r>
      <w:r w:rsidR="007616AD">
        <w:rPr>
          <w:rFonts w:ascii="Calibri Light" w:hAnsi="Calibri Light" w:cs="Calibri Light"/>
          <w:sz w:val="24"/>
          <w:szCs w:val="24"/>
        </w:rPr>
        <w:fldChar w:fldCharType="begin" w:fldLock="1"/>
      </w:r>
      <w:r w:rsidR="007616AD">
        <w:rPr>
          <w:rFonts w:ascii="Calibri Light" w:hAnsi="Calibri Light" w:cs="Calibri Light"/>
          <w:sz w:val="24"/>
          <w:szCs w:val="24"/>
        </w:rPr>
        <w:instrText>ADDIN CSL_CITATION {"citationItems":[{"id":"ITEM-1","itemData":{"DOI":"10.29240/ajis.v3i1.485","author":[{"dropping-particle":"","family":"Hariyatoni","given":"Hariyatoni","non-dropping-particle":"","parse-names":false,"suffix":""},{"dropping-particle":"","family":"Saputra","given":"Hasep","non-dropping-particle":"","parse-names":false,"suffix":""}],"container-title":"Ajis Academic Journal of Islamic Studies","id":"ITEM-1","issue":"1","issued":{"date-parts":[["2018"]]},"page":"41–68","title":"The Mapping of Dakwah Potencies in Supporting Rejang Lebong to Be a Religious Regency","type":"article-journal","volume":"3"},"uris":["http://www.mendeley.com/documents/?uuid=bddb1122-933d-4c4b-84df-ea182b6b9ebb"]}],"mendeley":{"formattedCitation":"(Hariyatoni &amp; Saputra, 2018)","plainTextFormattedCitation":"(Hariyatoni &amp; Saputra, 2018)","previouslyFormattedCitation":"(Hariyatoni &amp; Saputra, 2018)"},"properties":{"noteIndex":0},"schema":"https://github.com/citation-style-language/schema/raw/master/csl-citation.json"}</w:instrText>
      </w:r>
      <w:r w:rsidR="007616AD">
        <w:rPr>
          <w:rFonts w:ascii="Calibri Light" w:hAnsi="Calibri Light" w:cs="Calibri Light"/>
          <w:sz w:val="24"/>
          <w:szCs w:val="24"/>
        </w:rPr>
        <w:fldChar w:fldCharType="separate"/>
      </w:r>
      <w:r w:rsidRPr="007616AD" w:rsidR="007616AD">
        <w:rPr>
          <w:rFonts w:ascii="Calibri Light" w:hAnsi="Calibri Light" w:cs="Calibri Light"/>
          <w:noProof/>
          <w:sz w:val="24"/>
          <w:szCs w:val="24"/>
        </w:rPr>
        <w:t>(Hariyatoni &amp; Saputra, 2018)</w:t>
      </w:r>
      <w:r w:rsidR="007616AD">
        <w:rPr>
          <w:rFonts w:ascii="Calibri Light" w:hAnsi="Calibri Light" w:cs="Calibri Light"/>
          <w:sz w:val="24"/>
          <w:szCs w:val="24"/>
        </w:rPr>
        <w:fldChar w:fldCharType="end"/>
      </w:r>
      <w:r w:rsidRPr="00691D58">
        <w:rPr>
          <w:rFonts w:ascii="Calibri Light" w:hAnsi="Calibri Light" w:cs="Calibri Light"/>
          <w:sz w:val="24"/>
          <w:szCs w:val="24"/>
        </w:rPr>
        <w:t xml:space="preserve">. A proactive approach to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allows for the dissemination of religious values across various societal layers</w:t>
      </w:r>
      <w:r w:rsidR="007616AD">
        <w:rPr>
          <w:rFonts w:ascii="Calibri Light" w:hAnsi="Calibri Light" w:cs="Calibri Light"/>
          <w:sz w:val="24"/>
          <w:szCs w:val="24"/>
        </w:rPr>
        <w:t xml:space="preserve"> </w:t>
      </w:r>
      <w:r w:rsidR="007616AD">
        <w:rPr>
          <w:rFonts w:ascii="Calibri Light" w:hAnsi="Calibri Light" w:cs="Calibri Light"/>
          <w:sz w:val="24"/>
          <w:szCs w:val="24"/>
        </w:rPr>
        <w:fldChar w:fldCharType="begin" w:fldLock="1"/>
      </w:r>
      <w:r w:rsidR="007616AD">
        <w:rPr>
          <w:rFonts w:ascii="Calibri Light" w:hAnsi="Calibri Light" w:cs="Calibri Light"/>
          <w:sz w:val="24"/>
          <w:szCs w:val="24"/>
        </w:rPr>
        <w:instrText>ADDIN CSL_CITATION {"citationItems":[{"id":"ITEM-1","itemData":{"DOI":"10.20414/jurkom.v14i1.5270","author":[{"dropping-particle":"","family":"Gunawan","given":"Reka","non-dropping-particle":"","parse-names":false,"suffix":""},{"dropping-particle":"","family":"Muhid","given":"Abdul","non-dropping-particle":"","parse-names":false,"suffix":""}],"container-title":"Komunike","id":"ITEM-1","issue":"1","issued":{"date-parts":[["2022"]]},"page":"33–50","title":"The Strategy of Da’wah Bil Hal Communication: Literature Review","type":"article-journal","volume":"14"},"uris":["http://www.mendeley.com/documents/?uuid=16b11523-be24-4b04-a1ae-6976fffc4411"]}],"mendeley":{"formattedCitation":"(Gunawan &amp; Muhid, 2022)","plainTextFormattedCitation":"(Gunawan &amp; Muhid, 2022)","previouslyFormattedCitation":"(Gunawan &amp; Muhid, 2022)"},"properties":{"noteIndex":0},"schema":"https://github.com/citation-style-language/schema/raw/master/csl-citation.json"}</w:instrText>
      </w:r>
      <w:r w:rsidR="007616AD">
        <w:rPr>
          <w:rFonts w:ascii="Calibri Light" w:hAnsi="Calibri Light" w:cs="Calibri Light"/>
          <w:sz w:val="24"/>
          <w:szCs w:val="24"/>
        </w:rPr>
        <w:fldChar w:fldCharType="separate"/>
      </w:r>
      <w:r w:rsidRPr="007616AD" w:rsidR="007616AD">
        <w:rPr>
          <w:rFonts w:ascii="Calibri Light" w:hAnsi="Calibri Light" w:cs="Calibri Light"/>
          <w:noProof/>
          <w:sz w:val="24"/>
          <w:szCs w:val="24"/>
        </w:rPr>
        <w:t>(Gunawan &amp; Muhid, 2022)</w:t>
      </w:r>
      <w:r w:rsidR="007616AD">
        <w:rPr>
          <w:rFonts w:ascii="Calibri Light" w:hAnsi="Calibri Light" w:cs="Calibri Light"/>
          <w:sz w:val="24"/>
          <w:szCs w:val="24"/>
        </w:rPr>
        <w:fldChar w:fldCharType="end"/>
      </w:r>
      <w:r w:rsidRPr="00691D58">
        <w:rPr>
          <w:rFonts w:ascii="Calibri Light" w:hAnsi="Calibri Light" w:cs="Calibri Light"/>
          <w:sz w:val="24"/>
          <w:szCs w:val="24"/>
        </w:rPr>
        <w:t>.</w:t>
      </w:r>
    </w:p>
    <w:p w:rsidR="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 xml:space="preserve">Leadership plays a crucial role in the propagation of Islamic teachings through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Leaders are seen as instrumental in spreading the message of Islam and establishing a just and compassionate society</w:t>
      </w:r>
      <w:r w:rsidR="007616AD">
        <w:rPr>
          <w:rFonts w:ascii="Calibri Light" w:hAnsi="Calibri Light" w:cs="Calibri Light"/>
          <w:sz w:val="24"/>
          <w:szCs w:val="24"/>
        </w:rPr>
        <w:t xml:space="preserve"> </w:t>
      </w:r>
      <w:r w:rsidR="007616AD">
        <w:rPr>
          <w:rFonts w:ascii="Calibri Light" w:hAnsi="Calibri Light" w:cs="Calibri Light"/>
          <w:sz w:val="24"/>
          <w:szCs w:val="24"/>
        </w:rPr>
        <w:fldChar w:fldCharType="begin" w:fldLock="1"/>
      </w:r>
      <w:r w:rsidR="00B450BF">
        <w:rPr>
          <w:rFonts w:ascii="Calibri Light" w:hAnsi="Calibri Light" w:cs="Calibri Light"/>
          <w:sz w:val="24"/>
          <w:szCs w:val="24"/>
        </w:rPr>
        <w:instrText>ADDIN CSL_CITATION {"citationItems":[{"id":"ITEM-1","itemData":{"DOI":"10.22146/jlo.65642","author":[{"dropping-particle":"","family":"Muhammad","given":"Helmi","non-dropping-particle":"","parse-names":false,"suffix":""},{"dropping-particle":"","family":"Sari","given":"Niki P.","non-dropping-particle":"","parse-names":false,"suffix":""}],"container-title":"Journal of Leadership in Organizations","id":"ITEM-1","issue":"2","issued":{"date-parts":[["2021"]]},"title":"Implementation of the Synergy of Transformational-Servant Leadership Character in Islamic Boarding School","type":"article-journal","volume":"3"},"uris":["http://www.mendeley.com/documents/?uuid=ee7aa650-7c5a-4d11-82e3-40bf5bd39440"]}],"mendeley":{"formattedCitation":"(H. Muhammad &amp; Sari, 2021)","plainTextFormattedCitation":"(H. Muhammad &amp; Sari, 2021)","previouslyFormattedCitation":"(H. Muhammad &amp; Sari, 2021)"},"properties":{"noteIndex":0},"schema":"https://github.com/citation-style-language/schema/raw/master/csl-citation.json"}</w:instrText>
      </w:r>
      <w:r w:rsidR="007616AD">
        <w:rPr>
          <w:rFonts w:ascii="Calibri Light" w:hAnsi="Calibri Light" w:cs="Calibri Light"/>
          <w:sz w:val="24"/>
          <w:szCs w:val="24"/>
        </w:rPr>
        <w:fldChar w:fldCharType="separate"/>
      </w:r>
      <w:r w:rsidRPr="00B450BF" w:rsidR="00B450BF">
        <w:rPr>
          <w:rFonts w:ascii="Calibri Light" w:hAnsi="Calibri Light" w:cs="Calibri Light"/>
          <w:noProof/>
          <w:sz w:val="24"/>
          <w:szCs w:val="24"/>
        </w:rPr>
        <w:t>(H. Muhammad &amp; Sari, 2021)</w:t>
      </w:r>
      <w:r w:rsidR="007616AD">
        <w:rPr>
          <w:rFonts w:ascii="Calibri Light" w:hAnsi="Calibri Light" w:cs="Calibri Light"/>
          <w:sz w:val="24"/>
          <w:szCs w:val="24"/>
        </w:rPr>
        <w:fldChar w:fldCharType="end"/>
      </w:r>
      <w:r w:rsidRPr="00691D58">
        <w:rPr>
          <w:rFonts w:ascii="Calibri Light" w:hAnsi="Calibri Light" w:cs="Calibri Light"/>
          <w:sz w:val="24"/>
          <w:szCs w:val="24"/>
        </w:rPr>
        <w:t xml:space="preserve">. In the Indonesian context, the prominence of an ulama (Islamic scholar) holds a special place within specific communities, such as Gus Baha from </w:t>
      </w:r>
      <w:r w:rsidRPr="00691D58">
        <w:rPr>
          <w:rFonts w:ascii="Calibri Light" w:hAnsi="Calibri Light" w:cs="Calibri Light"/>
          <w:sz w:val="24"/>
          <w:szCs w:val="24"/>
        </w:rPr>
        <w:t>Nahdlatul</w:t>
      </w:r>
      <w:r w:rsidRPr="00691D58">
        <w:rPr>
          <w:rFonts w:ascii="Calibri Light" w:hAnsi="Calibri Light" w:cs="Calibri Light"/>
          <w:sz w:val="24"/>
          <w:szCs w:val="24"/>
        </w:rPr>
        <w:t xml:space="preserve"> Ulama and Ustad Adi Hidayat from Muhammadiyah. These figures represent the thoughts of Indonesia's two oldest Islamic organizations and exemplify the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methods in NU and Muhammadiyah.</w:t>
      </w:r>
    </w:p>
    <w:p w:rsidR="00691D58" w:rsidRPr="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 xml:space="preserve">In the current era, using digital media and technology has transformed the approaches to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The emergence of platforms like social media and the internet has opened up new channels for spreading Islamic messages on a large scale</w:t>
      </w:r>
      <w:r w:rsidR="00E35BFD">
        <w:rPr>
          <w:rFonts w:ascii="Calibri Light" w:hAnsi="Calibri Light" w:cs="Calibri Light"/>
          <w:sz w:val="24"/>
          <w:szCs w:val="24"/>
        </w:rPr>
        <w:t xml:space="preserve"> </w:t>
      </w:r>
      <w:r w:rsidR="00E35BFD">
        <w:rPr>
          <w:rFonts w:ascii="Calibri Light" w:hAnsi="Calibri Light" w:cs="Calibri Light"/>
          <w:sz w:val="24"/>
          <w:szCs w:val="24"/>
        </w:rPr>
        <w:fldChar w:fldCharType="begin" w:fldLock="1"/>
      </w:r>
      <w:r w:rsidR="00E35BFD">
        <w:rPr>
          <w:rFonts w:ascii="Calibri Light" w:hAnsi="Calibri Light" w:cs="Calibri Light"/>
          <w:sz w:val="24"/>
          <w:szCs w:val="24"/>
        </w:rPr>
        <w:instrText>ADDIN CSL_CITATION {"citationItems":[{"id":"ITEM-1","itemData":{"DOI":"10.37826/spektrum.v10i2.324","ISSN":"2338-0861","abstract":"Study was carried out with the aim of analyzing the use of digital media as a means of da'wah communication. Obtain some data about the benefits resulting from digital media for da'wah methods in this digital era. In the digital era, the role of digital media is very important in the spread of da'wah. Study uses a PRISMA systematic review approach by collecting several articles from the literature database. From the results of the systematic review analysis with PRISMA, significant results were obtained from the benefits of digital media for da'wah communication facilities. The form of spreading da'wah that is easy and more familiar with the support of good visual displays is the main attraction. The presence of digital media opens up opportunities for new da'i who want to expand their wings to preach widely alongside leading da'i in cyberspace very easily. Digital media makes the audience of connoisseurs of the da'i unlimited, so a lot of digital media becomes a reference for finding new knowledge treasures or just enjoying the beautiful design combined with brief tausyiah of the da'i in it. From the scale of use, Facebook, Instagram and websites still outperform other digital media in terms of their use as a means of communicating da'wah to the community","author":[{"dropping-particle":"","family":"Aziz","given":"Muhajir Sulthonul","non-dropping-particle":"","parse-names":false,"suffix":""},{"dropping-particle":"","family":"Indrasari","given":"Meithiana","non-dropping-particle":"","parse-names":false,"suffix":""},{"dropping-particle":"","family":"Pamuji","given":"Eko","non-dropping-particle":"","parse-names":false,"suffix":""},{"dropping-particle":"","family":"Wulandari","given":"E Rizky","non-dropping-particle":"","parse-names":false,"suffix":""},{"dropping-particle":"","family":"Prasnowo","given":"M Adhi","non-dropping-particle":"","parse-names":false,"suffix":""}],"container-title":"Jurnal Spektrum Komunikasi","id":"ITEM-1","issue":"2","issued":{"date-parts":[["2022"]]},"page":"187-193","title":"Systematic Review: Use of Digital Media as a Means of Communication of Da’wah","type":"article-journal","volume":"10"},"uris":["http://www.mendeley.com/documents/?uuid=4308d6c2-97f9-4b7c-98e8-d68440eb208f"]}],"mendeley":{"formattedCitation":"(Aziz et al., 2022)","plainTextFormattedCitation":"(Aziz et al., 2022)","previouslyFormattedCitation":"(Aziz et al., 2022)"},"properties":{"noteIndex":0},"schema":"https://github.com/citation-style-language/schema/raw/master/csl-citation.json"}</w:instrText>
      </w:r>
      <w:r w:rsidR="00E35BFD">
        <w:rPr>
          <w:rFonts w:ascii="Calibri Light" w:hAnsi="Calibri Light" w:cs="Calibri Light"/>
          <w:sz w:val="24"/>
          <w:szCs w:val="24"/>
        </w:rPr>
        <w:fldChar w:fldCharType="separate"/>
      </w:r>
      <w:r w:rsidRPr="00E35BFD" w:rsidR="00E35BFD">
        <w:rPr>
          <w:rFonts w:ascii="Calibri Light" w:hAnsi="Calibri Light" w:cs="Calibri Light"/>
          <w:noProof/>
          <w:sz w:val="24"/>
          <w:szCs w:val="24"/>
        </w:rPr>
        <w:t>(Aziz et al., 2022)</w:t>
      </w:r>
      <w:r w:rsidR="00E35BFD">
        <w:rPr>
          <w:rFonts w:ascii="Calibri Light" w:hAnsi="Calibri Light" w:cs="Calibri Light"/>
          <w:sz w:val="24"/>
          <w:szCs w:val="24"/>
        </w:rPr>
        <w:fldChar w:fldCharType="end"/>
      </w:r>
      <w:r w:rsidRPr="00691D58">
        <w:rPr>
          <w:rFonts w:ascii="Calibri Light" w:hAnsi="Calibri Light" w:cs="Calibri Light"/>
          <w:sz w:val="24"/>
          <w:szCs w:val="24"/>
        </w:rPr>
        <w:t>. Islamic preachers and educators can use these digital tools to connect with a broader audience and effectively impact people's awareness and behavior</w:t>
      </w:r>
      <w:r w:rsidR="00E35BFD">
        <w:rPr>
          <w:rFonts w:ascii="Calibri Light" w:hAnsi="Calibri Light" w:cs="Calibri Light"/>
          <w:sz w:val="24"/>
          <w:szCs w:val="24"/>
        </w:rPr>
        <w:t xml:space="preserve"> </w:t>
      </w:r>
      <w:r w:rsidR="00E35BFD">
        <w:rPr>
          <w:rFonts w:ascii="Calibri Light" w:hAnsi="Calibri Light" w:cs="Calibri Light"/>
          <w:sz w:val="24"/>
          <w:szCs w:val="24"/>
        </w:rPr>
        <w:fldChar w:fldCharType="begin" w:fldLock="1"/>
      </w:r>
      <w:r w:rsidR="00E35BFD">
        <w:rPr>
          <w:rFonts w:ascii="Calibri Light" w:hAnsi="Calibri Light" w:cs="Calibri Light"/>
          <w:sz w:val="24"/>
          <w:szCs w:val="24"/>
        </w:rPr>
        <w:instrText>ADDIN CSL_CITATION {"citationItems":[{"id":"ITEM-1","itemData":{"DOI":"10.21580/dms.2021.212.9429","author":[{"dropping-particle":"","family":"Octaviani","given":"Adelia","non-dropping-particle":"","parse-names":false,"suffix":""}],"container-title":"Dimas Jurnal Pemikiran Agama Untuk Pemberdayaan","id":"ITEM-1","issue":"2","issued":{"date-parts":[["2022"]]},"page":"275-296","title":"From Cafe to the Mosque: The Construction of Dakwah Digital Communication of Shift Community","type":"article-journal","volume":"21"},"uris":["http://www.mendeley.com/documents/?uuid=52b3a555-6b2e-4530-80f1-f916b608feb3"]}],"mendeley":{"formattedCitation":"(Octaviani, 2022)","plainTextFormattedCitation":"(Octaviani, 2022)","previouslyFormattedCitation":"(Octaviani, 2022)"},"properties":{"noteIndex":0},"schema":"https://github.com/citation-style-language/schema/raw/master/csl-citation.json"}</w:instrText>
      </w:r>
      <w:r w:rsidR="00E35BFD">
        <w:rPr>
          <w:rFonts w:ascii="Calibri Light" w:hAnsi="Calibri Light" w:cs="Calibri Light"/>
          <w:sz w:val="24"/>
          <w:szCs w:val="24"/>
        </w:rPr>
        <w:fldChar w:fldCharType="separate"/>
      </w:r>
      <w:r w:rsidRPr="00E35BFD" w:rsidR="00E35BFD">
        <w:rPr>
          <w:rFonts w:ascii="Calibri Light" w:hAnsi="Calibri Light" w:cs="Calibri Light"/>
          <w:noProof/>
          <w:sz w:val="24"/>
          <w:szCs w:val="24"/>
        </w:rPr>
        <w:t>(Octaviani, 2022)</w:t>
      </w:r>
      <w:r w:rsidR="00E35BFD">
        <w:rPr>
          <w:rFonts w:ascii="Calibri Light" w:hAnsi="Calibri Light" w:cs="Calibri Light"/>
          <w:sz w:val="24"/>
          <w:szCs w:val="24"/>
        </w:rPr>
        <w:fldChar w:fldCharType="end"/>
      </w:r>
      <w:r w:rsidRPr="00691D58">
        <w:rPr>
          <w:rFonts w:ascii="Calibri Light" w:hAnsi="Calibri Light" w:cs="Calibri Light"/>
          <w:sz w:val="24"/>
          <w:szCs w:val="24"/>
        </w:rPr>
        <w:t xml:space="preserve">. The widespread use of digital media enables </w:t>
      </w:r>
      <w:r w:rsidRPr="00A052EF" w:rsidR="00A052EF">
        <w:rPr>
          <w:rFonts w:ascii="Calibri Light" w:hAnsi="Calibri Light" w:cs="Calibri Light"/>
          <w:i/>
          <w:iCs/>
          <w:sz w:val="24"/>
          <w:szCs w:val="24"/>
        </w:rPr>
        <w:t>Da’wah</w:t>
      </w:r>
      <w:r w:rsidRPr="00691D58">
        <w:rPr>
          <w:rFonts w:ascii="Calibri Light" w:hAnsi="Calibri Light" w:cs="Calibri Light"/>
          <w:sz w:val="24"/>
          <w:szCs w:val="24"/>
        </w:rPr>
        <w:t xml:space="preserve"> messages to reach the general public quickly. Progress in communication technology can speed up the transmission of a religious leader’s perspectives to their followers, addressing modern social and spiritual concerns.</w:t>
      </w:r>
    </w:p>
    <w:p w:rsidR="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An issue that consistently attracts attention in digital media is religious blasphemy. Within the Indonesian context, religious blasphemy has been a controversial topic with significant consequences for the nation’s social, legal, and political landscape. The concept of blasphemy, especially in Indonesia, has been closely linked to efforts to preserve religious harmony, prevent social turmoil, and uphold the sanctity of religious beliefs</w:t>
      </w:r>
      <w:r w:rsidR="00E35BFD">
        <w:rPr>
          <w:rFonts w:ascii="Calibri Light" w:hAnsi="Calibri Light" w:cs="Calibri Light"/>
          <w:sz w:val="24"/>
          <w:szCs w:val="24"/>
        </w:rPr>
        <w:t xml:space="preserve"> </w:t>
      </w:r>
      <w:r w:rsidR="00E35BFD">
        <w:rPr>
          <w:rFonts w:ascii="Calibri Light" w:hAnsi="Calibri Light" w:cs="Calibri Light"/>
          <w:sz w:val="24"/>
          <w:szCs w:val="24"/>
        </w:rPr>
        <w:fldChar w:fldCharType="begin" w:fldLock="1"/>
      </w:r>
      <w:r w:rsidR="008823EC">
        <w:rPr>
          <w:rFonts w:ascii="Calibri Light" w:hAnsi="Calibri Light" w:cs="Calibri Light"/>
          <w:sz w:val="24"/>
          <w:szCs w:val="24"/>
        </w:rPr>
        <w:instrText>ADDIN CSL_CITATION {"citationItems":[{"id":"ITEM-1","itemData":{"DOI":"10.1017/S1755048319000427","author":[{"dropping-particle":"","family":"Tyson","given":"Adam","non-dropping-particle":"","parse-names":false,"suffix":""}],"container-title":"Politics and Religion","id":"ITEM-1","issue":"1","issued":{"date-parts":[["2020"]]},"page":"182-205","title":"Blasphemy and Judicial Legitimacy in Indonesia","type":"article-journal","volume":"14"},"uris":["http://www.mendeley.com/documents/?uuid=184a227c-f801-49e4-9f17-ab29f3e71537"]}],"mendeley":{"formattedCitation":"(Tyson, 2020)","plainTextFormattedCitation":"(Tyson, 2020)","previouslyFormattedCitation":"(Tyson, 2020)"},"properties":{"noteIndex":0},"schema":"https://github.com/citation-style-language/schema/raw/master/csl-citation.json"}</w:instrText>
      </w:r>
      <w:r w:rsidR="00E35BFD">
        <w:rPr>
          <w:rFonts w:ascii="Calibri Light" w:hAnsi="Calibri Light" w:cs="Calibri Light"/>
          <w:sz w:val="24"/>
          <w:szCs w:val="24"/>
        </w:rPr>
        <w:fldChar w:fldCharType="separate"/>
      </w:r>
      <w:r w:rsidRPr="00E35BFD" w:rsidR="00E35BFD">
        <w:rPr>
          <w:rFonts w:ascii="Calibri Light" w:hAnsi="Calibri Light" w:cs="Calibri Light"/>
          <w:noProof/>
          <w:sz w:val="24"/>
          <w:szCs w:val="24"/>
        </w:rPr>
        <w:t>(Tyson, 2020)</w:t>
      </w:r>
      <w:r w:rsidR="00E35BFD">
        <w:rPr>
          <w:rFonts w:ascii="Calibri Light" w:hAnsi="Calibri Light" w:cs="Calibri Light"/>
          <w:sz w:val="24"/>
          <w:szCs w:val="24"/>
        </w:rPr>
        <w:fldChar w:fldCharType="end"/>
      </w:r>
      <w:r w:rsidRPr="00691D58">
        <w:rPr>
          <w:rFonts w:ascii="Calibri Light" w:hAnsi="Calibri Light" w:cs="Calibri Light"/>
          <w:sz w:val="24"/>
          <w:szCs w:val="24"/>
        </w:rPr>
        <w:t>.</w:t>
      </w:r>
    </w:p>
    <w:p w:rsidR="008823EC" w:rsidRPr="008823EC" w:rsidP="008823EC">
      <w:pPr>
        <w:spacing w:before="120" w:after="120"/>
        <w:ind w:left="426"/>
        <w:jc w:val="both"/>
        <w:rPr>
          <w:rFonts w:ascii="Calibri Light" w:hAnsi="Calibri Light" w:cs="Calibri Light"/>
          <w:sz w:val="24"/>
          <w:szCs w:val="24"/>
        </w:rPr>
      </w:pPr>
      <w:r w:rsidRPr="008823EC">
        <w:rPr>
          <w:rFonts w:ascii="Calibri Light" w:hAnsi="Calibri Light" w:cs="Calibri Light"/>
          <w:sz w:val="24"/>
          <w:szCs w:val="24"/>
        </w:rPr>
        <w:t>One remarkable example demonstrating the effects of blasphemy laws in Indonesia is the case of Basuki Tjahaja Purnama, also known as Ahok, the former governor of Jakarta, who was convicted in 2017. Ahok’s two-year prison sentence for blasphemy marked a significant turning point in Indonesia’s approach to such cases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{"citationItems":[{"id":"ITEM-1","itemData":{"DOI":"10.1017/S1755048319000427","author":[{"dropping-particle":"","family":"Tyson","given":"Adam","non-dropping-particle":"","parse-names":false,"suffix":""}],"container-title":"Politics and Religion","id":"ITEM-1","issue":"1","issued":{"date-parts":[["2020"]]},"page":"182-205","title":"Blasphemy and Judicial Legitimacy in Indonesia","type":"article-journal","volume":"14"},"uris":["http://www.mendeley.com/documents/?uuid=184a227c-f801-49e4-9f17-ab29f3e71537"]}],"mendeley":{"formattedCitation":"(Tyson, 2020)","plainTextFormattedCitation":"(Tyson, 2020)","previouslyFormattedCitation":"(Tyson, 2020)"},"properties":{"noteIndex":0},"schema":"https://github.com/citation-style-language/schema/raw/master/csl-citation.json"}</w:instrText>
      </w:r>
      <w:r>
        <w:rPr>
          <w:rFonts w:ascii="Calibri Light" w:hAnsi="Calibri Light" w:cs="Calibri Light"/>
          <w:sz w:val="24"/>
          <w:szCs w:val="24"/>
        </w:rPr>
        <w:fldChar w:fldCharType="separate"/>
      </w:r>
      <w:r w:rsidRPr="008823EC">
        <w:rPr>
          <w:rFonts w:ascii="Calibri Light" w:hAnsi="Calibri Light" w:cs="Calibri Light"/>
          <w:noProof/>
          <w:sz w:val="24"/>
          <w:szCs w:val="24"/>
        </w:rPr>
        <w:t>(Tyson, 2020)</w:t>
      </w:r>
      <w:r>
        <w:rPr>
          <w:rFonts w:ascii="Calibri Light" w:hAnsi="Calibri Light" w:cs="Calibri Light"/>
          <w:sz w:val="24"/>
          <w:szCs w:val="24"/>
        </w:rPr>
        <w:fldChar w:fldCharType="end"/>
      </w:r>
      <w:r w:rsidRPr="008823EC">
        <w:rPr>
          <w:rFonts w:ascii="Calibri Light" w:hAnsi="Calibri Light" w:cs="Calibri Light"/>
          <w:sz w:val="24"/>
          <w:szCs w:val="24"/>
        </w:rPr>
        <w:t xml:space="preserve">. I have delved into this particular case's linguistic and legal analysis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{"citationItems":[{"id":"ITEM-1","itemData":{"DOI":"10.15642/JIIS.2023.17.2.376-402","author":[{"dropping-particle":"","family":"Haq","given":"Thoriqul","non-dropping-particle":"","parse-names":false,"suffix":""},{"dropping-particle":"","family":"Isa","given":"Noor Aqsa Nabila Mat","non-dropping-particle":"","parse-names":false,"suffix":""}],"container-title":"Journal of Indonesian Islam","id":"ITEM-1","issue":"2","issued":{"date-parts":[["2023"]]},"page":"376-402","title":"Discourse, Law, and Digital Communication: Unraveling the Hate Speech in Basuki Tjahaja Purnama’s Case of Religious Blasphemy","type":"article-journal","volume":"17"},"uris":["http://www.mendeley.com/documents/?uuid=0104ea89-b85c-41ec-a59e-1439c8c6cbc6"]}],"mendeley":{"formattedCitation":"(Haq &amp; Isa, 2023)","plainTextFormattedCitation":"(Haq &amp; Isa, 2023)","previouslyFormattedCitation":"(Haq &amp; Isa, 2023)"},"properties":{"noteIndex":0},"schema":"https://github.com/citation-style-language/schema/raw/master/csl-citation.json"}</w:instrText>
      </w:r>
      <w:r>
        <w:rPr>
          <w:rFonts w:ascii="Calibri Light" w:hAnsi="Calibri Light" w:cs="Calibri Light"/>
          <w:sz w:val="24"/>
          <w:szCs w:val="24"/>
        </w:rPr>
        <w:fldChar w:fldCharType="separate"/>
      </w:r>
      <w:r w:rsidRPr="008823EC">
        <w:rPr>
          <w:rFonts w:ascii="Calibri Light" w:hAnsi="Calibri Light" w:cs="Calibri Light"/>
          <w:noProof/>
          <w:sz w:val="24"/>
          <w:szCs w:val="24"/>
        </w:rPr>
        <w:t>(Haq &amp; Isa, 2023)</w:t>
      </w:r>
      <w:r>
        <w:rPr>
          <w:rFonts w:ascii="Calibri Light" w:hAnsi="Calibri Light" w:cs="Calibri Light"/>
          <w:sz w:val="24"/>
          <w:szCs w:val="24"/>
        </w:rPr>
        <w:fldChar w:fldCharType="end"/>
      </w:r>
      <w:r w:rsidRPr="008823EC">
        <w:rPr>
          <w:rFonts w:ascii="Calibri Light" w:hAnsi="Calibri Light" w:cs="Calibri Light"/>
          <w:sz w:val="24"/>
          <w:szCs w:val="24"/>
        </w:rPr>
        <w:t xml:space="preserve">. In this article, I will delve into an anthropological perspective on </w:t>
      </w:r>
      <w:r w:rsidRPr="00A052EF" w:rsidR="00A052EF">
        <w:rPr>
          <w:rFonts w:ascii="Calibri Light" w:hAnsi="Calibri Light" w:cs="Calibri Light"/>
          <w:i/>
          <w:iCs/>
          <w:sz w:val="24"/>
          <w:szCs w:val="24"/>
        </w:rPr>
        <w:t>Da’wah</w:t>
      </w:r>
      <w:r w:rsidRPr="008823EC">
        <w:rPr>
          <w:rFonts w:ascii="Calibri Light" w:hAnsi="Calibri Light" w:cs="Calibri Light"/>
          <w:sz w:val="24"/>
          <w:szCs w:val="24"/>
        </w:rPr>
        <w:t>'s activities in Indonesia to tackle issues related to religious blasphemy.</w:t>
      </w:r>
    </w:p>
    <w:p w:rsidR="008823EC" w:rsidP="008823EC">
      <w:pPr>
        <w:spacing w:before="120" w:after="120"/>
        <w:ind w:left="426"/>
        <w:jc w:val="both"/>
        <w:rPr>
          <w:rFonts w:ascii="Calibri Light" w:hAnsi="Calibri Light" w:cs="Calibri Light"/>
          <w:sz w:val="24"/>
          <w:szCs w:val="24"/>
        </w:rPr>
      </w:pPr>
      <w:r w:rsidRPr="00A052EF">
        <w:rPr>
          <w:rFonts w:ascii="Calibri Light" w:hAnsi="Calibri Light" w:cs="Calibri Light"/>
          <w:i/>
          <w:iCs/>
          <w:sz w:val="24"/>
          <w:szCs w:val="24"/>
        </w:rPr>
        <w:t>Da’wah</w:t>
      </w:r>
      <w:r w:rsidRPr="008823EC">
        <w:rPr>
          <w:rFonts w:ascii="Calibri Light" w:hAnsi="Calibri Light" w:cs="Calibri Light"/>
          <w:sz w:val="24"/>
          <w:szCs w:val="24"/>
        </w:rPr>
        <w:t xml:space="preserve"> has evolved into a strategy to counter discussions on social matters intertwined with religion (specifically those deemed harmful to Islam). Throughout </w:t>
      </w:r>
      <w:r w:rsidRPr="00A052EF">
        <w:rPr>
          <w:rFonts w:ascii="Calibri Light" w:hAnsi="Calibri Light" w:cs="Calibri Light"/>
          <w:i/>
          <w:iCs/>
          <w:sz w:val="24"/>
          <w:szCs w:val="24"/>
        </w:rPr>
        <w:t>Da’wah</w:t>
      </w:r>
      <w:r w:rsidRPr="008823EC">
        <w:rPr>
          <w:rFonts w:ascii="Calibri Light" w:hAnsi="Calibri Light" w:cs="Calibri Light"/>
          <w:sz w:val="24"/>
          <w:szCs w:val="24"/>
        </w:rPr>
        <w:t xml:space="preserve"> history in Indonesia, we have witnessed how </w:t>
      </w:r>
      <w:r w:rsidRPr="00A052EF">
        <w:rPr>
          <w:rFonts w:ascii="Calibri Light" w:hAnsi="Calibri Light" w:cs="Calibri Light"/>
          <w:i/>
          <w:iCs/>
          <w:sz w:val="24"/>
          <w:szCs w:val="24"/>
        </w:rPr>
        <w:t>Da’wah</w:t>
      </w:r>
      <w:r w:rsidRPr="008823EC">
        <w:rPr>
          <w:rFonts w:ascii="Calibri Light" w:hAnsi="Calibri Light" w:cs="Calibri Light"/>
          <w:sz w:val="24"/>
          <w:szCs w:val="24"/>
        </w:rPr>
        <w:t xml:space="preserve"> messages combat the spread of certain ideologies like communism and promote unity among various societal groups, including nationalists and religious factions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10.31078/jk1927","author":[{"dropping-particle":"","family":"Hasani","given":"Ismail","non-dropping-particle":"","parse-names":false,"suffix":""},{"dropping-particle":"","family":"Halili","given":"Halili","non-dropping-particle":"","parse-names":false,"suffix":""}],"container-title":"Jurnal Konstitusi","id":"ITEM-1","issue":"2","issued":{"date-parts":[["2022"]]},"page":"406-430","title":"Human Rights and Constitutionality Issues of Blasphemy Law in Indonesia","type":"article-journal","volume":"19"},"uris":["http://www.mendeley.com/documents/?uuid=d1aa39c8-7d08-44d1-bdfc-f14dbac8a55b"]}],"mendeley":{"formattedCitation":"(Hasani &amp; Halili, 2022)","plainTextFormattedCitation":"(Hasani &amp; Halili, 2022)","previouslyFormattedCitation":"(Hasani &amp; Halili, 2022)"},"properties":{"noteIndex":0},"schema":"https://github.com/citation-style-language/schema/raw/master/csl-citation.json"}</w:instrText>
      </w:r>
      <w:r>
        <w:rPr>
          <w:rFonts w:ascii="Calibri Light" w:hAnsi="Calibri Light" w:cs="Calibri Light"/>
          <w:sz w:val="24"/>
          <w:szCs w:val="24"/>
        </w:rPr>
        <w:fldChar w:fldCharType="separate"/>
      </w:r>
      <w:r w:rsidRPr="008823EC">
        <w:rPr>
          <w:rFonts w:ascii="Calibri Light" w:hAnsi="Calibri Light" w:cs="Calibri Light"/>
          <w:noProof/>
          <w:sz w:val="24"/>
          <w:szCs w:val="24"/>
        </w:rPr>
        <w:t>(Hasani &amp; Halili, 2022)</w:t>
      </w:r>
      <w:r>
        <w:rPr>
          <w:rFonts w:ascii="Calibri Light" w:hAnsi="Calibri Light" w:cs="Calibri Light"/>
          <w:sz w:val="24"/>
          <w:szCs w:val="24"/>
        </w:rPr>
        <w:fldChar w:fldCharType="end"/>
      </w:r>
      <w:r w:rsidRPr="008823EC">
        <w:rPr>
          <w:rFonts w:ascii="Calibri Light" w:hAnsi="Calibri Light" w:cs="Calibri Light"/>
          <w:sz w:val="24"/>
          <w:szCs w:val="24"/>
        </w:rPr>
        <w:t>. The legal system has been employed to address situations where individuals are accused of insulting or disrespecting religious beliefs, often resulting in legal actions and, at times, imprisonment</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6C34EE">
        <w:rPr>
          <w:rFonts w:ascii="Calibri Light" w:hAnsi="Calibri Light" w:cs="Calibri Light"/>
          <w:sz w:val="24"/>
          <w:szCs w:val="24"/>
        </w:rPr>
        <w:instrText>ADDIN CSL_CITATION {"citationItems":[{"id":"ITEM-1","itemData":{"DOI":"10.47268/sasi.v29i2.1374","author":[{"dropping-particle":"","family":"Abdullah","given":"Abdullah","non-dropping-particle":"","parse-names":false,"suffix":""}],"container-title":"Sasi","id":"ITEM-1","issue":"2","issued":{"date-parts":[["2023"]]},"page":"354-367","title":"The Crime of Blasphemy in Indonesia: A Comparative Study","type":"article-journal","volume":"29"},"uris":["http://www.mendeley.com/documents/?uuid=ce8a3104-fc06-4b5a-a4f3-99521264118d"]}],"mendeley":{"formattedCitation":"(Abdullah, 2023)","plainTextFormattedCitation":"(Abdullah, 2023)","previouslyFormattedCitation":"(Abdullah, 2023)"},"properties":{"noteIndex":0},"schema":"https://github.com/citation-style-language/schema/raw/master/csl-citation.json"}</w:instrText>
      </w:r>
      <w:r>
        <w:rPr>
          <w:rFonts w:ascii="Calibri Light" w:hAnsi="Calibri Light" w:cs="Calibri Light"/>
          <w:sz w:val="24"/>
          <w:szCs w:val="24"/>
        </w:rPr>
        <w:fldChar w:fldCharType="separate"/>
      </w:r>
      <w:r w:rsidRPr="008823EC">
        <w:rPr>
          <w:rFonts w:ascii="Calibri Light" w:hAnsi="Calibri Light" w:cs="Calibri Light"/>
          <w:noProof/>
          <w:sz w:val="24"/>
          <w:szCs w:val="24"/>
        </w:rPr>
        <w:t>(Abdullah, 2023)</w:t>
      </w:r>
      <w:r>
        <w:rPr>
          <w:rFonts w:ascii="Calibri Light" w:hAnsi="Calibri Light" w:cs="Calibri Light"/>
          <w:sz w:val="24"/>
          <w:szCs w:val="24"/>
        </w:rPr>
        <w:fldChar w:fldCharType="end"/>
      </w:r>
      <w:r w:rsidRPr="008823EC">
        <w:rPr>
          <w:rFonts w:ascii="Calibri Light" w:hAnsi="Calibri Light" w:cs="Calibri Light"/>
          <w:sz w:val="24"/>
          <w:szCs w:val="24"/>
        </w:rPr>
        <w:t>.</w:t>
      </w:r>
    </w:p>
    <w:p w:rsidR="008823EC" w:rsidP="008823EC">
      <w:pPr>
        <w:spacing w:before="120" w:after="120"/>
        <w:ind w:left="426"/>
        <w:jc w:val="both"/>
        <w:rPr>
          <w:rFonts w:ascii="Calibri Light" w:hAnsi="Calibri Light" w:cs="Calibri Light"/>
          <w:sz w:val="24"/>
          <w:szCs w:val="24"/>
        </w:rPr>
      </w:pPr>
      <w:r w:rsidRPr="008823EC">
        <w:rPr>
          <w:rFonts w:ascii="Calibri Light" w:hAnsi="Calibri Light" w:cs="Calibri Light"/>
          <w:sz w:val="24"/>
          <w:szCs w:val="24"/>
        </w:rPr>
        <w:t>The implementation of blasphemy regulations in Indonesia has not been free from controversy. Instances of alleged blasphemy, especially during political occasions like presidential and gubernatorial elections, have incited public anger and protests, emphasizing the delicate nature of religious matters in the nation</w:t>
      </w:r>
      <w:r w:rsidR="006C34EE">
        <w:rPr>
          <w:rFonts w:ascii="Calibri Light" w:hAnsi="Calibri Light" w:cs="Calibri Light"/>
          <w:sz w:val="24"/>
          <w:szCs w:val="24"/>
        </w:rPr>
        <w:t xml:space="preserve"> </w:t>
      </w:r>
      <w:r w:rsidR="006C34EE">
        <w:rPr>
          <w:rFonts w:ascii="Calibri Light" w:hAnsi="Calibri Light" w:cs="Calibri Light"/>
          <w:sz w:val="24"/>
          <w:szCs w:val="24"/>
        </w:rPr>
        <w:fldChar w:fldCharType="begin" w:fldLock="1"/>
      </w:r>
      <w:r w:rsidR="006C34EE">
        <w:rPr>
          <w:rFonts w:ascii="Calibri Light" w:hAnsi="Calibri Light" w:cs="Calibri Light"/>
          <w:sz w:val="24"/>
          <w:szCs w:val="24"/>
        </w:rPr>
        <w:instrText>ADDIN CSL_CITATION {"citationItems":[{"id":"ITEM-1","itemData":{"DOI":"10.5964/jspp.5565","author":[{"dropping-particle":"","family":"Putra","given":"Idhamsyah Eka","non-dropping-particle":"","parse-names":false,"suffix":""},{"dropping-particle":"","family":"Wagner","given":"Wolfgang","non-dropping-particle":"","parse-names":false,"suffix":""},{"dropping-particle":"","family":"Holtz","given":"Peter","non-dropping-particle":"","parse-names":false,"suffix":""},{"dropping-particle":"","family":"Rufaedah","given":"Any","non-dropping-particle":"","parse-names":false,"suffix":""}],"container-title":"Journal of Social and Political Psychology","id":"ITEM-1","issue":"1","issued":{"date-parts":[["2021"]]},"page":"69-85","title":"Accounting for a Riot: Religious Identity, Denying One's Prejudice, and the Tool of Blasphemy","type":"article-journal","volume":"9"},"uris":["http://www.mendeley.com/documents/?uuid=940c4e35-9d9c-4e6d-9216-d63aa45107fa"]}],"mendeley":{"formattedCitation":"(Putra et al., 2021)","plainTextFormattedCitation":"(Putra et al., 2021)","previouslyFormattedCitation":"(Putra et al., 2021)"},"properties":{"noteIndex":0},"schema":"https://github.com/citation-style-language/schema/raw/master/csl-citation.json"}</w:instrText>
      </w:r>
      <w:r w:rsidR="006C34EE">
        <w:rPr>
          <w:rFonts w:ascii="Calibri Light" w:hAnsi="Calibri Light" w:cs="Calibri Light"/>
          <w:sz w:val="24"/>
          <w:szCs w:val="24"/>
        </w:rPr>
        <w:fldChar w:fldCharType="separate"/>
      </w:r>
      <w:r w:rsidRPr="006C34EE" w:rsidR="006C34EE">
        <w:rPr>
          <w:rFonts w:ascii="Calibri Light" w:hAnsi="Calibri Light" w:cs="Calibri Light"/>
          <w:noProof/>
          <w:sz w:val="24"/>
          <w:szCs w:val="24"/>
        </w:rPr>
        <w:t>(Putra et al., 2021)</w:t>
      </w:r>
      <w:r w:rsidR="006C34EE">
        <w:rPr>
          <w:rFonts w:ascii="Calibri Light" w:hAnsi="Calibri Light" w:cs="Calibri Light"/>
          <w:sz w:val="24"/>
          <w:szCs w:val="24"/>
        </w:rPr>
        <w:fldChar w:fldCharType="end"/>
      </w:r>
      <w:r w:rsidRPr="008823EC">
        <w:rPr>
          <w:rFonts w:ascii="Calibri Light" w:hAnsi="Calibri Light" w:cs="Calibri Light"/>
          <w:sz w:val="24"/>
          <w:szCs w:val="24"/>
        </w:rPr>
        <w:t xml:space="preserve">. The utilization of blasphemy allegations for political purposes has worsened tensions and </w:t>
      </w:r>
      <w:r w:rsidRPr="008823EC">
        <w:rPr>
          <w:rFonts w:ascii="Calibri Light" w:hAnsi="Calibri Light" w:cs="Calibri Light"/>
          <w:sz w:val="24"/>
          <w:szCs w:val="24"/>
        </w:rPr>
        <w:t>deepened social rifts</w:t>
      </w:r>
      <w:r w:rsidR="006C34EE">
        <w:rPr>
          <w:rFonts w:ascii="Calibri Light" w:hAnsi="Calibri Light" w:cs="Calibri Light"/>
          <w:sz w:val="24"/>
          <w:szCs w:val="24"/>
        </w:rPr>
        <w:t xml:space="preserve"> </w:t>
      </w:r>
      <w:r w:rsidR="006C34EE">
        <w:rPr>
          <w:rFonts w:ascii="Calibri Light" w:hAnsi="Calibri Light" w:cs="Calibri Light"/>
          <w:sz w:val="24"/>
          <w:szCs w:val="24"/>
        </w:rPr>
        <w:fldChar w:fldCharType="begin" w:fldLock="1"/>
      </w:r>
      <w:r w:rsidR="00C65813">
        <w:rPr>
          <w:rFonts w:ascii="Calibri Light" w:hAnsi="Calibri Light" w:cs="Calibri Light"/>
          <w:sz w:val="24"/>
          <w:szCs w:val="24"/>
        </w:rPr>
        <w:instrText>ADDIN CSL_CITATION {"citationItems":[{"id":"ITEM-1","itemData":{"DOI":"10.15642/JIIS.2016.10.2.181-212","author":[{"dropping-particle":"","family":"Fenton","given":"Adam J.","non-dropping-particle":"","parse-names":false,"suffix":""}],"container-title":"Journal Of Indonesian Islam","id":"ITEM-1","issue":"2","issued":{"date-parts":[["2016"]]},"page":"181-212","title":"Faith, Intolerance, Violence and Bigotry: Legal and Constitutional Issues of Freedom of Religion in Indonesia","type":"article-journal","volume":"10"},"uris":["http://www.mendeley.com/documents/?uuid=e748973d-e30a-4551-a4c5-020794a2dd12"]}],"mendeley":{"formattedCitation":"(Fenton, 2016)","plainTextFormattedCitation":"(Fenton, 2016)","previouslyFormattedCitation":"(Fenton, 2016)"},"properties":{"noteIndex":0},"schema":"https://github.com/citation-style-language/schema/raw/master/csl-citation.json"}</w:instrText>
      </w:r>
      <w:r w:rsidR="006C34EE">
        <w:rPr>
          <w:rFonts w:ascii="Calibri Light" w:hAnsi="Calibri Light" w:cs="Calibri Light"/>
          <w:sz w:val="24"/>
          <w:szCs w:val="24"/>
        </w:rPr>
        <w:fldChar w:fldCharType="separate"/>
      </w:r>
      <w:r w:rsidRPr="006C34EE" w:rsidR="006C34EE">
        <w:rPr>
          <w:rFonts w:ascii="Calibri Light" w:hAnsi="Calibri Light" w:cs="Calibri Light"/>
          <w:noProof/>
          <w:sz w:val="24"/>
          <w:szCs w:val="24"/>
        </w:rPr>
        <w:t>(Fenton, 2016)</w:t>
      </w:r>
      <w:r w:rsidR="006C34EE">
        <w:rPr>
          <w:rFonts w:ascii="Calibri Light" w:hAnsi="Calibri Light" w:cs="Calibri Light"/>
          <w:sz w:val="24"/>
          <w:szCs w:val="24"/>
        </w:rPr>
        <w:fldChar w:fldCharType="end"/>
      </w:r>
      <w:r w:rsidRPr="008823EC">
        <w:rPr>
          <w:rFonts w:ascii="Calibri Light" w:hAnsi="Calibri Light" w:cs="Calibri Light"/>
          <w:sz w:val="24"/>
          <w:szCs w:val="24"/>
        </w:rPr>
        <w:t>. Additionally, the discussion on religious blasphemy in Indonesia intersects with broader societal dynamics, encompassing public devotion, social structure, and advancing religious principles</w:t>
      </w:r>
      <w:r w:rsidR="00C65813">
        <w:rPr>
          <w:rFonts w:ascii="Calibri Light" w:hAnsi="Calibri Light" w:cs="Calibri Light"/>
          <w:sz w:val="24"/>
          <w:szCs w:val="24"/>
        </w:rPr>
        <w:t xml:space="preserve"> </w:t>
      </w:r>
      <w:r w:rsidR="00C65813">
        <w:rPr>
          <w:rFonts w:ascii="Calibri Light" w:hAnsi="Calibri Light" w:cs="Calibri Light"/>
          <w:sz w:val="24"/>
          <w:szCs w:val="24"/>
        </w:rPr>
        <w:fldChar w:fldCharType="begin" w:fldLock="1"/>
      </w:r>
      <w:r w:rsidR="00C65813">
        <w:rPr>
          <w:rFonts w:ascii="Calibri Light" w:hAnsi="Calibri Light" w:cs="Calibri Light"/>
          <w:sz w:val="24"/>
          <w:szCs w:val="24"/>
        </w:rPr>
        <w:instrText>ADDIN CSL_CITATION {"citationItems":[{"id":"ITEM-1","itemData":{"DOI":"10.22146/kawistara.41169","author":[{"dropping-particle":"","family":"Epafras","given":"Leonard C.","non-dropping-particle":"","parse-names":false,"suffix":""},{"dropping-particle":"","family":"Kaunang","given":"Hendrikus P.","non-dropping-particle":"","parse-names":false,"suffix":""},{"dropping-particle":"","family":"Asri","given":"Syamsul","non-dropping-particle":"","parse-names":false,"suffix":""}],"container-title":"Jurnal Kawistara","id":"ITEM-1","issue":"2","issued":{"date-parts":[["2019"]]},"page":"220—230","title":"Religious Blasphemy and Monitory Society in Indonesian Digital Age","type":"article-journal","volume":"9"},"uris":["http://www.mendeley.com/documents/?uuid=f07bf7ab-3032-4d64-8cd3-61222b0917e0"]}],"mendeley":{"formattedCitation":"(Epafras et al., 2019)","plainTextFormattedCitation":"(Epafras et al., 2019)","previouslyFormattedCitation":"(Epafras et al., 2019)"},"properties":{"noteIndex":0},"schema":"https://github.com/citation-style-language/schema/raw/master/csl-citation.json"}</w:instrText>
      </w:r>
      <w:r w:rsidR="00C65813">
        <w:rPr>
          <w:rFonts w:ascii="Calibri Light" w:hAnsi="Calibri Light" w:cs="Calibri Light"/>
          <w:sz w:val="24"/>
          <w:szCs w:val="24"/>
        </w:rPr>
        <w:fldChar w:fldCharType="separate"/>
      </w:r>
      <w:r w:rsidRPr="00C65813" w:rsidR="00C65813">
        <w:rPr>
          <w:rFonts w:ascii="Calibri Light" w:hAnsi="Calibri Light" w:cs="Calibri Light"/>
          <w:noProof/>
          <w:sz w:val="24"/>
          <w:szCs w:val="24"/>
        </w:rPr>
        <w:t>(Epafras et al., 2019)</w:t>
      </w:r>
      <w:r w:rsidR="00C65813">
        <w:rPr>
          <w:rFonts w:ascii="Calibri Light" w:hAnsi="Calibri Light" w:cs="Calibri Light"/>
          <w:sz w:val="24"/>
          <w:szCs w:val="24"/>
        </w:rPr>
        <w:fldChar w:fldCharType="end"/>
      </w:r>
      <w:r w:rsidRPr="008823EC">
        <w:rPr>
          <w:rFonts w:ascii="Calibri Light" w:hAnsi="Calibri Light" w:cs="Calibri Light"/>
          <w:sz w:val="24"/>
          <w:szCs w:val="24"/>
        </w:rPr>
        <w:t xml:space="preserve">. In comparison to other nations, the legal framework overseeing blasphemy in Indonesia mirrors </w:t>
      </w:r>
      <w:r w:rsidRPr="008823EC">
        <w:rPr>
          <w:rFonts w:ascii="Calibri Light" w:hAnsi="Calibri Light" w:cs="Calibri Light"/>
          <w:sz w:val="24"/>
          <w:szCs w:val="24"/>
        </w:rPr>
        <w:t>a</w:t>
      </w:r>
      <w:r w:rsidRPr="008823EC">
        <w:rPr>
          <w:rFonts w:ascii="Calibri Light" w:hAnsi="Calibri Light" w:cs="Calibri Light"/>
          <w:sz w:val="24"/>
          <w:szCs w:val="24"/>
        </w:rPr>
        <w:t>n intricate interplay between legal assurance, constitutional aspects, and historical viewpoints</w:t>
      </w:r>
      <w:r w:rsidR="00C65813">
        <w:rPr>
          <w:rFonts w:ascii="Calibri Light" w:hAnsi="Calibri Light" w:cs="Calibri Light"/>
          <w:sz w:val="24"/>
          <w:szCs w:val="24"/>
        </w:rPr>
        <w:t xml:space="preserve"> </w:t>
      </w:r>
      <w:r w:rsidR="00C65813">
        <w:rPr>
          <w:rFonts w:ascii="Calibri Light" w:hAnsi="Calibri Light" w:cs="Calibri Light"/>
          <w:sz w:val="24"/>
          <w:szCs w:val="24"/>
        </w:rPr>
        <w:fldChar w:fldCharType="begin" w:fldLock="1"/>
      </w:r>
      <w:r w:rsidR="00C65813">
        <w:rPr>
          <w:rFonts w:ascii="Calibri Light" w:hAnsi="Calibri Light" w:cs="Calibri Light"/>
          <w:sz w:val="24"/>
          <w:szCs w:val="24"/>
        </w:rPr>
        <w:instrText>ADDIN CSL_CITATION {"citationItems":[{"id":"ITEM-1","itemData":{"DOI":"10.20961/bestuur.v9i1.51632","author":[{"dropping-particle":"","family":"Lintang","given":"Loresta C.","non-dropping-particle":"","parse-names":false,"suffix":""},{"dropping-particle":"","family":"Martufi","given":"Adriano","non-dropping-particle":"","parse-names":false,"suffix":""},{"dropping-particle":"","family":"Ouwerker","given":"J. W.","non-dropping-particle":"","parse-names":false,"suffix":""}],"container-title":"Bestuur","id":"ITEM-1","issue":"1","issued":{"date-parts":[["2021"]]},"page":"13-25","title":"The Alternative Concepts of Blasphemy Law in Indonesia: Legal Comparison with Ireland and Canada","type":"article-journal","volume":"9"},"uris":["http://www.mendeley.com/documents/?uuid=5ceb1d00-2e5f-4fec-a6bf-3c93c0837fdc"]}],"mendeley":{"formattedCitation":"(Lintang et al., 2021)","plainTextFormattedCitation":"(Lintang et al., 2021)","previouslyFormattedCitation":"(Lintang et al., 2021)"},"properties":{"noteIndex":0},"schema":"https://github.com/citation-style-language/schema/raw/master/csl-citation.json"}</w:instrText>
      </w:r>
      <w:r w:rsidR="00C65813">
        <w:rPr>
          <w:rFonts w:ascii="Calibri Light" w:hAnsi="Calibri Light" w:cs="Calibri Light"/>
          <w:sz w:val="24"/>
          <w:szCs w:val="24"/>
        </w:rPr>
        <w:fldChar w:fldCharType="separate"/>
      </w:r>
      <w:r w:rsidRPr="00C65813" w:rsidR="00C65813">
        <w:rPr>
          <w:rFonts w:ascii="Calibri Light" w:hAnsi="Calibri Light" w:cs="Calibri Light"/>
          <w:noProof/>
          <w:sz w:val="24"/>
          <w:szCs w:val="24"/>
        </w:rPr>
        <w:t>(Lintang et al., 2021)</w:t>
      </w:r>
      <w:r w:rsidR="00C65813">
        <w:rPr>
          <w:rFonts w:ascii="Calibri Light" w:hAnsi="Calibri Light" w:cs="Calibri Light"/>
          <w:sz w:val="24"/>
          <w:szCs w:val="24"/>
        </w:rPr>
        <w:fldChar w:fldCharType="end"/>
      </w:r>
      <w:r w:rsidRPr="008823EC">
        <w:rPr>
          <w:rFonts w:ascii="Calibri Light" w:hAnsi="Calibri Light" w:cs="Calibri Light"/>
          <w:sz w:val="24"/>
          <w:szCs w:val="24"/>
        </w:rPr>
        <w:t>. The endurance of blasphemy statutes and their enforcement in democratic Indonesia highlights the difficulties in upholding freedom of speech, religious liberties, and social concord</w:t>
      </w:r>
      <w:r w:rsidR="00C65813">
        <w:rPr>
          <w:rFonts w:ascii="Calibri Light" w:hAnsi="Calibri Light" w:cs="Calibri Light"/>
          <w:sz w:val="24"/>
          <w:szCs w:val="24"/>
        </w:rPr>
        <w:t xml:space="preserve"> </w:t>
      </w:r>
      <w:r w:rsidR="00C65813">
        <w:rPr>
          <w:rFonts w:ascii="Calibri Light" w:hAnsi="Calibri Light" w:cs="Calibri Light"/>
          <w:sz w:val="24"/>
          <w:szCs w:val="24"/>
        </w:rPr>
        <w:fldChar w:fldCharType="begin" w:fldLock="1"/>
      </w:r>
      <w:r w:rsidR="00C65813">
        <w:rPr>
          <w:rFonts w:ascii="Calibri Light" w:hAnsi="Calibri Light" w:cs="Calibri Light"/>
          <w:sz w:val="24"/>
          <w:szCs w:val="24"/>
        </w:rPr>
        <w:instrText>ADDIN CSL_CITATION {"citationItems":[{"id":"ITEM-1","itemData":{"author":[{"dropping-particle":"","family":"A'Yun","given":"Rafiqa Q.","non-dropping-particle":"","parse-names":false,"suffix":""}],"container-title":"Indonesia","id":"ITEM-1","issue":"112","issued":{"date-parts":[["2021"]]},"page":"1-29","title":"Religion at the Ballot Box: The Politics of Indonesia’s Blasphemy Laws","type":"article-journal"},"uris":["http://www.mendeley.com/documents/?uuid=51c33e56-65c9-4aba-aedc-2124ce02f731"]}],"mendeley":{"formattedCitation":"(A’Yun, 2021)","plainTextFormattedCitation":"(A’Yun, 2021)","previouslyFormattedCitation":"(A’Yun, 2021)"},"properties":{"noteIndex":0},"schema":"https://github.com/citation-style-language/schema/raw/master/csl-citation.json"}</w:instrText>
      </w:r>
      <w:r w:rsidR="00C65813">
        <w:rPr>
          <w:rFonts w:ascii="Calibri Light" w:hAnsi="Calibri Light" w:cs="Calibri Light"/>
          <w:sz w:val="24"/>
          <w:szCs w:val="24"/>
        </w:rPr>
        <w:fldChar w:fldCharType="separate"/>
      </w:r>
      <w:r w:rsidRPr="00C65813" w:rsidR="00C65813">
        <w:rPr>
          <w:rFonts w:ascii="Calibri Light" w:hAnsi="Calibri Light" w:cs="Calibri Light"/>
          <w:noProof/>
          <w:sz w:val="24"/>
          <w:szCs w:val="24"/>
        </w:rPr>
        <w:t>(A’Yun, 2021)</w:t>
      </w:r>
      <w:r w:rsidR="00C65813">
        <w:rPr>
          <w:rFonts w:ascii="Calibri Light" w:hAnsi="Calibri Light" w:cs="Calibri Light"/>
          <w:sz w:val="24"/>
          <w:szCs w:val="24"/>
        </w:rPr>
        <w:fldChar w:fldCharType="end"/>
      </w:r>
      <w:r w:rsidRPr="008823EC">
        <w:rPr>
          <w:rFonts w:ascii="Calibri Light" w:hAnsi="Calibri Light" w:cs="Calibri Light"/>
          <w:sz w:val="24"/>
          <w:szCs w:val="24"/>
        </w:rPr>
        <w:t>. Religious multiplicity and the legal consequences of blasphemy have been topics of academic investigation, illuminating the normative proposals, theological configurations, and social needs of diverse religious factions in Indonesia</w:t>
      </w:r>
      <w:r w:rsidR="008C71B2">
        <w:rPr>
          <w:rFonts w:ascii="Calibri Light" w:hAnsi="Calibri Light" w:cs="Calibri Light"/>
          <w:sz w:val="24"/>
          <w:szCs w:val="24"/>
        </w:rPr>
        <w:t xml:space="preserve"> </w:t>
      </w:r>
      <w:r w:rsidR="008C71B2">
        <w:rPr>
          <w:rFonts w:ascii="Calibri Light" w:hAnsi="Calibri Light" w:cs="Calibri Light"/>
          <w:sz w:val="24"/>
          <w:szCs w:val="24"/>
        </w:rPr>
        <w:fldChar w:fldCharType="begin" w:fldLock="1"/>
      </w:r>
      <w:r w:rsidR="009C69F5">
        <w:rPr>
          <w:rFonts w:ascii="Calibri Light" w:hAnsi="Calibri Light" w:cs="Calibri Light"/>
          <w:sz w:val="24"/>
          <w:szCs w:val="24"/>
        </w:rPr>
        <w:instrText>ADDIN CSL_CITATION {"citationItems":[{"id":"ITEM-1","itemData":{"DOI":"10.36418/jrssem.v1i9.149","author":[{"dropping-particle":"","family":"Husni","given":"Husni","non-dropping-particle":"","parse-names":false,"suffix":""},{"dropping-particle":"","family":"Zulfan","given":"Zulfan","non-dropping-particle":"","parse-names":false,"suffix":""},{"dropping-particle":"","family":"Afrizal","given":"Teuku","non-dropping-particle":"","parse-names":false,"suffix":""},{"dropping-particle":"","family":"Nurarafah","given":"Nurarafah","non-dropping-particle":"","parse-names":false,"suffix":""},{"dropping-particle":"","family":"Sumiadi","given":"Sumiadi","non-dropping-particle":"","parse-names":false,"suffix":""}],"container-title":"Journal Research of Social, Science, Economics, and Management","id":"ITEM-1","issue":"9","issued":{"date-parts":[["2022","4","16"]]},"title":"Religious Diversity and its Legal Problems","type":"article-journal","volume":"1"},"uris":["http://www.mendeley.com/documents/?uuid=415275e9-ee5d-4d60-9111-3f1c84e14637"]},{"id":"ITEM-2","itemData":{"DOI":"10.15­642/jiis.2019.13.1.96-114","author":[{"dropping-particle":"","family":"Huda","given":"Miftahul","non-dropping-particle":"","parse-names":false,"suffix":""}],"container-title":"Journal of Indonesian Islam","id":"ITEM-2","issued":{"date-parts":[["2019"]]},"title":"The Local Construction of Religious Blasphemy in East Java","type":"article-journal"},"uris":["http://www.mendeley.com/documents/?uuid=8433f146-4274-4a40-a3c4-66275d6ca4dd"]}],"mendeley":{"formattedCitation":"(Huda, 2019; Husni et al., 2022)","plainTextFormattedCitation":"(Huda, 2019; Husni et al., 2022)","previouslyFormattedCitation":"(Huda, 2019; Husni et al., 2022)"},"properties":{"noteIndex":0},"schema":"https://github.com/citation-style-language/schema/raw/master/csl-citation.json"}</w:instrText>
      </w:r>
      <w:r w:rsidR="008C71B2">
        <w:rPr>
          <w:rFonts w:ascii="Calibri Light" w:hAnsi="Calibri Light" w:cs="Calibri Light"/>
          <w:sz w:val="24"/>
          <w:szCs w:val="24"/>
        </w:rPr>
        <w:fldChar w:fldCharType="separate"/>
      </w:r>
      <w:r w:rsidRPr="008C71B2" w:rsidR="008C71B2">
        <w:rPr>
          <w:rFonts w:ascii="Calibri Light" w:hAnsi="Calibri Light" w:cs="Calibri Light"/>
          <w:noProof/>
          <w:sz w:val="24"/>
          <w:szCs w:val="24"/>
        </w:rPr>
        <w:t>(Huda, 2019; Husni et al., 2022)</w:t>
      </w:r>
      <w:r w:rsidR="008C71B2">
        <w:rPr>
          <w:rFonts w:ascii="Calibri Light" w:hAnsi="Calibri Light" w:cs="Calibri Light"/>
          <w:sz w:val="24"/>
          <w:szCs w:val="24"/>
        </w:rPr>
        <w:fldChar w:fldCharType="end"/>
      </w:r>
      <w:r w:rsidRPr="008823EC">
        <w:rPr>
          <w:rFonts w:ascii="Calibri Light" w:hAnsi="Calibri Light" w:cs="Calibri Light"/>
          <w:sz w:val="24"/>
          <w:szCs w:val="24"/>
        </w:rPr>
        <w:t>.</w:t>
      </w:r>
    </w:p>
    <w:p w:rsidR="008C71B2" w:rsidRPr="008C71B2" w:rsidP="008C71B2">
      <w:pPr>
        <w:spacing w:before="120" w:after="120"/>
        <w:ind w:left="426"/>
        <w:jc w:val="both"/>
        <w:rPr>
          <w:rFonts w:ascii="Calibri Light" w:hAnsi="Calibri Light" w:cs="Calibri Light"/>
          <w:sz w:val="24"/>
          <w:szCs w:val="24"/>
        </w:rPr>
      </w:pPr>
      <w:r w:rsidRPr="008C71B2">
        <w:rPr>
          <w:rFonts w:ascii="Calibri Light" w:hAnsi="Calibri Light" w:cs="Calibri Light"/>
          <w:sz w:val="24"/>
          <w:szCs w:val="24"/>
        </w:rPr>
        <w:t xml:space="preserve">As mentioned earlier, this paper will concentrate on an anthropological reflection on </w:t>
      </w:r>
      <w:r w:rsidRPr="00A052EF" w:rsidR="00A052EF">
        <w:rPr>
          <w:rFonts w:ascii="Calibri Light" w:hAnsi="Calibri Light" w:cs="Calibri Light"/>
          <w:i/>
          <w:iCs/>
          <w:sz w:val="24"/>
          <w:szCs w:val="24"/>
        </w:rPr>
        <w:t>Da’wah</w:t>
      </w:r>
      <w:r w:rsidRPr="008C71B2">
        <w:rPr>
          <w:rFonts w:ascii="Calibri Light" w:hAnsi="Calibri Light" w:cs="Calibri Light"/>
          <w:sz w:val="24"/>
          <w:szCs w:val="24"/>
        </w:rPr>
        <w:t xml:space="preserve"> messages in addressing issues of religious blasphemy. It is essential to delve into a historical survey dating to around 1900 to comprehend the evolution of responses to blasphemy. Researchers can track the progress of legal frameworks, social norms, and cultural perceptions regarding blasphemy by analyzing historical data, trends, and societal attitudes over time. While not all instances of religious blasphemy in Indonesia have been recorded in academic literature, I will endeavor to detect patterns in </w:t>
      </w:r>
      <w:r w:rsidRPr="00A052EF" w:rsidR="00A052EF">
        <w:rPr>
          <w:rFonts w:ascii="Calibri Light" w:hAnsi="Calibri Light" w:cs="Calibri Light"/>
          <w:i/>
          <w:iCs/>
          <w:sz w:val="24"/>
          <w:szCs w:val="24"/>
        </w:rPr>
        <w:t>Da’wah</w:t>
      </w:r>
      <w:r w:rsidRPr="008C71B2">
        <w:rPr>
          <w:rFonts w:ascii="Calibri Light" w:hAnsi="Calibri Light" w:cs="Calibri Light"/>
          <w:sz w:val="24"/>
          <w:szCs w:val="24"/>
        </w:rPr>
        <w:t xml:space="preserve"> messages about religious blasphemy. I aim to establish a historical framework by exploring the intersection between </w:t>
      </w:r>
      <w:r w:rsidRPr="00A052EF" w:rsidR="00A052EF">
        <w:rPr>
          <w:rFonts w:ascii="Calibri Light" w:hAnsi="Calibri Light" w:cs="Calibri Light"/>
          <w:i/>
          <w:iCs/>
          <w:sz w:val="24"/>
          <w:szCs w:val="24"/>
        </w:rPr>
        <w:t>Da’wah</w:t>
      </w:r>
      <w:r w:rsidRPr="008C71B2">
        <w:rPr>
          <w:rFonts w:ascii="Calibri Light" w:hAnsi="Calibri Light" w:cs="Calibri Light"/>
          <w:sz w:val="24"/>
          <w:szCs w:val="24"/>
        </w:rPr>
        <w:t xml:space="preserve"> and anti-blasphemy and assess its significance in present-day Indonesia.</w:t>
      </w:r>
    </w:p>
    <w:p w:rsidR="008C71B2" w:rsidP="008C71B2">
      <w:pPr>
        <w:spacing w:before="120" w:after="120"/>
        <w:ind w:left="426"/>
        <w:jc w:val="both"/>
        <w:rPr>
          <w:rFonts w:ascii="Calibri Light" w:hAnsi="Calibri Light" w:cs="Calibri Light"/>
          <w:sz w:val="24"/>
          <w:szCs w:val="24"/>
        </w:rPr>
      </w:pPr>
      <w:r w:rsidRPr="008C71B2">
        <w:rPr>
          <w:rFonts w:ascii="Calibri Light" w:hAnsi="Calibri Light" w:cs="Calibri Light"/>
          <w:sz w:val="24"/>
          <w:szCs w:val="24"/>
        </w:rPr>
        <w:t xml:space="preserve">To address this, the paper will systematically examine the context of religious life in Indonesia from around 1900 to the 2000s. The subsequent section will explore </w:t>
      </w:r>
      <w:r w:rsidRPr="00A052EF" w:rsidR="00A052EF">
        <w:rPr>
          <w:rFonts w:ascii="Calibri Light" w:hAnsi="Calibri Light" w:cs="Calibri Light"/>
          <w:i/>
          <w:iCs/>
          <w:sz w:val="24"/>
          <w:szCs w:val="24"/>
        </w:rPr>
        <w:t>Da’wah</w:t>
      </w:r>
      <w:r w:rsidRPr="008C71B2">
        <w:rPr>
          <w:rFonts w:ascii="Calibri Light" w:hAnsi="Calibri Light" w:cs="Calibri Light"/>
          <w:sz w:val="24"/>
          <w:szCs w:val="24"/>
        </w:rPr>
        <w:t xml:space="preserve">'s movements and their focal points during these periods. Subsequently, I will delve into how </w:t>
      </w:r>
      <w:r w:rsidRPr="00A052EF" w:rsidR="00A052EF">
        <w:rPr>
          <w:rFonts w:ascii="Calibri Light" w:hAnsi="Calibri Light" w:cs="Calibri Light"/>
          <w:i/>
          <w:iCs/>
          <w:sz w:val="24"/>
          <w:szCs w:val="24"/>
        </w:rPr>
        <w:t>Da’wah</w:t>
      </w:r>
      <w:r w:rsidRPr="008C71B2">
        <w:rPr>
          <w:rFonts w:ascii="Calibri Light" w:hAnsi="Calibri Light" w:cs="Calibri Light"/>
          <w:sz w:val="24"/>
          <w:szCs w:val="24"/>
        </w:rPr>
        <w:t xml:space="preserve"> has been employed to combat religious blasphemy and the development of </w:t>
      </w:r>
      <w:r w:rsidRPr="00A052EF" w:rsidR="00A052EF">
        <w:rPr>
          <w:rFonts w:ascii="Calibri Light" w:hAnsi="Calibri Light" w:cs="Calibri Light"/>
          <w:i/>
          <w:iCs/>
          <w:sz w:val="24"/>
          <w:szCs w:val="24"/>
        </w:rPr>
        <w:t>Da’wah</w:t>
      </w:r>
      <w:r w:rsidRPr="008C71B2">
        <w:rPr>
          <w:rFonts w:ascii="Calibri Light" w:hAnsi="Calibri Light" w:cs="Calibri Light"/>
          <w:sz w:val="24"/>
          <w:szCs w:val="24"/>
        </w:rPr>
        <w:t xml:space="preserve"> in the contemporary period.</w:t>
      </w:r>
    </w:p>
    <w:p w:rsidR="008C45DE" w:rsidRPr="00122F5F" w:rsidP="008C45DE">
      <w:pPr>
        <w:spacing w:before="120" w:after="120"/>
        <w:ind w:left="426" w:firstLine="709"/>
        <w:jc w:val="both"/>
        <w:rPr>
          <w:rFonts w:ascii="Calibri Light" w:hAnsi="Calibri Light" w:cs="Calibri Light"/>
          <w:color w:val="FF0000"/>
          <w:sz w:val="24"/>
          <w:szCs w:val="24"/>
          <w:lang w:val="id-ID"/>
        </w:rPr>
      </w:pPr>
    </w:p>
    <w:p w:rsidR="00D26ADD" w:rsidRPr="00122F5F"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611411" w:rsidRPr="00611411" w:rsidP="00611411">
      <w:pPr>
        <w:spacing w:before="120" w:after="120"/>
        <w:ind w:left="426"/>
        <w:jc w:val="both"/>
        <w:rPr>
          <w:rFonts w:ascii="Calibri Light" w:hAnsi="Calibri Light" w:cs="Calibri Light"/>
          <w:sz w:val="24"/>
          <w:szCs w:val="24"/>
        </w:rPr>
      </w:pPr>
      <w:r w:rsidRPr="00611411">
        <w:rPr>
          <w:rFonts w:ascii="Calibri Light" w:hAnsi="Calibri Light" w:cs="Calibri Light"/>
          <w:sz w:val="24"/>
          <w:szCs w:val="24"/>
        </w:rPr>
        <w:t xml:space="preserve">This study uses a qualitative approach with a descriptive-analytical method to explore </w:t>
      </w:r>
      <w:r w:rsidRPr="00A052EF" w:rsidR="00A052EF">
        <w:rPr>
          <w:rFonts w:ascii="Calibri Light" w:hAnsi="Calibri Light" w:cs="Calibri Light"/>
          <w:i/>
          <w:iCs/>
          <w:sz w:val="24"/>
          <w:szCs w:val="24"/>
        </w:rPr>
        <w:t>Da’wah</w:t>
      </w:r>
      <w:r w:rsidRPr="00611411">
        <w:rPr>
          <w:rFonts w:ascii="Calibri Light" w:hAnsi="Calibri Light" w:cs="Calibri Light"/>
          <w:sz w:val="24"/>
          <w:szCs w:val="24"/>
        </w:rPr>
        <w:t xml:space="preserve">'s role in addressing blasphemy and promoting peace in Indonesia. As a qualitative study, this study focuses on an in-depth understanding of socio-religious phenomena related to </w:t>
      </w:r>
      <w:r w:rsidRPr="00A052EF" w:rsidR="00A052EF">
        <w:rPr>
          <w:rFonts w:ascii="Calibri Light" w:hAnsi="Calibri Light" w:cs="Calibri Light"/>
          <w:i/>
          <w:iCs/>
          <w:sz w:val="24"/>
          <w:szCs w:val="24"/>
        </w:rPr>
        <w:t>Da’wah</w:t>
      </w:r>
      <w:r w:rsidRPr="00611411">
        <w:rPr>
          <w:rFonts w:ascii="Calibri Light" w:hAnsi="Calibri Light" w:cs="Calibri Light"/>
          <w:sz w:val="24"/>
          <w:szCs w:val="24"/>
        </w:rPr>
        <w:t xml:space="preserve"> strategies applied in a pluralistic society. With a descriptive design, this study aims to describe the role of </w:t>
      </w:r>
      <w:r w:rsidRPr="00A052EF" w:rsidR="00A052EF">
        <w:rPr>
          <w:rFonts w:ascii="Calibri Light" w:hAnsi="Calibri Light" w:cs="Calibri Light"/>
          <w:i/>
          <w:iCs/>
          <w:sz w:val="24"/>
          <w:szCs w:val="24"/>
        </w:rPr>
        <w:t>Da’wah</w:t>
      </w:r>
      <w:r w:rsidRPr="00611411">
        <w:rPr>
          <w:rFonts w:ascii="Calibri Light" w:hAnsi="Calibri Light" w:cs="Calibri Light"/>
          <w:sz w:val="24"/>
          <w:szCs w:val="24"/>
        </w:rPr>
        <w:t xml:space="preserve"> in detail in managing religious conflicts from a legal, social, and cultural perspective, covering historical periods from the colonial period to the modern era</w:t>
      </w:r>
      <w:r w:rsidR="002F3F4C">
        <w:rPr>
          <w:rFonts w:ascii="Calibri Light" w:hAnsi="Calibri Light" w:cs="Calibri Light"/>
          <w:sz w:val="24"/>
          <w:szCs w:val="24"/>
        </w:rPr>
        <w:t xml:space="preserve"> </w:t>
      </w:r>
      <w:r w:rsidR="002F3F4C">
        <w:rPr>
          <w:rFonts w:ascii="Calibri Light" w:hAnsi="Calibri Light" w:cs="Calibri Light"/>
          <w:sz w:val="24"/>
          <w:szCs w:val="24"/>
        </w:rPr>
        <w:fldChar w:fldCharType="begin" w:fldLock="1"/>
      </w:r>
      <w:r w:rsidR="002F3F4C">
        <w:rPr>
          <w:rFonts w:ascii="Calibri Light" w:hAnsi="Calibri Light" w:cs="Calibri Light"/>
          <w:sz w:val="24"/>
          <w:szCs w:val="24"/>
        </w:rPr>
        <w:instrText>ADDIN CSL_CITATION {"citationItems":[{"id":"ITEM-1","itemData":{"ISBN":"9786022295846","author":[{"dropping-particle":"","family":"Creswell","given":"John W.","non-dropping-particle":"","parse-names":false,"suffix":""}],"id":"ITEM-1","issued":{"date-parts":[["2019"]]},"publisher":"London: Sage Publications","publisher-place":"London","title":"Research Design: Qualitative, Quantitative, and Mixed Methods Approaches","type":"book"},"uris":["http://www.mendeley.com/documents/?uuid=e9b4e469-0345-4452-a533-50e2449e3431"]}],"mendeley":{"formattedCitation":"(Creswell, 2019)","plainTextFormattedCitation":"(Creswell, 2019)","previouslyFormattedCitation":"(Creswell, 2019)"},"properties":{"noteIndex":0},"schema":"https://github.com/citation-style-language/schema/raw/master/csl-citation.json"}</w:instrText>
      </w:r>
      <w:r w:rsidR="002F3F4C">
        <w:rPr>
          <w:rFonts w:ascii="Calibri Light" w:hAnsi="Calibri Light" w:cs="Calibri Light"/>
          <w:sz w:val="24"/>
          <w:szCs w:val="24"/>
        </w:rPr>
        <w:fldChar w:fldCharType="separate"/>
      </w:r>
      <w:r w:rsidRPr="002F3F4C" w:rsidR="002F3F4C">
        <w:rPr>
          <w:rFonts w:ascii="Calibri Light" w:hAnsi="Calibri Light" w:cs="Calibri Light"/>
          <w:noProof/>
          <w:sz w:val="24"/>
          <w:szCs w:val="24"/>
        </w:rPr>
        <w:t>(Creswell, 2019)</w:t>
      </w:r>
      <w:r w:rsidR="002F3F4C">
        <w:rPr>
          <w:rFonts w:ascii="Calibri Light" w:hAnsi="Calibri Light" w:cs="Calibri Light"/>
          <w:sz w:val="24"/>
          <w:szCs w:val="24"/>
        </w:rPr>
        <w:fldChar w:fldCharType="end"/>
      </w:r>
      <w:r w:rsidRPr="00611411">
        <w:rPr>
          <w:rFonts w:ascii="Calibri Light" w:hAnsi="Calibri Light" w:cs="Calibri Light"/>
          <w:sz w:val="24"/>
          <w:szCs w:val="24"/>
        </w:rPr>
        <w:t>.</w:t>
      </w:r>
    </w:p>
    <w:p w:rsidR="00611411" w:rsidP="00611411">
      <w:pPr>
        <w:spacing w:before="120" w:after="120"/>
        <w:ind w:left="426"/>
        <w:jc w:val="both"/>
        <w:rPr>
          <w:rFonts w:ascii="Calibri Light" w:hAnsi="Calibri Light" w:cs="Calibri Light"/>
          <w:sz w:val="24"/>
          <w:szCs w:val="24"/>
        </w:rPr>
      </w:pPr>
      <w:r w:rsidRPr="00611411">
        <w:rPr>
          <w:rFonts w:ascii="Calibri Light" w:hAnsi="Calibri Light" w:cs="Calibri Light"/>
          <w:sz w:val="24"/>
          <w:szCs w:val="24"/>
        </w:rPr>
        <w:t xml:space="preserve">The research approach combines sociological and normative perspectives. The sociological approach is used to analyze </w:t>
      </w:r>
      <w:r w:rsidRPr="00A052EF" w:rsidR="00A052EF">
        <w:rPr>
          <w:rFonts w:ascii="Calibri Light" w:hAnsi="Calibri Light" w:cs="Calibri Light"/>
          <w:i/>
          <w:iCs/>
          <w:sz w:val="24"/>
          <w:szCs w:val="24"/>
        </w:rPr>
        <w:t>Da’wah</w:t>
      </w:r>
      <w:r w:rsidRPr="00611411">
        <w:rPr>
          <w:rFonts w:ascii="Calibri Light" w:hAnsi="Calibri Light" w:cs="Calibri Light"/>
          <w:sz w:val="24"/>
          <w:szCs w:val="24"/>
        </w:rPr>
        <w:t xml:space="preserve"> as a social phenomenon that influences the dynamics of interfaith relations. Meanwhile, the normative approach views </w:t>
      </w:r>
      <w:r w:rsidRPr="00A052EF" w:rsidR="00A052EF">
        <w:rPr>
          <w:rFonts w:ascii="Calibri Light" w:hAnsi="Calibri Light" w:cs="Calibri Light"/>
          <w:i/>
          <w:iCs/>
          <w:sz w:val="24"/>
          <w:szCs w:val="24"/>
        </w:rPr>
        <w:t>Da’wah</w:t>
      </w:r>
      <w:r w:rsidRPr="00611411">
        <w:rPr>
          <w:rFonts w:ascii="Calibri Light" w:hAnsi="Calibri Light" w:cs="Calibri Light"/>
          <w:sz w:val="24"/>
          <w:szCs w:val="24"/>
        </w:rPr>
        <w:t xml:space="preserve"> as a religious activity based on Islamic law principles. Combining these two approaches allows the study to understand the role of </w:t>
      </w:r>
      <w:r w:rsidRPr="00A052EF" w:rsidR="00A052EF">
        <w:rPr>
          <w:rFonts w:ascii="Calibri Light" w:hAnsi="Calibri Light" w:cs="Calibri Light"/>
          <w:i/>
          <w:iCs/>
          <w:sz w:val="24"/>
          <w:szCs w:val="24"/>
        </w:rPr>
        <w:t>Da’wah</w:t>
      </w:r>
      <w:r w:rsidRPr="00611411">
        <w:rPr>
          <w:rFonts w:ascii="Calibri Light" w:hAnsi="Calibri Light" w:cs="Calibri Light"/>
          <w:sz w:val="24"/>
          <w:szCs w:val="24"/>
        </w:rPr>
        <w:t xml:space="preserve"> both as a conflict mediation mechanism and as a means of strengthening religious identity.</w:t>
      </w:r>
    </w:p>
    <w:p w:rsidR="009C69F5" w:rsidRPr="009C69F5" w:rsidP="009C69F5">
      <w:pPr>
        <w:spacing w:before="120" w:after="120"/>
        <w:ind w:left="426"/>
        <w:jc w:val="both"/>
        <w:rPr>
          <w:rFonts w:ascii="Calibri Light" w:hAnsi="Calibri Light" w:cs="Calibri Light"/>
          <w:sz w:val="24"/>
          <w:szCs w:val="24"/>
        </w:rPr>
      </w:pPr>
      <w:r w:rsidRPr="009C69F5">
        <w:rPr>
          <w:rFonts w:ascii="Calibri Light" w:hAnsi="Calibri Light" w:cs="Calibri Light"/>
          <w:sz w:val="24"/>
          <w:szCs w:val="24"/>
        </w:rPr>
        <w:t xml:space="preserve">The research data were obtained from primary and secondary sources. Primary data include in-depth interviews with religious figures, </w:t>
      </w:r>
      <w:r w:rsidRPr="00A052EF" w:rsidR="00A052EF">
        <w:rPr>
          <w:rFonts w:ascii="Calibri Light" w:hAnsi="Calibri Light" w:cs="Calibri Light"/>
          <w:i/>
          <w:iCs/>
          <w:sz w:val="24"/>
          <w:szCs w:val="24"/>
        </w:rPr>
        <w:t>Da’wah</w:t>
      </w:r>
      <w:r w:rsidRPr="009C69F5">
        <w:rPr>
          <w:rFonts w:ascii="Calibri Light" w:hAnsi="Calibri Light" w:cs="Calibri Light"/>
          <w:sz w:val="24"/>
          <w:szCs w:val="24"/>
        </w:rPr>
        <w:t xml:space="preserve"> practitioners, and academics who have insight into the issue of blasphemy. Secondary data include legal documents, media reports, and related academic literature. Data was collected through three main techniques: in-depth interviews to explore informants' perspectives and experiences, document studies to understand existing regulations and practices, and literature reviews to obtain theoretical and historical overviews supporting the analysis</w:t>
      </w:r>
      <w:r w:rsidR="002F3F4C">
        <w:rPr>
          <w:rFonts w:ascii="Calibri Light" w:hAnsi="Calibri Light" w:cs="Calibri Light"/>
          <w:sz w:val="24"/>
          <w:szCs w:val="24"/>
        </w:rPr>
        <w:t xml:space="preserve"> </w:t>
      </w:r>
      <w:r w:rsidR="002F3F4C">
        <w:rPr>
          <w:rFonts w:ascii="Calibri Light" w:hAnsi="Calibri Light" w:cs="Calibri Light"/>
          <w:sz w:val="24"/>
          <w:szCs w:val="24"/>
        </w:rPr>
        <w:fldChar w:fldCharType="begin" w:fldLock="1"/>
      </w:r>
      <w:r w:rsidR="002F3F4C">
        <w:rPr>
          <w:rFonts w:ascii="Calibri Light" w:hAnsi="Calibri Light" w:cs="Calibri Light"/>
          <w:sz w:val="24"/>
          <w:szCs w:val="24"/>
        </w:rPr>
        <w:instrText>ADDIN CSL_CITATION {"citationItems":[{"id":"ITEM-1","itemData":{"author":[{"dropping-particle":"","family":"Murray","given":"M. D.","non-dropping-particle":"","parse-names":false,"suffix":""},{"dropping-particle":"","family":"Sanctis","given":"C. H.","non-dropping-particle":"De","parse-names":false,"suffix":""}],"id":"ITEM-1","issued":{"date-parts":[["2015"]]},"publisher":"Foundation Press","title":"Legal research methods (Second edition)","type":"book"},"uris":["http://www.mendeley.com/documents/?uuid=71245cd8-4f03-467f-8149-f9567d68acf9"]}],"mendeley":{"formattedCitation":"(Murray &amp; De Sanctis, 2015)","plainTextFormattedCitation":"(Murray &amp; De Sanctis, 2015)"},"properties":{"noteIndex":0},"schema":"https://github.com/citation-style-language/schema/raw/master/csl-citation.json"}</w:instrText>
      </w:r>
      <w:r w:rsidR="002F3F4C">
        <w:rPr>
          <w:rFonts w:ascii="Calibri Light" w:hAnsi="Calibri Light" w:cs="Calibri Light"/>
          <w:sz w:val="24"/>
          <w:szCs w:val="24"/>
        </w:rPr>
        <w:fldChar w:fldCharType="separate"/>
      </w:r>
      <w:r w:rsidRPr="002F3F4C" w:rsidR="002F3F4C">
        <w:rPr>
          <w:rFonts w:ascii="Calibri Light" w:hAnsi="Calibri Light" w:cs="Calibri Light"/>
          <w:noProof/>
          <w:sz w:val="24"/>
          <w:szCs w:val="24"/>
        </w:rPr>
        <w:t>(Murray &amp; De Sanctis, 2015)</w:t>
      </w:r>
      <w:r w:rsidR="002F3F4C">
        <w:rPr>
          <w:rFonts w:ascii="Calibri Light" w:hAnsi="Calibri Light" w:cs="Calibri Light"/>
          <w:sz w:val="24"/>
          <w:szCs w:val="24"/>
        </w:rPr>
        <w:fldChar w:fldCharType="end"/>
      </w:r>
      <w:r w:rsidRPr="009C69F5">
        <w:rPr>
          <w:rFonts w:ascii="Calibri Light" w:hAnsi="Calibri Light" w:cs="Calibri Light"/>
          <w:sz w:val="24"/>
          <w:szCs w:val="24"/>
        </w:rPr>
        <w:t>.</w:t>
      </w:r>
    </w:p>
    <w:p w:rsidR="009C69F5" w:rsidRPr="009C69F5" w:rsidP="009C69F5">
      <w:pPr>
        <w:spacing w:before="120" w:after="120"/>
        <w:ind w:left="426"/>
        <w:jc w:val="both"/>
        <w:rPr>
          <w:rFonts w:ascii="Calibri Light" w:hAnsi="Calibri Light" w:cs="Calibri Light"/>
          <w:sz w:val="24"/>
          <w:szCs w:val="24"/>
        </w:rPr>
      </w:pPr>
      <w:r w:rsidRPr="009C69F5">
        <w:rPr>
          <w:rFonts w:ascii="Calibri Light" w:hAnsi="Calibri Light" w:cs="Calibri Light"/>
          <w:sz w:val="24"/>
          <w:szCs w:val="24"/>
        </w:rPr>
        <w:t>Data analysis was conducted through data reduction, presentation, and conclu</w:t>
      </w:r>
      <w:r w:rsidR="002F3F4C">
        <w:rPr>
          <w:rFonts w:ascii="Calibri Light" w:hAnsi="Calibri Light" w:cs="Calibri Light"/>
          <w:sz w:val="24"/>
          <w:szCs w:val="24"/>
        </w:rPr>
        <w:t xml:space="preserve">sion </w:t>
      </w:r>
      <w:r w:rsidR="002F3F4C">
        <w:rPr>
          <w:rFonts w:ascii="Calibri Light" w:hAnsi="Calibri Light" w:cs="Calibri Light"/>
          <w:sz w:val="24"/>
          <w:szCs w:val="24"/>
        </w:rPr>
        <w:fldChar w:fldCharType="begin" w:fldLock="1"/>
      </w:r>
      <w:r w:rsidR="002F3F4C">
        <w:rPr>
          <w:rFonts w:ascii="Calibri Light" w:hAnsi="Calibri Light" w:cs="Calibri Light"/>
          <w:sz w:val="24"/>
          <w:szCs w:val="24"/>
        </w:rPr>
        <w:instrText>ADDIN CSL_CITATION {"citationItems":[{"id":"ITEM-1","itemData":{"author":[{"dropping-particle":"","family":"Miles","given":"M. B.","non-dropping-particle":"","parse-names":false,"suffix":""},{"dropping-particle":"","family":"Huberman","given":"A. M.","non-dropping-particle":"","parse-names":false,"suffix":""},{"dropping-particle":"","family":"Saldaña","given":"J.","non-dropping-particle":"","parse-names":false,"suffix":""}],"id":"ITEM-1","issued":{"date-parts":[["2014"]]},"publisher":"New York: SAGE Publications","publisher-place":"New York","title":"Qualitative Data Analysis: A Methods Sourcebook (3rd ed.)","type":"book"},"uris":["http://www.mendeley.com/documents/?uuid=34bb9544-032e-4465-95ef-050571d404c3"]}],"mendeley":{"formattedCitation":"(Miles et al., 2014)","plainTextFormattedCitation":"(Miles et al., 2014)","previouslyFormattedCitation":"(Miles et al., 2014)"},"properties":{"noteIndex":0},"schema":"https://github.com/citation-style-language/schema/raw/master/csl-citation.json"}</w:instrText>
      </w:r>
      <w:r w:rsidR="002F3F4C">
        <w:rPr>
          <w:rFonts w:ascii="Calibri Light" w:hAnsi="Calibri Light" w:cs="Calibri Light"/>
          <w:sz w:val="24"/>
          <w:szCs w:val="24"/>
        </w:rPr>
        <w:fldChar w:fldCharType="separate"/>
      </w:r>
      <w:r w:rsidRPr="002F3F4C" w:rsidR="002F3F4C">
        <w:rPr>
          <w:rFonts w:ascii="Calibri Light" w:hAnsi="Calibri Light" w:cs="Calibri Light"/>
          <w:noProof/>
          <w:sz w:val="24"/>
          <w:szCs w:val="24"/>
        </w:rPr>
        <w:t>(Miles et al., 2014)</w:t>
      </w:r>
      <w:r w:rsidR="002F3F4C">
        <w:rPr>
          <w:rFonts w:ascii="Calibri Light" w:hAnsi="Calibri Light" w:cs="Calibri Light"/>
          <w:sz w:val="24"/>
          <w:szCs w:val="24"/>
        </w:rPr>
        <w:fldChar w:fldCharType="end"/>
      </w:r>
      <w:r w:rsidRPr="009C69F5">
        <w:rPr>
          <w:rFonts w:ascii="Calibri Light" w:hAnsi="Calibri Light" w:cs="Calibri Light"/>
          <w:sz w:val="24"/>
          <w:szCs w:val="24"/>
        </w:rPr>
        <w:t xml:space="preserve">. The data obtained were summarized to identify information relevant to the focus of the research and then arranged in the form of a thematic narrative to describe patterns of the role of </w:t>
      </w:r>
      <w:r w:rsidRPr="00A052EF" w:rsidR="00A052EF">
        <w:rPr>
          <w:rFonts w:ascii="Calibri Light" w:hAnsi="Calibri Light" w:cs="Calibri Light"/>
          <w:i/>
          <w:iCs/>
          <w:sz w:val="24"/>
          <w:szCs w:val="24"/>
        </w:rPr>
        <w:t>Da’wah</w:t>
      </w:r>
      <w:r w:rsidRPr="009C69F5">
        <w:rPr>
          <w:rFonts w:ascii="Calibri Light" w:hAnsi="Calibri Light" w:cs="Calibri Light"/>
          <w:sz w:val="24"/>
          <w:szCs w:val="24"/>
        </w:rPr>
        <w:t xml:space="preserve"> in easing religious conflict. Conclusions were drawn inductively by identifying thematic relationships that emerged from the data. Data validity was ensured through source triangulation, namely comparing data from interviews, documents, and literature to ensure consistency of findings and verifying results with key informants to reduce potential interpretation bias</w:t>
      </w:r>
      <w:r w:rsidR="002F3F4C">
        <w:rPr>
          <w:rFonts w:ascii="Calibri Light" w:hAnsi="Calibri Light" w:cs="Calibri Light"/>
          <w:sz w:val="24"/>
          <w:szCs w:val="24"/>
        </w:rPr>
        <w:t xml:space="preserve"> </w:t>
      </w:r>
      <w:r w:rsidR="002F3F4C">
        <w:rPr>
          <w:rFonts w:ascii="Calibri Light" w:hAnsi="Calibri Light" w:cs="Calibri Light"/>
          <w:sz w:val="24"/>
          <w:szCs w:val="24"/>
        </w:rPr>
        <w:fldChar w:fldCharType="begin" w:fldLock="1"/>
      </w:r>
      <w:r w:rsidR="002F3F4C">
        <w:rPr>
          <w:rFonts w:ascii="Calibri Light" w:hAnsi="Calibri Light" w:cs="Calibri Light"/>
          <w:sz w:val="24"/>
          <w:szCs w:val="24"/>
        </w:rPr>
        <w:instrText>ADDIN CSL_CITATION {"citationItems":[{"id":"ITEM-1","itemData":{"author":[{"dropping-particle":"","family":"Emzir","given":"","non-dropping-particle":"","parse-names":false,"suffix":""}],"id":"ITEM-1","issued":{"date-parts":[["2014"]]},"publisher":"PT Raja Grafindo Persada","publisher-place":"Jakarta","title":"Metodologi Penelitian Kualitatif Analisis Data","type":"book"},"uris":["http://www.mendeley.com/documents/?uuid=d18bb0ee-d1c7-47ac-b4e8-4f161c708145"]}],"mendeley":{"formattedCitation":"(Emzir, 2014)","plainTextFormattedCitation":"(Emzir, 2014)","previouslyFormattedCitation":"(Emzir, 2014)"},"properties":{"noteIndex":0},"schema":"https://github.com/citation-style-language/schema/raw/master/csl-citation.json"}</w:instrText>
      </w:r>
      <w:r w:rsidR="002F3F4C">
        <w:rPr>
          <w:rFonts w:ascii="Calibri Light" w:hAnsi="Calibri Light" w:cs="Calibri Light"/>
          <w:sz w:val="24"/>
          <w:szCs w:val="24"/>
        </w:rPr>
        <w:fldChar w:fldCharType="separate"/>
      </w:r>
      <w:r w:rsidRPr="002F3F4C" w:rsidR="002F3F4C">
        <w:rPr>
          <w:rFonts w:ascii="Calibri Light" w:hAnsi="Calibri Light" w:cs="Calibri Light"/>
          <w:noProof/>
          <w:sz w:val="24"/>
          <w:szCs w:val="24"/>
        </w:rPr>
        <w:t>(Emzir, 2014)</w:t>
      </w:r>
      <w:r w:rsidR="002F3F4C">
        <w:rPr>
          <w:rFonts w:ascii="Calibri Light" w:hAnsi="Calibri Light" w:cs="Calibri Light"/>
          <w:sz w:val="24"/>
          <w:szCs w:val="24"/>
        </w:rPr>
        <w:fldChar w:fldCharType="end"/>
      </w:r>
      <w:r w:rsidRPr="009C69F5">
        <w:rPr>
          <w:rFonts w:ascii="Calibri Light" w:hAnsi="Calibri Light" w:cs="Calibri Light"/>
          <w:sz w:val="24"/>
          <w:szCs w:val="24"/>
        </w:rPr>
        <w:t>.</w:t>
      </w:r>
    </w:p>
    <w:p w:rsidR="009C69F5" w:rsidP="009C69F5">
      <w:pPr>
        <w:spacing w:before="120" w:after="120"/>
        <w:ind w:left="426"/>
        <w:jc w:val="both"/>
        <w:rPr>
          <w:rFonts w:ascii="Calibri Light" w:hAnsi="Calibri Light" w:cs="Calibri Light"/>
          <w:sz w:val="24"/>
          <w:szCs w:val="24"/>
        </w:rPr>
      </w:pPr>
      <w:r w:rsidRPr="009C69F5">
        <w:rPr>
          <w:rFonts w:ascii="Calibri Light" w:hAnsi="Calibri Light" w:cs="Calibri Light"/>
          <w:sz w:val="24"/>
          <w:szCs w:val="24"/>
        </w:rPr>
        <w:t xml:space="preserve">This comprehensive approach is designed to provide a thorough understanding of how </w:t>
      </w:r>
      <w:r w:rsidRPr="00A052EF" w:rsidR="00A052EF">
        <w:rPr>
          <w:rFonts w:ascii="Calibri Light" w:hAnsi="Calibri Light" w:cs="Calibri Light"/>
          <w:i/>
          <w:iCs/>
          <w:sz w:val="24"/>
          <w:szCs w:val="24"/>
        </w:rPr>
        <w:t>Da’wah</w:t>
      </w:r>
      <w:r w:rsidRPr="009C69F5">
        <w:rPr>
          <w:rFonts w:ascii="Calibri Light" w:hAnsi="Calibri Light" w:cs="Calibri Light"/>
          <w:sz w:val="24"/>
          <w:szCs w:val="24"/>
        </w:rPr>
        <w:t xml:space="preserve"> functions as an essential mechanism in building social harmony amid diverse Indonesian society and its relevance in the context of contemporary law and social dynamics.</w:t>
      </w:r>
    </w:p>
    <w:p w:rsidR="00F369EC" w:rsidRPr="00122F5F" w:rsidP="00F369EC">
      <w:pPr>
        <w:spacing w:before="120" w:after="120"/>
        <w:ind w:left="426"/>
        <w:jc w:val="both"/>
        <w:rPr>
          <w:rFonts w:ascii="Calibri Light" w:hAnsi="Calibri Light" w:cs="Calibri Light"/>
          <w:color w:val="FF0000"/>
          <w:sz w:val="24"/>
          <w:szCs w:val="24"/>
          <w:lang w:val="id-ID"/>
        </w:rPr>
      </w:pPr>
    </w:p>
    <w:p w:rsidR="00D26ADD" w:rsidRPr="00122F5F"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9C69F5" w:rsidRPr="009C69F5" w:rsidP="00B25EDF">
      <w:pPr>
        <w:spacing w:before="120" w:after="120"/>
        <w:ind w:left="440" w:right="-1" w:hanging="14"/>
        <w:jc w:val="both"/>
        <w:rPr>
          <w:rFonts w:ascii="Calibri Light" w:hAnsi="Calibri Light" w:cs="Calibri Light"/>
          <w:b/>
          <w:bCs/>
          <w:sz w:val="24"/>
          <w:szCs w:val="24"/>
        </w:rPr>
      </w:pPr>
      <w:r w:rsidRPr="009C69F5">
        <w:rPr>
          <w:rFonts w:ascii="Calibri Light" w:hAnsi="Calibri Light" w:cs="Calibri Light"/>
          <w:b/>
          <w:bCs/>
          <w:sz w:val="24"/>
          <w:szCs w:val="24"/>
        </w:rPr>
        <w:t>Historical Context Religious Life in Indonesia (c.1900 Onwards)</w:t>
      </w:r>
    </w:p>
    <w:p w:rsidR="009C69F5" w:rsidRPr="009C69F5" w:rsidP="009C69F5">
      <w:pPr>
        <w:spacing w:before="120" w:after="120"/>
        <w:ind w:left="440" w:right="-1" w:hanging="14"/>
        <w:jc w:val="both"/>
        <w:rPr>
          <w:rFonts w:ascii="Calibri Light" w:hAnsi="Calibri Light" w:cs="Calibri Light"/>
          <w:sz w:val="24"/>
          <w:szCs w:val="24"/>
        </w:rPr>
      </w:pPr>
      <w:r w:rsidRPr="009C69F5">
        <w:rPr>
          <w:rFonts w:ascii="Calibri Light" w:hAnsi="Calibri Light" w:cs="Calibri Light"/>
          <w:sz w:val="24"/>
          <w:szCs w:val="24"/>
        </w:rPr>
        <w:t>From 1900 to 1945, Indonesia was known as the Netherlands East Indies. The country was a melting pot of diverse cultures and traditions during this period. Islam, Christianity, Hinduism, Buddhism, and indigenous belief systems coexisted within the nation's fabric. A complex interplay of colonial policies and indigenous religious practices shaped the spiritual landscape of Indonesia during the Dutch colonial period. The Dutch colonial government implemented a dualistic education model that separated secular public schools from religious teachings, making Islamic Schooling the opposition to European schooling</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{"citationItems":[{"id":"ITEM-1","itemData":{"author":[{"dropping-particle":"","family":"Ridwan","given":"Auliya","non-dropping-particle":"","parse-names":false,"suffix":""}],"container-title":"Marâji`: Jurnal Ilmu Keislaman","id":"ITEM-1","issue":"2","issued":{"date-parts":[["2016"]]},"page":"227-247","title":"Colonial Politics of Power and Cultural Identity Development of Islamic Education Vis-a-Vis European Education in the Netherlands East Indies Periods","type":"article-journal","volume":"2"},"uris":["http://www.mendeley.com/documents/?uuid=78eed206-3b16-4943-8897-64e7ba0b0424"]}],"mendeley":{"formattedCitation":"(Ridwan, 2016)","plainTextFormattedCitation":"(Ridwan, 2016)","previouslyFormattedCitation":"(Ridwan, 2016)"},"properties":{"noteIndex":0},"schema":"https://github.com/citation-style-language/schema/raw/master/csl-citation.json"}</w:instrText>
      </w:r>
      <w:r>
        <w:rPr>
          <w:rFonts w:ascii="Calibri Light" w:hAnsi="Calibri Light" w:cs="Calibri Light"/>
          <w:sz w:val="24"/>
          <w:szCs w:val="24"/>
        </w:rPr>
        <w:fldChar w:fldCharType="separate"/>
      </w:r>
      <w:r w:rsidRPr="009C69F5">
        <w:rPr>
          <w:rFonts w:ascii="Calibri Light" w:hAnsi="Calibri Light" w:cs="Calibri Light"/>
          <w:noProof/>
          <w:sz w:val="24"/>
          <w:szCs w:val="24"/>
        </w:rPr>
        <w:t>(Ridwan, 2016)</w:t>
      </w:r>
      <w:r>
        <w:rPr>
          <w:rFonts w:ascii="Calibri Light" w:hAnsi="Calibri Light" w:cs="Calibri Light"/>
          <w:sz w:val="24"/>
          <w:szCs w:val="24"/>
        </w:rPr>
        <w:fldChar w:fldCharType="end"/>
      </w:r>
      <w:r w:rsidRPr="009C69F5">
        <w:rPr>
          <w:rFonts w:ascii="Calibri Light" w:hAnsi="Calibri Light" w:cs="Calibri Light"/>
          <w:sz w:val="24"/>
          <w:szCs w:val="24"/>
        </w:rPr>
        <w:t>. The Dutch authorities restricted the jurisdiction of religious courts except in areas concerning family law, such as marriage and inheritance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C4604B">
        <w:rPr>
          <w:rFonts w:ascii="Calibri Light" w:hAnsi="Calibri Light" w:cs="Calibri Light"/>
          <w:sz w:val="24"/>
          <w:szCs w:val="24"/>
        </w:rPr>
        <w:instrText>ADDIN CSL_CITATION {"citationItems":[{"id":"ITEM-1","itemData":{"DOI":"10.18196/iclr.v4i2.15911","author":[{"dropping-particle":"","family":"Azzahra","given":"Raihan","non-dropping-particle":"","parse-names":false,"suffix":""},{"dropping-particle":"","family":"Shuaib","given":"Farid S.","non-dropping-particle":"","parse-names":false,"suffix":""}],"container-title":"Indonesian Comparative Law Review","id":"ITEM-1","issue":"2","issued":{"date-parts":[["2022"]]},"page":"115-130","title":"Religious Courts in Indonesia and Malaysia: History, Structure, and Jurisdiction","type":"article-journal","volume":"4"},"uris":["http://www.mendeley.com/documents/?uuid=3be6ebd7-6478-487f-a729-943766ce5496"]}],"mendeley":{"formattedCitation":"(Azzahra &amp; Shuaib, 2022)","plainTextFormattedCitation":"(Azzahra &amp; Shuaib, 2022)","previouslyFormattedCitation":"(Azzahra &amp; Shuaib, 2022)"},"properties":{"noteIndex":0},"schema":"https://github.com/citation-style-language/schema/raw/master/csl-citation.json"}</w:instrText>
      </w:r>
      <w:r>
        <w:rPr>
          <w:rFonts w:ascii="Calibri Light" w:hAnsi="Calibri Light" w:cs="Calibri Light"/>
          <w:sz w:val="24"/>
          <w:szCs w:val="24"/>
        </w:rPr>
        <w:fldChar w:fldCharType="separate"/>
      </w:r>
      <w:r w:rsidRPr="009C69F5">
        <w:rPr>
          <w:rFonts w:ascii="Calibri Light" w:hAnsi="Calibri Light" w:cs="Calibri Light"/>
          <w:noProof/>
          <w:sz w:val="24"/>
          <w:szCs w:val="24"/>
        </w:rPr>
        <w:t>(Azzahra &amp; Shuaib, 2022)</w:t>
      </w:r>
      <w:r>
        <w:rPr>
          <w:rFonts w:ascii="Calibri Light" w:hAnsi="Calibri Light" w:cs="Calibri Light"/>
          <w:sz w:val="24"/>
          <w:szCs w:val="24"/>
        </w:rPr>
        <w:fldChar w:fldCharType="end"/>
      </w:r>
      <w:r w:rsidRPr="009C69F5">
        <w:rPr>
          <w:rFonts w:ascii="Calibri Light" w:hAnsi="Calibri Light" w:cs="Calibri Light"/>
          <w:sz w:val="24"/>
          <w:szCs w:val="24"/>
        </w:rPr>
        <w:t>. This restriction reflected the Dutch opposition to the formal imposition of Islamic law beyond specific domains.</w:t>
      </w:r>
    </w:p>
    <w:p w:rsidR="009C69F5" w:rsidP="009C69F5">
      <w:pPr>
        <w:spacing w:before="120" w:after="120"/>
        <w:ind w:left="440" w:right="-1" w:hanging="14"/>
        <w:jc w:val="both"/>
        <w:rPr>
          <w:rFonts w:ascii="Calibri Light" w:hAnsi="Calibri Light" w:cs="Calibri Light"/>
          <w:sz w:val="24"/>
          <w:szCs w:val="24"/>
        </w:rPr>
      </w:pPr>
      <w:r w:rsidRPr="009C69F5">
        <w:rPr>
          <w:rFonts w:ascii="Calibri Light" w:hAnsi="Calibri Light" w:cs="Calibri Light"/>
          <w:sz w:val="24"/>
          <w:szCs w:val="24"/>
        </w:rPr>
        <w:t>Scholars have emphasized the historical origins of secular-religious debates and their influence on the Indonesian national education system during the Dutch colonial period</w:t>
      </w:r>
      <w:r w:rsidR="00C4604B">
        <w:rPr>
          <w:rFonts w:ascii="Calibri Light" w:hAnsi="Calibri Light" w:cs="Calibri Light"/>
          <w:sz w:val="24"/>
          <w:szCs w:val="24"/>
        </w:rPr>
        <w:t xml:space="preserve"> </w:t>
      </w:r>
      <w:r w:rsidR="00C4604B">
        <w:rPr>
          <w:rFonts w:ascii="Calibri Light" w:hAnsi="Calibri Light" w:cs="Calibri Light"/>
          <w:sz w:val="24"/>
          <w:szCs w:val="24"/>
        </w:rPr>
        <w:fldChar w:fldCharType="begin" w:fldLock="1"/>
      </w:r>
      <w:r w:rsidR="00C4604B">
        <w:rPr>
          <w:rFonts w:ascii="Calibri Light" w:hAnsi="Calibri Light" w:cs="Calibri Light"/>
          <w:sz w:val="24"/>
          <w:szCs w:val="24"/>
        </w:rPr>
        <w:instrText>ADDIN CSL_CITATION {"citationItems":[{"id":"ITEM-1","itemData":{"DOI":"10.29333/ejecs/1200","author":[{"dropping-particle":"","family":"Suradi","given":"Ahmad","non-dropping-particle":"","parse-names":false,"suffix":""}],"container-title":"Journal of Ethnic and Cultural Studies","id":"ITEM-1","issue":"3","issued":{"date-parts":[["2022"]]},"page":"56–71","title":"The Social, Political, and Cultural Perspective of Islamic Education in Palembang Malay: A Continuous Evaluation from the Dutch Colonial Period to Today","type":"article-journal","volume":"9"},"uris":["http://www.mendeley.com/documents/?uuid=734c85ef-d9ee-4826-aa7a-a369886e2d8f"]}],"mendeley":{"formattedCitation":"(Suradi, 2022)","plainTextFormattedCitation":"(Suradi, 2022)","previouslyFormattedCitation":"(Suradi, 2022)"},"properties":{"noteIndex":0},"schema":"https://github.com/citation-style-language/schema/raw/master/csl-citation.json"}</w:instrText>
      </w:r>
      <w:r w:rsidR="00C4604B">
        <w:rPr>
          <w:rFonts w:ascii="Calibri Light" w:hAnsi="Calibri Light" w:cs="Calibri Light"/>
          <w:sz w:val="24"/>
          <w:szCs w:val="24"/>
        </w:rPr>
        <w:fldChar w:fldCharType="separate"/>
      </w:r>
      <w:r w:rsidRPr="00C4604B" w:rsidR="00C4604B">
        <w:rPr>
          <w:rFonts w:ascii="Calibri Light" w:hAnsi="Calibri Light" w:cs="Calibri Light"/>
          <w:noProof/>
          <w:sz w:val="24"/>
          <w:szCs w:val="24"/>
        </w:rPr>
        <w:t>(Suradi, 2022)</w:t>
      </w:r>
      <w:r w:rsidR="00C4604B">
        <w:rPr>
          <w:rFonts w:ascii="Calibri Light" w:hAnsi="Calibri Light" w:cs="Calibri Light"/>
          <w:sz w:val="24"/>
          <w:szCs w:val="24"/>
        </w:rPr>
        <w:fldChar w:fldCharType="end"/>
      </w:r>
      <w:r w:rsidRPr="009C69F5">
        <w:rPr>
          <w:rFonts w:ascii="Calibri Light" w:hAnsi="Calibri Light" w:cs="Calibri Light"/>
          <w:sz w:val="24"/>
          <w:szCs w:val="24"/>
        </w:rPr>
        <w:t>. The dichotomy between science and religion, institutionalized during this era, was a vestige of Dutch colonial politics</w:t>
      </w:r>
      <w:r w:rsidR="00C4604B">
        <w:rPr>
          <w:rFonts w:ascii="Calibri Light" w:hAnsi="Calibri Light" w:cs="Calibri Light"/>
          <w:sz w:val="24"/>
          <w:szCs w:val="24"/>
        </w:rPr>
        <w:t xml:space="preserve"> </w:t>
      </w:r>
      <w:r w:rsidR="00C4604B">
        <w:rPr>
          <w:rFonts w:ascii="Calibri Light" w:hAnsi="Calibri Light" w:cs="Calibri Light"/>
          <w:sz w:val="24"/>
          <w:szCs w:val="24"/>
        </w:rPr>
        <w:fldChar w:fldCharType="begin" w:fldLock="1"/>
      </w:r>
      <w:r w:rsidR="00C4604B">
        <w:rPr>
          <w:rFonts w:ascii="Calibri Light" w:hAnsi="Calibri Light" w:cs="Calibri Light"/>
          <w:sz w:val="24"/>
          <w:szCs w:val="24"/>
        </w:rPr>
        <w:instrText>ADDIN CSL_CITATION {"citationItems":[{"id":"ITEM-1","itemData":{"DOI":"10.2991/icetep-18.2019.33","ISBN":"2352-5398","author":[{"dropping-particle":"","family":"Iqbal","given":"Moch","non-dropping-particle":"","parse-names":false,"suffix":""}],"container-title":"Proceedings of the International Conference on Educational Sciences and Teacher Profession (ICETeP 2018)","id":"ITEM-1","issued":{"date-parts":[["2019","4"]]},"page":"136-140","publisher":"Atlantis Press","title":"Dualism System of Higher Education in Indonesia BT - Proceedings of the International Conference on Educational Sciences and Teacher Profession (ICETeP 2018)","type":"paper-conference"},"uris":["http://www.mendeley.com/documents/?uuid=7c5a84c1-8c05-4426-908c-feae4d540c38"]}],"mendeley":{"formattedCitation":"(Iqbal, 2019)","plainTextFormattedCitation":"(Iqbal, 2019)","previouslyFormattedCitation":"(Iqbal, 2019)"},"properties":{"noteIndex":0},"schema":"https://github.com/citation-style-language/schema/raw/master/csl-citation.json"}</w:instrText>
      </w:r>
      <w:r w:rsidR="00C4604B">
        <w:rPr>
          <w:rFonts w:ascii="Calibri Light" w:hAnsi="Calibri Light" w:cs="Calibri Light"/>
          <w:sz w:val="24"/>
          <w:szCs w:val="24"/>
        </w:rPr>
        <w:fldChar w:fldCharType="separate"/>
      </w:r>
      <w:r w:rsidRPr="00C4604B" w:rsidR="00C4604B">
        <w:rPr>
          <w:rFonts w:ascii="Calibri Light" w:hAnsi="Calibri Light" w:cs="Calibri Light"/>
          <w:noProof/>
          <w:sz w:val="24"/>
          <w:szCs w:val="24"/>
        </w:rPr>
        <w:t>(Iqbal, 2019)</w:t>
      </w:r>
      <w:r w:rsidR="00C4604B">
        <w:rPr>
          <w:rFonts w:ascii="Calibri Light" w:hAnsi="Calibri Light" w:cs="Calibri Light"/>
          <w:sz w:val="24"/>
          <w:szCs w:val="24"/>
        </w:rPr>
        <w:fldChar w:fldCharType="end"/>
      </w:r>
      <w:r w:rsidRPr="009C69F5">
        <w:rPr>
          <w:rFonts w:ascii="Calibri Light" w:hAnsi="Calibri Light" w:cs="Calibri Light"/>
          <w:sz w:val="24"/>
          <w:szCs w:val="24"/>
        </w:rPr>
        <w:t>. The Dutch colonial period also impacted the advancement of medical education in Indonesia, marked by the initiation of medical training for native youth in Jakarta in 1849</w:t>
      </w:r>
      <w:r w:rsidR="00C4604B">
        <w:rPr>
          <w:rFonts w:ascii="Calibri Light" w:hAnsi="Calibri Light" w:cs="Calibri Light"/>
          <w:sz w:val="24"/>
          <w:szCs w:val="24"/>
        </w:rPr>
        <w:t xml:space="preserve"> </w:t>
      </w:r>
      <w:r w:rsidR="00C4604B">
        <w:rPr>
          <w:rFonts w:ascii="Calibri Light" w:hAnsi="Calibri Light" w:cs="Calibri Light"/>
          <w:sz w:val="24"/>
          <w:szCs w:val="24"/>
        </w:rPr>
        <w:fldChar w:fldCharType="begin" w:fldLock="1"/>
      </w:r>
      <w:r w:rsidR="0000610E">
        <w:rPr>
          <w:rFonts w:ascii="Calibri Light" w:hAnsi="Calibri Light" w:cs="Calibri Light"/>
          <w:sz w:val="24"/>
          <w:szCs w:val="24"/>
        </w:rPr>
        <w:instrText>ADDIN CSL_CITATION {"citationItems":[{"id":"ITEM-1","itemData":{"DOI":"10.29060/TAPS.2019-4-1/GP1077","author":[{"dropping-particle":"","family":"Mustika","given":"Rita","non-dropping-particle":"","parse-names":false,"suffix":""},{"dropping-particle":"","family":"Nishigori","given":"Hiroshi","non-dropping-particle":"","parse-names":false,"suffix":""},{"dropping-particle":"","family":"Ronokusumo","given":"Sjamsuhidajat","non-dropping-particle":"","parse-names":false,"suffix":""},{"dropping-particle":"","family":"Scherpbier","given":"Albert","non-dropping-particle":"","parse-names":false,"suffix":""}],"container-title":"The Asia Pacific Scholar","id":"ITEM-1","issue":"1","issued":{"date-parts":[["2019"]]},"page":"4-8","title":"The Odyssey of Medical Education in Indonesia,","type":"article-journal","volume":"4"},"uris":["http://www.mendeley.com/documents/?uuid=3bf71a0d-d83b-4327-9533-e7837bfa3bc5"]}],"mendeley":{"formattedCitation":"(Mustika et al., 2019)","plainTextFormattedCitation":"(Mustika et al., 2019)","previouslyFormattedCitation":"(Mustika et al., 2019)"},"properties":{"noteIndex":0},"schema":"https://github.com/citation-style-language/schema/raw/master/csl-citation.json"}</w:instrText>
      </w:r>
      <w:r w:rsidR="00C4604B">
        <w:rPr>
          <w:rFonts w:ascii="Calibri Light" w:hAnsi="Calibri Light" w:cs="Calibri Light"/>
          <w:sz w:val="24"/>
          <w:szCs w:val="24"/>
        </w:rPr>
        <w:fldChar w:fldCharType="separate"/>
      </w:r>
      <w:r w:rsidRPr="00C4604B" w:rsidR="00C4604B">
        <w:rPr>
          <w:rFonts w:ascii="Calibri Light" w:hAnsi="Calibri Light" w:cs="Calibri Light"/>
          <w:noProof/>
          <w:sz w:val="24"/>
          <w:szCs w:val="24"/>
        </w:rPr>
        <w:t>(Mustika et al., 2019)</w:t>
      </w:r>
      <w:r w:rsidR="00C4604B">
        <w:rPr>
          <w:rFonts w:ascii="Calibri Light" w:hAnsi="Calibri Light" w:cs="Calibri Light"/>
          <w:sz w:val="24"/>
          <w:szCs w:val="24"/>
        </w:rPr>
        <w:fldChar w:fldCharType="end"/>
      </w:r>
      <w:r w:rsidRPr="009C69F5">
        <w:rPr>
          <w:rFonts w:ascii="Calibri Light" w:hAnsi="Calibri Light" w:cs="Calibri Light"/>
          <w:sz w:val="24"/>
          <w:szCs w:val="24"/>
        </w:rPr>
        <w:t>.</w:t>
      </w:r>
    </w:p>
    <w:p w:rsidR="0000610E" w:rsidRPr="0000610E" w:rsidP="0000610E">
      <w:pPr>
        <w:spacing w:before="120" w:after="120"/>
        <w:ind w:left="440" w:right="-1" w:hanging="14"/>
        <w:jc w:val="both"/>
        <w:rPr>
          <w:rFonts w:ascii="Calibri Light" w:hAnsi="Calibri Light" w:cs="Calibri Light"/>
          <w:sz w:val="24"/>
          <w:szCs w:val="24"/>
        </w:rPr>
      </w:pPr>
      <w:r w:rsidRPr="0000610E">
        <w:rPr>
          <w:rFonts w:ascii="Calibri Light" w:hAnsi="Calibri Light" w:cs="Calibri Light"/>
          <w:sz w:val="24"/>
          <w:szCs w:val="24"/>
        </w:rPr>
        <w:t>Furthermore, the Dutch colonial legacy extended to inheritance laws, where customary and Islamic inheritance laws coexisted alongside Dutch practices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C66FC0">
        <w:rPr>
          <w:rFonts w:ascii="Calibri Light" w:hAnsi="Calibri Light" w:cs="Calibri Light"/>
          <w:sz w:val="24"/>
          <w:szCs w:val="24"/>
        </w:rPr>
        <w:instrText>ADDIN CSL_CITATION {"citationItems":[{"id":"ITEM-1","itemData":{"DOI":"10.2991/978-2-38476-164-7_2","ISBN":"2352-5398","author":[{"dropping-particle":"","family":"Adeline","given":"Agnes Listya","non-dropping-particle":"","parse-names":false,"suffix":""},{"dropping-particle":"","family":"Rahayu","given":"Mella Ismelina Farma","non-dropping-particle":"","parse-names":false,"suffix":""}],"container-title":"Proceedings of the 3rd International Conference on Law, Governance, and Social Justice (ICoLGaS 2023)","id":"ITEM-1","issued":{"date-parts":[["2023"]]},"page":"4-16","publisher":"Atlantis Press","title":"The Existence of Inheritance in Indonesia against Customary Inheritance Law and Islamic Inheritance Law BT - Proceedings of the 3rd International Conference on Law, Governance, and Social Justice (ICoLGaS 2023)","type":"paper-conference"},"uris":["http://www.mendeley.com/documents/?uuid=f1a3e201-d159-4c8f-a58f-bb01c00d90e1"]}],"mendeley":{"formattedCitation":"(Adeline &amp; Rahayu, 2023)","plainTextFormattedCitation":"(Adeline &amp; Rahayu, 2023)","previouslyFormattedCitation":"(Adeline &amp; Rahayu, 2023)"},"properties":{"noteIndex":0},"schema":"https://github.com/citation-style-language/schema/raw/master/csl-citation.json"}</w:instrText>
      </w:r>
      <w:r>
        <w:rPr>
          <w:rFonts w:ascii="Calibri Light" w:hAnsi="Calibri Light" w:cs="Calibri Light"/>
          <w:sz w:val="24"/>
          <w:szCs w:val="24"/>
        </w:rPr>
        <w:fldChar w:fldCharType="separate"/>
      </w:r>
      <w:r w:rsidRPr="0000610E">
        <w:rPr>
          <w:rFonts w:ascii="Calibri Light" w:hAnsi="Calibri Light" w:cs="Calibri Light"/>
          <w:noProof/>
          <w:sz w:val="24"/>
          <w:szCs w:val="24"/>
        </w:rPr>
        <w:t xml:space="preserve">(Adeline &amp; Rahayu, </w:t>
      </w:r>
      <w:r w:rsidRPr="0000610E">
        <w:rPr>
          <w:rFonts w:ascii="Calibri Light" w:hAnsi="Calibri Light" w:cs="Calibri Light"/>
          <w:noProof/>
          <w:sz w:val="24"/>
          <w:szCs w:val="24"/>
        </w:rPr>
        <w:t>2023)</w:t>
      </w:r>
      <w:r>
        <w:rPr>
          <w:rFonts w:ascii="Calibri Light" w:hAnsi="Calibri Light" w:cs="Calibri Light"/>
          <w:sz w:val="24"/>
          <w:szCs w:val="24"/>
        </w:rPr>
        <w:fldChar w:fldCharType="end"/>
      </w:r>
      <w:r w:rsidRPr="0000610E">
        <w:rPr>
          <w:rFonts w:ascii="Calibri Light" w:hAnsi="Calibri Light" w:cs="Calibri Light"/>
          <w:sz w:val="24"/>
          <w:szCs w:val="24"/>
        </w:rPr>
        <w:t>. The Dutch colonial government conducted ecological mapping for the establishment of salt production centers in Indonesia, reflecting their administrative and economic interests during that time</w:t>
      </w:r>
      <w:r w:rsidR="00C66FC0">
        <w:rPr>
          <w:rFonts w:ascii="Calibri Light" w:hAnsi="Calibri Light" w:cs="Calibri Light"/>
          <w:sz w:val="24"/>
          <w:szCs w:val="24"/>
        </w:rPr>
        <w:t xml:space="preserve"> </w:t>
      </w:r>
      <w:r w:rsidR="00C66FC0">
        <w:rPr>
          <w:rFonts w:ascii="Calibri Light" w:hAnsi="Calibri Light" w:cs="Calibri Light"/>
          <w:sz w:val="24"/>
          <w:szCs w:val="24"/>
        </w:rPr>
        <w:fldChar w:fldCharType="begin" w:fldLock="1"/>
      </w:r>
      <w:r w:rsidR="00C66FC0">
        <w:rPr>
          <w:rFonts w:ascii="Calibri Light" w:hAnsi="Calibri Light" w:cs="Calibri Light"/>
          <w:sz w:val="24"/>
          <w:szCs w:val="24"/>
        </w:rPr>
        <w:instrText>ADDIN CSL_CITATION {"citationItems":[{"id":"ITEM-1","itemData":{"DOI":"10.1051/e3sconf/202131704024","author":[{"dropping-particle":"","family":"Mahasin","given":"Mohamad Z.","non-dropping-particle":"","parse-names":false,"suffix":""},{"dropping-particle":"","family":"Rochwulaningsih","given":"Yety","non-dropping-particle":"","parse-names":false,"suffix":""},{"dropping-particle":"","family":"Sulistiyono","given":"Singgih T.","non-dropping-particle":"","parse-names":false,"suffix":""}],"container-title":"E3S web of conferences; The 6th International Conference on Energy, Environment, Epidemiology, and Information System (ICENIS 2021)","id":"ITEM-1","issue":"7","issued":{"date-parts":[["2021"]]},"page":"04024","title":"Ecological Mapping for the Development of Salt Production Centres in Indonesia During the Dutch Colonial Era","type":"article-journal","volume":"317"},"uris":["http://www.mendeley.com/documents/?uuid=7107c4c1-5945-4b39-8390-1aaa6158935f"]}],"mendeley":{"formattedCitation":"(Mahasin et al., 2021)","plainTextFormattedCitation":"(Mahasin et al., 2021)","previouslyFormattedCitation":"(Mahasin et al., 2021)"},"properties":{"noteIndex":0},"schema":"https://github.com/citation-style-language/schema/raw/master/csl-citation.json"}</w:instrText>
      </w:r>
      <w:r w:rsidR="00C66FC0">
        <w:rPr>
          <w:rFonts w:ascii="Calibri Light" w:hAnsi="Calibri Light" w:cs="Calibri Light"/>
          <w:sz w:val="24"/>
          <w:szCs w:val="24"/>
        </w:rPr>
        <w:fldChar w:fldCharType="separate"/>
      </w:r>
      <w:r w:rsidRPr="00C66FC0" w:rsidR="00C66FC0">
        <w:rPr>
          <w:rFonts w:ascii="Calibri Light" w:hAnsi="Calibri Light" w:cs="Calibri Light"/>
          <w:noProof/>
          <w:sz w:val="24"/>
          <w:szCs w:val="24"/>
        </w:rPr>
        <w:t>(Mahasin et al., 2021)</w:t>
      </w:r>
      <w:r w:rsidR="00C66FC0">
        <w:rPr>
          <w:rFonts w:ascii="Calibri Light" w:hAnsi="Calibri Light" w:cs="Calibri Light"/>
          <w:sz w:val="24"/>
          <w:szCs w:val="24"/>
        </w:rPr>
        <w:fldChar w:fldCharType="end"/>
      </w:r>
      <w:r w:rsidRPr="0000610E">
        <w:rPr>
          <w:rFonts w:ascii="Calibri Light" w:hAnsi="Calibri Light" w:cs="Calibri Light"/>
          <w:sz w:val="24"/>
          <w:szCs w:val="24"/>
        </w:rPr>
        <w:t>. Additionally, representations of nature and landscape in the Dutch East Indies (colonial Indonesia) were influenced by gender, race, and European ideologies</w:t>
      </w:r>
      <w:r w:rsidR="00C66FC0">
        <w:rPr>
          <w:rFonts w:ascii="Calibri Light" w:hAnsi="Calibri Light" w:cs="Calibri Light"/>
          <w:sz w:val="24"/>
          <w:szCs w:val="24"/>
        </w:rPr>
        <w:t xml:space="preserve"> </w:t>
      </w:r>
      <w:r w:rsidR="00C66FC0">
        <w:rPr>
          <w:rFonts w:ascii="Calibri Light" w:hAnsi="Calibri Light" w:cs="Calibri Light"/>
          <w:sz w:val="24"/>
          <w:szCs w:val="24"/>
        </w:rPr>
        <w:fldChar w:fldCharType="begin" w:fldLock="1"/>
      </w:r>
      <w:r w:rsidR="00C66FC0">
        <w:rPr>
          <w:rFonts w:ascii="Calibri Light" w:hAnsi="Calibri Light" w:cs="Calibri Light"/>
          <w:sz w:val="24"/>
          <w:szCs w:val="24"/>
        </w:rPr>
        <w:instrText>ADDIN CSL_CITATION {"citationItems":[{"id":"ITEM-1","itemData":{"DOI":"10.1111/j.1468-0424.2008.00530.x","author":[{"dropping-particle":"","family":"Protschky","given":"Susanne","non-dropping-particle":"","parse-names":false,"suffix":""}],"container-title":"Gender &amp; History","id":"ITEM-1","issue":"2","issued":{"date-parts":[["2008"]]},"title":"Seductive Landscapes: Gender, Race and European Representations of Nature in the Dutch East Indies During the Late Colonial Period","type":"article-journal","volume":"20"},"uris":["http://www.mendeley.com/documents/?uuid=14a463a4-0a99-465f-88b4-af2180184853"]}],"mendeley":{"formattedCitation":"(Protschky, 2008)","plainTextFormattedCitation":"(Protschky, 2008)","previouslyFormattedCitation":"(Protschky, 2008)"},"properties":{"noteIndex":0},"schema":"https://github.com/citation-style-language/schema/raw/master/csl-citation.json"}</w:instrText>
      </w:r>
      <w:r w:rsidR="00C66FC0">
        <w:rPr>
          <w:rFonts w:ascii="Calibri Light" w:hAnsi="Calibri Light" w:cs="Calibri Light"/>
          <w:sz w:val="24"/>
          <w:szCs w:val="24"/>
        </w:rPr>
        <w:fldChar w:fldCharType="separate"/>
      </w:r>
      <w:r w:rsidRPr="00C66FC0" w:rsidR="00C66FC0">
        <w:rPr>
          <w:rFonts w:ascii="Calibri Light" w:hAnsi="Calibri Light" w:cs="Calibri Light"/>
          <w:noProof/>
          <w:sz w:val="24"/>
          <w:szCs w:val="24"/>
        </w:rPr>
        <w:t>(Protschky, 2008)</w:t>
      </w:r>
      <w:r w:rsidR="00C66FC0">
        <w:rPr>
          <w:rFonts w:ascii="Calibri Light" w:hAnsi="Calibri Light" w:cs="Calibri Light"/>
          <w:sz w:val="24"/>
          <w:szCs w:val="24"/>
        </w:rPr>
        <w:fldChar w:fldCharType="end"/>
      </w:r>
      <w:r w:rsidRPr="0000610E">
        <w:rPr>
          <w:rFonts w:ascii="Calibri Light" w:hAnsi="Calibri Light" w:cs="Calibri Light"/>
          <w:sz w:val="24"/>
          <w:szCs w:val="24"/>
        </w:rPr>
        <w:t>.</w:t>
      </w:r>
    </w:p>
    <w:p w:rsidR="0000610E" w:rsidP="0000610E">
      <w:pPr>
        <w:spacing w:before="120" w:after="120"/>
        <w:ind w:left="440" w:right="-1" w:hanging="14"/>
        <w:jc w:val="both"/>
        <w:rPr>
          <w:rFonts w:ascii="Calibri Light" w:hAnsi="Calibri Light" w:cs="Calibri Light"/>
          <w:sz w:val="24"/>
          <w:szCs w:val="24"/>
        </w:rPr>
      </w:pPr>
      <w:r w:rsidRPr="0000610E">
        <w:rPr>
          <w:rFonts w:ascii="Calibri Light" w:hAnsi="Calibri Light" w:cs="Calibri Light"/>
          <w:sz w:val="24"/>
          <w:szCs w:val="24"/>
        </w:rPr>
        <w:t>In the era of independence, religious life in Indonesia is still characterized by the diversity of religious identities intertwined with other aspects such as political dynamics and the quality of social life. The country’s shift to democracy after the downfall of the authoritarian New Order government in 1998 has led to notable transformations in the religious scenery, impacting the interplay between national and religious identities</w:t>
      </w:r>
      <w:r w:rsidR="00C66FC0">
        <w:rPr>
          <w:rFonts w:ascii="Calibri Light" w:hAnsi="Calibri Light" w:cs="Calibri Light"/>
          <w:sz w:val="24"/>
          <w:szCs w:val="24"/>
        </w:rPr>
        <w:t xml:space="preserve"> </w:t>
      </w:r>
      <w:r w:rsidR="00C66FC0">
        <w:rPr>
          <w:rFonts w:ascii="Calibri Light" w:hAnsi="Calibri Light" w:cs="Calibri Light"/>
          <w:sz w:val="24"/>
          <w:szCs w:val="24"/>
        </w:rPr>
        <w:fldChar w:fldCharType="begin" w:fldLock="1"/>
      </w:r>
      <w:r w:rsidR="007C0010">
        <w:rPr>
          <w:rFonts w:ascii="Calibri Light" w:hAnsi="Calibri Light" w:cs="Calibri Light"/>
          <w:sz w:val="24"/>
          <w:szCs w:val="24"/>
        </w:rPr>
        <w:instrText>ADDIN CSL_CITATION {"citationItems":[{"id":"ITEM-1","itemData":{"DOI":"10.1017/prp.2018.25","author":[{"dropping-particle":"","family":"Wibisono","given":"Susilo","non-dropping-particle":"","parse-names":false,"suffix":""},{"dropping-particle":"","family":"Louis","given":"Winnifred R.","non-dropping-particle":"","parse-names":false,"suffix":""},{"dropping-particle":"","family":"Jetten","given":"Jolanda","non-dropping-particle":"","parse-names":false,"suffix":""}],"container-title":"Journal of Pacific Rim Psychology","id":"ITEM-1","issued":{"date-parts":[["2019"]]},"title":"The Role of Religious Fundamentalism in the Intersection of National and Religious Identities","type":"article-journal","volume":"13"},"uris":["http://www.mendeley.com/documents/?uuid=513d480d-c10b-4583-83e1-31aa730742cc"]}],"mendeley":{"formattedCitation":"(Wibisono et al., 2019)","plainTextFormattedCitation":"(Wibisono et al., 2019)","previouslyFormattedCitation":"(Wibisono et al., 2019)"},"properties":{"noteIndex":0},"schema":"https://github.com/citation-style-language/schema/raw/master/csl-citation.json"}</w:instrText>
      </w:r>
      <w:r w:rsidR="00C66FC0">
        <w:rPr>
          <w:rFonts w:ascii="Calibri Light" w:hAnsi="Calibri Light" w:cs="Calibri Light"/>
          <w:sz w:val="24"/>
          <w:szCs w:val="24"/>
        </w:rPr>
        <w:fldChar w:fldCharType="separate"/>
      </w:r>
      <w:r w:rsidRPr="00C66FC0" w:rsidR="00C66FC0">
        <w:rPr>
          <w:rFonts w:ascii="Calibri Light" w:hAnsi="Calibri Light" w:cs="Calibri Light"/>
          <w:noProof/>
          <w:sz w:val="24"/>
          <w:szCs w:val="24"/>
        </w:rPr>
        <w:t>(Wibisono et al., 2019)</w:t>
      </w:r>
      <w:r w:rsidR="00C66FC0">
        <w:rPr>
          <w:rFonts w:ascii="Calibri Light" w:hAnsi="Calibri Light" w:cs="Calibri Light"/>
          <w:sz w:val="24"/>
          <w:szCs w:val="24"/>
        </w:rPr>
        <w:fldChar w:fldCharType="end"/>
      </w:r>
      <w:r w:rsidRPr="0000610E">
        <w:rPr>
          <w:rFonts w:ascii="Calibri Light" w:hAnsi="Calibri Light" w:cs="Calibri Light"/>
          <w:sz w:val="24"/>
          <w:szCs w:val="24"/>
        </w:rPr>
        <w:t>. The 1998 Reformasi has brought a new atmosphere to democratic life in Indonesia with reforms in the economic, legal, and political realms.</w:t>
      </w:r>
    </w:p>
    <w:p w:rsidR="007C0010" w:rsidRPr="007C0010" w:rsidP="007C0010">
      <w:pPr>
        <w:spacing w:before="120" w:after="120"/>
        <w:ind w:left="440" w:right="-1" w:hanging="14"/>
        <w:jc w:val="both"/>
        <w:rPr>
          <w:rFonts w:ascii="Calibri Light" w:hAnsi="Calibri Light" w:cs="Calibri Light"/>
          <w:sz w:val="24"/>
          <w:szCs w:val="24"/>
        </w:rPr>
      </w:pPr>
      <w:r w:rsidRPr="007C0010">
        <w:rPr>
          <w:rFonts w:ascii="Calibri Light" w:hAnsi="Calibri Light" w:cs="Calibri Light"/>
          <w:sz w:val="24"/>
          <w:szCs w:val="24"/>
        </w:rPr>
        <w:t>In the post-1998 Reform era, Indonesia experienced a shift towards greater openness in communication. This environment fostered a willingness among communities to express their identities. Individuals with religious fundamentalist beliefs have become more vocal in advocating for ideas that challenge the Indonesian constitution through an Islamic social lens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{"citationItems":[{"id":"ITEM-1","itemData":{"DOI":"10.1017/prp.2018.25","author":[{"dropping-particle":"","family":"Wibisono","given":"Susilo","non-dropping-particle":"","parse-names":false,"suffix":""},{"dropping-particle":"","family":"Louis","given":"Winnifred R.","non-dropping-particle":"","parse-names":false,"suffix":""},{"dropping-particle":"","family":"Jetten","given":"Jolanda","non-dropping-particle":"","parse-names":false,"suffix":""}],"container-title":"Journal of Pacific Rim Psychology","id":"ITEM-1","issued":{"date-parts":[["2019"]]},"title":"The Role of Religious Fundamentalism in the Intersection of National and Religious Identities","type":"article-journal","volume":"13"},"uris":["http://www.mendeley.com/documents/?uuid=513d480d-c10b-4583-83e1-31aa730742cc"]}],"mendeley":{"formattedCitation":"(Wibisono et al., 2019)","plainTextFormattedCitation":"(Wibisono et al., 2019)","previouslyFormattedCitation":"(Wibisono et al., 2019)"},"properties":{"noteIndex":0},"schema":"https://github.com/citation-style-language/schema/raw/master/csl-citation.json"}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(Wibisono et al., 2019)</w:t>
      </w:r>
      <w:r>
        <w:rPr>
          <w:rFonts w:ascii="Calibri Light" w:hAnsi="Calibri Light" w:cs="Calibri Light"/>
          <w:sz w:val="24"/>
          <w:szCs w:val="24"/>
        </w:rPr>
        <w:fldChar w:fldCharType="end"/>
      </w:r>
      <w:r w:rsidRPr="007C0010">
        <w:rPr>
          <w:rFonts w:ascii="Calibri Light" w:hAnsi="Calibri Light" w:cs="Calibri Light"/>
          <w:sz w:val="24"/>
          <w:szCs w:val="24"/>
        </w:rPr>
        <w:t>. This development ignited a nationwide dialogue on balancing the freedom to express religious beliefs with the need for national unity.</w:t>
      </w:r>
    </w:p>
    <w:p w:rsidR="007C0010" w:rsidP="007C0010">
      <w:pPr>
        <w:spacing w:before="120" w:after="120"/>
        <w:ind w:left="440" w:right="-1" w:hanging="14"/>
        <w:jc w:val="both"/>
        <w:rPr>
          <w:rFonts w:ascii="Calibri Light" w:hAnsi="Calibri Light" w:cs="Calibri Light"/>
          <w:sz w:val="24"/>
          <w:szCs w:val="24"/>
        </w:rPr>
      </w:pPr>
      <w:r w:rsidRPr="007C0010">
        <w:rPr>
          <w:rFonts w:ascii="Calibri Light" w:hAnsi="Calibri Light" w:cs="Calibri Light"/>
          <w:sz w:val="24"/>
          <w:szCs w:val="24"/>
        </w:rPr>
        <w:t>To confront the surging problems introduced by religious fundamentalist movements, the Indonesian administration is taking steps to enhance religious moderation as a tactic against radicalism. The Ministry of Religious Affairs plays a vital role in this initiative by facilitating peaceful Islamic discourse and integrating the principle of religious moderation into the educational framework</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{"citationItems":[{"id":"ITEM-1","itemData":{"DOI":"10.1558/isit.24603","author":[{"dropping-particle":"","family":"Cholil","given":"Suhadi","non-dropping-particle":"","parse-names":false,"suffix":""}],"container-title":"Interreligious Studies and Intercultural Theology","id":"ITEM-1","issue":"2","issued":{"date-parts":[["2023"]]},"page":"196-204","title":"Freedom of Religion Amid Polarization and Religious Moderation Policy","type":"article-journal","volume":"6"},"uris":["http://www.mendeley.com/documents/?uuid=3fc1bb3e-dd45-4147-a4ff-f37e32949e66"]}],"mendeley":{"formattedCitation":"(Cholil, 2023)","plainTextFormattedCitation":"(Cholil, 2023)","previouslyFormattedCitation":"(Cholil, 2023)"},"properties":{"noteIndex":0},"schema":"https://github.com/citation-style-language/schema/raw/master/csl-citation.json"}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(Cholil, 2023)</w:t>
      </w:r>
      <w:r>
        <w:rPr>
          <w:rFonts w:ascii="Calibri Light" w:hAnsi="Calibri Light" w:cs="Calibri Light"/>
          <w:sz w:val="24"/>
          <w:szCs w:val="24"/>
        </w:rPr>
        <w:fldChar w:fldCharType="end"/>
      </w:r>
      <w:r w:rsidRPr="007C0010">
        <w:rPr>
          <w:rFonts w:ascii="Calibri Light" w:hAnsi="Calibri Light" w:cs="Calibri Light"/>
          <w:sz w:val="24"/>
          <w:szCs w:val="24"/>
        </w:rPr>
        <w:t>. The primary focus of this effort is to strengthen awareness and cooperation among the extensive spectrum of religious groups in Indonesia, comprising Islam, Christianity, Hinduism, Buddhism, and Confucianism, alongside numerous traditional beliefs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10.18326/ijims.v11i2.213-241","author":[{"dropping-particle":"","family":"Nasir","given":"Muhammad","non-dropping-particle":"","parse-names":false,"suffix":""},{"dropping-particle":"","family":"Rijal","given":"Muhammad","non-dropping-particle":"","parse-names":false,"suffix":""}],"container-title":"ndonesian Journal of Islam and Muslim Societies","id":"ITEM-1","issue":"2","issued":{"date-parts":[["2021"]]},"page":"213-241","title":"Keeping the Middle Path: Mainstreaming Religious Moderation through Islamic Higher Education Institutions in Indonesia","type":"article-journal","volume":"11"},"uris":["http://www.mendeley.com/documents/?uuid=f67567aa-2b9e-4379-9675-8d71019624dd"]}],"mendeley":{"formattedCitation":"(Nasir &amp; Rijal, 2021)","plainTextFormattedCitation":"(Nasir &amp; Rijal, 2021)","previouslyFormattedCitation":"(Nasir &amp; Rijal, 2021)"},"properties":{"noteIndex":0},"schema":"https://github.com/citation-style-language/schema/raw/master/csl-citation.json"}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(Nasir &amp; Rijal, 2021)</w:t>
      </w:r>
      <w:r>
        <w:rPr>
          <w:rFonts w:ascii="Calibri Light" w:hAnsi="Calibri Light" w:cs="Calibri Light"/>
          <w:sz w:val="24"/>
          <w:szCs w:val="24"/>
        </w:rPr>
        <w:fldChar w:fldCharType="end"/>
      </w:r>
      <w:r w:rsidRPr="007C0010">
        <w:rPr>
          <w:rFonts w:ascii="Calibri Light" w:hAnsi="Calibri Light" w:cs="Calibri Light"/>
          <w:sz w:val="24"/>
          <w:szCs w:val="24"/>
        </w:rPr>
        <w:t>. This initiative seeks to manage diversity while fostering harmonious coexistence among different religious groups, reaffirming a commitment to peaceful living and mutual respect.</w:t>
      </w:r>
    </w:p>
    <w:p w:rsidR="007C0010" w:rsidRPr="007C0010" w:rsidP="007C0010">
      <w:pPr>
        <w:spacing w:before="120" w:after="120"/>
        <w:ind w:left="440" w:right="-1" w:hanging="14"/>
        <w:jc w:val="both"/>
        <w:rPr>
          <w:rFonts w:ascii="Calibri Light" w:hAnsi="Calibri Light" w:cs="Calibri Light"/>
          <w:sz w:val="24"/>
          <w:szCs w:val="24"/>
        </w:rPr>
      </w:pPr>
      <w:r w:rsidRPr="007C0010">
        <w:rPr>
          <w:rFonts w:ascii="Calibri Light" w:hAnsi="Calibri Light" w:cs="Calibri Light"/>
          <w:sz w:val="24"/>
          <w:szCs w:val="24"/>
        </w:rPr>
        <w:t>Despite efforts to advocate for religious moderation, interfaith tensions persist in post-authoritarian Indonesia, influenced by factors such as multiculturalism, political dynamics, and a history of conflict</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{"citationItems":[{"id":"ITEM-1","itemData":{"DOI":"10.7454/jp.v5i2.1013","author":[{"dropping-particle":"","family":"Regus","given":"Maksimus","non-dropping-particle":"","parse-names":false,"suffix":""}],"container-title":"Jurnal Politik","id":"ITEM-1","issue":"2","issued":{"date-parts":[["2020"]]},"title":"Interreligious Conflicts in Post-Authoritarian Indonesia: Assumptions, Causes, and Implications","type":"article-journal","volume":"5"},"uris":["http://www.mendeley.com/documents/?uuid=8258cb1f-5203-4418-a44b-961781c6cfa0"]}],"mendeley":{"formattedCitation":"(Regus, 2020)","plainTextFormattedCitation":"(Regus, 2020)","previouslyFormattedCitation":"(Regus, 2020)"},"properties":{"noteIndex":0},"schema":"https://github.com/citation-style-language/schema/raw/master/csl-citation.json"}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(Regus, 2020)</w:t>
      </w:r>
      <w:r>
        <w:rPr>
          <w:rFonts w:ascii="Calibri Light" w:hAnsi="Calibri Light" w:cs="Calibri Light"/>
          <w:sz w:val="24"/>
          <w:szCs w:val="24"/>
        </w:rPr>
        <w:fldChar w:fldCharType="end"/>
      </w:r>
      <w:r w:rsidRPr="007C0010">
        <w:rPr>
          <w:rFonts w:ascii="Calibri Light" w:hAnsi="Calibri Light" w:cs="Calibri Light"/>
          <w:sz w:val="24"/>
          <w:szCs w:val="24"/>
        </w:rPr>
        <w:t>. The intricacies of religious pluralism in Indonesia are reflected in the difficulties of managing diversity and addressing internal religious factors that ignite discord. Within the sphere of education, integrating religious tolerance into the national syllabus seeks to encourage principles of acceptance, variety, and harmonious living among school students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C50F21">
        <w:rPr>
          <w:rFonts w:ascii="Calibri Light" w:hAnsi="Calibri Light" w:cs="Calibri Light"/>
          <w:sz w:val="24"/>
          <w:szCs w:val="24"/>
        </w:rPr>
        <w:instrText>ADDIN CSL_CITATION {"citationItems":[{"id":"ITEM-1","itemData":{"author":[{"dropping-particle":"","family":"Inayatillah","given":"Inayatillah","non-dropping-particle":"","parse-names":false,"suffix":""},{"dropping-particle":"","family":"Kamaruddin","given":"Kamaruddin","non-dropping-particle":"","parse-names":false,"suffix":""},{"dropping-particle":"","family":"Anzaikhan","given":"M. A. M.","non-dropping-particle":"","parse-names":false,"suffix":""}],"container-title":"Journal of Al-Tamaddun","id":"ITEM-1","issue":"2","issued":{"date-parts":[["2022"]]},"title":"The History of Moderate Islam in Indonesia and Its Influence on the Content of National Education","type":"article-journal","volume":"17"},"uris":["http://www.mendeley.com/documents/?uuid=bec1c9b0-6729-4fc6-a4ad-b1e9593023ba"]}],"mendeley":{"formattedCitation":"(Inayatillah et al., 2022)","plainTextFormattedCitation":"(Inayatillah et al., 2022)","previouslyFormattedCitation":"(Inayatillah et al., 2022)"},"properties":{"noteIndex":0},"schema":"https://github.com/citation-style-language/schema/raw/master/csl-citation.json"}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(Inayatillah et al., 2022)</w:t>
      </w:r>
      <w:r>
        <w:rPr>
          <w:rFonts w:ascii="Calibri Light" w:hAnsi="Calibri Light" w:cs="Calibri Light"/>
          <w:sz w:val="24"/>
          <w:szCs w:val="24"/>
        </w:rPr>
        <w:fldChar w:fldCharType="end"/>
      </w:r>
      <w:r w:rsidRPr="007C0010">
        <w:rPr>
          <w:rFonts w:ascii="Calibri Light" w:hAnsi="Calibri Light" w:cs="Calibri Light"/>
          <w:sz w:val="24"/>
          <w:szCs w:val="24"/>
        </w:rPr>
        <w:t>.</w:t>
      </w:r>
    </w:p>
    <w:p w:rsidR="007C0010" w:rsidP="007C0010">
      <w:pPr>
        <w:spacing w:before="120" w:after="120"/>
        <w:ind w:left="440" w:right="-1" w:hanging="14"/>
        <w:jc w:val="both"/>
        <w:rPr>
          <w:rFonts w:ascii="Calibri Light" w:hAnsi="Calibri Light" w:cs="Calibri Light"/>
          <w:sz w:val="24"/>
          <w:szCs w:val="24"/>
        </w:rPr>
      </w:pPr>
      <w:r w:rsidRPr="007C0010">
        <w:rPr>
          <w:rFonts w:ascii="Calibri Light" w:hAnsi="Calibri Light" w:cs="Calibri Light"/>
          <w:sz w:val="24"/>
          <w:szCs w:val="24"/>
        </w:rPr>
        <w:t xml:space="preserve">Integrating moderate Islam in education exemplifies efforts to cultivate a new generation in Indonesia dedicated to fostering interfaith harmony and understanding. Ultimately, Indonesia’s religious landscape throughout the 2000s exhibited a delicate balance between religious diversity, political evolution, and social cohesion. The emergence of religious extremism, the advocacy for religious temperance, and continuous initiatives to regulate interreligious tensions underscored the evolving dynamics of religion within Indonesian society and the complexities of negotiating religious affiliations in a diverse nation. After examining the historical context and development of religious life in </w:t>
      </w:r>
      <w:r w:rsidRPr="007C0010">
        <w:rPr>
          <w:rFonts w:ascii="Calibri Light" w:hAnsi="Calibri Light" w:cs="Calibri Light"/>
          <w:sz w:val="24"/>
          <w:szCs w:val="24"/>
        </w:rPr>
        <w:t xml:space="preserve">Indonesia, the following subset discusses the emergence of </w:t>
      </w:r>
      <w:r w:rsidRPr="00A052EF" w:rsidR="00A052EF">
        <w:rPr>
          <w:rFonts w:ascii="Calibri Light" w:hAnsi="Calibri Light" w:cs="Calibri Light"/>
          <w:i/>
          <w:iCs/>
          <w:sz w:val="24"/>
          <w:szCs w:val="24"/>
        </w:rPr>
        <w:t>Da’wah</w:t>
      </w:r>
      <w:r w:rsidRPr="007C0010">
        <w:rPr>
          <w:rFonts w:ascii="Calibri Light" w:hAnsi="Calibri Light" w:cs="Calibri Light"/>
          <w:sz w:val="24"/>
          <w:szCs w:val="24"/>
        </w:rPr>
        <w:t xml:space="preserve"> movements in Indonesia from the early 20th century and how they affected the sociopolitical conditions in the archipelago.</w:t>
      </w:r>
    </w:p>
    <w:p w:rsidR="007C0010" w:rsidRPr="007C0010" w:rsidP="007C0010">
      <w:pPr>
        <w:spacing w:before="120" w:after="120"/>
        <w:ind w:left="440" w:right="-1" w:hanging="14"/>
        <w:jc w:val="both"/>
        <w:rPr>
          <w:rFonts w:ascii="Calibri Light" w:hAnsi="Calibri Light" w:cs="Calibri Light"/>
          <w:b/>
          <w:bCs/>
          <w:sz w:val="24"/>
          <w:szCs w:val="24"/>
        </w:rPr>
      </w:pPr>
      <w:r w:rsidRPr="007C0010">
        <w:rPr>
          <w:rFonts w:ascii="Calibri Light" w:hAnsi="Calibri Light" w:cs="Calibri Light"/>
          <w:b/>
          <w:bCs/>
          <w:sz w:val="24"/>
          <w:szCs w:val="24"/>
        </w:rPr>
        <w:t xml:space="preserve">The Inception of </w:t>
      </w:r>
      <w:r w:rsidRPr="00A052EF" w:rsidR="00A052EF">
        <w:rPr>
          <w:rFonts w:ascii="Calibri Light" w:hAnsi="Calibri Light" w:cs="Calibri Light"/>
          <w:b/>
          <w:bCs/>
          <w:i/>
          <w:iCs/>
          <w:sz w:val="24"/>
          <w:szCs w:val="24"/>
        </w:rPr>
        <w:t>Da’wah</w:t>
      </w:r>
      <w:r w:rsidRPr="007C0010">
        <w:rPr>
          <w:rFonts w:ascii="Calibri Light" w:hAnsi="Calibri Light" w:cs="Calibri Light"/>
          <w:b/>
          <w:bCs/>
          <w:sz w:val="24"/>
          <w:szCs w:val="24"/>
        </w:rPr>
        <w:t xml:space="preserve"> Movements in early 20th Century Indonesia</w:t>
      </w:r>
    </w:p>
    <w:p w:rsidR="00234C2D" w:rsidRPr="00234C2D" w:rsidP="00234C2D">
      <w:pPr>
        <w:spacing w:before="120" w:after="120"/>
        <w:ind w:left="440" w:right="-1" w:hanging="14"/>
        <w:jc w:val="both"/>
        <w:rPr>
          <w:rFonts w:ascii="Calibri Light" w:hAnsi="Calibri Light" w:cs="Calibri Light"/>
          <w:sz w:val="24"/>
          <w:szCs w:val="24"/>
        </w:rPr>
      </w:pPr>
      <w:r w:rsidRPr="00234C2D">
        <w:rPr>
          <w:rFonts w:ascii="Calibri Light" w:hAnsi="Calibri Light" w:cs="Calibri Light"/>
          <w:sz w:val="24"/>
          <w:szCs w:val="24"/>
        </w:rPr>
        <w:t xml:space="preserve">The rise of </w:t>
      </w:r>
      <w:r w:rsidRPr="00A052EF" w:rsidR="00A052EF">
        <w:rPr>
          <w:rFonts w:ascii="Calibri Light" w:hAnsi="Calibri Light" w:cs="Calibri Light"/>
          <w:i/>
          <w:iCs/>
          <w:sz w:val="24"/>
          <w:szCs w:val="24"/>
        </w:rPr>
        <w:t>Da’wah</w:t>
      </w:r>
      <w:r w:rsidRPr="00234C2D">
        <w:rPr>
          <w:rFonts w:ascii="Calibri Light" w:hAnsi="Calibri Light" w:cs="Calibri Light"/>
          <w:sz w:val="24"/>
          <w:szCs w:val="24"/>
        </w:rPr>
        <w:t xml:space="preserve"> activities in Indonesia can be traced back to the early 20th century. The unfavorable conditions for the Indigenous population under Dutch colonial rule, especially since implementing the </w:t>
      </w:r>
      <w:r w:rsidRPr="002F3F4C">
        <w:rPr>
          <w:rFonts w:ascii="Calibri Light" w:hAnsi="Calibri Light" w:cs="Calibri Light"/>
          <w:i/>
          <w:iCs/>
          <w:sz w:val="24"/>
          <w:szCs w:val="24"/>
        </w:rPr>
        <w:t>cultuurstelsel</w:t>
      </w:r>
      <w:r w:rsidRPr="00234C2D">
        <w:rPr>
          <w:rFonts w:ascii="Calibri Light" w:hAnsi="Calibri Light" w:cs="Calibri Light"/>
          <w:sz w:val="24"/>
          <w:szCs w:val="24"/>
        </w:rPr>
        <w:t xml:space="preserve"> system in the 19th century, gradually triggered the emergence of nationalist movements and the </w:t>
      </w:r>
      <w:r w:rsidRPr="00A052EF" w:rsidR="00A052EF">
        <w:rPr>
          <w:rFonts w:ascii="Calibri Light" w:hAnsi="Calibri Light" w:cs="Calibri Light"/>
          <w:i/>
          <w:iCs/>
          <w:sz w:val="24"/>
          <w:szCs w:val="24"/>
        </w:rPr>
        <w:t>Da’wah</w:t>
      </w:r>
      <w:r w:rsidRPr="00234C2D">
        <w:rPr>
          <w:rFonts w:ascii="Calibri Light" w:hAnsi="Calibri Light" w:cs="Calibri Light"/>
          <w:sz w:val="24"/>
          <w:szCs w:val="24"/>
        </w:rPr>
        <w:t xml:space="preserve"> movements without exception.</w:t>
      </w:r>
    </w:p>
    <w:p w:rsidR="009C69F5" w:rsidP="00234C2D">
      <w:pPr>
        <w:spacing w:before="120" w:after="120"/>
        <w:ind w:left="440" w:right="-1" w:hanging="14"/>
        <w:jc w:val="both"/>
        <w:rPr>
          <w:rFonts w:ascii="Calibri Light" w:hAnsi="Calibri Light" w:cs="Calibri Light"/>
          <w:sz w:val="24"/>
          <w:szCs w:val="24"/>
        </w:rPr>
      </w:pPr>
      <w:r w:rsidRPr="00234C2D">
        <w:rPr>
          <w:rFonts w:ascii="Calibri Light" w:hAnsi="Calibri Light" w:cs="Calibri Light"/>
          <w:sz w:val="24"/>
          <w:szCs w:val="24"/>
        </w:rPr>
        <w:t>The increasing resistance against Dutch colonial rule developed the notion of promoting Islamic values and principles in opposition to European values and system</w:t>
      </w:r>
      <w:r w:rsidR="00C50F21">
        <w:rPr>
          <w:rFonts w:ascii="Calibri Light" w:hAnsi="Calibri Light" w:cs="Calibri Light"/>
          <w:sz w:val="24"/>
          <w:szCs w:val="24"/>
        </w:rPr>
        <w:t xml:space="preserve">s </w:t>
      </w:r>
      <w:r w:rsidR="00C50F21">
        <w:rPr>
          <w:rFonts w:ascii="Calibri Light" w:hAnsi="Calibri Light" w:cs="Calibri Light"/>
          <w:sz w:val="24"/>
          <w:szCs w:val="24"/>
        </w:rPr>
        <w:fldChar w:fldCharType="begin" w:fldLock="1"/>
      </w:r>
      <w:r w:rsidR="00C50F21">
        <w:rPr>
          <w:rFonts w:ascii="Calibri Light" w:hAnsi="Calibri Light" w:cs="Calibri Light"/>
          <w:sz w:val="24"/>
          <w:szCs w:val="24"/>
        </w:rPr>
        <w:instrText>ADDIN CSL_CITATION {"citationItems":[{"id":"ITEM-1","itemData":{"author":[{"dropping-particle":"","family":"Ridwan","given":"Auliya","non-dropping-particle":"","parse-names":false,"suffix":""}],"container-title":"Marâji`: Jurnal Ilmu Keislaman","id":"ITEM-1","issue":"2","issued":{"date-parts":[["2016"]]},"page":"227-247","title":"Colonial Politics of Power and Cultural Identity Development of Islamic Education Vis-a-Vis European Education in the Netherlands East Indies Periods","type":"article-journal","volume":"2"},"uris":["http://www.mendeley.com/documents/?uuid=78eed206-3b16-4943-8897-64e7ba0b0424"]}],"mendeley":{"formattedCitation":"(Ridwan, 2016)","plainTextFormattedCitation":"(Ridwan, 2016)","previouslyFormattedCitation":"(Ridwan, 2016)"},"properties":{"noteIndex":0},"schema":"https://github.com/citation-style-language/schema/raw/master/csl-citation.json"}</w:instrText>
      </w:r>
      <w:r w:rsidR="00C50F21">
        <w:rPr>
          <w:rFonts w:ascii="Calibri Light" w:hAnsi="Calibri Light" w:cs="Calibri Light"/>
          <w:sz w:val="24"/>
          <w:szCs w:val="24"/>
        </w:rPr>
        <w:fldChar w:fldCharType="separate"/>
      </w:r>
      <w:r w:rsidRPr="00C50F21" w:rsidR="00C50F21">
        <w:rPr>
          <w:rFonts w:ascii="Calibri Light" w:hAnsi="Calibri Light" w:cs="Calibri Light"/>
          <w:noProof/>
          <w:sz w:val="24"/>
          <w:szCs w:val="24"/>
        </w:rPr>
        <w:t>(Ridwan, 2016)</w:t>
      </w:r>
      <w:r w:rsidR="00C50F21">
        <w:rPr>
          <w:rFonts w:ascii="Calibri Light" w:hAnsi="Calibri Light" w:cs="Calibri Light"/>
          <w:sz w:val="24"/>
          <w:szCs w:val="24"/>
        </w:rPr>
        <w:fldChar w:fldCharType="end"/>
      </w:r>
      <w:r w:rsidRPr="00234C2D">
        <w:rPr>
          <w:rFonts w:ascii="Calibri Light" w:hAnsi="Calibri Light" w:cs="Calibri Light"/>
          <w:sz w:val="24"/>
          <w:szCs w:val="24"/>
        </w:rPr>
        <w:t xml:space="preserve">. The oppression by the colonial government awakened Muslim social movements as a form of resistance. Organizations like </w:t>
      </w:r>
      <w:r w:rsidRPr="002F3F4C">
        <w:rPr>
          <w:rFonts w:ascii="Calibri Light" w:hAnsi="Calibri Light" w:cs="Calibri Light"/>
          <w:i/>
          <w:iCs/>
          <w:sz w:val="24"/>
          <w:szCs w:val="24"/>
        </w:rPr>
        <w:t>Sarekat</w:t>
      </w:r>
      <w:r w:rsidRPr="002F3F4C">
        <w:rPr>
          <w:rFonts w:ascii="Calibri Light" w:hAnsi="Calibri Light" w:cs="Calibri Light"/>
          <w:i/>
          <w:iCs/>
          <w:sz w:val="24"/>
          <w:szCs w:val="24"/>
        </w:rPr>
        <w:t xml:space="preserve"> </w:t>
      </w:r>
      <w:r w:rsidRPr="002F3F4C">
        <w:rPr>
          <w:rFonts w:ascii="Calibri Light" w:hAnsi="Calibri Light" w:cs="Calibri Light"/>
          <w:i/>
          <w:iCs/>
          <w:sz w:val="24"/>
          <w:szCs w:val="24"/>
        </w:rPr>
        <w:t>Dagang</w:t>
      </w:r>
      <w:r w:rsidRPr="002F3F4C">
        <w:rPr>
          <w:rFonts w:ascii="Calibri Light" w:hAnsi="Calibri Light" w:cs="Calibri Light"/>
          <w:i/>
          <w:iCs/>
          <w:sz w:val="24"/>
          <w:szCs w:val="24"/>
        </w:rPr>
        <w:t xml:space="preserve"> Islam (SDI)</w:t>
      </w:r>
      <w:r w:rsidRPr="00234C2D">
        <w:rPr>
          <w:rFonts w:ascii="Calibri Light" w:hAnsi="Calibri Light" w:cs="Calibri Light"/>
          <w:sz w:val="24"/>
          <w:szCs w:val="24"/>
        </w:rPr>
        <w:t xml:space="preserve">, which evolved into </w:t>
      </w:r>
      <w:r w:rsidRPr="002F3F4C">
        <w:rPr>
          <w:rFonts w:ascii="Calibri Light" w:hAnsi="Calibri Light" w:cs="Calibri Light"/>
          <w:i/>
          <w:iCs/>
          <w:sz w:val="24"/>
          <w:szCs w:val="24"/>
        </w:rPr>
        <w:t>Sarekat</w:t>
      </w:r>
      <w:r w:rsidRPr="002F3F4C">
        <w:rPr>
          <w:rFonts w:ascii="Calibri Light" w:hAnsi="Calibri Light" w:cs="Calibri Light"/>
          <w:i/>
          <w:iCs/>
          <w:sz w:val="24"/>
          <w:szCs w:val="24"/>
        </w:rPr>
        <w:t xml:space="preserve"> Islam (SI)</w:t>
      </w:r>
      <w:r w:rsidRPr="00234C2D">
        <w:rPr>
          <w:rFonts w:ascii="Calibri Light" w:hAnsi="Calibri Light" w:cs="Calibri Light"/>
          <w:sz w:val="24"/>
          <w:szCs w:val="24"/>
        </w:rPr>
        <w:t xml:space="preserve"> in 1906, aimed to address the challenges faced by the Muslim community and advocate for greater autonomy and recognition within the colonial framework</w:t>
      </w:r>
      <w:r w:rsidR="00C50F21">
        <w:rPr>
          <w:rFonts w:ascii="Calibri Light" w:hAnsi="Calibri Light" w:cs="Calibri Light"/>
          <w:sz w:val="24"/>
          <w:szCs w:val="24"/>
        </w:rPr>
        <w:t xml:space="preserve"> </w:t>
      </w:r>
      <w:r w:rsidR="00C50F21">
        <w:rPr>
          <w:rFonts w:ascii="Calibri Light" w:hAnsi="Calibri Light" w:cs="Calibri Light"/>
          <w:sz w:val="24"/>
          <w:szCs w:val="24"/>
        </w:rPr>
        <w:fldChar w:fldCharType="begin" w:fldLock="1"/>
      </w:r>
      <w:r w:rsidR="00C50F21">
        <w:rPr>
          <w:rFonts w:ascii="Calibri Light" w:hAnsi="Calibri Light" w:cs="Calibri Light"/>
          <w:sz w:val="24"/>
          <w:szCs w:val="24"/>
        </w:rPr>
        <w:instrText>ADDIN CSL_CITATION {"citationItems":[{"id":"ITEM-1","itemData":{"DOI":"10.15575/ijni.v7i1.4807","author":[{"dropping-particle":"","family":"Mustakif","given":"Muhammad K.","non-dropping-particle":"","parse-names":false,"suffix":""},{"dropping-particle":"","family":"Mulyati","given":"Mumung","non-dropping-particle":"","parse-names":false,"suffix":""}],"container-title":"International Journal of Nusantara Islam","id":"ITEM-1","issue":"1","issued":{"date-parts":[["2019"]]},"page":"1-17","title":"Sarekat Dagang Islam Sdi (1905-1912): Between the Savagery of Vereenigde Oostindische Compagnie (Voc) and the Independence of Indonesia","type":"article-journal","volume":"7"},"uris":["http://www.mendeley.com/documents/?uuid=68f4710e-72cd-4180-80af-7bc8950f4c9e"]}],"mendeley":{"formattedCitation":"(Mustakif &amp; Mulyati, 2019)","plainTextFormattedCitation":"(Mustakif &amp; Mulyati, 2019)","previouslyFormattedCitation":"(Mustakif &amp; Mulyati, 2019)"},"properties":{"noteIndex":0},"schema":"https://github.com/citation-style-language/schema/raw/master/csl-citation.json"}</w:instrText>
      </w:r>
      <w:r w:rsidR="00C50F21">
        <w:rPr>
          <w:rFonts w:ascii="Calibri Light" w:hAnsi="Calibri Light" w:cs="Calibri Light"/>
          <w:sz w:val="24"/>
          <w:szCs w:val="24"/>
        </w:rPr>
        <w:fldChar w:fldCharType="separate"/>
      </w:r>
      <w:r w:rsidRPr="00C50F21" w:rsidR="00C50F21">
        <w:rPr>
          <w:rFonts w:ascii="Calibri Light" w:hAnsi="Calibri Light" w:cs="Calibri Light"/>
          <w:noProof/>
          <w:sz w:val="24"/>
          <w:szCs w:val="24"/>
        </w:rPr>
        <w:t>(Mustakif &amp; Mulyati, 2019)</w:t>
      </w:r>
      <w:r w:rsidR="00C50F21">
        <w:rPr>
          <w:rFonts w:ascii="Calibri Light" w:hAnsi="Calibri Light" w:cs="Calibri Light"/>
          <w:sz w:val="24"/>
          <w:szCs w:val="24"/>
        </w:rPr>
        <w:fldChar w:fldCharType="end"/>
      </w:r>
      <w:r w:rsidRPr="00234C2D">
        <w:rPr>
          <w:rFonts w:ascii="Calibri Light" w:hAnsi="Calibri Light" w:cs="Calibri Light"/>
          <w:sz w:val="24"/>
          <w:szCs w:val="24"/>
        </w:rPr>
        <w:t xml:space="preserve">. Such an example provides an argument that the rise of these </w:t>
      </w:r>
      <w:r w:rsidRPr="00A052EF" w:rsidR="00A052EF">
        <w:rPr>
          <w:rFonts w:ascii="Calibri Light" w:hAnsi="Calibri Light" w:cs="Calibri Light"/>
          <w:i/>
          <w:iCs/>
          <w:sz w:val="24"/>
          <w:szCs w:val="24"/>
        </w:rPr>
        <w:t>Da’wah</w:t>
      </w:r>
      <w:r w:rsidRPr="00234C2D">
        <w:rPr>
          <w:rFonts w:ascii="Calibri Light" w:hAnsi="Calibri Light" w:cs="Calibri Light"/>
          <w:sz w:val="24"/>
          <w:szCs w:val="24"/>
        </w:rPr>
        <w:t xml:space="preserve"> movements was not solely a religious matter but a social one grounded in spiritual values.</w:t>
      </w:r>
    </w:p>
    <w:p w:rsidR="00C50F21" w:rsidRPr="00C50F21" w:rsidP="00C50F21">
      <w:pPr>
        <w:spacing w:before="120" w:after="120"/>
        <w:ind w:left="440" w:right="-1" w:hanging="14"/>
        <w:jc w:val="both"/>
        <w:rPr>
          <w:rFonts w:ascii="Calibri Light" w:hAnsi="Calibri Light" w:cs="Calibri Light"/>
          <w:sz w:val="24"/>
          <w:szCs w:val="24"/>
        </w:rPr>
      </w:pPr>
      <w:r w:rsidRPr="00C50F21">
        <w:rPr>
          <w:rFonts w:ascii="Calibri Light" w:hAnsi="Calibri Light" w:cs="Calibri Light"/>
          <w:sz w:val="24"/>
          <w:szCs w:val="24"/>
        </w:rPr>
        <w:t xml:space="preserve">In the early 20th century, Islamic organizations such as Muhammadiyah (1912) and </w:t>
      </w:r>
      <w:r w:rsidRPr="00C50F21">
        <w:rPr>
          <w:rFonts w:ascii="Calibri Light" w:hAnsi="Calibri Light" w:cs="Calibri Light"/>
          <w:sz w:val="24"/>
          <w:szCs w:val="24"/>
        </w:rPr>
        <w:t>Nahdlatul</w:t>
      </w:r>
      <w:r w:rsidRPr="00C50F21">
        <w:rPr>
          <w:rFonts w:ascii="Calibri Light" w:hAnsi="Calibri Light" w:cs="Calibri Light"/>
          <w:sz w:val="24"/>
          <w:szCs w:val="24"/>
        </w:rPr>
        <w:t xml:space="preserve"> Ulama (1926) were established. It reflects the merger of the social movements of Muslims, [which] emerged as a nationalist movement and endeavored to take over from the Dutch colonial administration. In his view, the tank and its cannon served only as a shapeshifter that morphed into that of the ideology espoused by the various Indigenous movements. These movements provided platforms to propagate Islamic teachings so that Muslims could bond in solidarity with one another while attempting to champion social and economic justice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{"citationItems":[{"id":"ITEM-1","itemData":{"DOI":"10.15575/jassr.v4i1.64","author":[{"dropping-particle":"","family":"Rosidin","given":"Didin Nurul","non-dropping-particle":"","parse-names":false,"suffix":""},{"dropping-particle":"","family":"Amalia","given":"Mila","non-dropping-particle":"","parse-names":false,"suffix":""},{"dropping-particle":"","family":"Sa'dudin","given":"Ihsan","non-dropping-particle":"","parse-names":false,"suffix":""},{"dropping-particle":"","family":"Safitri","given":"Eka","non-dropping-particle":"","parse-names":false,"suffix":""}],"container-title":"Journal of Asian Social Science Research","id":"ITEM-1","issue":"1","issued":{"date-parts":[["2022"]]},"page":"63-86","title":"Muslim Social Movements in Cirebon and the Emergence of National Resistance Movements Against the Dutch Colonial Government in the Early 20th Century Indonesia","type":"article-journal","volume":"4"},"uris":["http://www.mendeley.com/documents/?uuid=1c637b51-62e5-40f2-af52-4e110fc8157e"]}],"mendeley":{"formattedCitation":"(Rosidin et al., 2022)","plainTextFormattedCitation":"(Rosidin et al., 2022)","previouslyFormattedCitation":"(Rosidin et al., 2022)"},"properties":{"noteIndex":0},"schema":"https://github.com/citation-style-language/schema/raw/master/csl-citation.json"}</w:instrText>
      </w:r>
      <w:r>
        <w:rPr>
          <w:rFonts w:ascii="Calibri Light" w:hAnsi="Calibri Light" w:cs="Calibri Light"/>
          <w:sz w:val="24"/>
          <w:szCs w:val="24"/>
        </w:rPr>
        <w:fldChar w:fldCharType="separate"/>
      </w:r>
      <w:r w:rsidRPr="00C50F21">
        <w:rPr>
          <w:rFonts w:ascii="Calibri Light" w:hAnsi="Calibri Light" w:cs="Calibri Light"/>
          <w:noProof/>
          <w:sz w:val="24"/>
          <w:szCs w:val="24"/>
        </w:rPr>
        <w:t>(Rosidin et al., 2022)</w:t>
      </w:r>
      <w:r>
        <w:rPr>
          <w:rFonts w:ascii="Calibri Light" w:hAnsi="Calibri Light" w:cs="Calibri Light"/>
          <w:sz w:val="24"/>
          <w:szCs w:val="24"/>
        </w:rPr>
        <w:fldChar w:fldCharType="end"/>
      </w:r>
      <w:r w:rsidRPr="00C50F21">
        <w:rPr>
          <w:rFonts w:ascii="Calibri Light" w:hAnsi="Calibri Light" w:cs="Calibri Light"/>
          <w:sz w:val="24"/>
          <w:szCs w:val="24"/>
        </w:rPr>
        <w:t>. These thoughts mirrored a more significant awakening among Muslims in Indonesia about reaffirming their religious and cultural identity in response to colonial pressures.</w:t>
      </w:r>
    </w:p>
    <w:p w:rsidR="00C50F21" w:rsidP="00C50F21">
      <w:pPr>
        <w:spacing w:before="120" w:after="120"/>
        <w:ind w:left="440" w:right="-1" w:hanging="14"/>
        <w:jc w:val="both"/>
        <w:rPr>
          <w:rFonts w:ascii="Calibri Light" w:hAnsi="Calibri Light" w:cs="Calibri Light"/>
          <w:sz w:val="24"/>
          <w:szCs w:val="24"/>
        </w:rPr>
      </w:pPr>
      <w:r w:rsidRPr="00C50F21">
        <w:rPr>
          <w:rFonts w:ascii="Calibri Light" w:hAnsi="Calibri Light" w:cs="Calibri Light"/>
          <w:sz w:val="24"/>
          <w:szCs w:val="24"/>
        </w:rPr>
        <w:t xml:space="preserve">The contextualized </w:t>
      </w:r>
      <w:r w:rsidRPr="00A052EF" w:rsidR="00A052EF">
        <w:rPr>
          <w:rFonts w:ascii="Calibri Light" w:hAnsi="Calibri Light" w:cs="Calibri Light"/>
          <w:i/>
          <w:iCs/>
          <w:sz w:val="24"/>
          <w:szCs w:val="24"/>
        </w:rPr>
        <w:t>Da’wah</w:t>
      </w:r>
      <w:r w:rsidRPr="00C50F21">
        <w:rPr>
          <w:rFonts w:ascii="Calibri Light" w:hAnsi="Calibri Light" w:cs="Calibri Light"/>
          <w:sz w:val="24"/>
          <w:szCs w:val="24"/>
        </w:rPr>
        <w:t xml:space="preserve">, promoting Islamic values in a social-practical context, is supported by prominent Islamic scholars, activists, and institutions that were critical in promoting Islamic teachings and values during the early 20th century. One of the notable figures in the early </w:t>
      </w:r>
      <w:r w:rsidRPr="00A052EF" w:rsidR="00A052EF">
        <w:rPr>
          <w:rFonts w:ascii="Calibri Light" w:hAnsi="Calibri Light" w:cs="Calibri Light"/>
          <w:i/>
          <w:iCs/>
          <w:sz w:val="24"/>
          <w:szCs w:val="24"/>
        </w:rPr>
        <w:t>Da’wah</w:t>
      </w:r>
      <w:r w:rsidRPr="00C50F21">
        <w:rPr>
          <w:rFonts w:ascii="Calibri Light" w:hAnsi="Calibri Light" w:cs="Calibri Light"/>
          <w:sz w:val="24"/>
          <w:szCs w:val="24"/>
        </w:rPr>
        <w:t xml:space="preserve"> movement was Haji Agus Salim, a respected Muslim leader and diplomat who advocated for Islamic education and social reform.</w:t>
      </w:r>
    </w:p>
    <w:p w:rsidR="00C50F21" w:rsidRPr="00C50F21" w:rsidP="00C50F21">
      <w:pPr>
        <w:spacing w:before="120" w:after="120"/>
        <w:ind w:left="440" w:right="-1" w:hanging="14"/>
        <w:jc w:val="both"/>
        <w:rPr>
          <w:rFonts w:ascii="Calibri Light" w:hAnsi="Calibri Light" w:cs="Calibri Light"/>
          <w:sz w:val="24"/>
          <w:szCs w:val="24"/>
        </w:rPr>
      </w:pPr>
      <w:r w:rsidRPr="00C50F21">
        <w:rPr>
          <w:rFonts w:ascii="Calibri Light" w:hAnsi="Calibri Light" w:cs="Calibri Light"/>
          <w:sz w:val="24"/>
          <w:szCs w:val="24"/>
        </w:rPr>
        <w:t xml:space="preserve">In 1912, Ahmad Dahlan made Muhammadiyah a space for </w:t>
      </w:r>
      <w:r w:rsidRPr="00A052EF" w:rsidR="00A052EF">
        <w:rPr>
          <w:rFonts w:ascii="Calibri Light" w:hAnsi="Calibri Light" w:cs="Calibri Light"/>
          <w:i/>
          <w:iCs/>
          <w:sz w:val="24"/>
          <w:szCs w:val="24"/>
        </w:rPr>
        <w:t>Da’wah</w:t>
      </w:r>
      <w:r w:rsidRPr="00C50F21">
        <w:rPr>
          <w:rFonts w:ascii="Calibri Light" w:hAnsi="Calibri Light" w:cs="Calibri Light"/>
          <w:sz w:val="24"/>
          <w:szCs w:val="24"/>
        </w:rPr>
        <w:t xml:space="preserve"> and social activities emphasizing educational and societal changes founded upon Islamic principles. The group sought to improve the status of Muslims through education and social welfare. Muhammadiyah during the Dutch colonial era was crucial in advancing </w:t>
      </w:r>
      <w:r w:rsidRPr="00A052EF" w:rsidR="00A052EF">
        <w:rPr>
          <w:rFonts w:ascii="Calibri Light" w:hAnsi="Calibri Light" w:cs="Calibri Light"/>
          <w:i/>
          <w:iCs/>
          <w:sz w:val="24"/>
          <w:szCs w:val="24"/>
        </w:rPr>
        <w:t>Da’wah</w:t>
      </w:r>
      <w:r w:rsidRPr="00C50F21">
        <w:rPr>
          <w:rFonts w:ascii="Calibri Light" w:hAnsi="Calibri Light" w:cs="Calibri Light"/>
          <w:sz w:val="24"/>
          <w:szCs w:val="24"/>
        </w:rPr>
        <w:t xml:space="preserve"> and social change of their belief that Islam runs not only vis-s-à-vis worship but also through the realization of education, modernization, and social welfare according to Islamic principles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237BC8">
        <w:rPr>
          <w:rFonts w:ascii="Calibri Light" w:hAnsi="Calibri Light" w:cs="Calibri Light"/>
          <w:sz w:val="24"/>
          <w:szCs w:val="24"/>
        </w:rPr>
        <w:instrText>ADDIN CSL_CITATION {"citationItems":[{"id":"ITEM-1","itemData":{"author":[{"dropping-particle":"","family":"Alexanderson","given":"Kris","non-dropping-particle":"","parse-names":false,"suffix":""}],"id":"ITEM-1","issued":{"date-parts":[["2019"]]},"publisher":"Britania Raya: Cambridge University Press","title":"Subversive Seas: Anticolonial Networks across the Twentieth-Century Dutch Empire","type":"book"},"uris":["http://www.mendeley.com/documents/?uuid=21aa3bbf-8f8c-4a2b-a832-c92ccda794ca"]}],"mendeley":{"formattedCitation":"(Alexanderson, 2019)","plainTextFormattedCitation":"(Alexanderson, 2019)","previouslyFormattedCitation":"(Alexanderson, 2019)"},"properties":{"noteIndex":0},"schema":"https://github.com/citation-style-language/schema/raw/master/csl-citation.json"}</w:instrText>
      </w:r>
      <w:r>
        <w:rPr>
          <w:rFonts w:ascii="Calibri Light" w:hAnsi="Calibri Light" w:cs="Calibri Light"/>
          <w:sz w:val="24"/>
          <w:szCs w:val="24"/>
        </w:rPr>
        <w:fldChar w:fldCharType="separate"/>
      </w:r>
      <w:r w:rsidRPr="00C50F21">
        <w:rPr>
          <w:rFonts w:ascii="Calibri Light" w:hAnsi="Calibri Light" w:cs="Calibri Light"/>
          <w:noProof/>
          <w:sz w:val="24"/>
          <w:szCs w:val="24"/>
        </w:rPr>
        <w:t>(Alexanderson, 2019)</w:t>
      </w:r>
      <w:r>
        <w:rPr>
          <w:rFonts w:ascii="Calibri Light" w:hAnsi="Calibri Light" w:cs="Calibri Light"/>
          <w:sz w:val="24"/>
          <w:szCs w:val="24"/>
        </w:rPr>
        <w:fldChar w:fldCharType="end"/>
      </w:r>
      <w:r w:rsidRPr="00C50F21">
        <w:rPr>
          <w:rFonts w:ascii="Calibri Light" w:hAnsi="Calibri Light" w:cs="Calibri Light"/>
          <w:sz w:val="24"/>
          <w:szCs w:val="24"/>
        </w:rPr>
        <w:t>. It was designed as a counter to Dutch colonial influences by encouraging Islamic values, education, and charitable enterprise among the Indonesian Muslim population.</w:t>
      </w:r>
    </w:p>
    <w:p w:rsidR="00C50F21" w:rsidP="00C50F21">
      <w:pPr>
        <w:spacing w:before="120" w:after="120"/>
        <w:ind w:left="440" w:right="-1" w:hanging="14"/>
        <w:jc w:val="both"/>
        <w:rPr>
          <w:rFonts w:ascii="Calibri Light" w:hAnsi="Calibri Light" w:cs="Calibri Light"/>
          <w:sz w:val="24"/>
          <w:szCs w:val="24"/>
        </w:rPr>
      </w:pPr>
      <w:r w:rsidRPr="00C50F21">
        <w:rPr>
          <w:rFonts w:ascii="Calibri Light" w:hAnsi="Calibri Light" w:cs="Calibri Light"/>
          <w:sz w:val="24"/>
          <w:szCs w:val="24"/>
        </w:rPr>
        <w:t>Hadratusy</w:t>
      </w:r>
      <w:r w:rsidRPr="00C50F21">
        <w:rPr>
          <w:rFonts w:ascii="Calibri Light" w:hAnsi="Calibri Light" w:cs="Calibri Light"/>
          <w:sz w:val="24"/>
          <w:szCs w:val="24"/>
        </w:rPr>
        <w:t xml:space="preserve"> Shaikh KH established </w:t>
      </w:r>
      <w:r w:rsidRPr="00C50F21">
        <w:rPr>
          <w:rFonts w:ascii="Calibri Light" w:hAnsi="Calibri Light" w:cs="Calibri Light"/>
          <w:sz w:val="24"/>
          <w:szCs w:val="24"/>
        </w:rPr>
        <w:t>Nahdlatul</w:t>
      </w:r>
      <w:r w:rsidRPr="00C50F21">
        <w:rPr>
          <w:rFonts w:ascii="Calibri Light" w:hAnsi="Calibri Light" w:cs="Calibri Light"/>
          <w:sz w:val="24"/>
          <w:szCs w:val="24"/>
        </w:rPr>
        <w:t xml:space="preserve"> Ulama (NU). Hashim </w:t>
      </w:r>
      <w:r w:rsidRPr="00C50F21">
        <w:rPr>
          <w:rFonts w:ascii="Calibri Light" w:hAnsi="Calibri Light" w:cs="Calibri Light"/>
          <w:sz w:val="24"/>
          <w:szCs w:val="24"/>
        </w:rPr>
        <w:t>Asy’ari</w:t>
      </w:r>
      <w:r w:rsidRPr="00C50F21">
        <w:rPr>
          <w:rFonts w:ascii="Calibri Light" w:hAnsi="Calibri Light" w:cs="Calibri Light"/>
          <w:sz w:val="24"/>
          <w:szCs w:val="24"/>
        </w:rPr>
        <w:t xml:space="preserve"> in 1926 had emerged as one of Indonesia's most significant and impactful Islamic organizations. The primary emphasis of NU lies in education, alongside the preservation of community traditions and culture. During Dutch colonization, NU, in conjunction with Muhammadiyah, played a vital role in the </w:t>
      </w:r>
      <w:r w:rsidRPr="00A052EF" w:rsidR="00A052EF">
        <w:rPr>
          <w:rFonts w:ascii="Calibri Light" w:hAnsi="Calibri Light" w:cs="Calibri Light"/>
          <w:i/>
          <w:iCs/>
          <w:sz w:val="24"/>
          <w:szCs w:val="24"/>
        </w:rPr>
        <w:t>Da’wah</w:t>
      </w:r>
      <w:r w:rsidRPr="00C50F21">
        <w:rPr>
          <w:rFonts w:ascii="Calibri Light" w:hAnsi="Calibri Light" w:cs="Calibri Light"/>
          <w:sz w:val="24"/>
          <w:szCs w:val="24"/>
        </w:rPr>
        <w:t xml:space="preserve"> movement</w:t>
      </w:r>
      <w:r w:rsidR="00237BC8">
        <w:rPr>
          <w:rFonts w:ascii="Calibri Light" w:hAnsi="Calibri Light" w:cs="Calibri Light"/>
          <w:sz w:val="24"/>
          <w:szCs w:val="24"/>
        </w:rPr>
        <w:t xml:space="preserve"> </w:t>
      </w:r>
      <w:r w:rsidR="00237BC8">
        <w:rPr>
          <w:rFonts w:ascii="Calibri Light" w:hAnsi="Calibri Light" w:cs="Calibri Light"/>
          <w:sz w:val="24"/>
          <w:szCs w:val="24"/>
        </w:rPr>
        <w:fldChar w:fldCharType="begin" w:fldLock="1"/>
      </w:r>
      <w:r w:rsidR="00237BC8">
        <w:rPr>
          <w:rFonts w:ascii="Calibri Light" w:hAnsi="Calibri Light" w:cs="Calibri Light"/>
          <w:sz w:val="24"/>
          <w:szCs w:val="24"/>
        </w:rPr>
        <w:instrText>ADDIN CSL_CITATION {"citationItems":[{"id":"ITEM-1","itemData":{"DOI":"10.37812/iiej.v1i2.915","author":[{"dropping-particle":"","family":"Adawiyyah","given":"Vina Robi'atul","non-dropping-particle":"","parse-names":false,"suffix":""},{"dropping-particle":"","family":"Wati","given":"Erlina Eka","non-dropping-particle":"","parse-names":false,"suffix":""},{"dropping-particle":"","family":"Nasikhin","given":"","non-dropping-particle":"","parse-names":false,"suffix":""},{"dropping-particle":"","family":"Fihris","given":"","non-dropping-particle":"","parse-names":false,"suffix":""}],"container-title":"Indonesia Islamic Education Journal","id":"ITEM-1","issue":"2","issued":{"date-parts":[["2023"]]},"page":"104-115","title":"The Development of Indonesian Islamic Civilization During the Dutch Colonial Period","type":"article-journal","volume":"1"},"uris":["http://www.mendeley.com/documents/?uuid=dc52ed97-006b-43e5-8088-35861f5a456b"]}],"mendeley":{"formattedCitation":"(Adawiyyah et al., 2023)","plainTextFormattedCitation":"(Adawiyyah et al., 2023)","previouslyFormattedCitation":"(Adawiyyah et al., 2023)"},"properties":{"noteIndex":0},"schema":"https://github.com/citation-style-language/schema/raw/master/csl-citation.json"}</w:instrText>
      </w:r>
      <w:r w:rsidR="00237BC8">
        <w:rPr>
          <w:rFonts w:ascii="Calibri Light" w:hAnsi="Calibri Light" w:cs="Calibri Light"/>
          <w:sz w:val="24"/>
          <w:szCs w:val="24"/>
        </w:rPr>
        <w:fldChar w:fldCharType="separate"/>
      </w:r>
      <w:r w:rsidRPr="00237BC8" w:rsidR="00237BC8">
        <w:rPr>
          <w:rFonts w:ascii="Calibri Light" w:hAnsi="Calibri Light" w:cs="Calibri Light"/>
          <w:noProof/>
          <w:sz w:val="24"/>
          <w:szCs w:val="24"/>
        </w:rPr>
        <w:t>(Adawiyyah et al., 2023)</w:t>
      </w:r>
      <w:r w:rsidR="00237BC8">
        <w:rPr>
          <w:rFonts w:ascii="Calibri Light" w:hAnsi="Calibri Light" w:cs="Calibri Light"/>
          <w:sz w:val="24"/>
          <w:szCs w:val="24"/>
        </w:rPr>
        <w:fldChar w:fldCharType="end"/>
      </w:r>
      <w:r w:rsidRPr="00C50F21">
        <w:rPr>
          <w:rFonts w:ascii="Calibri Light" w:hAnsi="Calibri Light" w:cs="Calibri Light"/>
          <w:sz w:val="24"/>
          <w:szCs w:val="24"/>
        </w:rPr>
        <w:t>. Both groups have contributed substantially to disseminating Islamic teachings, enhancing social welfare, and promoting educational initiatives across Indonesia.</w:t>
      </w:r>
    </w:p>
    <w:p w:rsidR="00237BC8" w:rsidRPr="00237BC8" w:rsidP="00237BC8">
      <w:pPr>
        <w:spacing w:before="120" w:after="120"/>
        <w:ind w:left="440" w:right="-1" w:hanging="14"/>
        <w:jc w:val="both"/>
        <w:rPr>
          <w:rFonts w:ascii="Calibri Light" w:hAnsi="Calibri Light" w:cs="Calibri Light"/>
          <w:sz w:val="24"/>
          <w:szCs w:val="24"/>
        </w:rPr>
      </w:pPr>
      <w:r w:rsidRPr="00237BC8">
        <w:rPr>
          <w:rFonts w:ascii="Calibri Light" w:hAnsi="Calibri Light" w:cs="Calibri Light"/>
          <w:sz w:val="24"/>
          <w:szCs w:val="24"/>
        </w:rPr>
        <w:t>By advocating for Islamic education, social justice, and civic involvement, NU and Muhammadiyah work to ensure that the awareness of Indonesian Muslims remains intact and untainted by colonization. Their commitment to safeguarding Muslim cultural and religious heritage has successfully upheld Islamic identity and reinforced social cohesion despite the adversities encountered during the Dutch colonial period.</w:t>
      </w:r>
    </w:p>
    <w:p w:rsidR="00237BC8" w:rsidP="00237BC8">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Pr="00237BC8">
        <w:rPr>
          <w:rFonts w:ascii="Calibri Light" w:hAnsi="Calibri Light" w:cs="Calibri Light"/>
          <w:sz w:val="24"/>
          <w:szCs w:val="24"/>
        </w:rPr>
        <w:t xml:space="preserve"> in Indonesia evolved through the pre- and post-independence eras, involving several socio-political transitions and reactions to the stances of prominent individuals and organizations. Duplex models were the cornerstones of pre-independence Nationalism movements to mobilize Muslim masses against colonial oppression, calling for social justice and empowerment through some </w:t>
      </w:r>
      <w:r w:rsidRPr="002F3F4C">
        <w:rPr>
          <w:rFonts w:ascii="Calibri Light" w:hAnsi="Calibri Light" w:cs="Calibri Light"/>
          <w:i/>
          <w:iCs/>
          <w:sz w:val="24"/>
          <w:szCs w:val="24"/>
        </w:rPr>
        <w:t>da’i</w:t>
      </w:r>
      <w:r w:rsidRPr="00237BC8">
        <w:rPr>
          <w:rFonts w:ascii="Calibri Light" w:hAnsi="Calibri Light" w:cs="Calibri Light"/>
          <w:sz w:val="24"/>
          <w:szCs w:val="24"/>
        </w:rPr>
        <w:t xml:space="preserve"> on activities. Via organizations such as </w:t>
      </w:r>
      <w:r w:rsidRPr="00237BC8">
        <w:rPr>
          <w:rFonts w:ascii="Calibri Light" w:hAnsi="Calibri Light" w:cs="Calibri Light"/>
          <w:sz w:val="24"/>
          <w:szCs w:val="24"/>
        </w:rPr>
        <w:t>Sarekat</w:t>
      </w:r>
      <w:r w:rsidRPr="00237BC8">
        <w:rPr>
          <w:rFonts w:ascii="Calibri Light" w:hAnsi="Calibri Light" w:cs="Calibri Light"/>
          <w:sz w:val="24"/>
          <w:szCs w:val="24"/>
        </w:rPr>
        <w:t xml:space="preserve"> Islam and Muhammadiyah, they sought ways to spread Islamic teachings and help meet Indonesian Muslims' material needs. Prominent figures such as Haji Agus Salim and Kiai Haji Mas Mansur played essential roles in connecting Islamic principles with nationalist demands, supporting the interests of Muslims, and fostering inter-religious concord. They must be seen as major participants in Indonesia's early development of Islamic activism.</w:t>
      </w:r>
    </w:p>
    <w:p w:rsidR="00237BC8" w:rsidP="00237BC8">
      <w:pPr>
        <w:spacing w:before="120" w:after="120"/>
        <w:ind w:left="440" w:right="-1" w:hanging="14"/>
        <w:jc w:val="both"/>
        <w:rPr>
          <w:rFonts w:ascii="Calibri Light" w:hAnsi="Calibri Light" w:cs="Calibri Light"/>
          <w:sz w:val="24"/>
          <w:szCs w:val="24"/>
        </w:rPr>
      </w:pPr>
      <w:r w:rsidRPr="00237BC8">
        <w:rPr>
          <w:rFonts w:ascii="Calibri Light" w:hAnsi="Calibri Light" w:cs="Calibri Light"/>
          <w:sz w:val="24"/>
          <w:szCs w:val="24"/>
        </w:rPr>
        <w:t xml:space="preserve">In the post-independence era, </w:t>
      </w:r>
      <w:r w:rsidRPr="00A052EF" w:rsidR="00A052EF">
        <w:rPr>
          <w:rFonts w:ascii="Calibri Light" w:hAnsi="Calibri Light" w:cs="Calibri Light"/>
          <w:i/>
          <w:iCs/>
          <w:sz w:val="24"/>
          <w:szCs w:val="24"/>
        </w:rPr>
        <w:t>Da’wah</w:t>
      </w:r>
      <w:r w:rsidRPr="00237BC8">
        <w:rPr>
          <w:rFonts w:ascii="Calibri Light" w:hAnsi="Calibri Light" w:cs="Calibri Light"/>
          <w:sz w:val="24"/>
          <w:szCs w:val="24"/>
        </w:rPr>
        <w:t xml:space="preserve"> movements would persist in developing and Islamic parties and organizations would look to grant their actualization within the broader social landscape. Islamic parties emphasized Islamic values, endeavored to interact with post-independence socio-cultural conditions, and developed </w:t>
      </w:r>
      <w:r w:rsidRPr="00A052EF" w:rsidR="00A052EF">
        <w:rPr>
          <w:rFonts w:ascii="Calibri Light" w:hAnsi="Calibri Light" w:cs="Calibri Light"/>
          <w:i/>
          <w:iCs/>
          <w:sz w:val="24"/>
          <w:szCs w:val="24"/>
        </w:rPr>
        <w:t>Da’wah</w:t>
      </w:r>
      <w:r w:rsidRPr="00237BC8">
        <w:rPr>
          <w:rFonts w:ascii="Calibri Light" w:hAnsi="Calibri Light" w:cs="Calibri Light"/>
          <w:sz w:val="24"/>
          <w:szCs w:val="24"/>
        </w:rPr>
        <w:t xml:space="preserve"> strategies to respond to contemporary challenges. The figures and Ulama that influenced the post-independence period of Indonesia were crucial in setting the direction of </w:t>
      </w:r>
      <w:r w:rsidRPr="00A052EF" w:rsidR="00A052EF">
        <w:rPr>
          <w:rFonts w:ascii="Calibri Light" w:hAnsi="Calibri Light" w:cs="Calibri Light"/>
          <w:i/>
          <w:iCs/>
          <w:sz w:val="24"/>
          <w:szCs w:val="24"/>
        </w:rPr>
        <w:t>Da’wah</w:t>
      </w:r>
      <w:r w:rsidRPr="00237BC8">
        <w:rPr>
          <w:rFonts w:ascii="Calibri Light" w:hAnsi="Calibri Light" w:cs="Calibri Light"/>
          <w:sz w:val="24"/>
          <w:szCs w:val="24"/>
        </w:rPr>
        <w:t xml:space="preserve"> movements and fulfilling the needs of a new republic for Muslims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{"citationItems":[{"id":"ITEM-1","itemData":{"DOI":"10.240­90/jsij.v2­i02.8213","author":[{"dropping-particle":"","family":"Rachmanto","given":"Arif F.","non-dropping-particle":"","parse-names":false,"suffix":""}],"container-title":"Jsi Jurnal Sejarah Islam","id":"ITEM-1","issued":{"date-parts":[["2023"]]},"title":"The Formation of Islamic Parties in Post-Independence Indonesia","type":"article-journal"},"uris":["http://www.mendeley.com/documents/?uuid=8783fa40-d3a0-4251-a1be-680a8b76893b"]}],"mendeley":{"formattedCitation":"(Rachmanto, 2023)","plainTextFormattedCitation":"(Rachmanto, 2023)","previouslyFormattedCitation":"(Rachmanto, 2023)"},"properties":{"noteIndex":0},"schema":"https://github.com/citation-style-language/schema/raw/master/csl-citation.json"}</w:instrText>
      </w:r>
      <w:r>
        <w:rPr>
          <w:rFonts w:ascii="Calibri Light" w:hAnsi="Calibri Light" w:cs="Calibri Light"/>
          <w:sz w:val="24"/>
          <w:szCs w:val="24"/>
        </w:rPr>
        <w:fldChar w:fldCharType="separate"/>
      </w:r>
      <w:r w:rsidRPr="00237BC8">
        <w:rPr>
          <w:rFonts w:ascii="Calibri Light" w:hAnsi="Calibri Light" w:cs="Calibri Light"/>
          <w:noProof/>
          <w:sz w:val="24"/>
          <w:szCs w:val="24"/>
        </w:rPr>
        <w:t>(Rachmanto, 2023)</w:t>
      </w:r>
      <w:r>
        <w:rPr>
          <w:rFonts w:ascii="Calibri Light" w:hAnsi="Calibri Light" w:cs="Calibri Light"/>
          <w:sz w:val="24"/>
          <w:szCs w:val="24"/>
        </w:rPr>
        <w:fldChar w:fldCharType="end"/>
      </w:r>
      <w:r w:rsidRPr="00237BC8">
        <w:rPr>
          <w:rFonts w:ascii="Calibri Light" w:hAnsi="Calibri Light" w:cs="Calibri Light"/>
          <w:sz w:val="24"/>
          <w:szCs w:val="24"/>
        </w:rPr>
        <w:t xml:space="preserve">. Similarly, the post-independence period witnessed the establishment of modern </w:t>
      </w:r>
      <w:r w:rsidRPr="00A052EF" w:rsidR="00A052EF">
        <w:rPr>
          <w:rFonts w:ascii="Calibri Light" w:hAnsi="Calibri Light" w:cs="Calibri Light"/>
          <w:i/>
          <w:iCs/>
          <w:sz w:val="24"/>
          <w:szCs w:val="24"/>
        </w:rPr>
        <w:t>Da’wah</w:t>
      </w:r>
      <w:r w:rsidRPr="00237BC8">
        <w:rPr>
          <w:rFonts w:ascii="Calibri Light" w:hAnsi="Calibri Light" w:cs="Calibri Light"/>
          <w:sz w:val="24"/>
          <w:szCs w:val="24"/>
        </w:rPr>
        <w:t>-oriented academic and promotional institutions to rebuild religious symbols, including liberty, justice, and cooperation. This had implications for the Islamic teachings that the schools espoused, as well as efforts to nurture social cohesion among Muslims in Indonesia and empower them through educational and community projects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706127">
        <w:rPr>
          <w:rFonts w:ascii="Calibri Light" w:hAnsi="Calibri Light" w:cs="Calibri Light"/>
          <w:sz w:val="24"/>
          <w:szCs w:val="24"/>
        </w:rPr>
        <w:instrText>ADDIN CSL_CITATION {"citationItems":[{"id":"ITEM-1","itemData":{"DOI":"10.59024/jipa.v1i1.54","author":[{"dropping-particle":"","family":"Anas","given":"Ahmad","non-dropping-particle":"","parse-names":false,"suffix":""}],"container-title":"Jurnal Ilmiah Pendidikan Kebudayaan Dan Agama","id":"ITEM-1","issue":"1","issued":{"date-parts":[["2023"]]},"page":"1-12","title":"Contemporary Da’wah Empowerment Institute in Indonesia","type":"article-journal","volume":"1"},"uris":["http://www.mendeley.com/documents/?uuid=58c2f92f-5648-4620-8039-e0d9e67bc567"]}],"mendeley":{"formattedCitation":"(Anas, 2023)","plainTextFormattedCitation":"(Anas, 2023)","previouslyFormattedCitation":"(Anas, 2023)"},"properties":{"noteIndex":0},"schema":"https://github.com/citation-style-language/schema/raw/master/csl-citation.json"}</w:instrText>
      </w:r>
      <w:r>
        <w:rPr>
          <w:rFonts w:ascii="Calibri Light" w:hAnsi="Calibri Light" w:cs="Calibri Light"/>
          <w:sz w:val="24"/>
          <w:szCs w:val="24"/>
        </w:rPr>
        <w:fldChar w:fldCharType="separate"/>
      </w:r>
      <w:r w:rsidRPr="00237BC8">
        <w:rPr>
          <w:rFonts w:ascii="Calibri Light" w:hAnsi="Calibri Light" w:cs="Calibri Light"/>
          <w:noProof/>
          <w:sz w:val="24"/>
          <w:szCs w:val="24"/>
        </w:rPr>
        <w:t>(Anas, 2023)</w:t>
      </w:r>
      <w:r>
        <w:rPr>
          <w:rFonts w:ascii="Calibri Light" w:hAnsi="Calibri Light" w:cs="Calibri Light"/>
          <w:sz w:val="24"/>
          <w:szCs w:val="24"/>
        </w:rPr>
        <w:fldChar w:fldCharType="end"/>
      </w:r>
      <w:r w:rsidRPr="00237BC8">
        <w:rPr>
          <w:rFonts w:ascii="Calibri Light" w:hAnsi="Calibri Light" w:cs="Calibri Light"/>
          <w:sz w:val="24"/>
          <w:szCs w:val="24"/>
        </w:rPr>
        <w:t xml:space="preserve">. As such, </w:t>
      </w:r>
      <w:r w:rsidRPr="00A052EF" w:rsidR="00A052EF">
        <w:rPr>
          <w:rFonts w:ascii="Calibri Light" w:hAnsi="Calibri Light" w:cs="Calibri Light"/>
          <w:i/>
          <w:iCs/>
          <w:sz w:val="24"/>
          <w:szCs w:val="24"/>
        </w:rPr>
        <w:t>Da’wah</w:t>
      </w:r>
      <w:r w:rsidRPr="00237BC8">
        <w:rPr>
          <w:rFonts w:ascii="Calibri Light" w:hAnsi="Calibri Light" w:cs="Calibri Light"/>
          <w:sz w:val="24"/>
          <w:szCs w:val="24"/>
        </w:rPr>
        <w:t xml:space="preserve"> movements during Indonesia's transition from pre- to post-independence eras were a continuation of efforts to propagate Islamic teachings, strengthen Muslim communal life, and respond to socio-political challenges in the country. Some key figures and organizations took this trajectory of </w:t>
      </w:r>
      <w:r w:rsidRPr="00A052EF" w:rsidR="00A052EF">
        <w:rPr>
          <w:rFonts w:ascii="Calibri Light" w:hAnsi="Calibri Light" w:cs="Calibri Light"/>
          <w:i/>
          <w:iCs/>
          <w:sz w:val="24"/>
          <w:szCs w:val="24"/>
        </w:rPr>
        <w:t>Da’wah</w:t>
      </w:r>
      <w:r w:rsidRPr="00237BC8">
        <w:rPr>
          <w:rFonts w:ascii="Calibri Light" w:hAnsi="Calibri Light" w:cs="Calibri Light"/>
          <w:sz w:val="24"/>
          <w:szCs w:val="24"/>
        </w:rPr>
        <w:t xml:space="preserve"> movements into pertinence and adjusted their strategies according to the social needs of the Indonesian community, hence fostering flourishing debates in the Islamic paradigm within the society.</w:t>
      </w:r>
    </w:p>
    <w:p w:rsidR="002F3F4C" w:rsidP="00237BC8">
      <w:pPr>
        <w:spacing w:before="120" w:after="120"/>
        <w:ind w:left="440" w:right="-1" w:hanging="14"/>
        <w:jc w:val="both"/>
        <w:rPr>
          <w:rFonts w:ascii="Calibri Light" w:hAnsi="Calibri Light" w:cs="Calibri Light"/>
          <w:sz w:val="24"/>
          <w:szCs w:val="24"/>
        </w:rPr>
      </w:pPr>
    </w:p>
    <w:p w:rsidR="00237BC8" w:rsidRPr="00237BC8" w:rsidP="00237BC8">
      <w:pPr>
        <w:spacing w:before="120" w:after="120"/>
        <w:ind w:left="440" w:right="-1" w:hanging="14"/>
        <w:jc w:val="both"/>
        <w:rPr>
          <w:rFonts w:ascii="Calibri Light" w:hAnsi="Calibri Light" w:cs="Calibri Light"/>
          <w:b/>
          <w:bCs/>
          <w:sz w:val="24"/>
          <w:szCs w:val="24"/>
        </w:rPr>
      </w:pPr>
      <w:r w:rsidRPr="00A052EF">
        <w:rPr>
          <w:rFonts w:ascii="Calibri Light" w:hAnsi="Calibri Light" w:cs="Calibri Light"/>
          <w:b/>
          <w:bCs/>
          <w:i/>
          <w:iCs/>
          <w:sz w:val="24"/>
          <w:szCs w:val="24"/>
        </w:rPr>
        <w:t>Da’wah</w:t>
      </w:r>
      <w:r w:rsidRPr="00237BC8">
        <w:rPr>
          <w:rFonts w:ascii="Calibri Light" w:hAnsi="Calibri Light" w:cs="Calibri Light"/>
          <w:b/>
          <w:bCs/>
          <w:sz w:val="24"/>
          <w:szCs w:val="24"/>
        </w:rPr>
        <w:t xml:space="preserve"> and Its Role Against Religious Blasphemy</w:t>
      </w:r>
    </w:p>
    <w:p w:rsidR="00706127" w:rsidRPr="00706127" w:rsidP="00706127">
      <w:pPr>
        <w:spacing w:before="120" w:after="120"/>
        <w:ind w:left="440" w:right="-1" w:hanging="14"/>
        <w:jc w:val="both"/>
        <w:rPr>
          <w:rFonts w:ascii="Calibri Light" w:hAnsi="Calibri Light" w:cs="Calibri Light"/>
          <w:sz w:val="24"/>
          <w:szCs w:val="24"/>
        </w:rPr>
      </w:pPr>
      <w:r w:rsidRPr="00706127">
        <w:rPr>
          <w:rFonts w:ascii="Calibri Light" w:hAnsi="Calibri Light" w:cs="Calibri Light"/>
          <w:sz w:val="24"/>
          <w:szCs w:val="24"/>
        </w:rPr>
        <w:t>The term 'religious blasphemy' is used to refer to actions or expressions, whether written or spoken, that insult or insult and cause a direction of hatred and hatred for abuse towards religion in Indonesia. Religious blasphemy concerns are inherent to the perception of the protection and preservation of religious values, the continuation of social stability, and, in this case, identity. Religious blasphemy in Indonesia is regulated predominantly through criminal law, with the crime of Blasphemy (Law No. 1/PNPS/1965) in force since 1965 punishing acts deemed blasphemous against a small number of officially recognized religions. Designed to protect religious harmony, the law punishes insulting or offensive acts relating to religious beliefs as tools for incitement of religious hatred or violence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10.31078/jk1927","author":[{"dropping-particle":"","family":"Hasani","given":"Ismail","non-dropping-particle":"","parse-names":false,"suffix":""},{"dropping-particle":"","family":"Halili","given":"Halili","non-dropping-particle":"","parse-names":false,"suffix":""}],"container-title":"Jurnal Konstitusi","id":"ITEM-1","issue":"2","issued":{"date-parts":[["2022"]]},"page":"406-430","title":"Human Rights and Constitutionality Issues of Blasphemy Law in Indonesia","type":"article-journal","volume":"19"},"uris":["http://www.mendeley.com/documents/?uuid=d1aa39c8-7d08-44d1-bdfc-f14dbac8a55b"]}],"mendeley":{"formattedCitation":"(Hasani &amp; Halili, 2022)","plainTextFormattedCitation":"(Hasani &amp; Halili, 2022)","previouslyFormattedCitation":"(Hasani &amp; Halili, 2022)"},"properties":{"noteIndex":0},"schema":"https://github.com/citation-style-language/schema/raw/master/csl-citation.json"}</w:instrText>
      </w:r>
      <w:r>
        <w:rPr>
          <w:rFonts w:ascii="Calibri Light" w:hAnsi="Calibri Light" w:cs="Calibri Light"/>
          <w:sz w:val="24"/>
          <w:szCs w:val="24"/>
        </w:rPr>
        <w:fldChar w:fldCharType="separate"/>
      </w:r>
      <w:r w:rsidRPr="00706127">
        <w:rPr>
          <w:rFonts w:ascii="Calibri Light" w:hAnsi="Calibri Light" w:cs="Calibri Light"/>
          <w:noProof/>
          <w:sz w:val="24"/>
          <w:szCs w:val="24"/>
        </w:rPr>
        <w:t>(Hasani &amp; Halili, 2022)</w:t>
      </w:r>
      <w:r>
        <w:rPr>
          <w:rFonts w:ascii="Calibri Light" w:hAnsi="Calibri Light" w:cs="Calibri Light"/>
          <w:sz w:val="24"/>
          <w:szCs w:val="24"/>
        </w:rPr>
        <w:fldChar w:fldCharType="end"/>
      </w:r>
      <w:r w:rsidRPr="00706127">
        <w:rPr>
          <w:rFonts w:ascii="Calibri Light" w:hAnsi="Calibri Light" w:cs="Calibri Light"/>
          <w:sz w:val="24"/>
          <w:szCs w:val="24"/>
        </w:rPr>
        <w:t>.</w:t>
      </w:r>
    </w:p>
    <w:p w:rsidR="009C69F5" w:rsidP="00706127">
      <w:pPr>
        <w:spacing w:before="120" w:after="120"/>
        <w:ind w:left="440" w:right="-1" w:hanging="14"/>
        <w:jc w:val="both"/>
        <w:rPr>
          <w:rFonts w:ascii="Calibri Light" w:hAnsi="Calibri Light" w:cs="Calibri Light"/>
          <w:sz w:val="24"/>
          <w:szCs w:val="24"/>
        </w:rPr>
      </w:pPr>
      <w:r w:rsidRPr="00706127">
        <w:rPr>
          <w:rFonts w:ascii="Calibri Light" w:hAnsi="Calibri Light" w:cs="Calibri Light"/>
          <w:sz w:val="24"/>
          <w:szCs w:val="24"/>
        </w:rPr>
        <w:t>Blasphemy laws in Indonesia regulate the prejudicial treatment and hate speech between religions that surround hateful, defamatory opinions. The acts of blasphemy can be directed towards religious symbols, leaders, scriptures, or practices and are commonly perceived as a violation of the norms and values of religion that exist in Indonesian society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10.31078/jk1927","author":[{"dropping-particle":"","family":"Hasani","given":"Ismail","non-dropping-particle":"","parse-names":false,"suffix":""},{"dropping-particle":"","family":"Halili","given":"Halili","non-dropping-particle":"","parse-names":false,"suffix":""}],"container-title":"Jurnal Konstitusi","id":"ITEM-1","issue":"2","issued":{"date-parts":[["2022"]]},"page":"406-430","title":"Human Rights and Constitutionality Issues of Blasphemy Law in Indonesia","type":"article-journal","volume":"19"},"uris":["http://www.mendeley.com/documents/?uuid=d1aa39c8-7d08-44d1-bdfc-f14dbac8a55b"]}],"mendeley":{"formattedCitation":"(Hasani &amp; Halili, 2022)","plainTextFormattedCitation":"(Hasani &amp; Halili, 2022)","previouslyFormattedCitation":"(Hasani &amp; Halili, 2022)"},"properties":{"noteIndex":0},"schema":"https://github.com/citation-style-language/schema/raw/master/csl-citation.json"}</w:instrText>
      </w:r>
      <w:r>
        <w:rPr>
          <w:rFonts w:ascii="Calibri Light" w:hAnsi="Calibri Light" w:cs="Calibri Light"/>
          <w:sz w:val="24"/>
          <w:szCs w:val="24"/>
        </w:rPr>
        <w:fldChar w:fldCharType="separate"/>
      </w:r>
      <w:r w:rsidRPr="00706127">
        <w:rPr>
          <w:rFonts w:ascii="Calibri Light" w:hAnsi="Calibri Light" w:cs="Calibri Light"/>
          <w:noProof/>
          <w:sz w:val="24"/>
          <w:szCs w:val="24"/>
        </w:rPr>
        <w:t>(Hasani &amp; Halili, 2022)</w:t>
      </w:r>
      <w:r>
        <w:rPr>
          <w:rFonts w:ascii="Calibri Light" w:hAnsi="Calibri Light" w:cs="Calibri Light"/>
          <w:sz w:val="24"/>
          <w:szCs w:val="24"/>
        </w:rPr>
        <w:fldChar w:fldCharType="end"/>
      </w:r>
      <w:r w:rsidRPr="00706127">
        <w:rPr>
          <w:rFonts w:ascii="Calibri Light" w:hAnsi="Calibri Light" w:cs="Calibri Light"/>
          <w:sz w:val="24"/>
          <w:szCs w:val="24"/>
        </w:rPr>
        <w:t>. The use of blasphemy laws in Indonesia has been criticized, with some alleging that they are used to oppress freedom of expression, persecute religious minorities, and restrict religious pluralism. The implementation of blasphemy laws has faced stiff criticism over their infringement on religious liberty, harm to societal cohesion, and defense for minority religious bodies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3A029A">
        <w:rPr>
          <w:rFonts w:ascii="Calibri Light" w:hAnsi="Calibri Light" w:cs="Calibri Light"/>
          <w:sz w:val="24"/>
          <w:szCs w:val="24"/>
        </w:rPr>
        <w:instrText>ADDIN CSL_CITATION {"citationItems":[{"id":"ITEM-1","itemData":{"DOI":"10.1017/S1755048319000427","author":[{"dropping-particle":"","family":"Tyson","given":"Adam","non-dropping-particle":"","parse-names":false,"suffix":""}],"container-title":"Politics and Religion","id":"ITEM-1","issue":"1","issued":{"date-parts":[["2020"]]},"page":"182-205","title":"Blasphemy and Judicial Legitimacy in Indonesia","type":"article-journal","volume":"14"},"uris":["http://www.mendeley.com/documents/?uuid=184a227c-f801-49e4-9f17-ab29f3e71537"]}],"mendeley":{"formattedCitation":"(Tyson, 2020)","plainTextFormattedCitation":"(Tyson, 2020)","previouslyFormattedCitation":"(Tyson, 2020)"},"properties":{"noteIndex":0},"schema":"https://github.com/citation-style-language/schema/raw/master/csl-citation.json"}</w:instrText>
      </w:r>
      <w:r>
        <w:rPr>
          <w:rFonts w:ascii="Calibri Light" w:hAnsi="Calibri Light" w:cs="Calibri Light"/>
          <w:sz w:val="24"/>
          <w:szCs w:val="24"/>
        </w:rPr>
        <w:fldChar w:fldCharType="separate"/>
      </w:r>
      <w:r w:rsidRPr="00706127">
        <w:rPr>
          <w:rFonts w:ascii="Calibri Light" w:hAnsi="Calibri Light" w:cs="Calibri Light"/>
          <w:noProof/>
          <w:sz w:val="24"/>
          <w:szCs w:val="24"/>
        </w:rPr>
        <w:t>(Tyson, 2020)</w:t>
      </w:r>
      <w:r>
        <w:rPr>
          <w:rFonts w:ascii="Calibri Light" w:hAnsi="Calibri Light" w:cs="Calibri Light"/>
          <w:sz w:val="24"/>
          <w:szCs w:val="24"/>
        </w:rPr>
        <w:fldChar w:fldCharType="end"/>
      </w:r>
      <w:r w:rsidRPr="00706127">
        <w:rPr>
          <w:rFonts w:ascii="Calibri Light" w:hAnsi="Calibri Light" w:cs="Calibri Light"/>
          <w:sz w:val="24"/>
          <w:szCs w:val="24"/>
        </w:rPr>
        <w:t>.</w:t>
      </w:r>
    </w:p>
    <w:p w:rsidR="003A029A" w:rsidRPr="003A029A" w:rsidP="003A029A">
      <w:pPr>
        <w:spacing w:before="120" w:after="120"/>
        <w:ind w:left="440" w:right="-1" w:hanging="14"/>
        <w:jc w:val="both"/>
        <w:rPr>
          <w:rFonts w:ascii="Calibri Light" w:hAnsi="Calibri Light" w:cs="Calibri Light"/>
          <w:sz w:val="24"/>
          <w:szCs w:val="24"/>
        </w:rPr>
      </w:pPr>
      <w:r w:rsidRPr="003A029A">
        <w:rPr>
          <w:rFonts w:ascii="Calibri Light" w:hAnsi="Calibri Light" w:cs="Calibri Light"/>
          <w:sz w:val="24"/>
          <w:szCs w:val="24"/>
        </w:rPr>
        <w:t>In the Indonesian case, religious blasphemy is an explosive issue. It is deeply rooted in broader debates around freedom of religion, tolerance and the rights of individuals to practice their faith while maintaining social harmony. How the interpretation and enforcement of blasphemy laws have been carried out as a reflection of Indonesia’s complicated relationship between religion, law, and politics, thus pointing to the difficulty it faces when it comes to accommodating religious diversity while still respecting fundamental human rights within its multi-religious society. Religious blasphemy as a whole is a rich tapestry of different actions and memories rooted in the efforts of Indonesia to protect religious values while also renewing social harmony in a multiplicity in various groups. The interpretation and enforcement of the blasphemy laws in Indonesia are still in process. Still, this phenomenon will impact how religious freedom is addressed in discourse by illustrating the limits between acts permitted when public tolerance is not applicable or even where under what circumstances the protection of identity becomes a right that must be respected.</w:t>
      </w:r>
    </w:p>
    <w:p w:rsidR="003A029A" w:rsidP="003A029A">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Pr="003A029A">
        <w:rPr>
          <w:rFonts w:ascii="Calibri Light" w:hAnsi="Calibri Light" w:cs="Calibri Light"/>
          <w:sz w:val="24"/>
          <w:szCs w:val="24"/>
        </w:rPr>
        <w:t xml:space="preserve">’s strategies in Indonesia have experienced development from traditional methods that rely on a peaceful educational approach to an increasingly assertive one that is more compatible with societal changes and technological developments. In the beginning, the issue of </w:t>
      </w:r>
      <w:r w:rsidRPr="00A052EF">
        <w:rPr>
          <w:rFonts w:ascii="Calibri Light" w:hAnsi="Calibri Light" w:cs="Calibri Light"/>
          <w:i/>
          <w:iCs/>
          <w:sz w:val="24"/>
          <w:szCs w:val="24"/>
        </w:rPr>
        <w:t>Da’wah</w:t>
      </w:r>
      <w:r w:rsidRPr="003A029A">
        <w:rPr>
          <w:rFonts w:ascii="Calibri Light" w:hAnsi="Calibri Light" w:cs="Calibri Light"/>
          <w:sz w:val="24"/>
          <w:szCs w:val="24"/>
        </w:rPr>
        <w:t xml:space="preserve"> strategies is prioritized for educational activities, peaceful opening presentations and the habit of moderation preaching through media tools and discussions with community leaders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94019C">
        <w:rPr>
          <w:rFonts w:ascii="Calibri Light" w:hAnsi="Calibri Light" w:cs="Calibri Light"/>
          <w:sz w:val="24"/>
          <w:szCs w:val="24"/>
        </w:rPr>
        <w:instrText>ADDIN CSL_CITATION {"citationItems":[{"id":"ITEM-1","itemData":{"DOI":"10.15575/ath.v7i2.20901","author":[{"dropping-particle":"","family":"Pratama","given":"Arizqi I.","non-dropping-particle":"","parse-names":false,"suffix":""},{"dropping-particle":"","family":"Rusman","given":"Deni","non-dropping-particle":"","parse-names":false,"suffix":""},{"dropping-particle":"","family":"Zahir","given":"Mustofa","non-dropping-particle":"","parse-names":false,"suffix":""}],"container-title":"Atthulab Islamic Religion Teaching and Learning Journal","id":"ITEM-1","issue":"2","issued":{"date-parts":[["2022"]]},"page":"131 - 140","title":"Educational Da'wah Strategy for Increasing Religious Activities","type":"article-journal","volume":"7"},"uris":["http://www.mendeley.com/documents/?uuid=8cf649ec-9424-4769-b9a8-779b204af929"]},{"id":"ITEM-2","itemData":{"DOI":"10.21744/irjmis.v10n2.2295","author":[{"dropping-particle":"","family":"Rahmah","given":"St","non-dropping-particle":"","parse-names":false,"suffix":""},{"dropping-particle":"","family":"Aslamiah","given":"Rabiatul","non-dropping-particle":"","parse-names":false,"suffix":""}],"container-title":"International Research Journal of Management It and Social Sciences","id":"ITEM-2","issue":"2","issued":{"date-parts":[["2023"]]},"page":"110–121","title":"Understanding the Urgency of Da'wah of Islam in the Context of Peace in the Nuances of Pluralism in Indonesia","type":"article-journal","volume":"10"},"uris":["http://www.mendeley.com/documents/?uuid=74845864-fafa-4769-8c54-b542f1bbc208"]},{"id":"ITEM-3","itemData":{"DOI":"10.51672/alfikru.v16i2.107","author":[{"dropping-particle":"","family":"Amin","given":"Nazrial","non-dropping-particle":"","parse-names":false,"suffix":""}],"container-title":"Al-Fikru Jurnal Ilmiah","id":"ITEM-3","issue":"2","issued":{"date-parts":[["2022"]]},"page":"188–199","title":"Contemporary Da'wah Strategies to Educate the Religious Life of Minority Muslims","type":"article-journal","volume":"16"},"uris":["http://www.mendeley.com/documents/?uuid=0a983e01-ff79-4ab2-ae91-c70e919ab592"]}],"mendeley":{"formattedCitation":"(Amin, 2022; Pratama et al., 2022; Rahmah &amp; Aslamiah, 2023)","plainTextFormattedCitation":"(Amin, 2022; Pratama et al., 2022; Rahmah &amp; Aslamiah, 2023)","previouslyFormattedCitation":"(Amin, 2022; Pratama et al., 2022; Rahmah &amp; Aslamiah, 2023)"},"properties":{"noteIndex":0},"schema":"https://github.com/citation-style-language/schema/raw/master/csl-citation.json"}</w:instrText>
      </w:r>
      <w:r>
        <w:rPr>
          <w:rFonts w:ascii="Calibri Light" w:hAnsi="Calibri Light" w:cs="Calibri Light"/>
          <w:sz w:val="24"/>
          <w:szCs w:val="24"/>
        </w:rPr>
        <w:fldChar w:fldCharType="separate"/>
      </w:r>
      <w:r w:rsidRPr="003A029A">
        <w:rPr>
          <w:rFonts w:ascii="Calibri Light" w:hAnsi="Calibri Light" w:cs="Calibri Light"/>
          <w:noProof/>
          <w:sz w:val="24"/>
          <w:szCs w:val="24"/>
        </w:rPr>
        <w:t>(Amin, 2022; Pratama et al., 2022; Rahmah &amp; Aslamiah, 2023)</w:t>
      </w:r>
      <w:r>
        <w:rPr>
          <w:rFonts w:ascii="Calibri Light" w:hAnsi="Calibri Light" w:cs="Calibri Light"/>
          <w:sz w:val="24"/>
          <w:szCs w:val="24"/>
        </w:rPr>
        <w:fldChar w:fldCharType="end"/>
      </w:r>
      <w:r w:rsidRPr="003A029A">
        <w:rPr>
          <w:rFonts w:ascii="Calibri Light" w:hAnsi="Calibri Light" w:cs="Calibri Light"/>
          <w:sz w:val="24"/>
          <w:szCs w:val="24"/>
        </w:rPr>
        <w:t>.</w:t>
      </w:r>
    </w:p>
    <w:p w:rsidR="003A029A" w:rsidRPr="003A029A" w:rsidP="003A029A">
      <w:pPr>
        <w:spacing w:before="120" w:after="120"/>
        <w:ind w:left="440" w:right="-1" w:hanging="14"/>
        <w:jc w:val="both"/>
        <w:rPr>
          <w:rFonts w:ascii="Calibri Light" w:hAnsi="Calibri Light" w:cs="Calibri Light"/>
          <w:sz w:val="24"/>
          <w:szCs w:val="24"/>
        </w:rPr>
      </w:pPr>
      <w:r w:rsidRPr="003A029A">
        <w:rPr>
          <w:rFonts w:ascii="Calibri Light" w:hAnsi="Calibri Light" w:cs="Calibri Light"/>
          <w:sz w:val="24"/>
          <w:szCs w:val="24"/>
        </w:rPr>
        <w:t xml:space="preserve">As societal dynamics changed, </w:t>
      </w:r>
      <w:r w:rsidRPr="00A052EF" w:rsidR="00A052EF">
        <w:rPr>
          <w:rFonts w:ascii="Calibri Light" w:hAnsi="Calibri Light" w:cs="Calibri Light"/>
          <w:i/>
          <w:iCs/>
          <w:sz w:val="24"/>
          <w:szCs w:val="24"/>
        </w:rPr>
        <w:t>Da’wah</w:t>
      </w:r>
      <w:r w:rsidRPr="003A029A">
        <w:rPr>
          <w:rFonts w:ascii="Calibri Light" w:hAnsi="Calibri Light" w:cs="Calibri Light"/>
          <w:sz w:val="24"/>
          <w:szCs w:val="24"/>
        </w:rPr>
        <w:t xml:space="preserve"> strategies in Indonesia adopted more assertive approaches to meet contemporary challenges. In this conversion, the spread of faith </w:t>
      </w:r>
      <w:r w:rsidRPr="003A029A">
        <w:rPr>
          <w:rFonts w:ascii="Calibri Light" w:hAnsi="Calibri Light" w:cs="Calibri Light"/>
          <w:sz w:val="24"/>
          <w:szCs w:val="24"/>
        </w:rPr>
        <w:t xml:space="preserve">through preventive action to apostasy thrust some social media in communication and directing measures in the activity favors </w:t>
      </w:r>
      <w:r w:rsidRPr="00A052EF" w:rsidR="00A052EF">
        <w:rPr>
          <w:rFonts w:ascii="Calibri Light" w:hAnsi="Calibri Light" w:cs="Calibri Light"/>
          <w:i/>
          <w:iCs/>
          <w:sz w:val="24"/>
          <w:szCs w:val="24"/>
        </w:rPr>
        <w:t>Da’wah</w:t>
      </w:r>
      <w:r w:rsidR="0094019C">
        <w:rPr>
          <w:rFonts w:ascii="Calibri Light" w:hAnsi="Calibri Light" w:cs="Calibri Light"/>
          <w:sz w:val="24"/>
          <w:szCs w:val="24"/>
        </w:rPr>
        <w:t xml:space="preserve"> </w:t>
      </w:r>
      <w:r w:rsidR="0094019C">
        <w:rPr>
          <w:rFonts w:ascii="Calibri Light" w:hAnsi="Calibri Light" w:cs="Calibri Light"/>
          <w:sz w:val="24"/>
          <w:szCs w:val="24"/>
        </w:rPr>
        <w:fldChar w:fldCharType="begin" w:fldLock="1"/>
      </w:r>
      <w:r w:rsidR="0094019C">
        <w:rPr>
          <w:rFonts w:ascii="Calibri Light" w:hAnsi="Calibri Light" w:cs="Calibri Light"/>
          <w:sz w:val="24"/>
          <w:szCs w:val="24"/>
        </w:rPr>
        <w:instrText>ADDIN CSL_CITATION {"citationItems":[{"id":"ITEM-1","itemData":{"DOI":"10.15294/lc.v15i2.26285","author":[{"dropping-particle":"","family":"Kusmanto","given":"Hari","non-dropping-particle":"","parse-names":false,"suffix":""},{"dropping-particle":"","family":"Prayitno","given":"Harun Joko","non-dropping-particle":"","parse-names":false,"suffix":""},{"dropping-particle":"","family":"Sofiana","given":"Isnaeni","non-dropping-particle":"","parse-names":false,"suffix":""},{"dropping-particle":"","family":"Jamaluddin","given":"Norliza","non-dropping-particle":"","parse-names":false,"suffix":""}],"container-title":"Language Circle Journal of Language and Literature","id":"ITEM-1","issue":"2","issued":{"date-parts":[["2021"]]},"page":"219-228","title":"Persuasion Action Strategies in Da'wah Discourse on Social Media in the Global Communication Era","type":"article-journal","volume":"15"},"uris":["http://www.mendeley.com/documents/?uuid=b07c999b-d85e-4fd0-b969-9c01c7078317"]},{"id":"ITEM-2","itemData":{"DOI":"10.38214/jurnalbinaummatstidnatsir.v5i2.150","author":[{"dropping-particle":"","family":"Yuliasih","given":"Muzayyanah","non-dropping-particle":"","parse-names":false,"suffix":""},{"dropping-particle":"","family":"Rahyu","given":"Tri","non-dropping-particle":"","parse-names":false,"suffix":""}],"container-title":"Jurnal Bina Ummat: Membina dan Membentengi Ummat","id":"ITEM-2","issue":"2","issued":{"date-parts":[["2022","12","25"]]},"page":"115-125","title":"Da'wah Strategy in Preventing Apostasy in Cisantana Village, Cigugur District, Kuningan District","type":"article-journal","volume":"5"},"uris":["http://www.mendeley.com/documents/?uuid=3202dd7b-7ea5-4c5e-b5f0-283338abe672"]}],"mendeley":{"formattedCitation":"(Kusmanto et al., 2021; Yuliasih &amp; Rahyu, 2022)","plainTextFormattedCitation":"(Kusmanto et al., 2021; Yuliasih &amp; Rahyu, 2022)","previouslyFormattedCitation":"(Kusmanto et al., 2021; Yuliasih &amp; Rahyu, 2022)"},"properties":{"noteIndex":0},"schema":"https://github.com/citation-style-language/schema/raw/master/csl-citation.json"}</w:instrText>
      </w:r>
      <w:r w:rsidR="0094019C">
        <w:rPr>
          <w:rFonts w:ascii="Calibri Light" w:hAnsi="Calibri Light" w:cs="Calibri Light"/>
          <w:sz w:val="24"/>
          <w:szCs w:val="24"/>
        </w:rPr>
        <w:fldChar w:fldCharType="separate"/>
      </w:r>
      <w:r w:rsidRPr="0094019C" w:rsidR="0094019C">
        <w:rPr>
          <w:rFonts w:ascii="Calibri Light" w:hAnsi="Calibri Light" w:cs="Calibri Light"/>
          <w:noProof/>
          <w:sz w:val="24"/>
          <w:szCs w:val="24"/>
        </w:rPr>
        <w:t>(Kusmanto et al., 2021; Yuliasih &amp; Rahyu, 2022)</w:t>
      </w:r>
      <w:r w:rsidR="0094019C">
        <w:rPr>
          <w:rFonts w:ascii="Calibri Light" w:hAnsi="Calibri Light" w:cs="Calibri Light"/>
          <w:sz w:val="24"/>
          <w:szCs w:val="24"/>
        </w:rPr>
        <w:fldChar w:fldCharType="end"/>
      </w:r>
      <w:r w:rsidRPr="003A029A">
        <w:rPr>
          <w:rFonts w:ascii="Calibri Light" w:hAnsi="Calibri Light" w:cs="Calibri Light"/>
          <w:sz w:val="24"/>
          <w:szCs w:val="24"/>
        </w:rPr>
        <w:t xml:space="preserve">. Digital channels and social media have indeed shaped </w:t>
      </w:r>
      <w:r w:rsidRPr="00A052EF" w:rsidR="00A052EF">
        <w:rPr>
          <w:rFonts w:ascii="Calibri Light" w:hAnsi="Calibri Light" w:cs="Calibri Light"/>
          <w:i/>
          <w:iCs/>
          <w:sz w:val="24"/>
          <w:szCs w:val="24"/>
        </w:rPr>
        <w:t>Da’wah</w:t>
      </w:r>
      <w:r w:rsidRPr="003A029A">
        <w:rPr>
          <w:rFonts w:ascii="Calibri Light" w:hAnsi="Calibri Light" w:cs="Calibri Light"/>
          <w:sz w:val="24"/>
          <w:szCs w:val="24"/>
        </w:rPr>
        <w:t xml:space="preserve"> strategies in the dissemination of religious messages geared towards reaching diverse audiences</w:t>
      </w:r>
      <w:r w:rsidR="0094019C">
        <w:rPr>
          <w:rFonts w:ascii="Calibri Light" w:hAnsi="Calibri Light" w:cs="Calibri Light"/>
          <w:sz w:val="24"/>
          <w:szCs w:val="24"/>
        </w:rPr>
        <w:t xml:space="preserve"> </w:t>
      </w:r>
      <w:r w:rsidR="0094019C">
        <w:rPr>
          <w:rFonts w:ascii="Calibri Light" w:hAnsi="Calibri Light" w:cs="Calibri Light"/>
          <w:sz w:val="24"/>
          <w:szCs w:val="24"/>
        </w:rPr>
        <w:fldChar w:fldCharType="begin" w:fldLock="1"/>
      </w:r>
      <w:r w:rsidR="0094019C">
        <w:rPr>
          <w:rFonts w:ascii="Calibri Light" w:hAnsi="Calibri Light" w:cs="Calibri Light"/>
          <w:sz w:val="24"/>
          <w:szCs w:val="24"/>
        </w:rPr>
        <w:instrText>ADDIN CSL_CITATION {"citationItems":[{"id":"ITEM-1","itemData":{"DOI":"10.37812/fikroh.v16i1.681","author":[{"dropping-particle":"","family":"Aslan","given":"Aslan","non-dropping-particle":"","parse-names":false,"suffix":""},{"dropping-particle":"","family":"Pong","given":"Kok S.","non-dropping-particle":"","parse-names":false,"suffix":""}],"container-title":"Fikroh Jurnal Pemikiran Dan Pendidikan Islam","id":"ITEM-1","issue":"1","issued":{"date-parts":[["2023"]]},"page":"11-22","title":"Understanding the Trend of Digital Da'wah among Muslim Housewives in Indonesia","type":"article-journal","volume":"16"},"uris":["http://www.mendeley.com/documents/?uuid=33dac14d-2cdf-4a2f-9d7e-6e3c2bd8996b"]},{"id":"ITEM-2","itemData":{"DOI":"10.56613/islam-universalia.v1i1.111","author":[{"dropping-particle":"","family":"Saputra","given":"Rahmat","non-dropping-particle":"","parse-names":false,"suffix":""},{"dropping-particle":"","family":"Islamiyah","given":"Ummi H.","non-dropping-particle":"","parse-names":false,"suffix":""}],"container-title":"Islam Universalia International Journal of Islamic Studies and Social Sciences","id":"ITEM-2","issue":"1","issued":{"date-parts":[["2019"]]},"page":"19-41","title":"Da’wah Strategy through Google Search Engine Optimization","type":"article-journal","volume":"1"},"uris":["http://www.mendeley.com/documents/?uuid=96190363-c2ad-4413-bd2a-2f23c0cefdac"]}],"mendeley":{"formattedCitation":"(Aslan &amp; Pong, 2023; Saputra &amp; Islamiyah, 2019)","plainTextFormattedCitation":"(Aslan &amp; Pong, 2023; Saputra &amp; Islamiyah, 2019)","previouslyFormattedCitation":"(Aslan &amp; Pong, 2023; Saputra &amp; Islamiyah, 2019)"},"properties":{"noteIndex":0},"schema":"https://github.com/citation-style-language/schema/raw/master/csl-citation.json"}</w:instrText>
      </w:r>
      <w:r w:rsidR="0094019C">
        <w:rPr>
          <w:rFonts w:ascii="Calibri Light" w:hAnsi="Calibri Light" w:cs="Calibri Light"/>
          <w:sz w:val="24"/>
          <w:szCs w:val="24"/>
        </w:rPr>
        <w:fldChar w:fldCharType="separate"/>
      </w:r>
      <w:r w:rsidRPr="0094019C" w:rsidR="0094019C">
        <w:rPr>
          <w:rFonts w:ascii="Calibri Light" w:hAnsi="Calibri Light" w:cs="Calibri Light"/>
          <w:noProof/>
          <w:sz w:val="24"/>
          <w:szCs w:val="24"/>
        </w:rPr>
        <w:t>(Aslan &amp; Pong, 2023; Saputra &amp; Islamiyah, 2019)</w:t>
      </w:r>
      <w:r w:rsidR="0094019C">
        <w:rPr>
          <w:rFonts w:ascii="Calibri Light" w:hAnsi="Calibri Light" w:cs="Calibri Light"/>
          <w:sz w:val="24"/>
          <w:szCs w:val="24"/>
        </w:rPr>
        <w:fldChar w:fldCharType="end"/>
      </w:r>
      <w:r w:rsidRPr="003A029A">
        <w:rPr>
          <w:rFonts w:ascii="Calibri Light" w:hAnsi="Calibri Light" w:cs="Calibri Light"/>
          <w:sz w:val="24"/>
          <w:szCs w:val="24"/>
        </w:rPr>
        <w:t xml:space="preserve">. Contemporary </w:t>
      </w:r>
      <w:r w:rsidRPr="00A052EF" w:rsidR="00A052EF">
        <w:rPr>
          <w:rFonts w:ascii="Calibri Light" w:hAnsi="Calibri Light" w:cs="Calibri Light"/>
          <w:i/>
          <w:iCs/>
          <w:sz w:val="24"/>
          <w:szCs w:val="24"/>
        </w:rPr>
        <w:t>Da’wah</w:t>
      </w:r>
      <w:r w:rsidRPr="003A029A">
        <w:rPr>
          <w:rFonts w:ascii="Calibri Light" w:hAnsi="Calibri Light" w:cs="Calibri Light"/>
          <w:sz w:val="24"/>
          <w:szCs w:val="24"/>
        </w:rPr>
        <w:t xml:space="preserve"> practices today deployed search engine optimization, multimedia applications and digital communication to ensure the continuality of broader outreach and engagement. </w:t>
      </w:r>
    </w:p>
    <w:p w:rsidR="003A029A" w:rsidP="003A029A">
      <w:pPr>
        <w:spacing w:before="120" w:after="120"/>
        <w:ind w:left="440" w:right="-1" w:hanging="14"/>
        <w:jc w:val="both"/>
        <w:rPr>
          <w:rFonts w:ascii="Calibri Light" w:hAnsi="Calibri Light" w:cs="Calibri Light"/>
          <w:sz w:val="24"/>
          <w:szCs w:val="24"/>
        </w:rPr>
      </w:pPr>
      <w:r w:rsidRPr="003A029A">
        <w:rPr>
          <w:rFonts w:ascii="Calibri Light" w:hAnsi="Calibri Light" w:cs="Calibri Light"/>
          <w:sz w:val="24"/>
          <w:szCs w:val="24"/>
        </w:rPr>
        <w:t xml:space="preserve">In addition, the development of </w:t>
      </w:r>
      <w:r w:rsidRPr="00A052EF" w:rsidR="00A052EF">
        <w:rPr>
          <w:rFonts w:ascii="Calibri Light" w:hAnsi="Calibri Light" w:cs="Calibri Light"/>
          <w:i/>
          <w:iCs/>
          <w:sz w:val="24"/>
          <w:szCs w:val="24"/>
        </w:rPr>
        <w:t>Da’wah</w:t>
      </w:r>
      <w:r w:rsidRPr="003A029A">
        <w:rPr>
          <w:rFonts w:ascii="Calibri Light" w:hAnsi="Calibri Light" w:cs="Calibri Light"/>
          <w:sz w:val="24"/>
          <w:szCs w:val="24"/>
        </w:rPr>
        <w:t xml:space="preserve"> strategies that are more assertive can be seen from the use of persuasion techniques, stories and multimedia that are interesting as a form of delivery or socialization of religious messages and the solution to today’s problems</w:t>
      </w:r>
      <w:r w:rsidR="0094019C">
        <w:rPr>
          <w:rFonts w:ascii="Calibri Light" w:hAnsi="Calibri Light" w:cs="Calibri Light"/>
          <w:sz w:val="24"/>
          <w:szCs w:val="24"/>
        </w:rPr>
        <w:t xml:space="preserve"> </w:t>
      </w:r>
      <w:r w:rsidR="0094019C">
        <w:rPr>
          <w:rFonts w:ascii="Calibri Light" w:hAnsi="Calibri Light" w:cs="Calibri Light"/>
          <w:sz w:val="24"/>
          <w:szCs w:val="24"/>
        </w:rPr>
        <w:fldChar w:fldCharType="begin" w:fldLock="1"/>
      </w:r>
      <w:r w:rsidR="002F6172">
        <w:rPr>
          <w:rFonts w:ascii="Calibri Light" w:hAnsi="Calibri Light" w:cs="Calibri Light"/>
          <w:sz w:val="24"/>
          <w:szCs w:val="24"/>
        </w:rPr>
        <w:instrText>ADDIN CSL_CITATION {"citationItems":[{"id":"ITEM-1","itemData":{"DOI":"10.15294/lc.v15i2.26285","author":[{"dropping-particle":"","family":"Kusmanto","given":"Hari","non-dropping-particle":"","parse-names":false,"suffix":""},{"dropping-particle":"","family":"Prayitno","given":"Harun Joko","non-dropping-particle":"","parse-names":false,"suffix":""},{"dropping-particle":"","family":"Sofiana","given":"Isnaeni","non-dropping-particle":"","parse-names":false,"suffix":""},{"dropping-particle":"","family":"Jamaluddin","given":"Norliza","non-dropping-particle":"","parse-names":false,"suffix":""}],"container-title":"Language Circle Journal of Language and Literature","id":"ITEM-1","issue":"2","issued":{"date-parts":[["2021"]]},"page":"219-228","title":"Persuasion Action Strategies in Da'wah Discourse on Social Media in the Global Communication Era","type":"article-journal","volume":"15"},"uris":["http://www.mendeley.com/documents/?uuid=b07c999b-d85e-4fd0-b969-9c01c7078317"]}],"mendeley":{"formattedCitation":"(Kusmanto et al., 2021)","plainTextFormattedCitation":"(Kusmanto et al., 2021)","previouslyFormattedCitation":"(Kusmanto et al., 2021)"},"properties":{"noteIndex":0},"schema":"https://github.com/citation-style-language/schema/raw/master/csl-citation.json"}</w:instrText>
      </w:r>
      <w:r w:rsidR="0094019C">
        <w:rPr>
          <w:rFonts w:ascii="Calibri Light" w:hAnsi="Calibri Light" w:cs="Calibri Light"/>
          <w:sz w:val="24"/>
          <w:szCs w:val="24"/>
        </w:rPr>
        <w:fldChar w:fldCharType="separate"/>
      </w:r>
      <w:r w:rsidRPr="0094019C" w:rsidR="0094019C">
        <w:rPr>
          <w:rFonts w:ascii="Calibri Light" w:hAnsi="Calibri Light" w:cs="Calibri Light"/>
          <w:noProof/>
          <w:sz w:val="24"/>
          <w:szCs w:val="24"/>
        </w:rPr>
        <w:t>(Kusmanto et al., 2021)</w:t>
      </w:r>
      <w:r w:rsidR="0094019C">
        <w:rPr>
          <w:rFonts w:ascii="Calibri Light" w:hAnsi="Calibri Light" w:cs="Calibri Light"/>
          <w:sz w:val="24"/>
          <w:szCs w:val="24"/>
        </w:rPr>
        <w:fldChar w:fldCharType="end"/>
      </w:r>
      <w:r w:rsidRPr="003A029A">
        <w:rPr>
          <w:rFonts w:ascii="Calibri Light" w:hAnsi="Calibri Light" w:cs="Calibri Light"/>
          <w:sz w:val="24"/>
          <w:szCs w:val="24"/>
        </w:rPr>
        <w:t xml:space="preserve">. These strategies look to coalition-stakeholder engagement, navigate contemporary social complexity and disseminate religious imperatives in innovative ways. This transformation has been channeled into the forms of </w:t>
      </w:r>
      <w:r w:rsidRPr="00A052EF" w:rsidR="00A052EF">
        <w:rPr>
          <w:rFonts w:ascii="Calibri Light" w:hAnsi="Calibri Light" w:cs="Calibri Light"/>
          <w:i/>
          <w:iCs/>
          <w:sz w:val="24"/>
          <w:szCs w:val="24"/>
        </w:rPr>
        <w:t>Da’wah</w:t>
      </w:r>
      <w:r w:rsidRPr="003A029A">
        <w:rPr>
          <w:rFonts w:ascii="Calibri Light" w:hAnsi="Calibri Light" w:cs="Calibri Light"/>
          <w:sz w:val="24"/>
          <w:szCs w:val="24"/>
        </w:rPr>
        <w:t xml:space="preserve"> strategy in Indonesia, which are marked by more assertive character beliefs because of several factors, such as the shifts in societal demands, technological advances, and the space for religious communication. There is growing awareness of the benefits of adopting innovative ways and means of carrying out </w:t>
      </w:r>
      <w:r w:rsidRPr="00A052EF" w:rsidR="00A052EF">
        <w:rPr>
          <w:rFonts w:ascii="Calibri Light" w:hAnsi="Calibri Light" w:cs="Calibri Light"/>
          <w:i/>
          <w:iCs/>
          <w:sz w:val="24"/>
          <w:szCs w:val="24"/>
        </w:rPr>
        <w:t>Da’wah</w:t>
      </w:r>
      <w:r w:rsidRPr="003A029A">
        <w:rPr>
          <w:rFonts w:ascii="Calibri Light" w:hAnsi="Calibri Light" w:cs="Calibri Light"/>
          <w:sz w:val="24"/>
          <w:szCs w:val="24"/>
        </w:rPr>
        <w:t xml:space="preserve"> to transmit the message of Islam, engage diverse groups, and maintain Islamic teachings and values.</w:t>
      </w:r>
    </w:p>
    <w:p w:rsidR="002F6172" w:rsidP="003A029A">
      <w:pPr>
        <w:spacing w:before="120" w:after="120"/>
        <w:ind w:left="440" w:right="-1" w:hanging="14"/>
        <w:jc w:val="both"/>
        <w:rPr>
          <w:rFonts w:ascii="Calibri Light" w:hAnsi="Calibri Light" w:cs="Calibri Light"/>
          <w:sz w:val="24"/>
          <w:szCs w:val="24"/>
        </w:rPr>
      </w:pPr>
      <w:r w:rsidRPr="002F6172">
        <w:rPr>
          <w:rFonts w:ascii="Calibri Light" w:hAnsi="Calibri Light" w:cs="Calibri Light"/>
          <w:sz w:val="24"/>
          <w:szCs w:val="24"/>
        </w:rPr>
        <w:t xml:space="preserve">The exposure of </w:t>
      </w:r>
      <w:r w:rsidRPr="00A052EF" w:rsidR="00A052EF">
        <w:rPr>
          <w:rFonts w:ascii="Calibri Light" w:hAnsi="Calibri Light" w:cs="Calibri Light"/>
          <w:i/>
          <w:iCs/>
          <w:sz w:val="24"/>
          <w:szCs w:val="24"/>
        </w:rPr>
        <w:t>Da’wah</w:t>
      </w:r>
      <w:r w:rsidRPr="002F6172">
        <w:rPr>
          <w:rFonts w:ascii="Calibri Light" w:hAnsi="Calibri Light" w:cs="Calibri Light"/>
          <w:sz w:val="24"/>
          <w:szCs w:val="24"/>
        </w:rPr>
        <w:t xml:space="preserve"> against blasphemy cases in Indonesia has contributed to the history of demographic change in terms of religious thoughts and social dynamics. A pertinent example of this is the rejection of non-Muslim leaders, such as in the case of Basuki </w:t>
      </w:r>
      <w:r w:rsidRPr="002F6172">
        <w:rPr>
          <w:rFonts w:ascii="Calibri Light" w:hAnsi="Calibri Light" w:cs="Calibri Light"/>
          <w:sz w:val="24"/>
          <w:szCs w:val="24"/>
        </w:rPr>
        <w:t>Tjahya</w:t>
      </w:r>
      <w:r w:rsidRPr="002F6172">
        <w:rPr>
          <w:rFonts w:ascii="Calibri Light" w:hAnsi="Calibri Light" w:cs="Calibri Light"/>
          <w:sz w:val="24"/>
          <w:szCs w:val="24"/>
        </w:rPr>
        <w:t xml:space="preserve"> Purnama (better known as Ahok), the former Jakarta Governor who was on trial for blasphemy against the Quran. These arrests were followed by protests and further allegations of blasphemy against Islam, which sparked resistance among Muslim youth</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{"citationItems":[{"id":"ITEM-1","itemData":{"DOI":"10.4102/hts.v78i4.7526","author":[{"dropping-particle":"","family":"Nasution","given":"Muhammad Syukri Albani","non-dropping-particle":"","parse-names":false,"suffix":""},{"dropping-particle":"","family":"Syam","given":"Syafruddin","non-dropping-particle":"","parse-names":false,"suffix":""},{"dropping-particle":"","family":"Matsum","given":"Hasan","non-dropping-particle":"","parse-names":false,"suffix":""},{"dropping-particle":"","family":"Siregar","given":"Putra Apriadi","non-dropping-particle":"","parse-names":false,"suffix":""},{"dropping-particle":"","family":"Dayu","given":"Wulan","non-dropping-particle":"","parse-names":false,"suffix":""}],"container-title":"HTS Teologiese Studies / Theological Studies","id":"ITEM-1","issue":"4","issued":{"date-parts":[["2022"]]},"title":"Hifz Al-Din (Maintaining Religion) and Hifz Al-Ummah (Developing National Integration): Resistance of Muslim Youth to Non-Muslim Leader Candidates in Election","type":"article-journal","volume":"78"},"uris":["http://www.mendeley.com/documents/?uuid=2e29ce31-e596-4309-98e9-6494efdff6ff"]}],"mendeley":{"formattedCitation":"(Nasution et al., 2022)","plainTextFormattedCitation":"(Nasution et al., 2022)","previouslyFormattedCitation":"(Nasution et al., 2022)"},"properties":{"noteIndex":0},"schema":"https://github.com/citation-style-language/schema/raw/master/csl-citation.json"}</w:instrText>
      </w:r>
      <w:r>
        <w:rPr>
          <w:rFonts w:ascii="Calibri Light" w:hAnsi="Calibri Light" w:cs="Calibri Light"/>
          <w:sz w:val="24"/>
          <w:szCs w:val="24"/>
        </w:rPr>
        <w:fldChar w:fldCharType="separate"/>
      </w:r>
      <w:r w:rsidRPr="002F6172">
        <w:rPr>
          <w:rFonts w:ascii="Calibri Light" w:hAnsi="Calibri Light" w:cs="Calibri Light"/>
          <w:noProof/>
          <w:sz w:val="24"/>
          <w:szCs w:val="24"/>
        </w:rPr>
        <w:t>(Nasution et al., 2022)</w:t>
      </w:r>
      <w:r>
        <w:rPr>
          <w:rFonts w:ascii="Calibri Light" w:hAnsi="Calibri Light" w:cs="Calibri Light"/>
          <w:sz w:val="24"/>
          <w:szCs w:val="24"/>
        </w:rPr>
        <w:fldChar w:fldCharType="end"/>
      </w:r>
      <w:r w:rsidRPr="002F6172">
        <w:rPr>
          <w:rFonts w:ascii="Calibri Light" w:hAnsi="Calibri Light" w:cs="Calibri Light"/>
          <w:sz w:val="24"/>
          <w:szCs w:val="24"/>
        </w:rPr>
        <w:t>.</w:t>
      </w:r>
    </w:p>
    <w:p w:rsidR="002F6172" w:rsidP="003A029A">
      <w:pPr>
        <w:spacing w:before="120" w:after="120"/>
        <w:ind w:left="440" w:right="-1" w:hanging="14"/>
        <w:jc w:val="both"/>
        <w:rPr>
          <w:rFonts w:ascii="Calibri Light" w:hAnsi="Calibri Light" w:cs="Calibri Light"/>
          <w:sz w:val="24"/>
          <w:szCs w:val="24"/>
        </w:rPr>
      </w:pPr>
      <w:r w:rsidRPr="002F6172">
        <w:rPr>
          <w:rFonts w:ascii="Calibri Light" w:hAnsi="Calibri Light" w:cs="Calibri Light"/>
          <w:sz w:val="24"/>
          <w:szCs w:val="24"/>
        </w:rPr>
        <w:t xml:space="preserve">The following case study of the victimization of </w:t>
      </w:r>
      <w:r w:rsidRPr="002F6172">
        <w:rPr>
          <w:rFonts w:ascii="Calibri Light" w:hAnsi="Calibri Light" w:cs="Calibri Light"/>
          <w:sz w:val="24"/>
          <w:szCs w:val="24"/>
        </w:rPr>
        <w:t>Ahmadiyyah</w:t>
      </w:r>
      <w:r w:rsidRPr="002F6172">
        <w:rPr>
          <w:rFonts w:ascii="Calibri Light" w:hAnsi="Calibri Light" w:cs="Calibri Light"/>
          <w:sz w:val="24"/>
          <w:szCs w:val="24"/>
        </w:rPr>
        <w:t xml:space="preserve"> in Indonesia, again heavily discriminated against with various violence charges (mostly of heresy) against its member. Putra et al. discuss the implementation of these above challenges by referring to how difficult it is for the </w:t>
      </w:r>
      <w:r w:rsidRPr="002F6172">
        <w:rPr>
          <w:rFonts w:ascii="Calibri Light" w:hAnsi="Calibri Light" w:cs="Calibri Light"/>
          <w:sz w:val="24"/>
          <w:szCs w:val="24"/>
        </w:rPr>
        <w:t>Ahmadiyyah</w:t>
      </w:r>
      <w:r w:rsidRPr="002F6172">
        <w:rPr>
          <w:rFonts w:ascii="Calibri Light" w:hAnsi="Calibri Light" w:cs="Calibri Light"/>
          <w:sz w:val="24"/>
          <w:szCs w:val="24"/>
        </w:rPr>
        <w:t xml:space="preserve"> community to be an </w:t>
      </w:r>
      <w:r w:rsidRPr="002F6172">
        <w:rPr>
          <w:rFonts w:ascii="Calibri Light" w:hAnsi="Calibri Light" w:cs="Calibri Light"/>
          <w:sz w:val="24"/>
          <w:szCs w:val="24"/>
        </w:rPr>
        <w:t>interpart</w:t>
      </w:r>
      <w:r w:rsidRPr="002F6172">
        <w:rPr>
          <w:rFonts w:ascii="Calibri Light" w:hAnsi="Calibri Light" w:cs="Calibri Light"/>
          <w:sz w:val="24"/>
          <w:szCs w:val="24"/>
        </w:rPr>
        <w:t xml:space="preserve"> in religious pluralism and what kind of tolerance in Indonesia needs further investigation</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{"citationItems":[{"id":"ITEM-1","itemData":{"DOI":"10.1037/rel0000186","author":[{"dropping-particle":"","family":"Putra","given":"Idhamsyah E.","non-dropping-particle":"","parse-names":false,"suffix":""},{"dropping-particle":"","family":"Holtz","given":"Peter","non-dropping-particle":"","parse-names":false,"suffix":""},{"dropping-particle":"","family":"Rufaedah","given":"Any","non-dropping-particle":"","parse-names":false,"suffix":""}],"container-title":"Psychology of Religion and Spirituality","id":"ITEM-1","issue":"2","issued":{"date-parts":[["2018"]]},"page":"166–173","title":"Who is to blame, the victims or the perpetrators? A study to understand a series of violence targeting the accused heretic group Ahmadiyya","type":"article-journal","volume":"10"},"uris":["http://www.mendeley.com/documents/?uuid=3116602c-d3fd-4500-8b32-f5ed02263d25"]}],"mendeley":{"formattedCitation":"(Putra et al., 2018)","plainTextFormattedCitation":"(Putra et al., 2018)","previouslyFormattedCitation":"(Putra et al., 2018)"},"properties":{"noteIndex":0},"schema":"https://github.com/citation-style-language/schema/raw/master/csl-citation.json"}</w:instrText>
      </w:r>
      <w:r>
        <w:rPr>
          <w:rFonts w:ascii="Calibri Light" w:hAnsi="Calibri Light" w:cs="Calibri Light"/>
          <w:sz w:val="24"/>
          <w:szCs w:val="24"/>
        </w:rPr>
        <w:fldChar w:fldCharType="separate"/>
      </w:r>
      <w:r w:rsidRPr="002F6172">
        <w:rPr>
          <w:rFonts w:ascii="Calibri Light" w:hAnsi="Calibri Light" w:cs="Calibri Light"/>
          <w:noProof/>
          <w:sz w:val="24"/>
          <w:szCs w:val="24"/>
        </w:rPr>
        <w:t>(Putra et al., 2018)</w:t>
      </w:r>
      <w:r>
        <w:rPr>
          <w:rFonts w:ascii="Calibri Light" w:hAnsi="Calibri Light" w:cs="Calibri Light"/>
          <w:sz w:val="24"/>
          <w:szCs w:val="24"/>
        </w:rPr>
        <w:fldChar w:fldCharType="end"/>
      </w:r>
      <w:r w:rsidRPr="002F6172">
        <w:rPr>
          <w:rFonts w:ascii="Calibri Light" w:hAnsi="Calibri Light" w:cs="Calibri Light"/>
          <w:sz w:val="24"/>
          <w:szCs w:val="24"/>
        </w:rPr>
        <w:t>. On the other hand, the discussion of blasphemy in Indonesia has come under both legal and social examinations. This legal analysis compares blasphemy law in Indonesia with other countries, including Ireland and Canada, to understand the legal framework of criminalizing blasphemy and its impact on freedom of religion or belief and social harmony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B450BF">
        <w:rPr>
          <w:rFonts w:ascii="Calibri Light" w:hAnsi="Calibri Light" w:cs="Calibri Light"/>
          <w:sz w:val="24"/>
          <w:szCs w:val="24"/>
        </w:rPr>
        <w:instrText>ADDIN CSL_CITATION {"citationItems":[{"id":"ITEM-1","itemData":{"DOI":"10.20961/bestuur.v9i1.51632","author":[{"dropping-particle":"","family":"Lintang","given":"Loresta C.","non-dropping-particle":"","parse-names":false,"suffix":""},{"dropping-particle":"","family":"Martufi","given":"Adriano","non-dropping-particle":"","parse-names":false,"suffix":""},{"dropping-particle":"","family":"Ouwerker","given":"J. W.","non-dropping-particle":"","parse-names":false,"suffix":""}],"container-title":"Bestuur","id":"ITEM-1","issue":"1","issued":{"date-parts":[["2021"]]},"page":"13-25","title":"The Alternative Concepts of Blasphemy Law in Indonesia: Legal Comparison with Ireland and Canada","type":"article-journal","volume":"9"},"uris":["http://www.mendeley.com/documents/?uuid=5ceb1d00-2e5f-4fec-a6bf-3c93c0837fdc"]}],"mendeley":{"formattedCitation":"(Lintang et al., 2021)","plainTextFormattedCitation":"(Lintang et al., 2021)","previouslyFormattedCitation":"(Lintang et al., 2021)"},"properties":{"noteIndex":0},"schema":"https://github.com/citation-style-language/schema/raw/master/csl-citation.json"}</w:instrText>
      </w:r>
      <w:r>
        <w:rPr>
          <w:rFonts w:ascii="Calibri Light" w:hAnsi="Calibri Light" w:cs="Calibri Light"/>
          <w:sz w:val="24"/>
          <w:szCs w:val="24"/>
        </w:rPr>
        <w:fldChar w:fldCharType="separate"/>
      </w:r>
      <w:r w:rsidRPr="002F6172">
        <w:rPr>
          <w:rFonts w:ascii="Calibri Light" w:hAnsi="Calibri Light" w:cs="Calibri Light"/>
          <w:noProof/>
          <w:sz w:val="24"/>
          <w:szCs w:val="24"/>
        </w:rPr>
        <w:t>(Lintang et al., 2021)</w:t>
      </w:r>
      <w:r>
        <w:rPr>
          <w:rFonts w:ascii="Calibri Light" w:hAnsi="Calibri Light" w:cs="Calibri Light"/>
          <w:sz w:val="24"/>
          <w:szCs w:val="24"/>
        </w:rPr>
        <w:fldChar w:fldCharType="end"/>
      </w:r>
      <w:r w:rsidRPr="002F6172">
        <w:rPr>
          <w:rFonts w:ascii="Calibri Light" w:hAnsi="Calibri Light" w:cs="Calibri Light"/>
          <w:sz w:val="24"/>
          <w:szCs w:val="24"/>
        </w:rPr>
        <w:t xml:space="preserve">. Also, the use of digital platforms and social media in </w:t>
      </w:r>
      <w:r w:rsidRPr="00A052EF" w:rsidR="00A052EF">
        <w:rPr>
          <w:rFonts w:ascii="Calibri Light" w:hAnsi="Calibri Light" w:cs="Calibri Light"/>
          <w:i/>
          <w:iCs/>
          <w:sz w:val="24"/>
          <w:szCs w:val="24"/>
        </w:rPr>
        <w:t>Da’wah</w:t>
      </w:r>
      <w:r w:rsidRPr="002F6172">
        <w:rPr>
          <w:rFonts w:ascii="Calibri Light" w:hAnsi="Calibri Light" w:cs="Calibri Light"/>
          <w:sz w:val="24"/>
          <w:szCs w:val="24"/>
        </w:rPr>
        <w:t xml:space="preserve"> activities has been a progressive step towards solving blasphemy problems. These case studies shed light on the intertwined character of </w:t>
      </w:r>
      <w:r w:rsidRPr="00A052EF" w:rsidR="00A052EF">
        <w:rPr>
          <w:rFonts w:ascii="Calibri Light" w:hAnsi="Calibri Light" w:cs="Calibri Light"/>
          <w:i/>
          <w:iCs/>
          <w:sz w:val="24"/>
          <w:szCs w:val="24"/>
        </w:rPr>
        <w:t>Da’wah</w:t>
      </w:r>
      <w:r w:rsidRPr="002F6172">
        <w:rPr>
          <w:rFonts w:ascii="Calibri Light" w:hAnsi="Calibri Light" w:cs="Calibri Light"/>
          <w:sz w:val="24"/>
          <w:szCs w:val="24"/>
        </w:rPr>
        <w:t xml:space="preserve"> against blasphemy in Indonesia, echoing how religious discourse, legal system, and social context played out in dealing with questions of religious tolerance, freedom of expression and societal harmony.</w:t>
      </w:r>
    </w:p>
    <w:p w:rsidR="00FB4D6C" w:rsidRPr="00FB4D6C" w:rsidP="003A029A">
      <w:pPr>
        <w:spacing w:before="120" w:after="120"/>
        <w:ind w:left="440" w:right="-1" w:hanging="14"/>
        <w:jc w:val="both"/>
        <w:rPr>
          <w:rFonts w:ascii="Calibri Light" w:hAnsi="Calibri Light" w:cs="Calibri Light"/>
          <w:b/>
          <w:bCs/>
          <w:sz w:val="24"/>
          <w:szCs w:val="24"/>
        </w:rPr>
      </w:pPr>
      <w:r w:rsidRPr="00FB4D6C">
        <w:rPr>
          <w:rFonts w:ascii="Calibri Light" w:hAnsi="Calibri Light" w:cs="Calibri Light"/>
          <w:b/>
          <w:bCs/>
          <w:sz w:val="24"/>
          <w:szCs w:val="24"/>
        </w:rPr>
        <w:t xml:space="preserve">Contemporary Perspectives of </w:t>
      </w:r>
      <w:r w:rsidRPr="00A052EF" w:rsidR="00A052EF">
        <w:rPr>
          <w:rFonts w:ascii="Calibri Light" w:hAnsi="Calibri Light" w:cs="Calibri Light"/>
          <w:b/>
          <w:bCs/>
          <w:i/>
          <w:iCs/>
          <w:sz w:val="24"/>
          <w:szCs w:val="24"/>
        </w:rPr>
        <w:t>Da’wah</w:t>
      </w:r>
      <w:r w:rsidRPr="00FB4D6C">
        <w:rPr>
          <w:rFonts w:ascii="Calibri Light" w:hAnsi="Calibri Light" w:cs="Calibri Light"/>
          <w:b/>
          <w:bCs/>
          <w:sz w:val="24"/>
          <w:szCs w:val="24"/>
        </w:rPr>
        <w:t xml:space="preserve"> in Indonesia</w:t>
      </w:r>
    </w:p>
    <w:p w:rsidR="009C69F5" w:rsidP="00B25EDF">
      <w:pPr>
        <w:spacing w:before="120" w:after="120"/>
        <w:ind w:left="440" w:right="-1" w:hanging="14"/>
        <w:jc w:val="both"/>
        <w:rPr>
          <w:rFonts w:ascii="Calibri Light" w:hAnsi="Calibri Light" w:cs="Calibri Light"/>
          <w:sz w:val="24"/>
          <w:szCs w:val="24"/>
        </w:rPr>
      </w:pPr>
      <w:r w:rsidRPr="00B450BF">
        <w:rPr>
          <w:rFonts w:ascii="Calibri Light" w:hAnsi="Calibri Light" w:cs="Calibri Light"/>
          <w:sz w:val="24"/>
          <w:szCs w:val="24"/>
        </w:rPr>
        <w:t xml:space="preserve">Social media and the internet have revolutionized </w:t>
      </w:r>
      <w:r w:rsidRPr="00A052EF" w:rsidR="00A052EF">
        <w:rPr>
          <w:rFonts w:ascii="Calibri Light" w:hAnsi="Calibri Light" w:cs="Calibri Light"/>
          <w:i/>
          <w:iCs/>
          <w:sz w:val="24"/>
          <w:szCs w:val="24"/>
        </w:rPr>
        <w:t>Da’wah</w:t>
      </w:r>
      <w:r w:rsidRPr="00B450BF">
        <w:rPr>
          <w:rFonts w:ascii="Calibri Light" w:hAnsi="Calibri Light" w:cs="Calibri Light"/>
          <w:sz w:val="24"/>
          <w:szCs w:val="24"/>
        </w:rPr>
        <w:t xml:space="preserve"> movements across Indonesia, transforming the flow of religious messages and audience interaction. Islamic outreach is </w:t>
      </w:r>
      <w:r w:rsidRPr="00B450BF">
        <w:rPr>
          <w:rFonts w:ascii="Calibri Light" w:hAnsi="Calibri Light" w:cs="Calibri Light"/>
          <w:sz w:val="24"/>
          <w:szCs w:val="24"/>
        </w:rPr>
        <w:t xml:space="preserve">undoubtedly more easily obtained globally in the digital age. Taking example from Bandung of West Java, social media has initiated the formation of digital Islamic social networks, which are marked by the presence of Muslim intellectuals who are influential in establishing </w:t>
      </w:r>
      <w:r w:rsidRPr="00A052EF" w:rsidR="00A052EF">
        <w:rPr>
          <w:rFonts w:ascii="Calibri Light" w:hAnsi="Calibri Light" w:cs="Calibri Light"/>
          <w:i/>
          <w:iCs/>
          <w:sz w:val="24"/>
          <w:szCs w:val="24"/>
        </w:rPr>
        <w:t>Da’wah</w:t>
      </w:r>
      <w:r w:rsidRPr="00B450BF">
        <w:rPr>
          <w:rFonts w:ascii="Calibri Light" w:hAnsi="Calibri Light" w:cs="Calibri Light"/>
          <w:sz w:val="24"/>
          <w:szCs w:val="24"/>
        </w:rPr>
        <w:t xml:space="preserve"> activities at universities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{"citationItems":[{"id":"ITEM-1","itemData":{"DOI":"10.1080/13639811.2018.1415276","author":[{"dropping-particle":"","family":"Lengauer","given":"Dayana","non-dropping-particle":"","parse-names":false,"suffix":""}],"container-title":"Indonesia and the Malay World","id":"ITEM-1","issue":"134","issued":{"date-parts":[["2018"]]},"page":"5-23","title":"Sharing Semangat Taqwa: Social Media and Digital Islamic Socialities in Bandung","type":"article-journal","volume":"46"},"uris":["http://www.mendeley.com/documents/?uuid=094649b8-86a9-404f-92d9-52b4ab7e0e61"]}],"mendeley":{"formattedCitation":"(Lengauer, 2018)","plainTextFormattedCitation":"(Lengauer, 2018)","previouslyFormattedCitation":"(Lengauer, 2018)"},"properties":{"noteIndex":0},"schema":"https://github.com/citation-style-language/schema/raw/master/csl-citation.json"}</w:instrText>
      </w:r>
      <w:r>
        <w:rPr>
          <w:rFonts w:ascii="Calibri Light" w:hAnsi="Calibri Light" w:cs="Calibri Light"/>
          <w:sz w:val="24"/>
          <w:szCs w:val="24"/>
        </w:rPr>
        <w:fldChar w:fldCharType="separate"/>
      </w:r>
      <w:r w:rsidRPr="00B450BF">
        <w:rPr>
          <w:rFonts w:ascii="Calibri Light" w:hAnsi="Calibri Light" w:cs="Calibri Light"/>
          <w:noProof/>
          <w:sz w:val="24"/>
          <w:szCs w:val="24"/>
        </w:rPr>
        <w:t>(Lengauer, 2018)</w:t>
      </w:r>
      <w:r>
        <w:rPr>
          <w:rFonts w:ascii="Calibri Light" w:hAnsi="Calibri Light" w:cs="Calibri Light"/>
          <w:sz w:val="24"/>
          <w:szCs w:val="24"/>
        </w:rPr>
        <w:fldChar w:fldCharType="end"/>
      </w:r>
      <w:r w:rsidRPr="00B450BF">
        <w:rPr>
          <w:rFonts w:ascii="Calibri Light" w:hAnsi="Calibri Light" w:cs="Calibri Light"/>
          <w:sz w:val="24"/>
          <w:szCs w:val="24"/>
        </w:rPr>
        <w:t xml:space="preserve">. Similarly, the convergent digital media era has also had its impacts on </w:t>
      </w:r>
      <w:r w:rsidRPr="00A052EF" w:rsidR="00A052EF">
        <w:rPr>
          <w:rFonts w:ascii="Calibri Light" w:hAnsi="Calibri Light" w:cs="Calibri Light"/>
          <w:i/>
          <w:iCs/>
          <w:sz w:val="24"/>
          <w:szCs w:val="24"/>
        </w:rPr>
        <w:t>Da’wah</w:t>
      </w:r>
      <w:r w:rsidRPr="00B450BF">
        <w:rPr>
          <w:rFonts w:ascii="Calibri Light" w:hAnsi="Calibri Light" w:cs="Calibri Light"/>
          <w:sz w:val="24"/>
          <w:szCs w:val="24"/>
        </w:rPr>
        <w:t xml:space="preserve"> by manifesting cyber </w:t>
      </w:r>
      <w:r w:rsidRPr="00A052EF" w:rsidR="00A052EF">
        <w:rPr>
          <w:rFonts w:ascii="Calibri Light" w:hAnsi="Calibri Light" w:cs="Calibri Light"/>
          <w:i/>
          <w:iCs/>
          <w:sz w:val="24"/>
          <w:szCs w:val="24"/>
        </w:rPr>
        <w:t>Da’wah</w:t>
      </w:r>
      <w:r w:rsidRPr="00B450BF">
        <w:rPr>
          <w:rFonts w:ascii="Calibri Light" w:hAnsi="Calibri Light" w:cs="Calibri Light"/>
          <w:sz w:val="24"/>
          <w:szCs w:val="24"/>
        </w:rPr>
        <w:t xml:space="preserve"> activism as a manifestation of political and ideological motives in online religious messages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10.24252/jdt.v24i1.41657","author":[{"dropping-particle":"","family":"Muhammad","given":"Firdaus","non-dropping-particle":"","parse-names":false,"suffix":""},{"dropping-particle":"","family":"Irwan","given":"","non-dropping-particle":"","parse-names":false,"suffix":""}],"container-title":"Jurnal Dakwah Tabligh","id":"ITEM-1","issue":"1","issued":{"date-parts":[["2023"]]},"title":"Diseminasi Komunikasi Politik Islam Dan Dakwah Era Konvergensi Media Digital","type":"article-journal","volume":"24"},"uris":["http://www.mendeley.com/documents/?uuid=a2169cfb-a590-4e71-a993-0dff0501b588"]}],"mendeley":{"formattedCitation":"(F. Muhammad &amp; Irwan, 2023)","plainTextFormattedCitation":"(F. Muhammad &amp; Irwan, 2023)","previouslyFormattedCitation":"(F. Muhammad &amp; Irwan, 2023)"},"properties":{"noteIndex":0},"schema":"https://github.com/citation-style-language/schema/raw/master/csl-citation.json"}</w:instrText>
      </w:r>
      <w:r>
        <w:rPr>
          <w:rFonts w:ascii="Calibri Light" w:hAnsi="Calibri Light" w:cs="Calibri Light"/>
          <w:sz w:val="24"/>
          <w:szCs w:val="24"/>
        </w:rPr>
        <w:fldChar w:fldCharType="separate"/>
      </w:r>
      <w:r w:rsidRPr="00B450BF">
        <w:rPr>
          <w:rFonts w:ascii="Calibri Light" w:hAnsi="Calibri Light" w:cs="Calibri Light"/>
          <w:noProof/>
          <w:sz w:val="24"/>
          <w:szCs w:val="24"/>
        </w:rPr>
        <w:t>(F. Muhammad &amp; Irwan, 2023)</w:t>
      </w:r>
      <w:r>
        <w:rPr>
          <w:rFonts w:ascii="Calibri Light" w:hAnsi="Calibri Light" w:cs="Calibri Light"/>
          <w:sz w:val="24"/>
          <w:szCs w:val="24"/>
        </w:rPr>
        <w:fldChar w:fldCharType="end"/>
      </w:r>
      <w:r w:rsidRPr="00B450BF">
        <w:rPr>
          <w:rFonts w:ascii="Calibri Light" w:hAnsi="Calibri Light" w:cs="Calibri Light"/>
          <w:sz w:val="24"/>
          <w:szCs w:val="24"/>
        </w:rPr>
        <w:t xml:space="preserve">. This practice of utilizing social media and live streaming has been especially important for </w:t>
      </w:r>
      <w:r w:rsidRPr="00A052EF" w:rsidR="00A052EF">
        <w:rPr>
          <w:rFonts w:ascii="Calibri Light" w:hAnsi="Calibri Light" w:cs="Calibri Light"/>
          <w:i/>
          <w:iCs/>
          <w:sz w:val="24"/>
          <w:szCs w:val="24"/>
        </w:rPr>
        <w:t>Da’wah</w:t>
      </w:r>
      <w:r w:rsidRPr="00B450BF">
        <w:rPr>
          <w:rFonts w:ascii="Calibri Light" w:hAnsi="Calibri Light" w:cs="Calibri Light"/>
          <w:sz w:val="24"/>
          <w:szCs w:val="24"/>
        </w:rPr>
        <w:t xml:space="preserve"> during the pandemic period, giving students an opportunity to engage with wider audiences and carry on their work despite limitations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{"citationItems":[{"id":"ITEM-1","itemData":{"DOI":"10.29240/jdk.v6i1.2954","author":[{"dropping-particle":"","family":"Fajar","given":"Mohammad R.","non-dropping-particle":"","parse-names":false,"suffix":""}],"container-title":"Jurnal Dakwah Dan Komunikasi","id":"ITEM-1","issue":"1","issued":{"date-parts":[["2021"]]},"page":"1-22","title":"Optimalisasi Dakwah Media Sosial Di Kalangan Mahasiswa Di Masa Pandemi Dalam Dimensi Globalisasi","type":"article-journal","volume":"6"},"uris":["http://www.mendeley.com/documents/?uuid=4b72fa93-cc05-43ef-9441-626875c9ddf8"]}],"mendeley":{"formattedCitation":"(Fajar, 2021)","plainTextFormattedCitation":"(Fajar, 2021)","previouslyFormattedCitation":"(Fajar, 2021)"},"properties":{"noteIndex":0},"schema":"https://github.com/citation-style-language/schema/raw/master/csl-citation.json"}</w:instrText>
      </w:r>
      <w:r>
        <w:rPr>
          <w:rFonts w:ascii="Calibri Light" w:hAnsi="Calibri Light" w:cs="Calibri Light"/>
          <w:sz w:val="24"/>
          <w:szCs w:val="24"/>
        </w:rPr>
        <w:fldChar w:fldCharType="separate"/>
      </w:r>
      <w:r w:rsidRPr="00B450BF">
        <w:rPr>
          <w:rFonts w:ascii="Calibri Light" w:hAnsi="Calibri Light" w:cs="Calibri Light"/>
          <w:noProof/>
          <w:sz w:val="24"/>
          <w:szCs w:val="24"/>
        </w:rPr>
        <w:t>(Fajar, 2021)</w:t>
      </w:r>
      <w:r>
        <w:rPr>
          <w:rFonts w:ascii="Calibri Light" w:hAnsi="Calibri Light" w:cs="Calibri Light"/>
          <w:sz w:val="24"/>
          <w:szCs w:val="24"/>
        </w:rPr>
        <w:fldChar w:fldCharType="end"/>
      </w:r>
      <w:r w:rsidRPr="00B450BF">
        <w:rPr>
          <w:rFonts w:ascii="Calibri Light" w:hAnsi="Calibri Light" w:cs="Calibri Light"/>
          <w:sz w:val="24"/>
          <w:szCs w:val="24"/>
        </w:rPr>
        <w:t xml:space="preserve">. Specifically, digital media role as a </w:t>
      </w:r>
      <w:r w:rsidRPr="00A052EF" w:rsidR="00A052EF">
        <w:rPr>
          <w:rFonts w:ascii="Calibri Light" w:hAnsi="Calibri Light" w:cs="Calibri Light"/>
          <w:i/>
          <w:iCs/>
          <w:sz w:val="24"/>
          <w:szCs w:val="24"/>
        </w:rPr>
        <w:t>Da’wah</w:t>
      </w:r>
      <w:r w:rsidRPr="00B450BF">
        <w:rPr>
          <w:rFonts w:ascii="Calibri Light" w:hAnsi="Calibri Light" w:cs="Calibri Light"/>
          <w:sz w:val="24"/>
          <w:szCs w:val="24"/>
        </w:rPr>
        <w:t xml:space="preserve"> tool is very much visible and essential as it acts spreading messages of religion to the public at large with thematically interactive and remotely engaging</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337B03">
        <w:rPr>
          <w:rFonts w:ascii="Calibri Light" w:hAnsi="Calibri Light" w:cs="Calibri Light"/>
          <w:sz w:val="24"/>
          <w:szCs w:val="24"/>
        </w:rPr>
        <w:instrText>ADDIN CSL_CITATION {"citationItems":[{"id":"ITEM-1","itemData":{"DOI":"10.37826/spektrum.v10i2.324","ISSN":"2338-0861","abstract":"Study was carried out with the aim of analyzing the use of digital media as a means of da'wah communication. Obtain some data about the benefits resulting from digital media for da'wah methods in this digital era. In the digital era, the role of digital media is very important in the spread of da'wah. Study uses a PRISMA systematic review approach by collecting several articles from the literature database. From the results of the systematic review analysis with PRISMA, significant results were obtained from the benefits of digital media for da'wah communication facilities. The form of spreading da'wah that is easy and more familiar with the support of good visual displays is the main attraction. The presence of digital media opens up opportunities for new da'i who want to expand their wings to preach widely alongside leading da'i in cyberspace very easily. Digital media makes the audience of connoisseurs of the da'i unlimited, so a lot of digital media becomes a reference for finding new knowledge treasures or just enjoying the beautiful design combined with brief tausyiah of the da'i in it. From the scale of use, Facebook, Instagram and websites still outperform other digital media in terms of their use as a means of communicating da'wah to the community","author":[{"dropping-particle":"","family":"Aziz","given":"Muhajir Sulthonul","non-dropping-particle":"","parse-names":false,"suffix":""},{"dropping-particle":"","family":"Indrasari","given":"Meithiana","non-dropping-particle":"","parse-names":false,"suffix":""},{"dropping-particle":"","family":"Pamuji","given":"Eko","non-dropping-particle":"","parse-names":false,"suffix":""},{"dropping-particle":"","family":"Wulandari","given":"E Rizky","non-dropping-particle":"","parse-names":false,"suffix":""},{"dropping-particle":"","family":"Prasnowo","given":"M Adhi","non-dropping-particle":"","parse-names":false,"suffix":""}],"container-title":"Jurnal Spektrum Komunikasi","id":"ITEM-1","issue":"2","issued":{"date-parts":[["2022"]]},"page":"187-193","title":"Systematic Review: Use of Digital Media as a Means of Communication of Da’wah","type":"article-journal","volume":"10"},"uris":["http://www.mendeley.com/documents/?uuid=4308d6c2-97f9-4b7c-98e8-d68440eb208f"]}],"mendeley":{"formattedCitation":"(Aziz et al., 2022)","plainTextFormattedCitation":"(Aziz et al., 2022)","previouslyFormattedCitation":"(Aziz et al., 2022)"},"properties":{"noteIndex":0},"schema":"https://github.com/citation-style-language/schema/raw/master/csl-citation.json"}</w:instrText>
      </w:r>
      <w:r>
        <w:rPr>
          <w:rFonts w:ascii="Calibri Light" w:hAnsi="Calibri Light" w:cs="Calibri Light"/>
          <w:sz w:val="24"/>
          <w:szCs w:val="24"/>
        </w:rPr>
        <w:fldChar w:fldCharType="separate"/>
      </w:r>
      <w:r w:rsidRPr="00B450BF">
        <w:rPr>
          <w:rFonts w:ascii="Calibri Light" w:hAnsi="Calibri Light" w:cs="Calibri Light"/>
          <w:noProof/>
          <w:sz w:val="24"/>
          <w:szCs w:val="24"/>
        </w:rPr>
        <w:t>(Aziz et al., 2022)</w:t>
      </w:r>
      <w:r>
        <w:rPr>
          <w:rFonts w:ascii="Calibri Light" w:hAnsi="Calibri Light" w:cs="Calibri Light"/>
          <w:sz w:val="24"/>
          <w:szCs w:val="24"/>
        </w:rPr>
        <w:fldChar w:fldCharType="end"/>
      </w:r>
      <w:r w:rsidRPr="00B450BF">
        <w:rPr>
          <w:rFonts w:ascii="Calibri Light" w:hAnsi="Calibri Light" w:cs="Calibri Light"/>
          <w:sz w:val="24"/>
          <w:szCs w:val="24"/>
        </w:rPr>
        <w:t xml:space="preserve">. By way of example, the </w:t>
      </w:r>
      <w:r w:rsidRPr="008D41DD">
        <w:rPr>
          <w:rFonts w:ascii="Calibri Light" w:hAnsi="Calibri Light" w:cs="Calibri Light"/>
          <w:i/>
          <w:iCs/>
          <w:sz w:val="24"/>
          <w:szCs w:val="24"/>
        </w:rPr>
        <w:t>Tastafi</w:t>
      </w:r>
      <w:r w:rsidRPr="008D41DD">
        <w:rPr>
          <w:rFonts w:ascii="Calibri Light" w:hAnsi="Calibri Light" w:cs="Calibri Light"/>
          <w:i/>
          <w:iCs/>
          <w:sz w:val="24"/>
          <w:szCs w:val="24"/>
        </w:rPr>
        <w:t xml:space="preserve"> </w:t>
      </w:r>
      <w:r w:rsidRPr="00A052EF" w:rsidR="00A052EF">
        <w:rPr>
          <w:rFonts w:ascii="Calibri Light" w:hAnsi="Calibri Light" w:cs="Calibri Light"/>
          <w:i/>
          <w:iCs/>
          <w:sz w:val="24"/>
          <w:szCs w:val="24"/>
        </w:rPr>
        <w:t>Da’wah</w:t>
      </w:r>
      <w:r w:rsidRPr="00B450BF">
        <w:rPr>
          <w:rFonts w:ascii="Calibri Light" w:hAnsi="Calibri Light" w:cs="Calibri Light"/>
          <w:sz w:val="24"/>
          <w:szCs w:val="24"/>
        </w:rPr>
        <w:t xml:space="preserve"> movement during the pandemic shows how social media and live streaming enabled practitioners to scale up and respond at speed</w:t>
      </w:r>
      <w:r w:rsidR="00337B03">
        <w:rPr>
          <w:rFonts w:ascii="Calibri Light" w:hAnsi="Calibri Light" w:cs="Calibri Light"/>
          <w:sz w:val="24"/>
          <w:szCs w:val="24"/>
        </w:rPr>
        <w:t xml:space="preserve"> </w:t>
      </w:r>
      <w:r w:rsidR="00337B03">
        <w:rPr>
          <w:rFonts w:ascii="Calibri Light" w:hAnsi="Calibri Light" w:cs="Calibri Light"/>
          <w:sz w:val="24"/>
          <w:szCs w:val="24"/>
        </w:rPr>
        <w:fldChar w:fldCharType="begin" w:fldLock="1"/>
      </w:r>
      <w:r w:rsidR="00337B03">
        <w:rPr>
          <w:rFonts w:ascii="Calibri Light" w:hAnsi="Calibri Light" w:cs="Calibri Light"/>
          <w:sz w:val="24"/>
          <w:szCs w:val="24"/>
        </w:rPr>
        <w:instrText>ADDIN CSL_CITATION {"citationItems":[{"id":"ITEM-1","itemData":{"DOI":"10.14421/panangkaran.v6i1.2788","author":[{"dropping-particle":"","family":"Fikar","given":"Zulfikar","non-dropping-particle":"","parse-names":false,"suffix":""}],"container-title":"Panangkaran Jurnal Penelitian Agama Dan Masyarakat","id":"ITEM-1","issue":"1","issued":{"date-parts":[["2022"]]},"page":"132-146","title":"Dakwah Ulama Dayah Aceh Di Masa Pandemi","type":"article-journal","volume":"6"},"uris":["http://www.mendeley.com/documents/?uuid=a9de121f-9a1f-40a1-b31c-ba84491e0d6e"]}],"mendeley":{"formattedCitation":"(Fikar, 2022)","plainTextFormattedCitation":"(Fikar, 2022)","previouslyFormattedCitation":"(Fikar, 2022)"},"properties":{"noteIndex":0},"schema":"https://github.com/citation-style-language/schema/raw/master/csl-citation.json"}</w:instrText>
      </w:r>
      <w:r w:rsidR="00337B03">
        <w:rPr>
          <w:rFonts w:ascii="Calibri Light" w:hAnsi="Calibri Light" w:cs="Calibri Light"/>
          <w:sz w:val="24"/>
          <w:szCs w:val="24"/>
        </w:rPr>
        <w:fldChar w:fldCharType="separate"/>
      </w:r>
      <w:r w:rsidRPr="00337B03" w:rsidR="00337B03">
        <w:rPr>
          <w:rFonts w:ascii="Calibri Light" w:hAnsi="Calibri Light" w:cs="Calibri Light"/>
          <w:noProof/>
          <w:sz w:val="24"/>
          <w:szCs w:val="24"/>
        </w:rPr>
        <w:t>(Fikar, 2022)</w:t>
      </w:r>
      <w:r w:rsidR="00337B03">
        <w:rPr>
          <w:rFonts w:ascii="Calibri Light" w:hAnsi="Calibri Light" w:cs="Calibri Light"/>
          <w:sz w:val="24"/>
          <w:szCs w:val="24"/>
        </w:rPr>
        <w:fldChar w:fldCharType="end"/>
      </w:r>
      <w:r w:rsidRPr="00B450BF">
        <w:rPr>
          <w:rFonts w:ascii="Calibri Light" w:hAnsi="Calibri Light" w:cs="Calibri Light"/>
          <w:sz w:val="24"/>
          <w:szCs w:val="24"/>
        </w:rPr>
        <w:t xml:space="preserve">. This is an advancement in </w:t>
      </w:r>
      <w:r w:rsidRPr="00A052EF" w:rsidR="00A052EF">
        <w:rPr>
          <w:rFonts w:ascii="Calibri Light" w:hAnsi="Calibri Light" w:cs="Calibri Light"/>
          <w:i/>
          <w:iCs/>
          <w:sz w:val="24"/>
          <w:szCs w:val="24"/>
        </w:rPr>
        <w:t>Da’wah</w:t>
      </w:r>
      <w:r w:rsidRPr="00B450BF">
        <w:rPr>
          <w:rFonts w:ascii="Calibri Light" w:hAnsi="Calibri Light" w:cs="Calibri Light"/>
          <w:sz w:val="24"/>
          <w:szCs w:val="24"/>
        </w:rPr>
        <w:t xml:space="preserve"> strategies in the country by embracing social media and internet to improve communication, involve the audience and increase influence.</w:t>
      </w:r>
    </w:p>
    <w:p w:rsidR="00337B03" w:rsidRPr="00337B03" w:rsidP="00337B03">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Pr="00337B03">
        <w:rPr>
          <w:rFonts w:ascii="Calibri Light" w:hAnsi="Calibri Light" w:cs="Calibri Light"/>
          <w:sz w:val="24"/>
          <w:szCs w:val="24"/>
        </w:rPr>
        <w:t xml:space="preserve"> practices in Indonesia are also partially defined by state regulations and laws on blasphemy. Respecting religious freedom, appreciating differences and focusing on positive goals in </w:t>
      </w:r>
      <w:r w:rsidRPr="00A052EF">
        <w:rPr>
          <w:rFonts w:ascii="Calibri Light" w:hAnsi="Calibri Light" w:cs="Calibri Light"/>
          <w:i/>
          <w:iCs/>
          <w:sz w:val="24"/>
          <w:szCs w:val="24"/>
        </w:rPr>
        <w:t>Da’wah</w:t>
      </w:r>
      <w:r w:rsidRPr="00337B03" w:rsidR="008D41DD">
        <w:rPr>
          <w:rFonts w:ascii="Calibri Light" w:hAnsi="Calibri Light" w:cs="Calibri Light"/>
          <w:sz w:val="24"/>
          <w:szCs w:val="24"/>
        </w:rPr>
        <w:t xml:space="preserve"> </w:t>
      </w:r>
      <w:r w:rsidRPr="00337B03">
        <w:rPr>
          <w:rFonts w:ascii="Calibri Light" w:hAnsi="Calibri Light" w:cs="Calibri Light"/>
          <w:sz w:val="24"/>
          <w:szCs w:val="24"/>
        </w:rPr>
        <w:t>efforts could be a good way to create tolerance, harmony and peace among religious communities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10.21744/irjmis.v10n2.2295","author":[{"dropping-particle":"","family":"Rahmah","given":"St","non-dropping-particle":"","parse-names":false,"suffix":""},{"dropping-particle":"","family":"Aslamiah","given":"Rabiatul","non-dropping-particle":"","parse-names":false,"suffix":""}],"container-title":"International Research Journal of Management It and Social Sciences","id":"ITEM-1","issue":"2","issued":{"date-parts":[["2023"]]},"page":"110–121","title":"Understanding the Urgency of Da'wah of Islam in the Context of Peace in the Nuances of Pluralism in Indonesia","type":"article-journal","volume":"10"},"uris":["http://www.mendeley.com/documents/?uuid=74845864-fafa-4769-8c54-b542f1bbc208"]}],"mendeley":{"formattedCitation":"(Rahmah &amp; Aslamiah, 2023)","plainTextFormattedCitation":"(Rahmah &amp; Aslamiah, 2023)","previouslyFormattedCitation":"(Rahmah &amp; Aslamiah, 2023)"},"properties":{"noteIndex":0},"schema":"https://github.com/citation-style-language/schema/raw/master/csl-citation.json"}</w:instrText>
      </w:r>
      <w:r>
        <w:rPr>
          <w:rFonts w:ascii="Calibri Light" w:hAnsi="Calibri Light" w:cs="Calibri Light"/>
          <w:sz w:val="24"/>
          <w:szCs w:val="24"/>
        </w:rPr>
        <w:fldChar w:fldCharType="separate"/>
      </w:r>
      <w:r w:rsidRPr="00337B03">
        <w:rPr>
          <w:rFonts w:ascii="Calibri Light" w:hAnsi="Calibri Light" w:cs="Calibri Light"/>
          <w:noProof/>
          <w:sz w:val="24"/>
          <w:szCs w:val="24"/>
        </w:rPr>
        <w:t>(Rahmah &amp; Aslamiah, 2023)</w:t>
      </w:r>
      <w:r>
        <w:rPr>
          <w:rFonts w:ascii="Calibri Light" w:hAnsi="Calibri Light" w:cs="Calibri Light"/>
          <w:sz w:val="24"/>
          <w:szCs w:val="24"/>
        </w:rPr>
        <w:fldChar w:fldCharType="end"/>
      </w:r>
      <w:r w:rsidRPr="00337B03">
        <w:rPr>
          <w:rFonts w:ascii="Calibri Light" w:hAnsi="Calibri Light" w:cs="Calibri Light"/>
          <w:sz w:val="24"/>
          <w:szCs w:val="24"/>
        </w:rPr>
        <w:t>. Such informing depicts one of the key techniques to advance comprehension and concordance as Indonesia traverses its differing strict scene: teaching Muslim minority gatherings, excepting insights with feelings of dread for security or hawks promoting moderate convention</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{"citationItems":[{"id":"ITEM-1","itemData":{"DOI":"10.51672/alfikru.v16i2.107","author":[{"dropping-particle":"","family":"Amin","given":"Nazrial","non-dropping-particle":"","parse-names":false,"suffix":""}],"container-title":"Al-Fikru Jurnal Ilmiah","id":"ITEM-1","issue":"2","issued":{"date-parts":[["2022"]]},"page":"188–199","title":"Contemporary Da'wah Strategies to Educate the Religious Life of Minority Muslims","type":"article-journal","volume":"16"},"uris":["http://www.mendeley.com/documents/?uuid=0a983e01-ff79-4ab2-ae91-c70e919ab592"]}],"mendeley":{"formattedCitation":"(Amin, 2022)","plainTextFormattedCitation":"(Amin, 2022)","previouslyFormattedCitation":"(Amin, 2022)"},"properties":{"noteIndex":0},"schema":"https://github.com/citation-style-language/schema/raw/master/csl-citation.json"}</w:instrText>
      </w:r>
      <w:r>
        <w:rPr>
          <w:rFonts w:ascii="Calibri Light" w:hAnsi="Calibri Light" w:cs="Calibri Light"/>
          <w:sz w:val="24"/>
          <w:szCs w:val="24"/>
        </w:rPr>
        <w:fldChar w:fldCharType="separate"/>
      </w:r>
      <w:r w:rsidRPr="00337B03">
        <w:rPr>
          <w:rFonts w:ascii="Calibri Light" w:hAnsi="Calibri Light" w:cs="Calibri Light"/>
          <w:noProof/>
          <w:sz w:val="24"/>
          <w:szCs w:val="24"/>
        </w:rPr>
        <w:t>(Amin, 2022)</w:t>
      </w:r>
      <w:r>
        <w:rPr>
          <w:rFonts w:ascii="Calibri Light" w:hAnsi="Calibri Light" w:cs="Calibri Light"/>
          <w:sz w:val="24"/>
          <w:szCs w:val="24"/>
        </w:rPr>
        <w:fldChar w:fldCharType="end"/>
      </w:r>
      <w:r w:rsidRPr="00337B03">
        <w:rPr>
          <w:rFonts w:ascii="Calibri Light" w:hAnsi="Calibri Light" w:cs="Calibri Light"/>
          <w:sz w:val="24"/>
          <w:szCs w:val="24"/>
        </w:rPr>
        <w:t>. The integration between religion and state by fostering the values of anti-radicalism, religious moderation, nationalism, tolerance and encouragement for local cultures to reduce conflicts in with other beliefs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144C1C">
        <w:rPr>
          <w:rFonts w:ascii="Calibri Light" w:hAnsi="Calibri Light" w:cs="Calibri Light"/>
          <w:sz w:val="24"/>
          <w:szCs w:val="24"/>
        </w:rPr>
        <w:instrText>ADDIN CSL_CITATION {"citationItems":[{"id":"ITEM-1","itemData":{"DOI":"10.35673/ajhpi.v7i1.2128","author":[{"dropping-particle":"","family":"Husaini","given":"Husaini","non-dropping-particle":"","parse-names":false,"suffix":""},{"dropping-particle":"","family":"Islamy","given":"Athoillah","non-dropping-particle":"","parse-names":false,"suffix":""}],"container-title":"Al-Adalah Jurnal Hukum Dan Politik Islam","id":"ITEM-1","issue":"1","issued":{"date-parts":[["2022"]]},"page":"51-73","title":"Harmonization of Religion and State : Mainstreaming the Values of Religious Moderation in Indonesian Da'wah Orientation","type":"article-journal","volume":"7"},"uris":["http://www.mendeley.com/documents/?uuid=675daaca-94bb-4d03-a1f5-d01d371d43cc"]}],"mendeley":{"formattedCitation":"(Husaini &amp; Islamy, 2022)","plainTextFormattedCitation":"(Husaini &amp; Islamy, 2022)","previouslyFormattedCitation":"(Husaini &amp; Islamy, 2022)"},"properties":{"noteIndex":0},"schema":"https://github.com/citation-style-language/schema/raw/master/csl-citation.json"}</w:instrText>
      </w:r>
      <w:r>
        <w:rPr>
          <w:rFonts w:ascii="Calibri Light" w:hAnsi="Calibri Light" w:cs="Calibri Light"/>
          <w:sz w:val="24"/>
          <w:szCs w:val="24"/>
        </w:rPr>
        <w:fldChar w:fldCharType="separate"/>
      </w:r>
      <w:r w:rsidRPr="00337B03">
        <w:rPr>
          <w:rFonts w:ascii="Calibri Light" w:hAnsi="Calibri Light" w:cs="Calibri Light"/>
          <w:noProof/>
          <w:sz w:val="24"/>
          <w:szCs w:val="24"/>
        </w:rPr>
        <w:t>(Husaini &amp; Islamy, 2022)</w:t>
      </w:r>
      <w:r>
        <w:rPr>
          <w:rFonts w:ascii="Calibri Light" w:hAnsi="Calibri Light" w:cs="Calibri Light"/>
          <w:sz w:val="24"/>
          <w:szCs w:val="24"/>
        </w:rPr>
        <w:fldChar w:fldCharType="end"/>
      </w:r>
      <w:r w:rsidRPr="00337B03">
        <w:rPr>
          <w:rFonts w:ascii="Calibri Light" w:hAnsi="Calibri Light" w:cs="Calibri Light"/>
          <w:sz w:val="24"/>
          <w:szCs w:val="24"/>
        </w:rPr>
        <w:t>.</w:t>
      </w:r>
    </w:p>
    <w:p w:rsidR="00337B03" w:rsidP="00337B03">
      <w:pPr>
        <w:spacing w:before="120" w:after="120"/>
        <w:ind w:left="440" w:right="-1" w:hanging="14"/>
        <w:jc w:val="both"/>
        <w:rPr>
          <w:rFonts w:ascii="Calibri Light" w:hAnsi="Calibri Light" w:cs="Calibri Light"/>
          <w:sz w:val="24"/>
          <w:szCs w:val="24"/>
        </w:rPr>
      </w:pPr>
      <w:r w:rsidRPr="00337B03">
        <w:rPr>
          <w:rFonts w:ascii="Calibri Light" w:hAnsi="Calibri Light" w:cs="Calibri Light"/>
          <w:sz w:val="24"/>
          <w:szCs w:val="24"/>
        </w:rPr>
        <w:t xml:space="preserve">The state regulations and laws of blasphemy affect the </w:t>
      </w:r>
      <w:r w:rsidRPr="00A052EF" w:rsidR="00A052EF">
        <w:rPr>
          <w:rFonts w:ascii="Calibri Light" w:hAnsi="Calibri Light" w:cs="Calibri Light"/>
          <w:i/>
          <w:iCs/>
          <w:sz w:val="24"/>
          <w:szCs w:val="24"/>
        </w:rPr>
        <w:t>Da’wah</w:t>
      </w:r>
      <w:r w:rsidRPr="00337B03" w:rsidR="008D41DD">
        <w:rPr>
          <w:rFonts w:ascii="Calibri Light" w:hAnsi="Calibri Light" w:cs="Calibri Light"/>
          <w:sz w:val="24"/>
          <w:szCs w:val="24"/>
        </w:rPr>
        <w:t xml:space="preserve"> </w:t>
      </w:r>
      <w:r w:rsidRPr="00337B03">
        <w:rPr>
          <w:rFonts w:ascii="Calibri Light" w:hAnsi="Calibri Light" w:cs="Calibri Light"/>
          <w:sz w:val="24"/>
          <w:szCs w:val="24"/>
        </w:rPr>
        <w:t xml:space="preserve">by encouraging religious tolerance and education in terms of faith and as well moderation. The dynamics of legal systems, social norms, and spiritual doctrines guide </w:t>
      </w:r>
      <w:r w:rsidRPr="00A052EF" w:rsidR="00A052EF">
        <w:rPr>
          <w:rFonts w:ascii="Calibri Light" w:hAnsi="Calibri Light" w:cs="Calibri Light"/>
          <w:i/>
          <w:iCs/>
          <w:sz w:val="24"/>
          <w:szCs w:val="24"/>
        </w:rPr>
        <w:t>Da’wah</w:t>
      </w:r>
      <w:r w:rsidRPr="00337B03" w:rsidR="008D41DD">
        <w:rPr>
          <w:rFonts w:ascii="Calibri Light" w:hAnsi="Calibri Light" w:cs="Calibri Light"/>
          <w:sz w:val="24"/>
          <w:szCs w:val="24"/>
        </w:rPr>
        <w:t xml:space="preserve"> </w:t>
      </w:r>
      <w:r w:rsidRPr="00337B03">
        <w:rPr>
          <w:rFonts w:ascii="Calibri Light" w:hAnsi="Calibri Light" w:cs="Calibri Light"/>
          <w:sz w:val="24"/>
          <w:szCs w:val="24"/>
        </w:rPr>
        <w:t>practitioners in managing the narrative of religion and maintaining its balance within Indonesian society.</w:t>
      </w:r>
    </w:p>
    <w:p w:rsidR="00482013" w:rsidRPr="00144C1C" w:rsidP="00337B03">
      <w:pPr>
        <w:spacing w:before="120" w:after="120"/>
        <w:ind w:left="440" w:right="-1" w:hanging="14"/>
        <w:jc w:val="both"/>
        <w:rPr>
          <w:rFonts w:ascii="Calibri Light" w:hAnsi="Calibri Light" w:cs="Calibri Light"/>
          <w:b/>
          <w:bCs/>
          <w:sz w:val="24"/>
          <w:szCs w:val="24"/>
        </w:rPr>
      </w:pPr>
      <w:r w:rsidRPr="00144C1C">
        <w:rPr>
          <w:rFonts w:ascii="Calibri Light" w:hAnsi="Calibri Light" w:cs="Calibri Light"/>
          <w:b/>
          <w:bCs/>
          <w:sz w:val="24"/>
          <w:szCs w:val="24"/>
        </w:rPr>
        <w:t xml:space="preserve">Promoting Peace through </w:t>
      </w:r>
      <w:r w:rsidRPr="00A052EF" w:rsidR="00A052EF">
        <w:rPr>
          <w:rFonts w:ascii="Calibri Light" w:hAnsi="Calibri Light" w:cs="Calibri Light"/>
          <w:b/>
          <w:bCs/>
          <w:i/>
          <w:iCs/>
          <w:sz w:val="24"/>
          <w:szCs w:val="24"/>
        </w:rPr>
        <w:t>Da’wah</w:t>
      </w:r>
    </w:p>
    <w:p w:rsidR="00144C1C" w:rsidRPr="00144C1C" w:rsidP="00144C1C">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Pr="00144C1C">
        <w:rPr>
          <w:rFonts w:ascii="Calibri Light" w:hAnsi="Calibri Light" w:cs="Calibri Light"/>
          <w:sz w:val="24"/>
          <w:szCs w:val="24"/>
        </w:rPr>
        <w:t xml:space="preserve">, which translates to the act of inviting individuals to understand and embrace Islam, in Indonesia has taken a new turn specifically about the question of blasphemy. Some approaches and strategies have changed over the years in </w:t>
      </w:r>
      <w:r w:rsidRPr="00A052EF">
        <w:rPr>
          <w:rFonts w:ascii="Calibri Light" w:hAnsi="Calibri Light" w:cs="Calibri Light"/>
          <w:i/>
          <w:iCs/>
          <w:sz w:val="24"/>
          <w:szCs w:val="24"/>
        </w:rPr>
        <w:t>Da’wah</w:t>
      </w:r>
      <w:r w:rsidRPr="00144C1C">
        <w:rPr>
          <w:rFonts w:ascii="Calibri Light" w:hAnsi="Calibri Light" w:cs="Calibri Light"/>
          <w:sz w:val="24"/>
          <w:szCs w:val="24"/>
        </w:rPr>
        <w:t xml:space="preserve">’s efforts and remained unchanged for some. In Indonesia, however, </w:t>
      </w:r>
      <w:r w:rsidRPr="00A052EF">
        <w:rPr>
          <w:rFonts w:ascii="Calibri Light" w:hAnsi="Calibri Light" w:cs="Calibri Light"/>
          <w:i/>
          <w:iCs/>
          <w:sz w:val="24"/>
          <w:szCs w:val="24"/>
        </w:rPr>
        <w:t>Da’wah</w:t>
      </w:r>
      <w:r w:rsidRPr="00144C1C">
        <w:rPr>
          <w:rFonts w:ascii="Calibri Light" w:hAnsi="Calibri Light" w:cs="Calibri Light"/>
          <w:sz w:val="24"/>
          <w:szCs w:val="24"/>
        </w:rPr>
        <w:t xml:space="preserve"> has been one of the most effective ways to deal with social problems and at the same time maintain peace in a plural society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10.21744/irjmis.v10n2.2295","author":[{"dropping-particle":"","family":"Rahmah","given":"St","non-dropping-particle":"","parse-names":false,"suffix":""},{"dropping-particle":"","family":"Aslamiah","given":"Rabiatul","non-dropping-particle":"","parse-names":false,"suffix":""}],"container-title":"International Research Journal of Management It and Social Sciences","id":"ITEM-1","issue":"2","issued":{"date-parts":[["2023"]]},"page":"110–121","title":"Understanding the Urgency of Da'wah of Islam in the Context of Peace in the Nuances of Pluralism in Indonesia","type":"article-journal","volume":"10"},"uris":["http://www.mendeley.com/documents/?uuid=74845864-fafa-4769-8c54-b542f1bbc208"]}],"mendeley":{"formattedCitation":"(Rahmah &amp; Aslamiah, 2023)","plainTextFormattedCitation":"(Rahmah &amp; Aslamiah, 2023)","previouslyFormattedCitation":"(Rahmah &amp; Aslamiah, 2023)"},"properties":{"noteIndex":0},"schema":"https://github.com/citation-style-language/schema/raw/master/csl-citation.json"}</w:instrText>
      </w:r>
      <w:r>
        <w:rPr>
          <w:rFonts w:ascii="Calibri Light" w:hAnsi="Calibri Light" w:cs="Calibri Light"/>
          <w:sz w:val="24"/>
          <w:szCs w:val="24"/>
        </w:rPr>
        <w:fldChar w:fldCharType="separate"/>
      </w:r>
      <w:r w:rsidRPr="00144C1C">
        <w:rPr>
          <w:rFonts w:ascii="Calibri Light" w:hAnsi="Calibri Light" w:cs="Calibri Light"/>
          <w:noProof/>
          <w:sz w:val="24"/>
          <w:szCs w:val="24"/>
        </w:rPr>
        <w:t>(Rahmah &amp; Aslamiah, 2023)</w:t>
      </w:r>
      <w:r>
        <w:rPr>
          <w:rFonts w:ascii="Calibri Light" w:hAnsi="Calibri Light" w:cs="Calibri Light"/>
          <w:sz w:val="24"/>
          <w:szCs w:val="24"/>
        </w:rPr>
        <w:fldChar w:fldCharType="end"/>
      </w:r>
      <w:r w:rsidRPr="00144C1C">
        <w:rPr>
          <w:rFonts w:ascii="Calibri Light" w:hAnsi="Calibri Light" w:cs="Calibri Light"/>
          <w:sz w:val="24"/>
          <w:szCs w:val="24"/>
        </w:rPr>
        <w:t xml:space="preserve">. It has been stressed the urgency of </w:t>
      </w:r>
      <w:r w:rsidRPr="00A052EF">
        <w:rPr>
          <w:rFonts w:ascii="Calibri Light" w:hAnsi="Calibri Light" w:cs="Calibri Light"/>
          <w:i/>
          <w:iCs/>
          <w:sz w:val="24"/>
          <w:szCs w:val="24"/>
        </w:rPr>
        <w:t>Da’wah</w:t>
      </w:r>
      <w:r w:rsidRPr="00144C1C">
        <w:rPr>
          <w:rFonts w:ascii="Calibri Light" w:hAnsi="Calibri Light" w:cs="Calibri Light"/>
          <w:sz w:val="24"/>
          <w:szCs w:val="24"/>
        </w:rPr>
        <w:t xml:space="preserve"> in creating harmony and understanding among different people in a plural society where it would play its role to create a cohabiting peacefully and harmoniously. Moreover, </w:t>
      </w:r>
      <w:r w:rsidRPr="00A052EF">
        <w:rPr>
          <w:rFonts w:ascii="Calibri Light" w:hAnsi="Calibri Light" w:cs="Calibri Light"/>
          <w:i/>
          <w:iCs/>
          <w:sz w:val="24"/>
          <w:szCs w:val="24"/>
        </w:rPr>
        <w:t>Da’wah</w:t>
      </w:r>
      <w:r w:rsidRPr="00144C1C">
        <w:rPr>
          <w:rFonts w:ascii="Calibri Light" w:hAnsi="Calibri Light" w:cs="Calibri Light"/>
          <w:sz w:val="24"/>
          <w:szCs w:val="24"/>
        </w:rPr>
        <w:t xml:space="preserve"> has been an instrument of social justice, educating people about social ills and striving for a better society but viewing it through the lens of religion</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{"citationItems":[{"id":"ITEM-1","itemData":{"DOI":"10.24014/jdr.v34i2.25373","author":[{"dropping-particle":"","family":"Karimullah","given":"Suud S.","non-dropping-particle":"","parse-names":false,"suffix":""}],"container-title":"Jurnal Dakwah Risalah","id":"ITEM-1","issue":"2","issued":{"date-parts":[["2023"]]},"title":"Da'wah for Social Justice: Creating Awareness of Social Issues through a Religious Approach","type":"article-journal","volume":"34"},"uris":["http://www.mendeley.com/documents/?uuid=3f0ace85-55a1-4a1d-afe3-f9c92257a2f1"]}],"mendeley":{"formattedCitation":"(Karimullah, 2023)","plainTextFormattedCitation":"(Karimullah, 2023)","previouslyFormattedCitation":"(Karimullah, 2023)"},"properties":{"noteIndex":0},"schema":"https://github.com/citation-style-language/schema/raw/master/csl-citation.json"}</w:instrText>
      </w:r>
      <w:r>
        <w:rPr>
          <w:rFonts w:ascii="Calibri Light" w:hAnsi="Calibri Light" w:cs="Calibri Light"/>
          <w:sz w:val="24"/>
          <w:szCs w:val="24"/>
        </w:rPr>
        <w:fldChar w:fldCharType="separate"/>
      </w:r>
      <w:r w:rsidRPr="00144C1C">
        <w:rPr>
          <w:rFonts w:ascii="Calibri Light" w:hAnsi="Calibri Light" w:cs="Calibri Light"/>
          <w:noProof/>
          <w:sz w:val="24"/>
          <w:szCs w:val="24"/>
        </w:rPr>
        <w:t>(Karimullah, 2023)</w:t>
      </w:r>
      <w:r>
        <w:rPr>
          <w:rFonts w:ascii="Calibri Light" w:hAnsi="Calibri Light" w:cs="Calibri Light"/>
          <w:sz w:val="24"/>
          <w:szCs w:val="24"/>
        </w:rPr>
        <w:fldChar w:fldCharType="end"/>
      </w:r>
      <w:r w:rsidRPr="00144C1C">
        <w:rPr>
          <w:rFonts w:ascii="Calibri Light" w:hAnsi="Calibri Light" w:cs="Calibri Light"/>
          <w:sz w:val="24"/>
          <w:szCs w:val="24"/>
        </w:rPr>
        <w:t>.</w:t>
      </w:r>
    </w:p>
    <w:p w:rsidR="009C69F5" w:rsidP="00144C1C">
      <w:pPr>
        <w:spacing w:before="120" w:after="120"/>
        <w:ind w:left="440" w:right="-1" w:hanging="14"/>
        <w:jc w:val="both"/>
        <w:rPr>
          <w:rFonts w:ascii="Calibri Light" w:hAnsi="Calibri Light" w:cs="Calibri Light"/>
          <w:sz w:val="24"/>
          <w:szCs w:val="24"/>
        </w:rPr>
      </w:pPr>
      <w:r w:rsidRPr="00144C1C">
        <w:rPr>
          <w:rFonts w:ascii="Calibri Light" w:hAnsi="Calibri Light" w:cs="Calibri Light"/>
          <w:sz w:val="24"/>
          <w:szCs w:val="24"/>
        </w:rPr>
        <w:t xml:space="preserve">Highlighting that the use of digital media for </w:t>
      </w:r>
      <w:r w:rsidRPr="00A052EF" w:rsidR="00A052EF">
        <w:rPr>
          <w:rFonts w:ascii="Calibri Light" w:hAnsi="Calibri Light" w:cs="Calibri Light"/>
          <w:i/>
          <w:iCs/>
          <w:sz w:val="24"/>
          <w:szCs w:val="24"/>
        </w:rPr>
        <w:t>Da’wah</w:t>
      </w:r>
      <w:r w:rsidRPr="00144C1C">
        <w:rPr>
          <w:rFonts w:ascii="Calibri Light" w:hAnsi="Calibri Light" w:cs="Calibri Light"/>
          <w:sz w:val="24"/>
          <w:szCs w:val="24"/>
        </w:rPr>
        <w:t xml:space="preserve"> communication is not only relevant but even more desired for communicating religious messages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{"citationItems":[{"id":"ITEM-1","itemData":{"DOI":"10.37826/spektrum.v10i2.324","ISSN":"2338-0861","abstract":"Study was carried out with the aim of analyzing the use of digital media as a means of da'wah communication. Obtain some data about the benefits resulting from digital media for da'wah methods in this digital era. In the digital era, the role of digital media is very important in the spread of da'wah. Study uses a PRISMA systematic review approach by collecting several articles from the literature database. From the results of the systematic review analysis with PRISMA, significant results were obtained from the benefits of digital media for da'wah communication facilities. The form of spreading da'wah that is easy and more familiar with the support of good visual displays is the main attraction. The presence of digital media opens up opportunities for new da'i who want to expand their wings to preach widely alongside leading da'i in cyberspace very easily. Digital media makes the audience of connoisseurs of the da'i unlimited, so a lot of digital media becomes a reference for finding new knowledge treasures or just enjoying the beautiful design combined with brief tausyiah of the da'i in it. From the scale of use, Facebook, Instagram and websites still outperform other digital media in terms of their use as a means of communicating da'wah to the community","author":[{"dropping-particle":"","family":"Aziz","given":"Muhajir Sulthonul","non-dropping-particle":"","parse-names":false,"suffix":""},{"dropping-particle":"","family":"Indrasari","given":"Meithiana","non-dropping-particle":"","parse-names":false,"suffix":""},{"dropping-particle":"","family":"Pamuji","given":"Eko","non-dropping-particle":"","parse-names":false,"suffix":""},{"dropping-particle":"","family":"Wulandari","given":"E Rizky","non-dropping-particle":"","parse-names":false,"suffix":""},{"dropping-particle":"","family":"Prasnowo","given":"M Adhi","non-dropping-particle":"","parse-names":false,"suffix":""}],"container-title":"Jurnal Spektrum Komunikasi","id":"ITEM-1","issue":"2","issued":{"date-parts":[["2022"]]},"page":"187-193","title":"Systematic Review: Use of Digital Media as a Means of Communication of Da’wah","type":"article-journal","volume":"10"},"uris":["http://www.mendeley.com/documents/?uuid=4308d6c2-97f9-4b7c-98e8-d68440eb208f"]}],"mendeley":{"formattedCitation":"(Aziz et al., 2022)","plainTextFormattedCitation":"(Aziz et al., 2022)","previouslyFormattedCitation":"(Aziz et al., 2022)"},"properties":{"noteIndex":0},"schema":"https://github.com/citation-style-language/schema/raw/master/csl-citation.json"}</w:instrText>
      </w:r>
      <w:r>
        <w:rPr>
          <w:rFonts w:ascii="Calibri Light" w:hAnsi="Calibri Light" w:cs="Calibri Light"/>
          <w:sz w:val="24"/>
          <w:szCs w:val="24"/>
        </w:rPr>
        <w:fldChar w:fldCharType="separate"/>
      </w:r>
      <w:r w:rsidRPr="00144C1C">
        <w:rPr>
          <w:rFonts w:ascii="Calibri Light" w:hAnsi="Calibri Light" w:cs="Calibri Light"/>
          <w:noProof/>
          <w:sz w:val="24"/>
          <w:szCs w:val="24"/>
        </w:rPr>
        <w:t>(Aziz et al., 2022)</w:t>
      </w:r>
      <w:r>
        <w:rPr>
          <w:rFonts w:ascii="Calibri Light" w:hAnsi="Calibri Light" w:cs="Calibri Light"/>
          <w:sz w:val="24"/>
          <w:szCs w:val="24"/>
        </w:rPr>
        <w:fldChar w:fldCharType="end"/>
      </w:r>
      <w:r w:rsidRPr="00144C1C">
        <w:rPr>
          <w:rFonts w:ascii="Calibri Light" w:hAnsi="Calibri Light" w:cs="Calibri Light"/>
          <w:sz w:val="24"/>
          <w:szCs w:val="24"/>
        </w:rPr>
        <w:t xml:space="preserve">. In </w:t>
      </w:r>
      <w:r w:rsidRPr="00144C1C">
        <w:rPr>
          <w:rFonts w:ascii="Calibri Light" w:hAnsi="Calibri Light" w:cs="Calibri Light"/>
          <w:sz w:val="24"/>
          <w:szCs w:val="24"/>
        </w:rPr>
        <w:t xml:space="preserve">addition to that, </w:t>
      </w:r>
      <w:r w:rsidRPr="00A052EF" w:rsidR="00A052EF">
        <w:rPr>
          <w:rFonts w:ascii="Calibri Light" w:hAnsi="Calibri Light" w:cs="Calibri Light"/>
          <w:i/>
          <w:iCs/>
          <w:sz w:val="24"/>
          <w:szCs w:val="24"/>
        </w:rPr>
        <w:t>Da’wah</w:t>
      </w:r>
      <w:r w:rsidRPr="00144C1C" w:rsidR="008D41DD">
        <w:rPr>
          <w:rFonts w:ascii="Calibri Light" w:hAnsi="Calibri Light" w:cs="Calibri Light"/>
          <w:sz w:val="24"/>
          <w:szCs w:val="24"/>
        </w:rPr>
        <w:t xml:space="preserve"> </w:t>
      </w:r>
      <w:r w:rsidRPr="00144C1C">
        <w:rPr>
          <w:rFonts w:ascii="Calibri Light" w:hAnsi="Calibri Light" w:cs="Calibri Light"/>
          <w:sz w:val="24"/>
          <w:szCs w:val="24"/>
        </w:rPr>
        <w:t xml:space="preserve">has penetrated the entertainment and education spheres. Music has become one of </w:t>
      </w:r>
      <w:r w:rsidRPr="00A052EF" w:rsidR="00A052EF">
        <w:rPr>
          <w:rFonts w:ascii="Calibri Light" w:hAnsi="Calibri Light" w:cs="Calibri Light"/>
          <w:i/>
          <w:iCs/>
          <w:sz w:val="24"/>
          <w:szCs w:val="24"/>
        </w:rPr>
        <w:t>Da’wah</w:t>
      </w:r>
      <w:r w:rsidRPr="008D41DD" w:rsidR="008D41DD">
        <w:rPr>
          <w:rFonts w:ascii="Calibri Light" w:hAnsi="Calibri Light" w:cs="Calibri Light"/>
          <w:i/>
          <w:iCs/>
          <w:sz w:val="24"/>
          <w:szCs w:val="24"/>
        </w:rPr>
        <w:t>’s</w:t>
      </w:r>
      <w:r w:rsidRPr="00144C1C" w:rsidR="008D41DD">
        <w:rPr>
          <w:rFonts w:ascii="Calibri Light" w:hAnsi="Calibri Light" w:cs="Calibri Light"/>
          <w:sz w:val="24"/>
          <w:szCs w:val="24"/>
        </w:rPr>
        <w:t xml:space="preserve"> </w:t>
      </w:r>
      <w:r w:rsidRPr="00144C1C">
        <w:rPr>
          <w:rFonts w:ascii="Calibri Light" w:hAnsi="Calibri Light" w:cs="Calibri Light"/>
          <w:sz w:val="24"/>
          <w:szCs w:val="24"/>
        </w:rPr>
        <w:t>integrations into pop culture, for example, through the music of Maher Zain, which blends Islamic activism and engagement.</w:t>
      </w:r>
    </w:p>
    <w:p w:rsidR="00144C1C" w:rsidRPr="00144C1C" w:rsidP="00144C1C">
      <w:pPr>
        <w:spacing w:before="120" w:after="120"/>
        <w:ind w:left="440" w:right="-1" w:hanging="14"/>
        <w:jc w:val="both"/>
        <w:rPr>
          <w:rFonts w:ascii="Calibri Light" w:hAnsi="Calibri Light" w:cs="Calibri Light"/>
          <w:sz w:val="24"/>
          <w:szCs w:val="24"/>
        </w:rPr>
      </w:pPr>
      <w:r w:rsidRPr="00144C1C">
        <w:rPr>
          <w:rFonts w:ascii="Calibri Light" w:hAnsi="Calibri Light" w:cs="Calibri Light"/>
          <w:sz w:val="24"/>
          <w:szCs w:val="24"/>
        </w:rPr>
        <w:t xml:space="preserve">On the other hand, </w:t>
      </w:r>
      <w:r w:rsidRPr="00A052EF" w:rsidR="00A052EF">
        <w:rPr>
          <w:rFonts w:ascii="Calibri Light" w:hAnsi="Calibri Light" w:cs="Calibri Light"/>
          <w:i/>
          <w:iCs/>
          <w:sz w:val="24"/>
          <w:szCs w:val="24"/>
        </w:rPr>
        <w:t>Da’wah</w:t>
      </w:r>
      <w:r w:rsidRPr="00144C1C">
        <w:rPr>
          <w:rFonts w:ascii="Calibri Light" w:hAnsi="Calibri Light" w:cs="Calibri Light"/>
          <w:sz w:val="24"/>
          <w:szCs w:val="24"/>
        </w:rPr>
        <w:t xml:space="preserve"> institutions on campus have contributed to the formation of ideological movements at public universities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E12B59">
        <w:rPr>
          <w:rFonts w:ascii="Calibri Light" w:hAnsi="Calibri Light" w:cs="Calibri Light"/>
          <w:sz w:val="24"/>
          <w:szCs w:val="24"/>
        </w:rPr>
        <w:instrText>ADDIN CSL_CITATION {"citationItems":[{"id":"ITEM-1","itemData":{"DOI":"10.33650/al-tanzim.v7i3.5244","author":[{"dropping-particle":"","family":"Muhdi","given":"","non-dropping-particle":"","parse-names":false,"suffix":""}],"container-title":"Al-Tanzim Jurnal Manajemen Pendidikan Islam","id":"ITEM-1","issue":"3","issued":{"date-parts":[["2023"]]},"title":"Strengthening Movement Ideology through the Management of Campus Da'wah Institutions","type":"article-journal","volume":"7"},"uris":["http://www.mendeley.com/documents/?uuid=de0ece11-eb6a-4770-b5da-3bbe431cbe7e"]}],"mendeley":{"formattedCitation":"(Muhdi, 2023)","plainTextFormattedCitation":"(Muhdi, 2023)","previouslyFormattedCitation":"(Muhdi, 2023)"},"properties":{"noteIndex":0},"schema":"https://github.com/citation-style-language/schema/raw/master/csl-citation.json"}</w:instrText>
      </w:r>
      <w:r>
        <w:rPr>
          <w:rFonts w:ascii="Calibri Light" w:hAnsi="Calibri Light" w:cs="Calibri Light"/>
          <w:sz w:val="24"/>
          <w:szCs w:val="24"/>
        </w:rPr>
        <w:fldChar w:fldCharType="separate"/>
      </w:r>
      <w:r w:rsidRPr="00144C1C">
        <w:rPr>
          <w:rFonts w:ascii="Calibri Light" w:hAnsi="Calibri Light" w:cs="Calibri Light"/>
          <w:noProof/>
          <w:sz w:val="24"/>
          <w:szCs w:val="24"/>
        </w:rPr>
        <w:t>(Muhdi, 2023)</w:t>
      </w:r>
      <w:r>
        <w:rPr>
          <w:rFonts w:ascii="Calibri Light" w:hAnsi="Calibri Light" w:cs="Calibri Light"/>
          <w:sz w:val="24"/>
          <w:szCs w:val="24"/>
        </w:rPr>
        <w:fldChar w:fldCharType="end"/>
      </w:r>
      <w:r w:rsidRPr="00144C1C">
        <w:rPr>
          <w:rFonts w:ascii="Calibri Light" w:hAnsi="Calibri Light" w:cs="Calibri Light"/>
          <w:sz w:val="24"/>
          <w:szCs w:val="24"/>
        </w:rPr>
        <w:t xml:space="preserve">. Many of these processes have undergone substantial transformation. However, the principles of </w:t>
      </w:r>
      <w:r w:rsidRPr="00A052EF" w:rsidR="00A052EF">
        <w:rPr>
          <w:rFonts w:ascii="Calibri Light" w:hAnsi="Calibri Light" w:cs="Calibri Light"/>
          <w:i/>
          <w:iCs/>
          <w:sz w:val="24"/>
          <w:szCs w:val="24"/>
        </w:rPr>
        <w:t>Da’wah</w:t>
      </w:r>
      <w:r w:rsidRPr="00144C1C">
        <w:rPr>
          <w:rFonts w:ascii="Calibri Light" w:hAnsi="Calibri Light" w:cs="Calibri Light"/>
          <w:sz w:val="24"/>
          <w:szCs w:val="24"/>
        </w:rPr>
        <w:t xml:space="preserve"> continue to tie in with traditional practices. To conclude, the evolution of </w:t>
      </w:r>
      <w:r w:rsidRPr="00A052EF" w:rsidR="00A052EF">
        <w:rPr>
          <w:rFonts w:ascii="Calibri Light" w:hAnsi="Calibri Light" w:cs="Calibri Light"/>
          <w:i/>
          <w:iCs/>
          <w:sz w:val="24"/>
          <w:szCs w:val="24"/>
        </w:rPr>
        <w:t>Da’wah</w:t>
      </w:r>
      <w:r w:rsidRPr="00144C1C">
        <w:rPr>
          <w:rFonts w:ascii="Calibri Light" w:hAnsi="Calibri Light" w:cs="Calibri Light"/>
          <w:sz w:val="24"/>
          <w:szCs w:val="24"/>
        </w:rPr>
        <w:t xml:space="preserve"> in Indonesia demonstrates a fusion between traditional and modern methods to square with day-and-day challenges. The theory and medium of </w:t>
      </w:r>
      <w:r w:rsidRPr="00A052EF" w:rsidR="00A052EF">
        <w:rPr>
          <w:rFonts w:ascii="Calibri Light" w:hAnsi="Calibri Light" w:cs="Calibri Light"/>
          <w:i/>
          <w:iCs/>
          <w:sz w:val="24"/>
          <w:szCs w:val="24"/>
        </w:rPr>
        <w:t>Da’wah</w:t>
      </w:r>
      <w:r w:rsidRPr="00144C1C">
        <w:rPr>
          <w:rFonts w:ascii="Calibri Light" w:hAnsi="Calibri Light" w:cs="Calibri Light"/>
          <w:sz w:val="24"/>
          <w:szCs w:val="24"/>
        </w:rPr>
        <w:t xml:space="preserve"> have changed with the times, but the ultimate goal of presenting Islamic values is still seen as an essential agenda in Indonesia.</w:t>
      </w:r>
    </w:p>
    <w:p w:rsidR="00144C1C" w:rsidP="00144C1C">
      <w:pPr>
        <w:spacing w:before="120" w:after="120"/>
        <w:ind w:left="440" w:right="-1" w:hanging="14"/>
        <w:jc w:val="both"/>
        <w:rPr>
          <w:rFonts w:ascii="Calibri Light" w:hAnsi="Calibri Light" w:cs="Calibri Light"/>
          <w:sz w:val="24"/>
          <w:szCs w:val="24"/>
        </w:rPr>
      </w:pPr>
      <w:r w:rsidRPr="00144C1C">
        <w:rPr>
          <w:rFonts w:ascii="Calibri Light" w:hAnsi="Calibri Light" w:cs="Calibri Light"/>
          <w:sz w:val="24"/>
          <w:szCs w:val="24"/>
        </w:rPr>
        <w:t xml:space="preserve">The effectiveness of </w:t>
      </w:r>
      <w:r w:rsidRPr="00A052EF" w:rsidR="00A052EF">
        <w:rPr>
          <w:rFonts w:ascii="Calibri Light" w:hAnsi="Calibri Light" w:cs="Calibri Light"/>
          <w:i/>
          <w:iCs/>
          <w:sz w:val="24"/>
          <w:szCs w:val="24"/>
        </w:rPr>
        <w:t>Da’wah</w:t>
      </w:r>
      <w:r w:rsidRPr="00144C1C">
        <w:rPr>
          <w:rFonts w:ascii="Calibri Light" w:hAnsi="Calibri Light" w:cs="Calibri Light"/>
          <w:sz w:val="24"/>
          <w:szCs w:val="24"/>
        </w:rPr>
        <w:t xml:space="preserve"> in Indonesia in maintaining religious harmony without leading to the potential escalation of conflict is a complex matter that is conditioned on several variables. The whole enterprise of </w:t>
      </w:r>
      <w:r w:rsidRPr="00A052EF" w:rsidR="00A052EF">
        <w:rPr>
          <w:rFonts w:ascii="Calibri Light" w:hAnsi="Calibri Light" w:cs="Calibri Light"/>
          <w:i/>
          <w:iCs/>
          <w:sz w:val="24"/>
          <w:szCs w:val="24"/>
        </w:rPr>
        <w:t>Da’wah</w:t>
      </w:r>
      <w:r w:rsidRPr="00144C1C">
        <w:rPr>
          <w:rFonts w:ascii="Calibri Light" w:hAnsi="Calibri Light" w:cs="Calibri Light"/>
          <w:sz w:val="24"/>
          <w:szCs w:val="24"/>
        </w:rPr>
        <w:t xml:space="preserve">, that is to say, the delivery of Islamic teachings to others (and vice versa) through whatever mechanism, has major accounts in feeding into the nature of inter-religious relations in any country. Several studies have recognized the importance of </w:t>
      </w:r>
      <w:r w:rsidRPr="00A052EF" w:rsidR="00A052EF">
        <w:rPr>
          <w:rFonts w:ascii="Calibri Light" w:hAnsi="Calibri Light" w:cs="Calibri Light"/>
          <w:i/>
          <w:iCs/>
          <w:sz w:val="24"/>
          <w:szCs w:val="24"/>
        </w:rPr>
        <w:t>Da’wah</w:t>
      </w:r>
      <w:r w:rsidRPr="00144C1C">
        <w:rPr>
          <w:rFonts w:ascii="Calibri Light" w:hAnsi="Calibri Light" w:cs="Calibri Light"/>
          <w:sz w:val="24"/>
          <w:szCs w:val="24"/>
        </w:rPr>
        <w:t xml:space="preserve"> to enhance mutual understanding, empathy and coexistence among communities with different religions to strengthen religious harmony</w:t>
      </w:r>
      <w:r w:rsidR="00E12B59">
        <w:rPr>
          <w:rFonts w:ascii="Calibri Light" w:hAnsi="Calibri Light" w:cs="Calibri Light"/>
          <w:sz w:val="24"/>
          <w:szCs w:val="24"/>
        </w:rPr>
        <w:t xml:space="preserve"> </w:t>
      </w:r>
      <w:r w:rsidR="00E12B59">
        <w:rPr>
          <w:rFonts w:ascii="Calibri Light" w:hAnsi="Calibri Light" w:cs="Calibri Light"/>
          <w:sz w:val="24"/>
          <w:szCs w:val="24"/>
        </w:rPr>
        <w:fldChar w:fldCharType="begin" w:fldLock="1"/>
      </w:r>
      <w:r w:rsidR="00141946">
        <w:rPr>
          <w:rFonts w:ascii="Calibri Light" w:hAnsi="Calibri Light" w:cs="Calibri Light"/>
          <w:sz w:val="24"/>
          <w:szCs w:val="24"/>
        </w:rPr>
        <w:instrText>ADDIN CSL_CITATION {"citationItems":[{"id":"ITEM-1","itemData":{"DOI":"10.29240/jdk.v8i2.8752","author":[{"dropping-particle":"","family":"Irwandi","given":"Irwandi","non-dropping-particle":"","parse-names":false,"suffix":""},{"dropping-particle":"","family":"Saad","given":"Duskiman","non-dropping-particle":"","parse-names":false,"suffix":""},{"dropping-particle":"","family":"Rais","given":"Zaim","non-dropping-particle":"","parse-names":false,"suffix":""},{"dropping-particle":"","family":"Toni","given":"Hariya","non-dropping-particle":"","parse-names":false,"suffix":""},{"dropping-particle":"","family":"Nazirman","given":"Nazirman","non-dropping-particle":"","parse-names":false,"suffix":""},{"dropping-particle":"","family":"Jemkhairil","given":"Jemkhairil","non-dropping-particle":"","parse-names":false,"suffix":""}],"container-title":"Jurnal Dakwah dan Komunikasi","id":"ITEM-1","issue":"2","issued":{"date-parts":[["2023","11","30"]]},"page":"309","title":"Da'wah and Religious Harmony, Harmony in the Nation and State","type":"article-journal","volume":"8"},"uris":["http://www.mendeley.com/documents/?uuid=07fb5a39-8a31-4947-b4ab-cc4245731b64"]},{"id":"ITEM-2","itemData":{"DOI":"10.4102/hts.v78i4.7043","author":[{"dropping-particle":"","family":"Pajarianto","given":"Hadi","non-dropping-particle":"","parse-names":false,"suffix":""},{"dropping-particle":"","family":"Pribadi","given":"Imam","non-dropping-particle":"","parse-names":false,"suffix":""},{"dropping-particle":"","family":"Sari","given":"Puspa","non-dropping-particle":"","parse-names":false,"suffix":""}],"container-title":"HTS Teologiese Studies / Theological Studies","id":"ITEM-2","issue":"4","issued":{"date-parts":[["2022"]]},"title":"Tolerance between Religions through the Role of Local Wisdom and Religious Moderation","type":"article-journal","volume":"78"},"uris":["http://www.mendeley.com/documents/?uuid=5bf1b286-c465-4489-bf71-f9e442ae96c4"]}],"mendeley":{"formattedCitation":"(Irwandi et al., 2023; Pajarianto et al., 2022)","plainTextFormattedCitation":"(Irwandi et al., 2023; Pajarianto et al., 2022)","previouslyFormattedCitation":"(Irwandi et al., 2023; Pajarianto et al., 2022)"},"properties":{"noteIndex":0},"schema":"https://github.com/citation-style-language/schema/raw/master/csl-citation.json"}</w:instrText>
      </w:r>
      <w:r w:rsidR="00E12B59">
        <w:rPr>
          <w:rFonts w:ascii="Calibri Light" w:hAnsi="Calibri Light" w:cs="Calibri Light"/>
          <w:sz w:val="24"/>
          <w:szCs w:val="24"/>
        </w:rPr>
        <w:fldChar w:fldCharType="separate"/>
      </w:r>
      <w:r w:rsidRPr="00E12B59" w:rsidR="00E12B59">
        <w:rPr>
          <w:rFonts w:ascii="Calibri Light" w:hAnsi="Calibri Light" w:cs="Calibri Light"/>
          <w:noProof/>
          <w:sz w:val="24"/>
          <w:szCs w:val="24"/>
        </w:rPr>
        <w:t>(Irwandi et al., 2023; Pajarianto et al., 2022)</w:t>
      </w:r>
      <w:r w:rsidR="00E12B59">
        <w:rPr>
          <w:rFonts w:ascii="Calibri Light" w:hAnsi="Calibri Light" w:cs="Calibri Light"/>
          <w:sz w:val="24"/>
          <w:szCs w:val="24"/>
        </w:rPr>
        <w:fldChar w:fldCharType="end"/>
      </w:r>
      <w:r w:rsidRPr="00144C1C">
        <w:rPr>
          <w:rFonts w:ascii="Calibri Light" w:hAnsi="Calibri Light" w:cs="Calibri Light"/>
          <w:sz w:val="24"/>
          <w:szCs w:val="24"/>
        </w:rPr>
        <w:t>.</w:t>
      </w:r>
    </w:p>
    <w:p w:rsidR="00141946" w:rsidRPr="00141946" w:rsidP="00141946">
      <w:pPr>
        <w:spacing w:before="120" w:after="120"/>
        <w:ind w:left="440" w:right="-1" w:hanging="14"/>
        <w:jc w:val="both"/>
        <w:rPr>
          <w:rFonts w:ascii="Calibri Light" w:hAnsi="Calibri Light" w:cs="Calibri Light"/>
          <w:sz w:val="24"/>
          <w:szCs w:val="24"/>
        </w:rPr>
      </w:pPr>
      <w:r w:rsidRPr="00141946">
        <w:rPr>
          <w:rFonts w:ascii="Calibri Light" w:hAnsi="Calibri Light" w:cs="Calibri Light"/>
          <w:sz w:val="24"/>
          <w:szCs w:val="24"/>
        </w:rPr>
        <w:t xml:space="preserve">Promoting religious harmony through </w:t>
      </w:r>
      <w:r w:rsidRPr="00A052EF" w:rsidR="00A052EF">
        <w:rPr>
          <w:rFonts w:ascii="Calibri Light" w:hAnsi="Calibri Light" w:cs="Calibri Light"/>
          <w:i/>
          <w:iCs/>
          <w:sz w:val="24"/>
          <w:szCs w:val="24"/>
        </w:rPr>
        <w:t>Da’wah</w:t>
      </w:r>
      <w:r w:rsidRPr="00141946">
        <w:rPr>
          <w:rFonts w:ascii="Calibri Light" w:hAnsi="Calibri Light" w:cs="Calibri Light"/>
          <w:sz w:val="24"/>
          <w:szCs w:val="24"/>
        </w:rPr>
        <w:t xml:space="preserve"> has been highlighted as an effort to counter radicalism and promote religious moderation in the practice of Islamic teachings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10.24014/af.v17i1.5212","author":[{"dropping-particle":"","family":"Faiqah","given":"Nurul","non-dropping-particle":"","parse-names":false,"suffix":""},{"dropping-particle":"","family":"Pransiska","given":"Toni","non-dropping-particle":"","parse-names":false,"suffix":""}],"container-title":"Al-Fikra Jurnal Ilmiah Keislaman","id":"ITEM-1","issue":"1","issued":{"date-parts":[["2018"]]},"title":"Radikalisme Islam Vs Moderasi Islam: Upaya Membangun Wajah Islam Indonesia Yang Damai","type":"article-journal","volume":"17"},"uris":["http://www.mendeley.com/documents/?uuid=34661ea0-1682-4a59-ae33-f3d0a81709f2"]}],"mendeley":{"formattedCitation":"(Faiqah &amp; Pransiska, 2018)","plainTextFormattedCitation":"(Faiqah &amp; Pransiska, 2018)","previouslyFormattedCitation":"(Faiqah &amp; Pransiska, 2018)"},"properties":{"noteIndex":0},"schema":"https://github.com/citation-style-language/schema/raw/master/csl-citation.json"}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(Faiqah &amp; Pransiska, 2018)</w:t>
      </w:r>
      <w:r>
        <w:rPr>
          <w:rFonts w:ascii="Calibri Light" w:hAnsi="Calibri Light" w:cs="Calibri Light"/>
          <w:sz w:val="24"/>
          <w:szCs w:val="24"/>
        </w:rPr>
        <w:fldChar w:fldCharType="end"/>
      </w:r>
      <w:r w:rsidRPr="00141946">
        <w:rPr>
          <w:rFonts w:ascii="Calibri Light" w:hAnsi="Calibri Light" w:cs="Calibri Light"/>
          <w:sz w:val="24"/>
          <w:szCs w:val="24"/>
        </w:rPr>
        <w:t xml:space="preserve">. It could lead to a more harmonious and tolerant society if the </w:t>
      </w:r>
      <w:r w:rsidRPr="00A052EF" w:rsidR="00A052EF">
        <w:rPr>
          <w:rFonts w:ascii="Calibri Light" w:hAnsi="Calibri Light" w:cs="Calibri Light"/>
          <w:i/>
          <w:iCs/>
          <w:sz w:val="24"/>
          <w:szCs w:val="24"/>
        </w:rPr>
        <w:t>Da’wah</w:t>
      </w:r>
      <w:r w:rsidRPr="00141946">
        <w:rPr>
          <w:rFonts w:ascii="Calibri Light" w:hAnsi="Calibri Light" w:cs="Calibri Light"/>
          <w:sz w:val="24"/>
          <w:szCs w:val="24"/>
        </w:rPr>
        <w:t xml:space="preserve"> calling for tolerance, peaceful interactions and mutual respect</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10.32923/kjmp.v6i2.4068","author":[{"dropping-particle":"","family":"Maryance","given":"Maryance","non-dropping-particle":"","parse-names":false,"suffix":""},{"dropping-particle":"","family":"Alvio","given":"Wira","non-dropping-particle":"","parse-names":false,"suffix":""},{"dropping-particle":"","family":"Irawan","given":"Bambang","non-dropping-particle":"","parse-names":false,"suffix":""},{"dropping-particle":"","family":"Assoburu","given":"Silvia","non-dropping-particle":"","parse-names":false,"suffix":""},{"dropping-particle":"","family":"Zulaiha","given":"Hera","non-dropping-particle":"","parse-names":false,"suffix":""}],"container-title":"Sustainable Jurnal Kajian Mutu Pendidikan","id":"ITEM-1","issue":"2","issued":{"date-parts":[["2023","12","16"]]},"page":"602-607","title":"The Role of the Principal in Rohis Da'wah Activities in Schools","type":"article-journal","volume":"6"},"uris":["http://www.mendeley.com/documents/?uuid=b847c34b-4693-4369-9b06-36ab5e9351b8"]}],"mendeley":{"formattedCitation":"(Maryance et al., 2023)","plainTextFormattedCitation":"(Maryance et al., 2023)","previouslyFormattedCitation":"(Maryance et al., 2023)"},"properties":{"noteIndex":0},"schema":"https://github.com/citation-style-language/schema/raw/master/csl-citation.json"}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(Maryance et al., 2023)</w:t>
      </w:r>
      <w:r>
        <w:rPr>
          <w:rFonts w:ascii="Calibri Light" w:hAnsi="Calibri Light" w:cs="Calibri Light"/>
          <w:sz w:val="24"/>
          <w:szCs w:val="24"/>
        </w:rPr>
        <w:fldChar w:fldCharType="end"/>
      </w:r>
      <w:r w:rsidRPr="00141946">
        <w:rPr>
          <w:rFonts w:ascii="Calibri Light" w:hAnsi="Calibri Light" w:cs="Calibri Light"/>
          <w:sz w:val="24"/>
          <w:szCs w:val="24"/>
        </w:rPr>
        <w:t>.</w:t>
      </w:r>
    </w:p>
    <w:p w:rsidR="00141946" w:rsidP="00141946">
      <w:pPr>
        <w:spacing w:before="120" w:after="120"/>
        <w:ind w:left="440" w:right="-1" w:hanging="14"/>
        <w:jc w:val="both"/>
        <w:rPr>
          <w:rFonts w:ascii="Calibri Light" w:hAnsi="Calibri Light" w:cs="Calibri Light"/>
          <w:sz w:val="24"/>
          <w:szCs w:val="24"/>
        </w:rPr>
      </w:pPr>
      <w:r w:rsidRPr="00141946">
        <w:rPr>
          <w:rFonts w:ascii="Calibri Light" w:hAnsi="Calibri Light" w:cs="Calibri Light"/>
          <w:sz w:val="24"/>
          <w:szCs w:val="24"/>
        </w:rPr>
        <w:t xml:space="preserve">Many factors can also influence the effectiveness of </w:t>
      </w:r>
      <w:r w:rsidRPr="00A052EF" w:rsidR="00A052EF">
        <w:rPr>
          <w:rFonts w:ascii="Calibri Light" w:hAnsi="Calibri Light" w:cs="Calibri Light"/>
          <w:i/>
          <w:iCs/>
          <w:sz w:val="24"/>
          <w:szCs w:val="24"/>
        </w:rPr>
        <w:t>Da’wah</w:t>
      </w:r>
      <w:r w:rsidRPr="00141946">
        <w:rPr>
          <w:rFonts w:ascii="Calibri Light" w:hAnsi="Calibri Light" w:cs="Calibri Light"/>
          <w:sz w:val="24"/>
          <w:szCs w:val="24"/>
        </w:rPr>
        <w:t xml:space="preserve"> in fostering religious harmony. People need to take into account the way Islamic preachers (</w:t>
      </w:r>
      <w:r w:rsidRPr="00A052EF">
        <w:rPr>
          <w:rFonts w:ascii="Calibri Light" w:hAnsi="Calibri Light" w:cs="Calibri Light"/>
          <w:i/>
          <w:iCs/>
          <w:sz w:val="24"/>
          <w:szCs w:val="24"/>
        </w:rPr>
        <w:t>da’i</w:t>
      </w:r>
      <w:r w:rsidRPr="00141946">
        <w:rPr>
          <w:rFonts w:ascii="Calibri Light" w:hAnsi="Calibri Light" w:cs="Calibri Light"/>
          <w:sz w:val="24"/>
          <w:szCs w:val="24"/>
        </w:rPr>
        <w:t xml:space="preserve">) spread Islam in Indonesia, where their communication style may affect the success of </w:t>
      </w:r>
      <w:r w:rsidRPr="00A052EF" w:rsidR="00A052EF">
        <w:rPr>
          <w:rFonts w:ascii="Calibri Light" w:hAnsi="Calibri Light" w:cs="Calibri Light"/>
          <w:i/>
          <w:iCs/>
          <w:sz w:val="24"/>
          <w:szCs w:val="24"/>
        </w:rPr>
        <w:t>Da’wah</w:t>
      </w:r>
      <w:r w:rsidRPr="00141946">
        <w:rPr>
          <w:rFonts w:ascii="Calibri Light" w:hAnsi="Calibri Light" w:cs="Calibri Light"/>
          <w:sz w:val="24"/>
          <w:szCs w:val="24"/>
        </w:rPr>
        <w:t xml:space="preserve"> effort both verbally and non-verbally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10.18502/kss.v3i19.4906","author":[{"dropping-particle":"","family":"Qarni","given":"Waizul","non-dropping-particle":"","parse-names":false,"suffix":""},{"dropping-particle":"","family":"Syahnan","given":"Mhd.","non-dropping-particle":"","parse-names":false,"suffix":""},{"dropping-particle":"","family":"Harahap","given":"Isnaini","non-dropping-particle":"","parse-names":false,"suffix":""},{"dropping-particle":"","family":"Nasution","given":"Sahkholid","non-dropping-particle":"","parse-names":false,"suffix":""},{"dropping-particle":"","family":"Fithriani","given":"Rahmah","non-dropping-particle":"","parse-names":false,"suffix":""}],"container-title":"KnE Social Sciences","id":"ITEM-1","issue":"19","issued":{"date-parts":[["2019"]]},"page":"804–812","title":"Verbal and Nonverbal Factors Influencing the Success of Da’wah Communication By Ustadz Abdul Somad","type":"article-journal","volume":"3"},"uris":["http://www.mendeley.com/documents/?uuid=6c688a72-a11d-4ad9-b86c-379555c8c666"]}],"mendeley":{"formattedCitation":"(Qarni et al., 2019)","plainTextFormattedCitation":"(Qarni et al., 2019)","previouslyFormattedCitation":"(Qarni et al., 2019)"},"properties":{"noteIndex":0},"schema":"https://github.com/citation-style-language/schema/raw/master/csl-citation.json"}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(Qarni et al., 2019)</w:t>
      </w:r>
      <w:r>
        <w:rPr>
          <w:rFonts w:ascii="Calibri Light" w:hAnsi="Calibri Light" w:cs="Calibri Light"/>
          <w:sz w:val="24"/>
          <w:szCs w:val="24"/>
        </w:rPr>
        <w:fldChar w:fldCharType="end"/>
      </w:r>
      <w:r w:rsidRPr="00141946">
        <w:rPr>
          <w:rFonts w:ascii="Calibri Light" w:hAnsi="Calibri Light" w:cs="Calibri Light"/>
          <w:sz w:val="24"/>
          <w:szCs w:val="24"/>
        </w:rPr>
        <w:t xml:space="preserve">. The utilization of Islamic counseling and art performances in </w:t>
      </w:r>
      <w:r w:rsidRPr="00A052EF" w:rsidR="00A052EF">
        <w:rPr>
          <w:rFonts w:ascii="Calibri Light" w:hAnsi="Calibri Light" w:cs="Calibri Light"/>
          <w:i/>
          <w:iCs/>
          <w:sz w:val="24"/>
          <w:szCs w:val="24"/>
        </w:rPr>
        <w:t>Da’wah</w:t>
      </w:r>
      <w:r w:rsidRPr="00141946">
        <w:rPr>
          <w:rFonts w:ascii="Calibri Light" w:hAnsi="Calibri Light" w:cs="Calibri Light"/>
          <w:sz w:val="24"/>
          <w:szCs w:val="24"/>
        </w:rPr>
        <w:t xml:space="preserve"> activities also proven effective in raising religious awareness and delivering religious messages as intended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10.24014/jdr.v33i1.15879","author":[{"dropping-particle":"","family":"Silvianetri","given":"Silvianetri","non-dropping-particle":"","parse-names":false,"suffix":""},{"dropping-particle":"","family":"Irman","given":"Irman","non-dropping-particle":"","parse-names":false,"suffix":""},{"dropping-particle":"","family":"Rajab","given":"Khairunnas","non-dropping-particle":"","parse-names":false,"suffix":""},{"dropping-particle":"","family":"Zulamri","given":"Zulamri","non-dropping-particle":"","parse-names":false,"suffix":""},{"dropping-particle":"","family":"Zubaidah","given":"Zubaidah","non-dropping-particle":"","parse-names":false,"suffix":""},{"dropping-particle":"","family":"Zulfikar","given":"Zulfikar","non-dropping-particle":"","parse-names":false,"suffix":""}],"container-title":"Jurnal Dakwah Risalah","id":"ITEM-1","issue":"1","issued":{"date-parts":[["2022","7","1"]]},"title":"The Effectiveness of Islamic Counseling as a Dakwah Approach to increase the Religious Awareness of Ex-Prostitute","type":"article-journal","volume":"33"},"uris":["http://www.mendeley.com/documents/?uuid=2f0a6740-5dda-4865-abd9-9b2cdb50673d"]}],"mendeley":{"formattedCitation":"(Silvianetri et al., 2022)","plainTextFormattedCitation":"(Silvianetri et al., 2022)","previouslyFormattedCitation":"(Silvianetri et al., 2022)"},"properties":{"noteIndex":0},"schema":"https://github.com/citation-style-language/schema/raw/master/csl-citation.json"}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(Silvianetri et al., 2022)</w:t>
      </w:r>
      <w:r>
        <w:rPr>
          <w:rFonts w:ascii="Calibri Light" w:hAnsi="Calibri Light" w:cs="Calibri Light"/>
          <w:sz w:val="24"/>
          <w:szCs w:val="24"/>
        </w:rPr>
        <w:fldChar w:fldCharType="end"/>
      </w:r>
      <w:r w:rsidRPr="00141946">
        <w:rPr>
          <w:rFonts w:ascii="Calibri Light" w:hAnsi="Calibri Light" w:cs="Calibri Light"/>
          <w:sz w:val="24"/>
          <w:szCs w:val="24"/>
        </w:rPr>
        <w:t>.</w:t>
      </w:r>
    </w:p>
    <w:p w:rsidR="00141946" w:rsidRPr="00141946" w:rsidP="00141946">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Pr="00141946">
        <w:rPr>
          <w:rFonts w:ascii="Calibri Light" w:hAnsi="Calibri Light" w:cs="Calibri Light"/>
          <w:sz w:val="24"/>
          <w:szCs w:val="24"/>
        </w:rPr>
        <w:t xml:space="preserve"> activities must be closely monitored so as not to inflame hostilities further or, in the extreme, incite violence. A key point in fostering religious harmony is avoiding claiming shared social identity with other believers while at the same time minimizing denigration of different religions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10.15575/jpiu.23344","author":[{"dropping-particle":"","family":"Firdaus","given":"Muhamad","non-dropping-particle":"","parse-names":false,"suffix":""},{"dropping-particle":"","family":"Assauri","given":"Muhamad","non-dropping-particle":"","parse-names":false,"suffix":""},{"dropping-particle":"","family":"Haqqi","given":"Nurul","non-dropping-particle":"","parse-names":false,"suffix":""}],"container-title":"Jurnal Penelitian Ilmu Ushuluddin","id":"ITEM-1","issue":"1","issued":{"date-parts":[["2023","1","11"]]},"page":"120-130","title":"The Botram Harmony Tradition: Knitting a Harmonious Life in Frames Islamic Moderation","type":"article-journal","volume":"3"},"uris":["http://www.mendeley.com/documents/?uuid=2e452ab7-8070-4716-973c-7bc208c5e685"]}],"mendeley":{"formattedCitation":"(Firdaus et al., 2023)","plainTextFormattedCitation":"(Firdaus et al., 2023)","previouslyFormattedCitation":"(Firdaus et al., 2023)"},"properties":{"noteIndex":0},"schema":"https://github.com/citation-style-language/schema/raw/master/csl-citation.json"}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(Firdaus et al., 2023)</w:t>
      </w:r>
      <w:r>
        <w:rPr>
          <w:rFonts w:ascii="Calibri Light" w:hAnsi="Calibri Light" w:cs="Calibri Light"/>
          <w:sz w:val="24"/>
          <w:szCs w:val="24"/>
        </w:rPr>
        <w:fldChar w:fldCharType="end"/>
      </w:r>
      <w:r w:rsidRPr="00141946">
        <w:rPr>
          <w:rFonts w:ascii="Calibri Light" w:hAnsi="Calibri Light" w:cs="Calibri Light"/>
          <w:sz w:val="24"/>
          <w:szCs w:val="24"/>
        </w:rPr>
        <w:t xml:space="preserve">. Keeping an equilibrium of </w:t>
      </w:r>
      <w:r w:rsidRPr="00A052EF">
        <w:rPr>
          <w:rFonts w:ascii="Calibri Light" w:hAnsi="Calibri Light" w:cs="Calibri Light"/>
          <w:i/>
          <w:iCs/>
          <w:sz w:val="24"/>
          <w:szCs w:val="24"/>
        </w:rPr>
        <w:t>Da’wah</w:t>
      </w:r>
      <w:r w:rsidRPr="00141946">
        <w:rPr>
          <w:rFonts w:ascii="Calibri Light" w:hAnsi="Calibri Light" w:cs="Calibri Light"/>
          <w:sz w:val="24"/>
          <w:szCs w:val="24"/>
        </w:rPr>
        <w:t xml:space="preserve"> and tolerance will try not to cause division or create conflict. Thus, the </w:t>
      </w:r>
      <w:r w:rsidRPr="00A052EF">
        <w:rPr>
          <w:rFonts w:ascii="Calibri Light" w:hAnsi="Calibri Light" w:cs="Calibri Light"/>
          <w:i/>
          <w:iCs/>
          <w:sz w:val="24"/>
          <w:szCs w:val="24"/>
        </w:rPr>
        <w:t>Da’wah</w:t>
      </w:r>
      <w:r w:rsidRPr="00141946">
        <w:rPr>
          <w:rFonts w:ascii="Calibri Light" w:hAnsi="Calibri Light" w:cs="Calibri Light"/>
          <w:sz w:val="24"/>
          <w:szCs w:val="24"/>
        </w:rPr>
        <w:t xml:space="preserve"> community in Indonesia can work to become a tool that will be very helpful in advancing harmony and comprehension between religious communities that are so diverse. If </w:t>
      </w:r>
      <w:r w:rsidRPr="00A052EF">
        <w:rPr>
          <w:rFonts w:ascii="Calibri Light" w:hAnsi="Calibri Light" w:cs="Calibri Light"/>
          <w:i/>
          <w:iCs/>
          <w:sz w:val="24"/>
          <w:szCs w:val="24"/>
        </w:rPr>
        <w:t>Da’wah</w:t>
      </w:r>
      <w:r w:rsidRPr="00141946">
        <w:rPr>
          <w:rFonts w:ascii="Calibri Light" w:hAnsi="Calibri Light" w:cs="Calibri Light"/>
          <w:sz w:val="24"/>
          <w:szCs w:val="24"/>
        </w:rPr>
        <w:t xml:space="preserve"> emphasizes empathy, tolerance, and peaceful co-existence, it will help build a more transparent, loving society. Yet, it is necessary to carry out </w:t>
      </w:r>
      <w:r w:rsidRPr="00A052EF">
        <w:rPr>
          <w:rFonts w:ascii="Calibri Light" w:hAnsi="Calibri Light" w:cs="Calibri Light"/>
          <w:i/>
          <w:iCs/>
          <w:sz w:val="24"/>
          <w:szCs w:val="24"/>
        </w:rPr>
        <w:t>Da’wah</w:t>
      </w:r>
      <w:r w:rsidRPr="00141946">
        <w:rPr>
          <w:rFonts w:ascii="Calibri Light" w:hAnsi="Calibri Light" w:cs="Calibri Light"/>
          <w:sz w:val="24"/>
          <w:szCs w:val="24"/>
        </w:rPr>
        <w:t xml:space="preserve"> in a way that respects the beliefs of others and cultivates mutual respect so as not to agitate the situation which ultimately results in tensions or conflict.</w:t>
      </w:r>
    </w:p>
    <w:p w:rsidR="00141946" w:rsidP="00141946">
      <w:pPr>
        <w:spacing w:before="120" w:after="120"/>
        <w:ind w:left="440" w:right="-1" w:hanging="14"/>
        <w:jc w:val="both"/>
        <w:rPr>
          <w:rFonts w:ascii="Calibri Light" w:hAnsi="Calibri Light" w:cs="Calibri Light"/>
          <w:sz w:val="24"/>
          <w:szCs w:val="24"/>
        </w:rPr>
      </w:pPr>
      <w:r w:rsidRPr="00141946">
        <w:rPr>
          <w:rFonts w:ascii="Calibri Light" w:hAnsi="Calibri Light" w:cs="Calibri Light"/>
          <w:sz w:val="24"/>
          <w:szCs w:val="24"/>
        </w:rPr>
        <w:t xml:space="preserve">Education is essential to </w:t>
      </w:r>
      <w:r w:rsidRPr="00A052EF" w:rsidR="00A052EF">
        <w:rPr>
          <w:rFonts w:ascii="Calibri Light" w:hAnsi="Calibri Light" w:cs="Calibri Light"/>
          <w:i/>
          <w:iCs/>
          <w:sz w:val="24"/>
          <w:szCs w:val="24"/>
        </w:rPr>
        <w:t>Da’wah</w:t>
      </w:r>
      <w:r w:rsidRPr="00141946">
        <w:rPr>
          <w:rFonts w:ascii="Calibri Light" w:hAnsi="Calibri Light" w:cs="Calibri Light"/>
          <w:sz w:val="24"/>
          <w:szCs w:val="24"/>
        </w:rPr>
        <w:t xml:space="preserve"> in how it molds one’s perception of Islam and engages with the progressive multicultural society. Religious education versus fostering a tolerant, </w:t>
      </w:r>
      <w:r w:rsidRPr="00141946">
        <w:rPr>
          <w:rFonts w:ascii="Calibri Light" w:hAnsi="Calibri Light" w:cs="Calibri Light"/>
          <w:sz w:val="24"/>
          <w:szCs w:val="24"/>
        </w:rPr>
        <w:t>multicultural society: The dilemma between the two ideas is one of Indonesia's most critical issues in educational practice. Some have argued that education plays a key role in fostering tolerance, understanding, and inter-religious harmony between different religious communities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0C6543">
        <w:rPr>
          <w:rFonts w:ascii="Calibri Light" w:hAnsi="Calibri Light" w:cs="Calibri Light"/>
          <w:sz w:val="24"/>
          <w:szCs w:val="24"/>
        </w:rPr>
        <w:instrText>ADDIN CSL_CITATION {"citationItems":[{"id":"ITEM-1","itemData":{"DOI":"10.21580/nw.2020.14.1.5766","author":[{"dropping-particle":"","family":"Husna","given":"Ulfatul","non-dropping-particle":"","parse-names":false,"suffix":""},{"dropping-particle":"","family":"Thohir","given":"Muhammad","non-dropping-particle":"","parse-names":false,"suffix":""}],"container-title":"Nadwa Jurnal Pendidikan Islam","id":"ITEM-1","issue":"1","issued":{"date-parts":[["2020"]]},"page":"199 - 222","title":"Religious Moderation as a New Approach to Learning Islamic Religious Education in Schools","type":"article-journal","volume":"14"},"uris":["http://www.mendeley.com/documents/?uuid=9e02089f-ef71-438e-a658-9b67745b1000"]}],"mendeley":{"formattedCitation":"(Husna &amp; Thohir, 2020)","plainTextFormattedCitation":"(Husna &amp; Thohir, 2020)","previouslyFormattedCitation":"(Husna &amp; Thohir, 2020)"},"properties":{"noteIndex":0},"schema":"https://github.com/citation-style-language/schema/raw/master/csl-citation.json"}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(Husna &amp; Thohir, 2020)</w:t>
      </w:r>
      <w:r>
        <w:rPr>
          <w:rFonts w:ascii="Calibri Light" w:hAnsi="Calibri Light" w:cs="Calibri Light"/>
          <w:sz w:val="24"/>
          <w:szCs w:val="24"/>
        </w:rPr>
        <w:fldChar w:fldCharType="end"/>
      </w:r>
      <w:r w:rsidRPr="00141946">
        <w:rPr>
          <w:rFonts w:ascii="Calibri Light" w:hAnsi="Calibri Light" w:cs="Calibri Light"/>
          <w:sz w:val="24"/>
          <w:szCs w:val="24"/>
        </w:rPr>
        <w:t>.</w:t>
      </w:r>
    </w:p>
    <w:p w:rsidR="000C6543" w:rsidRPr="000C6543" w:rsidP="000C6543">
      <w:pPr>
        <w:spacing w:before="120" w:after="120"/>
        <w:ind w:left="440" w:right="-1" w:hanging="14"/>
        <w:jc w:val="both"/>
        <w:rPr>
          <w:rFonts w:ascii="Calibri Light" w:hAnsi="Calibri Light" w:cs="Calibri Light"/>
          <w:sz w:val="24"/>
          <w:szCs w:val="24"/>
        </w:rPr>
      </w:pPr>
      <w:r w:rsidRPr="000C6543">
        <w:rPr>
          <w:rFonts w:ascii="Calibri Light" w:hAnsi="Calibri Light" w:cs="Calibri Light"/>
          <w:sz w:val="24"/>
          <w:szCs w:val="24"/>
        </w:rPr>
        <w:t xml:space="preserve">In Indonesia, implementing religious education in schools, especially Islamic Religious Education (PAI) is important to build up values of peace, tolerance and multiculturalism among students. PAI teachers guide students to respect diversity, be moderate in understanding religion, and have the importance of living side by side. Other than that, the Islamic curriculum could also serve as one medium to build a tolerant and inclusive society by emphasizing significant issues and sparking critical consciousness. </w:t>
      </w:r>
    </w:p>
    <w:p w:rsidR="000C6543" w:rsidP="000C6543">
      <w:pPr>
        <w:spacing w:before="120" w:after="120"/>
        <w:ind w:left="440" w:right="-1" w:hanging="14"/>
        <w:jc w:val="both"/>
        <w:rPr>
          <w:rFonts w:ascii="Calibri Light" w:hAnsi="Calibri Light" w:cs="Calibri Light"/>
          <w:sz w:val="24"/>
          <w:szCs w:val="24"/>
        </w:rPr>
      </w:pPr>
      <w:r w:rsidRPr="000C6543">
        <w:rPr>
          <w:rFonts w:ascii="Calibri Light" w:hAnsi="Calibri Light" w:cs="Calibri Light"/>
          <w:sz w:val="24"/>
          <w:szCs w:val="24"/>
        </w:rPr>
        <w:t>Universities can contribute to creating a harmonious and inclusive society by establishing an environment conducive to religious diversity and encouraging respectful interactions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10.35878/santri.v4i2.958","author":[{"dropping-particle":"","family":"Aksa","given":"Ahmad","non-dropping-particle":"","parse-names":false,"suffix":""},{"dropping-particle":"","family":"Hakim","given":"Muh","non-dropping-particle":"","parse-names":false,"suffix":""}],"container-title":"Santri: Journal of Pesantren and Fiqh Sosial","id":"ITEM-1","issue":"2","issued":{"date-parts":[["2023","12","21"]]},"page":"131-142","title":"Santri in the Frame of Religious Harmony","type":"article-journal","volume":"4"},"uris":["http://www.mendeley.com/documents/?uuid=aab7fc47-32c1-4299-8f06-87c6faafe4f1"]}],"mendeley":{"formattedCitation":"(Aksa &amp; Hakim, 2023)","plainTextFormattedCitation":"(Aksa &amp; Hakim, 2023)","previouslyFormattedCitation":"(Aksa &amp; Hakim, 2023)"},"properties":{"noteIndex":0},"schema":"https://github.com/citation-style-language/schema/raw/master/csl-citation.json"}</w:instrText>
      </w:r>
      <w:r>
        <w:rPr>
          <w:rFonts w:ascii="Calibri Light" w:hAnsi="Calibri Light" w:cs="Calibri Light"/>
          <w:sz w:val="24"/>
          <w:szCs w:val="24"/>
        </w:rPr>
        <w:fldChar w:fldCharType="separate"/>
      </w:r>
      <w:r w:rsidRPr="000C6543">
        <w:rPr>
          <w:rFonts w:ascii="Calibri Light" w:hAnsi="Calibri Light" w:cs="Calibri Light"/>
          <w:noProof/>
          <w:sz w:val="24"/>
          <w:szCs w:val="24"/>
        </w:rPr>
        <w:t>(Aksa &amp; Hakim, 2023)</w:t>
      </w:r>
      <w:r>
        <w:rPr>
          <w:rFonts w:ascii="Calibri Light" w:hAnsi="Calibri Light" w:cs="Calibri Light"/>
          <w:sz w:val="24"/>
          <w:szCs w:val="24"/>
        </w:rPr>
        <w:fldChar w:fldCharType="end"/>
      </w:r>
      <w:r w:rsidRPr="000C6543">
        <w:rPr>
          <w:rFonts w:ascii="Calibri Light" w:hAnsi="Calibri Light" w:cs="Calibri Light"/>
          <w:sz w:val="24"/>
          <w:szCs w:val="24"/>
        </w:rPr>
        <w:t>. As important as the above, they certainly contribute a lot to promoting peace and tolerance on the part of the Islamic boarding schools/</w:t>
      </w:r>
      <w:r w:rsidRPr="00A052EF" w:rsidR="00A052EF">
        <w:rPr>
          <w:rFonts w:ascii="Calibri Light" w:hAnsi="Calibri Light" w:cs="Calibri Light"/>
          <w:i/>
          <w:iCs/>
          <w:sz w:val="24"/>
          <w:szCs w:val="24"/>
        </w:rPr>
        <w:t>Pesantren</w:t>
      </w:r>
      <w:r w:rsidRPr="000C6543">
        <w:rPr>
          <w:rFonts w:ascii="Calibri Light" w:hAnsi="Calibri Light" w:cs="Calibri Light"/>
          <w:sz w:val="24"/>
          <w:szCs w:val="24"/>
        </w:rPr>
        <w:t xml:space="preserve">. </w:t>
      </w:r>
      <w:r w:rsidRPr="00A052EF">
        <w:rPr>
          <w:rFonts w:ascii="Calibri Light" w:hAnsi="Calibri Light" w:cs="Calibri Light"/>
          <w:i/>
          <w:iCs/>
          <w:sz w:val="24"/>
          <w:szCs w:val="24"/>
        </w:rPr>
        <w:t>Pesantren</w:t>
      </w:r>
      <w:r w:rsidRPr="000C6543">
        <w:rPr>
          <w:rFonts w:ascii="Calibri Light" w:hAnsi="Calibri Light" w:cs="Calibri Light"/>
          <w:sz w:val="24"/>
          <w:szCs w:val="24"/>
        </w:rPr>
        <w:t xml:space="preserve"> has helped to encourage a peaceful relationship and understanding between followers of different faiths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{"citationItems":[{"id":"ITEM-1","itemData":{"DOI":"10.33852/jurnalnu.v6i2.339","author":[{"dropping-particle":"","family":"Qornain","given":"Dzul","non-dropping-particle":"","parse-names":false,"suffix":""}],"container-title":"Jurnal Islam Nusantara","id":"ITEM-1","issue":"2","issued":{"date-parts":[["2022"]]},"title":"Fostering Islamic Education: Embracing Multicultural Islamic Religious Education Values","type":"article-journal","volume":"6"},"uris":["http://www.mendeley.com/documents/?uuid=bce02413-6130-432a-8650-ac6db985892b"]}],"mendeley":{"formattedCitation":"(Qornain, 2022)","plainTextFormattedCitation":"(Qornain, 2022)","previouslyFormattedCitation":"(Qornain, 2022)"},"properties":{"noteIndex":0},"schema":"https://github.com/citation-style-language/schema/raw/master/csl-citation.json"}</w:instrText>
      </w:r>
      <w:r>
        <w:rPr>
          <w:rFonts w:ascii="Calibri Light" w:hAnsi="Calibri Light" w:cs="Calibri Light"/>
          <w:sz w:val="24"/>
          <w:szCs w:val="24"/>
        </w:rPr>
        <w:fldChar w:fldCharType="separate"/>
      </w:r>
      <w:r w:rsidRPr="000C6543">
        <w:rPr>
          <w:rFonts w:ascii="Calibri Light" w:hAnsi="Calibri Light" w:cs="Calibri Light"/>
          <w:noProof/>
          <w:sz w:val="24"/>
          <w:szCs w:val="24"/>
        </w:rPr>
        <w:t>(Qornain, 2022)</w:t>
      </w:r>
      <w:r>
        <w:rPr>
          <w:rFonts w:ascii="Calibri Light" w:hAnsi="Calibri Light" w:cs="Calibri Light"/>
          <w:sz w:val="24"/>
          <w:szCs w:val="24"/>
        </w:rPr>
        <w:fldChar w:fldCharType="end"/>
      </w:r>
      <w:r w:rsidRPr="000C6543">
        <w:rPr>
          <w:rFonts w:ascii="Calibri Light" w:hAnsi="Calibri Light" w:cs="Calibri Light"/>
          <w:sz w:val="24"/>
          <w:szCs w:val="24"/>
        </w:rPr>
        <w:t xml:space="preserve">. </w:t>
      </w:r>
      <w:r w:rsidRPr="00A052EF">
        <w:rPr>
          <w:rFonts w:ascii="Calibri Light" w:hAnsi="Calibri Light" w:cs="Calibri Light"/>
          <w:i/>
          <w:iCs/>
          <w:sz w:val="24"/>
          <w:szCs w:val="24"/>
        </w:rPr>
        <w:t>Pesantren</w:t>
      </w:r>
      <w:r w:rsidRPr="000C6543">
        <w:rPr>
          <w:rFonts w:ascii="Calibri Light" w:hAnsi="Calibri Light" w:cs="Calibri Light"/>
          <w:sz w:val="24"/>
          <w:szCs w:val="24"/>
        </w:rPr>
        <w:t xml:space="preserve"> also builds on interfaith cooperation and respect to draw pathways through building community synergy and enhancing peaceful life. It is imperative that the Islamic education curriculum include multicultural values and adhere to them to establish a tolerant and accepting culture. So, by incorporating the values of multicultural Islamic Religious Education, educational institutions can form students expected to have skills and positive attitudes towards a heterogeneous society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2845BE">
        <w:rPr>
          <w:rFonts w:ascii="Calibri Light" w:hAnsi="Calibri Light" w:cs="Calibri Light"/>
          <w:sz w:val="24"/>
          <w:szCs w:val="24"/>
        </w:rPr>
        <w:instrText>ADDIN CSL_CITATION {"citationItems":[{"id":"ITEM-1","itemData":{"author":[{"dropping-particle":"","family":"Saefudin","given":"Ahmad","non-dropping-particle":"","parse-names":false,"suffix":""},{"dropping-particle":"","family":"Munip","given":"Abdul","non-dropping-particle":"","parse-names":false,"suffix":""},{"dropping-particle":"","family":"Ulfa","given":"Khoirotul L.","non-dropping-particle":"","parse-names":false,"suffix":""}],"container-title":"Edukasia Jurnal Penelitian Pendidikan Islam","id":"ITEM-1","issue":"1","issued":{"date-parts":[["2021"]]},"page":"37-56","title":"Internalization of Multicultural-Based Islamic Education: Sunni-Shia Synergy in Banjaran Bangsri Village, Jepara","type":"article-journal","volume":"16"},"uris":["http://www.mendeley.com/documents/?uuid=76935629-0897-419c-beb3-c0e11cfb6bff"]}],"mendeley":{"formattedCitation":"(Saefudin et al., 2021)","plainTextFormattedCitation":"(Saefudin et al., 2021)","previouslyFormattedCitation":"(Saefudin et al., 2021)"},"properties":{"noteIndex":0},"schema":"https://github.com/citation-style-language/schema/raw/master/csl-citation.json"}</w:instrText>
      </w:r>
      <w:r>
        <w:rPr>
          <w:rFonts w:ascii="Calibri Light" w:hAnsi="Calibri Light" w:cs="Calibri Light"/>
          <w:sz w:val="24"/>
          <w:szCs w:val="24"/>
        </w:rPr>
        <w:fldChar w:fldCharType="separate"/>
      </w:r>
      <w:r w:rsidRPr="000C6543">
        <w:rPr>
          <w:rFonts w:ascii="Calibri Light" w:hAnsi="Calibri Light" w:cs="Calibri Light"/>
          <w:noProof/>
          <w:sz w:val="24"/>
          <w:szCs w:val="24"/>
        </w:rPr>
        <w:t>(Saefudin et al., 2021)</w:t>
      </w:r>
      <w:r>
        <w:rPr>
          <w:rFonts w:ascii="Calibri Light" w:hAnsi="Calibri Light" w:cs="Calibri Light"/>
          <w:sz w:val="24"/>
          <w:szCs w:val="24"/>
        </w:rPr>
        <w:fldChar w:fldCharType="end"/>
      </w:r>
      <w:r w:rsidRPr="000C6543">
        <w:rPr>
          <w:rFonts w:ascii="Calibri Light" w:hAnsi="Calibri Light" w:cs="Calibri Light"/>
          <w:sz w:val="24"/>
          <w:szCs w:val="24"/>
        </w:rPr>
        <w:t xml:space="preserve">. By embracing multicultural-based Islamic education, it can return the spirit of togetherness and trust between diverse religious communities. In a nutshell, education is an integral part of the </w:t>
      </w:r>
      <w:r w:rsidRPr="00A052EF" w:rsidR="00A052EF">
        <w:rPr>
          <w:rFonts w:ascii="Calibri Light" w:hAnsi="Calibri Light" w:cs="Calibri Light"/>
          <w:i/>
          <w:iCs/>
          <w:sz w:val="24"/>
          <w:szCs w:val="24"/>
        </w:rPr>
        <w:t>Da’wah</w:t>
      </w:r>
      <w:r w:rsidRPr="000C6543">
        <w:rPr>
          <w:rFonts w:ascii="Calibri Light" w:hAnsi="Calibri Light" w:cs="Calibri Light"/>
          <w:sz w:val="24"/>
          <w:szCs w:val="24"/>
        </w:rPr>
        <w:t xml:space="preserve"> to learn about the religion and instill values of tolerance, respect, and understanding in a multicultural society. There are many steps educational institutions in Indonesia can take to build a harmonious and inclusive culture where different backgrounds can exist, among other is by bringing religious moderation into the education system, promote interfaith dialogue, and embrace multicultural values.</w:t>
      </w:r>
    </w:p>
    <w:p w:rsidR="006B0510" w:rsidRPr="00122F5F"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0C6543">
        <w:rPr>
          <w:rFonts w:ascii="Calibri Light" w:hAnsi="Calibri Light" w:cs="Calibri Light"/>
          <w:sz w:val="24"/>
          <w:szCs w:val="24"/>
        </w:rPr>
        <w:t xml:space="preserve">The historical evolution of </w:t>
      </w:r>
      <w:r w:rsidRPr="00A052EF" w:rsidR="00A052EF">
        <w:rPr>
          <w:rFonts w:ascii="Calibri Light" w:hAnsi="Calibri Light" w:cs="Calibri Light"/>
          <w:i/>
          <w:iCs/>
          <w:sz w:val="24"/>
          <w:szCs w:val="24"/>
        </w:rPr>
        <w:t>Da’wah</w:t>
      </w:r>
      <w:r w:rsidRPr="000C6543">
        <w:rPr>
          <w:rFonts w:ascii="Calibri Light" w:hAnsi="Calibri Light" w:cs="Calibri Light"/>
          <w:sz w:val="24"/>
          <w:szCs w:val="24"/>
        </w:rPr>
        <w:t xml:space="preserve"> in addressing blasphemy in Indonesia demonstrates its adaptability in reinforcing religious principles while fostering social harmony. Through education, interfaith dialogue, and legal measures, </w:t>
      </w:r>
      <w:r w:rsidRPr="00A052EF" w:rsidR="00A052EF">
        <w:rPr>
          <w:rFonts w:ascii="Calibri Light" w:hAnsi="Calibri Light" w:cs="Calibri Light"/>
          <w:i/>
          <w:iCs/>
          <w:sz w:val="24"/>
          <w:szCs w:val="24"/>
        </w:rPr>
        <w:t>Da’wah</w:t>
      </w:r>
      <w:r w:rsidRPr="000C6543">
        <w:rPr>
          <w:rFonts w:ascii="Calibri Light" w:hAnsi="Calibri Light" w:cs="Calibri Light"/>
          <w:sz w:val="24"/>
          <w:szCs w:val="24"/>
        </w:rPr>
        <w:t xml:space="preserve"> has contributed to conflict resolution and promoted peaceful coexistence among diverse religious communities. This approach highlights the importance of integrating religious teachings with multicultural values and interfaith dialogue to nurture mutual respect and understanding. These findings imply that </w:t>
      </w:r>
      <w:r w:rsidRPr="00A052EF" w:rsidR="00A052EF">
        <w:rPr>
          <w:rFonts w:ascii="Calibri Light" w:hAnsi="Calibri Light" w:cs="Calibri Light"/>
          <w:i/>
          <w:iCs/>
          <w:sz w:val="24"/>
          <w:szCs w:val="24"/>
        </w:rPr>
        <w:t>Da’wah</w:t>
      </w:r>
      <w:r w:rsidRPr="000C6543">
        <w:rPr>
          <w:rFonts w:ascii="Calibri Light" w:hAnsi="Calibri Light" w:cs="Calibri Light"/>
          <w:sz w:val="24"/>
          <w:szCs w:val="24"/>
        </w:rPr>
        <w:t xml:space="preserve"> should continue evolving to address contemporary challenges by leveraging digital platforms, fostering constructive discussions, and prioritizing empathy and tolerance. Future research should explore innovative </w:t>
      </w:r>
      <w:r w:rsidRPr="00A052EF" w:rsidR="00A052EF">
        <w:rPr>
          <w:rFonts w:ascii="Calibri Light" w:hAnsi="Calibri Light" w:cs="Calibri Light"/>
          <w:i/>
          <w:iCs/>
          <w:sz w:val="24"/>
          <w:szCs w:val="24"/>
        </w:rPr>
        <w:t>Da’wah</w:t>
      </w:r>
      <w:r w:rsidRPr="000C6543">
        <w:rPr>
          <w:rFonts w:ascii="Calibri Light" w:hAnsi="Calibri Light" w:cs="Calibri Light"/>
          <w:sz w:val="24"/>
          <w:szCs w:val="24"/>
        </w:rPr>
        <w:t xml:space="preserve"> strategies that engage younger, tech-savvy audiences and assess their impact on interreligious relations and social cohesion. By advancing these efforts, </w:t>
      </w:r>
      <w:r w:rsidRPr="00A052EF" w:rsidR="00A052EF">
        <w:rPr>
          <w:rFonts w:ascii="Calibri Light" w:hAnsi="Calibri Light" w:cs="Calibri Light"/>
          <w:i/>
          <w:iCs/>
          <w:sz w:val="24"/>
          <w:szCs w:val="24"/>
        </w:rPr>
        <w:t>Da’wah</w:t>
      </w:r>
      <w:r w:rsidRPr="000C6543">
        <w:rPr>
          <w:rFonts w:ascii="Calibri Light" w:hAnsi="Calibri Light" w:cs="Calibri Light"/>
          <w:sz w:val="24"/>
          <w:szCs w:val="24"/>
        </w:rPr>
        <w:t xml:space="preserve"> can remain pivotal in building inclusive and peaceful societies.</w:t>
      </w:r>
    </w:p>
    <w:p w:rsidR="00741058" w:rsidRPr="00122F5F"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P="000C6543">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color w:val="A6A6A6"/>
          <w:sz w:val="24"/>
          <w:szCs w:val="24"/>
        </w:rPr>
        <w:fldChar w:fldCharType="begin" w:fldLock="1"/>
      </w:r>
      <w:r w:rsidRPr="00E8670C">
        <w:rPr>
          <w:rFonts w:ascii="Calibri Light" w:hAnsi="Calibri Light" w:cs="Calibri Light"/>
          <w:color w:val="A6A6A6"/>
          <w:sz w:val="24"/>
          <w:szCs w:val="24"/>
        </w:rPr>
        <w:instrText xml:space="preserve">ADDIN Mendeley Bibliography CSL_BIBLIOGRAPHY </w:instrText>
      </w:r>
      <w:r w:rsidRPr="00E8670C">
        <w:rPr>
          <w:rFonts w:ascii="Calibri Light" w:hAnsi="Calibri Light" w:cs="Calibri Light"/>
          <w:color w:val="A6A6A6"/>
          <w:sz w:val="24"/>
          <w:szCs w:val="24"/>
        </w:rPr>
        <w:fldChar w:fldCharType="separate"/>
      </w:r>
      <w:r w:rsidRPr="00E8670C">
        <w:rPr>
          <w:rFonts w:ascii="Calibri Light" w:hAnsi="Calibri Light" w:cs="Calibri Light"/>
          <w:sz w:val="24"/>
          <w:szCs w:val="24"/>
        </w:rPr>
        <w:t xml:space="preserve">A’Yun, R. Q. (2021). Religion at the Ballot Box: The Politics of Indonesia’s Blasphemy Laws. </w:t>
      </w:r>
      <w:r w:rsidRPr="00E8670C">
        <w:rPr>
          <w:rFonts w:ascii="Calibri Light" w:hAnsi="Calibri Light" w:cs="Calibri Light"/>
          <w:i/>
          <w:iCs/>
          <w:sz w:val="24"/>
          <w:szCs w:val="24"/>
        </w:rPr>
        <w:t>Indonesia</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112</w:t>
      </w:r>
      <w:r w:rsidRPr="00E8670C">
        <w:rPr>
          <w:rFonts w:ascii="Calibri Light" w:hAnsi="Calibri Light" w:cs="Calibri Light"/>
          <w:sz w:val="24"/>
          <w:szCs w:val="24"/>
        </w:rPr>
        <w:t>, 1–29. http://dx.doi.org/10.1353/ind.2021.0005</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Abdullah, A. (2023). The Crime of Blasphemy in Indonesia: A Comparative Study. </w:t>
      </w:r>
      <w:r w:rsidRPr="00E8670C">
        <w:rPr>
          <w:rFonts w:ascii="Calibri Light" w:hAnsi="Calibri Light" w:cs="Calibri Light"/>
          <w:i/>
          <w:iCs/>
          <w:sz w:val="24"/>
          <w:szCs w:val="24"/>
        </w:rPr>
        <w:t>Sasi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29</w:t>
      </w:r>
      <w:r w:rsidRPr="00E8670C">
        <w:rPr>
          <w:rFonts w:ascii="Calibri Light" w:hAnsi="Calibri Light" w:cs="Calibri Light"/>
          <w:sz w:val="24"/>
          <w:szCs w:val="24"/>
        </w:rPr>
        <w:t>(2), 354–367. https://doi.org/10.47268/sasi.v29i2.1374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Adawiyyah, V. R., Wati, E. E., Nasikhin, &amp; Fihris. (2023). The Development of Indonesian Islamic Civilization During the Dutch Colonial Period. </w:t>
      </w:r>
      <w:r w:rsidRPr="00E8670C">
        <w:rPr>
          <w:rFonts w:ascii="Calibri Light" w:hAnsi="Calibri Light" w:cs="Calibri Light"/>
          <w:i/>
          <w:iCs/>
          <w:sz w:val="24"/>
          <w:szCs w:val="24"/>
        </w:rPr>
        <w:t>Indonesia Islamic Education Journal</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w:t>
      </w:r>
      <w:r w:rsidRPr="00E8670C">
        <w:rPr>
          <w:rFonts w:ascii="Calibri Light" w:hAnsi="Calibri Light" w:cs="Calibri Light"/>
          <w:sz w:val="24"/>
          <w:szCs w:val="24"/>
        </w:rPr>
        <w:t>(2), 104–115. https://doi.org/10.37812/iiej.v1i2.915</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Adeline, A. L., &amp; Rahayu, M. I. F. (2023). The Existence of Inheritance in Indonesia against Customary Inheritance Law and Islamic Inheritance Law BT - Proceedings of the 3rd International Conference on Law, Governance, and Social Justice (ICoLGaS 2023). </w:t>
      </w:r>
      <w:r w:rsidRPr="00E8670C">
        <w:rPr>
          <w:rFonts w:ascii="Calibri Light" w:hAnsi="Calibri Light" w:cs="Calibri Light"/>
          <w:i/>
          <w:iCs/>
          <w:sz w:val="24"/>
          <w:szCs w:val="24"/>
        </w:rPr>
        <w:t>Proceedings of the 3rd International Conference on Law, Governance, and Social Justice (ICoLGaS 2023)</w:t>
      </w:r>
      <w:r w:rsidRPr="00E8670C">
        <w:rPr>
          <w:rFonts w:ascii="Calibri Light" w:hAnsi="Calibri Light" w:cs="Calibri Light"/>
          <w:sz w:val="24"/>
          <w:szCs w:val="24"/>
        </w:rPr>
        <w:t>, 4–16. https://doi.org/10.2991/978-2-38476-164-7_2</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Aksa, A., &amp; Hakim, M. (2023). Santri in the Frame of Religious Harmony. </w:t>
      </w:r>
      <w:r w:rsidRPr="00E8670C">
        <w:rPr>
          <w:rFonts w:ascii="Calibri Light" w:hAnsi="Calibri Light" w:cs="Calibri Light"/>
          <w:i/>
          <w:iCs/>
          <w:sz w:val="24"/>
          <w:szCs w:val="24"/>
        </w:rPr>
        <w:t>Santri: Journal of Pesantren and Fiqh Sosial</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(2), 131–142. https://doi.org/10.35878/santri.v4i2.958</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Alexanderson, K. (2019). </w:t>
      </w:r>
      <w:r w:rsidRPr="00E8670C">
        <w:rPr>
          <w:rFonts w:ascii="Calibri Light" w:hAnsi="Calibri Light" w:cs="Calibri Light"/>
          <w:i/>
          <w:iCs/>
          <w:sz w:val="24"/>
          <w:szCs w:val="24"/>
        </w:rPr>
        <w:t>Subversive Seas: Anticolonial Networks across the Twentieth-Century Dutch Empire</w:t>
      </w:r>
      <w:r w:rsidRPr="00E8670C">
        <w:rPr>
          <w:rFonts w:ascii="Calibri Light" w:hAnsi="Calibri Light" w:cs="Calibri Light"/>
          <w:sz w:val="24"/>
          <w:szCs w:val="24"/>
        </w:rPr>
        <w:t>. Britania Raya: Cambridge University Press.</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Amin, N. (2022). Contemporary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Strategies to Educate the Religious Life of Minority Muslims. </w:t>
      </w:r>
      <w:r w:rsidRPr="00E8670C">
        <w:rPr>
          <w:rFonts w:ascii="Calibri Light" w:hAnsi="Calibri Light" w:cs="Calibri Light"/>
          <w:i/>
          <w:iCs/>
          <w:sz w:val="24"/>
          <w:szCs w:val="24"/>
        </w:rPr>
        <w:t>Al-Fikru Jurnal Ilmiah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16</w:t>
      </w:r>
      <w:r w:rsidRPr="00E8670C">
        <w:rPr>
          <w:rFonts w:ascii="Calibri Light" w:hAnsi="Calibri Light" w:cs="Calibri Light"/>
          <w:sz w:val="24"/>
          <w:szCs w:val="24"/>
        </w:rPr>
        <w:t>(2), 188–199. https://doi.org/10.51672/alfikru.v16i2.107</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Anas, A. (2023). Contemporary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Empowerment Institute in Indonesia. </w:t>
      </w:r>
      <w:r w:rsidRPr="00E8670C">
        <w:rPr>
          <w:rFonts w:ascii="Calibri Light" w:hAnsi="Calibri Light" w:cs="Calibri Light"/>
          <w:i/>
          <w:iCs/>
          <w:sz w:val="24"/>
          <w:szCs w:val="24"/>
        </w:rPr>
        <w:t>Jurnal Ilmiah Pendidikan Kebudayaan Dan Agama</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w:t>
      </w:r>
      <w:r w:rsidRPr="00E8670C">
        <w:rPr>
          <w:rFonts w:ascii="Calibri Light" w:hAnsi="Calibri Light" w:cs="Calibri Light"/>
          <w:sz w:val="24"/>
          <w:szCs w:val="24"/>
        </w:rPr>
        <w:t>(1), 1–12. https://doi.org/10.59024/jipa.v1i1.54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Aslan, A., &amp; Pong, K. S. (2023). Understanding the Trend of Digital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among Muslim Housewives in Indonesia. </w:t>
      </w:r>
      <w:r w:rsidRPr="00E8670C">
        <w:rPr>
          <w:rFonts w:ascii="Calibri Light" w:hAnsi="Calibri Light" w:cs="Calibri Light"/>
          <w:i/>
          <w:iCs/>
          <w:sz w:val="24"/>
          <w:szCs w:val="24"/>
        </w:rPr>
        <w:t>Fikroh Jurnal Pemikiran Dan Pendidikan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16</w:t>
      </w:r>
      <w:r w:rsidRPr="00E8670C">
        <w:rPr>
          <w:rFonts w:ascii="Calibri Light" w:hAnsi="Calibri Light" w:cs="Calibri Light"/>
          <w:sz w:val="24"/>
          <w:szCs w:val="24"/>
        </w:rPr>
        <w:t>(1), 11–22. https://doi.org/10.37812/fikroh.v16i1.681</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Aziz, M. S., Indrasari, M., Pamuji, E., Wulandari, E. R., &amp; Prasnowo, M. A. (2022). Systematic Review: Use of Digital Media as a Means of Communication of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Jurnal Spektrum Komunikasi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10</w:t>
      </w:r>
      <w:r w:rsidRPr="00E8670C">
        <w:rPr>
          <w:rFonts w:ascii="Calibri Light" w:hAnsi="Calibri Light" w:cs="Calibri Light"/>
          <w:sz w:val="24"/>
          <w:szCs w:val="24"/>
        </w:rPr>
        <w:t>(2), 187–193. https://doi.org/10.37826/spektrum.v10i2.324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Azzahra, R., &amp; Shuaib, F. S. (2022). Religious Courts in Indonesia and Malaysia: History, Structure, and Jurisdiction. </w:t>
      </w:r>
      <w:r w:rsidRPr="00E8670C">
        <w:rPr>
          <w:rFonts w:ascii="Calibri Light" w:hAnsi="Calibri Light" w:cs="Calibri Light"/>
          <w:i/>
          <w:iCs/>
          <w:sz w:val="24"/>
          <w:szCs w:val="24"/>
        </w:rPr>
        <w:t>Indonesian Comparative Law Review</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(2), 115–130. https://doi.org/10.18196/iclr.v4i2.15911</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Cholil, S. (2023). Freedom of Religion Amid Polarization and Religious Moderation </w:t>
      </w:r>
      <w:r w:rsidRPr="00E8670C">
        <w:rPr>
          <w:rFonts w:ascii="Calibri Light" w:hAnsi="Calibri Light" w:cs="Calibri Light"/>
          <w:sz w:val="24"/>
          <w:szCs w:val="24"/>
        </w:rPr>
        <w:t xml:space="preserve">Policy. </w:t>
      </w:r>
      <w:r w:rsidRPr="00E8670C">
        <w:rPr>
          <w:rFonts w:ascii="Calibri Light" w:hAnsi="Calibri Light" w:cs="Calibri Light"/>
          <w:i/>
          <w:iCs/>
          <w:sz w:val="24"/>
          <w:szCs w:val="24"/>
        </w:rPr>
        <w:t>Interreligious Studies and Intercultural Theology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(2), 196–204. https://doi.org/10.1558/isit.24603</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Creswell, J. W. (2019). </w:t>
      </w:r>
      <w:r w:rsidRPr="00E8670C">
        <w:rPr>
          <w:rFonts w:ascii="Calibri Light" w:hAnsi="Calibri Light" w:cs="Calibri Light"/>
          <w:i/>
          <w:iCs/>
          <w:sz w:val="24"/>
          <w:szCs w:val="24"/>
        </w:rPr>
        <w:t>Research Design: Qualitative, Quantitative, and Mixed Methods Approaches</w:t>
      </w:r>
      <w:r w:rsidRPr="00E8670C">
        <w:rPr>
          <w:rFonts w:ascii="Calibri Light" w:hAnsi="Calibri Light" w:cs="Calibri Light"/>
          <w:sz w:val="24"/>
          <w:szCs w:val="24"/>
        </w:rPr>
        <w:t>. London: Sage Publications.</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El Ishaq, R. (2022). Political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Strategy of Islamic Parties in Indonesia. </w:t>
      </w:r>
      <w:r w:rsidRPr="00E8670C">
        <w:rPr>
          <w:rFonts w:ascii="Calibri Light" w:hAnsi="Calibri Light" w:cs="Calibri Light"/>
          <w:i/>
          <w:iCs/>
          <w:sz w:val="24"/>
          <w:szCs w:val="24"/>
        </w:rPr>
        <w:t xml:space="preserve">Ilmu </w:t>
      </w:r>
      <w:r w:rsidRPr="00E8670C" w:rsidR="00A052EF">
        <w:rPr>
          <w:rFonts w:ascii="Calibri Light" w:hAnsi="Calibri Light" w:cs="Calibri Light"/>
          <w:i/>
          <w:iCs/>
          <w:sz w:val="24"/>
          <w:szCs w:val="24"/>
        </w:rPr>
        <w:t>Da’wah</w:t>
      </w:r>
      <w:r w:rsidRPr="00E8670C">
        <w:rPr>
          <w:rFonts w:ascii="Calibri Light" w:hAnsi="Calibri Light" w:cs="Calibri Light"/>
          <w:i/>
          <w:iCs/>
          <w:sz w:val="24"/>
          <w:szCs w:val="24"/>
        </w:rPr>
        <w:t xml:space="preserve"> Academic Journal for Homiletic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16</w:t>
      </w:r>
      <w:r w:rsidRPr="00E8670C">
        <w:rPr>
          <w:rFonts w:ascii="Calibri Light" w:hAnsi="Calibri Light" w:cs="Calibri Light"/>
          <w:sz w:val="24"/>
          <w:szCs w:val="24"/>
        </w:rPr>
        <w:t>(2), 345–364. https://doi.org/10.15575/idajhs.v16i2.19861</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Emzir. (2014). </w:t>
      </w:r>
      <w:r w:rsidRPr="00E8670C">
        <w:rPr>
          <w:rFonts w:ascii="Calibri Light" w:hAnsi="Calibri Light" w:cs="Calibri Light"/>
          <w:i/>
          <w:iCs/>
          <w:sz w:val="24"/>
          <w:szCs w:val="24"/>
        </w:rPr>
        <w:t>Metodologi Penelitian Kualitatif Analisis Data</w:t>
      </w:r>
      <w:r w:rsidRPr="00E8670C">
        <w:rPr>
          <w:rFonts w:ascii="Calibri Light" w:hAnsi="Calibri Light" w:cs="Calibri Light"/>
          <w:sz w:val="24"/>
          <w:szCs w:val="24"/>
        </w:rPr>
        <w:t>. PT Raja Grafindo Persada.</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Epafras, L. C., Kaunang, H. P., &amp; Asri, S. (2019). Religious Blasphemy and Monitory Society in Indonesian Digital Age. </w:t>
      </w:r>
      <w:r w:rsidRPr="00E8670C">
        <w:rPr>
          <w:rFonts w:ascii="Calibri Light" w:hAnsi="Calibri Light" w:cs="Calibri Light"/>
          <w:i/>
          <w:iCs/>
          <w:sz w:val="24"/>
          <w:szCs w:val="24"/>
        </w:rPr>
        <w:t>Jurnal Kawistara</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9</w:t>
      </w:r>
      <w:r w:rsidRPr="00E8670C">
        <w:rPr>
          <w:rFonts w:ascii="Calibri Light" w:hAnsi="Calibri Light" w:cs="Calibri Light"/>
          <w:sz w:val="24"/>
          <w:szCs w:val="24"/>
        </w:rPr>
        <w:t>(2), 220—230. https://doi.org/10.22146/kawistara.41169</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Faiqah, N., &amp; Pransiska, T. (2018). Radikalisme Islam Vs Moderasi Islam: Upaya Membangun Wajah Islam Indonesia Yang Damai. </w:t>
      </w:r>
      <w:r w:rsidRPr="00E8670C">
        <w:rPr>
          <w:rFonts w:ascii="Calibri Light" w:hAnsi="Calibri Light" w:cs="Calibri Light"/>
          <w:i/>
          <w:iCs/>
          <w:sz w:val="24"/>
          <w:szCs w:val="24"/>
        </w:rPr>
        <w:t>Al-Fikra Jurnal Ilmiah Keislaman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17</w:t>
      </w:r>
      <w:r w:rsidRPr="00E8670C">
        <w:rPr>
          <w:rFonts w:ascii="Calibri Light" w:hAnsi="Calibri Light" w:cs="Calibri Light"/>
          <w:sz w:val="24"/>
          <w:szCs w:val="24"/>
        </w:rPr>
        <w:t>(1). https://doi.org/10.24014/af.v17i1.5212</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Fajar, M. R. (2021). Optimalisasi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Media Sosial Di Kalangan Mahasiswa Di Masa Pandemi Dalam Dimensi Globalisasi. </w:t>
      </w:r>
      <w:r w:rsidRPr="00E8670C">
        <w:rPr>
          <w:rFonts w:ascii="Calibri Light" w:hAnsi="Calibri Light" w:cs="Calibri Light"/>
          <w:i/>
          <w:iCs/>
          <w:sz w:val="24"/>
          <w:szCs w:val="24"/>
        </w:rPr>
        <w:t xml:space="preserve">Jurnal </w:t>
      </w:r>
      <w:r w:rsidRPr="00E8670C" w:rsidR="00A052EF">
        <w:rPr>
          <w:rFonts w:ascii="Calibri Light" w:hAnsi="Calibri Light" w:cs="Calibri Light"/>
          <w:i/>
          <w:iCs/>
          <w:sz w:val="24"/>
          <w:szCs w:val="24"/>
        </w:rPr>
        <w:t>Da’wah</w:t>
      </w:r>
      <w:r w:rsidRPr="00E8670C">
        <w:rPr>
          <w:rFonts w:ascii="Calibri Light" w:hAnsi="Calibri Light" w:cs="Calibri Light"/>
          <w:i/>
          <w:iCs/>
          <w:sz w:val="24"/>
          <w:szCs w:val="24"/>
        </w:rPr>
        <w:t xml:space="preserve"> Dan Komunikasi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(1), 1–22. https://doi.org/10.29240/jdk.v6i1.2954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Fenton, A. J. (2016). Faith, Intolerance, Violence and Bigotry: Legal and Constitutional Issues of Freedom of Religion in Indonesia. </w:t>
      </w:r>
      <w:r w:rsidRPr="00E8670C">
        <w:rPr>
          <w:rFonts w:ascii="Calibri Light" w:hAnsi="Calibri Light" w:cs="Calibri Light"/>
          <w:i/>
          <w:iCs/>
          <w:sz w:val="24"/>
          <w:szCs w:val="24"/>
        </w:rPr>
        <w:t>Journal Of Indonesian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10</w:t>
      </w:r>
      <w:r w:rsidRPr="00E8670C">
        <w:rPr>
          <w:rFonts w:ascii="Calibri Light" w:hAnsi="Calibri Light" w:cs="Calibri Light"/>
          <w:sz w:val="24"/>
          <w:szCs w:val="24"/>
        </w:rPr>
        <w:t>(2), 181–212. https://doi.org/10.15642/JIIS.2016.10.2.181-212</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Fikar, Z. (2022).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Ulama Dayah Aceh Di Masa Pandemi. </w:t>
      </w:r>
      <w:r w:rsidRPr="00E8670C">
        <w:rPr>
          <w:rFonts w:ascii="Calibri Light" w:hAnsi="Calibri Light" w:cs="Calibri Light"/>
          <w:i/>
          <w:iCs/>
          <w:sz w:val="24"/>
          <w:szCs w:val="24"/>
        </w:rPr>
        <w:t>Panangkaran Jurnal Penelitian Agama Dan Masyarakat</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(1), 132–146. https://doi.org/10.14421/panangkaran.v6i1.2788</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Firdaus, M., Assauri, M., &amp; Haqqi, N. (2023). The Botram Harmony Tradition: Knitting a Harmonious Life in Frames Islamic Moderation. </w:t>
      </w:r>
      <w:r w:rsidRPr="00E8670C">
        <w:rPr>
          <w:rFonts w:ascii="Calibri Light" w:hAnsi="Calibri Light" w:cs="Calibri Light"/>
          <w:i/>
          <w:iCs/>
          <w:sz w:val="24"/>
          <w:szCs w:val="24"/>
        </w:rPr>
        <w:t>Jurnal Penelitian Ilmu Ushuluddin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w:t>
      </w:r>
      <w:r w:rsidRPr="00E8670C">
        <w:rPr>
          <w:rFonts w:ascii="Calibri Light" w:hAnsi="Calibri Light" w:cs="Calibri Light"/>
          <w:sz w:val="24"/>
          <w:szCs w:val="24"/>
        </w:rPr>
        <w:t>(1), 120–130. https://doi.org/10.15575/jpiu.23344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Gunawan, R., &amp; Muhid, A. (2022). The Strategy of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Bil Hal Communication: Literature Review. </w:t>
      </w:r>
      <w:r w:rsidRPr="00E8670C">
        <w:rPr>
          <w:rFonts w:ascii="Calibri Light" w:hAnsi="Calibri Light" w:cs="Calibri Light"/>
          <w:i/>
          <w:iCs/>
          <w:sz w:val="24"/>
          <w:szCs w:val="24"/>
        </w:rPr>
        <w:t>Komunike</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14</w:t>
      </w:r>
      <w:r w:rsidRPr="00E8670C">
        <w:rPr>
          <w:rFonts w:ascii="Calibri Light" w:hAnsi="Calibri Light" w:cs="Calibri Light"/>
          <w:sz w:val="24"/>
          <w:szCs w:val="24"/>
        </w:rPr>
        <w:t>(1), 33–50. https://doi.org/10.20414/jurkom.v14i1.5270</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Haq, T., &amp; Isa, N. A. N. M. (2023). Discourse, Law, and Digital Communication: Unraveling the Hate Speech in Basuki Tjahaja Purnama’s Case of Religious Blasphemy. </w:t>
      </w:r>
      <w:r w:rsidRPr="00E8670C">
        <w:rPr>
          <w:rFonts w:ascii="Calibri Light" w:hAnsi="Calibri Light" w:cs="Calibri Light"/>
          <w:i/>
          <w:iCs/>
          <w:sz w:val="24"/>
          <w:szCs w:val="24"/>
        </w:rPr>
        <w:t>Journal of Indonesian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17</w:t>
      </w:r>
      <w:r w:rsidRPr="00E8670C">
        <w:rPr>
          <w:rFonts w:ascii="Calibri Light" w:hAnsi="Calibri Light" w:cs="Calibri Light"/>
          <w:sz w:val="24"/>
          <w:szCs w:val="24"/>
        </w:rPr>
        <w:t>(2), 376–402. https://doi.org/10.15642/JIIS.2023.17.2.376-402</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Hariyatoni, H., &amp; Saputra, H. (2018). The Mapping of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Potencies in Supporting Rejang Lebong to Be a Religious Regency. </w:t>
      </w:r>
      <w:r w:rsidRPr="00E8670C">
        <w:rPr>
          <w:rFonts w:ascii="Calibri Light" w:hAnsi="Calibri Light" w:cs="Calibri Light"/>
          <w:i/>
          <w:iCs/>
          <w:sz w:val="24"/>
          <w:szCs w:val="24"/>
        </w:rPr>
        <w:t>Ajis Academic Journal of Islamic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w:t>
      </w:r>
      <w:r w:rsidRPr="00E8670C">
        <w:rPr>
          <w:rFonts w:ascii="Calibri Light" w:hAnsi="Calibri Light" w:cs="Calibri Light"/>
          <w:sz w:val="24"/>
          <w:szCs w:val="24"/>
        </w:rPr>
        <w:t>(1), 41–68. https://doi.org/10.29240/ajis.v3i1.485</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Hasani, I., &amp; Halili, H. (2022). Human Rights and Constitutionality Issues of Blasphemy Law in Indonesia. </w:t>
      </w:r>
      <w:r w:rsidRPr="00E8670C">
        <w:rPr>
          <w:rFonts w:ascii="Calibri Light" w:hAnsi="Calibri Light" w:cs="Calibri Light"/>
          <w:i/>
          <w:iCs/>
          <w:sz w:val="24"/>
          <w:szCs w:val="24"/>
        </w:rPr>
        <w:t>Jurnal Konstitusi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19</w:t>
      </w:r>
      <w:r w:rsidRPr="00E8670C">
        <w:rPr>
          <w:rFonts w:ascii="Calibri Light" w:hAnsi="Calibri Light" w:cs="Calibri Light"/>
          <w:sz w:val="24"/>
          <w:szCs w:val="24"/>
        </w:rPr>
        <w:t>(2), 406–430. https://doi.org/10.31078/jk1927</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Hopkins, N., Greenwood, R. M., &amp; Birchall, M. (2007). Minority Understandings of the Dynamics to Intergroup Contact Encounters: British Muslims’ (Sometimes Ambivalent) Experiences of Representing Their Group to Others. </w:t>
      </w:r>
      <w:r w:rsidRPr="00E8670C">
        <w:rPr>
          <w:rFonts w:ascii="Calibri Light" w:hAnsi="Calibri Light" w:cs="Calibri Light"/>
          <w:i/>
          <w:iCs/>
          <w:sz w:val="24"/>
          <w:szCs w:val="24"/>
        </w:rPr>
        <w:t>South African Journal of Psychology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37</w:t>
      </w:r>
      <w:r w:rsidRPr="00E8670C">
        <w:rPr>
          <w:rFonts w:ascii="Calibri Light" w:hAnsi="Calibri Light" w:cs="Calibri Light"/>
          <w:sz w:val="24"/>
          <w:szCs w:val="24"/>
        </w:rPr>
        <w:t>(4), 679–701. https://doi.org/10.1177/008124630703700402</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Huda, M. (2019). The Local Construction of Religious Blasphemy in East Java. </w:t>
      </w:r>
      <w:r w:rsidRPr="00E8670C">
        <w:rPr>
          <w:rFonts w:ascii="Calibri Light" w:hAnsi="Calibri Light" w:cs="Calibri Light"/>
          <w:i/>
          <w:iCs/>
          <w:sz w:val="24"/>
          <w:szCs w:val="24"/>
        </w:rPr>
        <w:t>Journal of Indonesian Islam</w:t>
      </w:r>
      <w:r w:rsidRPr="00E8670C">
        <w:rPr>
          <w:rFonts w:ascii="Calibri Light" w:hAnsi="Calibri Light" w:cs="Calibri Light"/>
          <w:sz w:val="24"/>
          <w:szCs w:val="24"/>
        </w:rPr>
        <w:t>. https://doi.org/10.15­642/jiis.2019.13.1.96-114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Husaini, H., &amp; Islamy, A. (2022). Harmonization of Religion and State : Mainstreaming the Values of Religious Moderation in Indonesian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Orientation. </w:t>
      </w:r>
      <w:r w:rsidRPr="00E8670C">
        <w:rPr>
          <w:rFonts w:ascii="Calibri Light" w:hAnsi="Calibri Light" w:cs="Calibri Light"/>
          <w:i/>
          <w:iCs/>
          <w:sz w:val="24"/>
          <w:szCs w:val="24"/>
        </w:rPr>
        <w:t>Al-Adalah Jurnal Hukum Dan Politik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w:t>
      </w:r>
      <w:r w:rsidRPr="00E8670C">
        <w:rPr>
          <w:rFonts w:ascii="Calibri Light" w:hAnsi="Calibri Light" w:cs="Calibri Light"/>
          <w:sz w:val="24"/>
          <w:szCs w:val="24"/>
        </w:rPr>
        <w:t>(1), 51–73. https://doi.org/10.35673/ajhpi.v7i1.2128</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Husna, U., &amp; Thohir, M. (2020). Religious Moderation as a New Approach to Learning Islamic Religious Education in Schools. </w:t>
      </w:r>
      <w:r w:rsidRPr="00E8670C">
        <w:rPr>
          <w:rFonts w:ascii="Calibri Light" w:hAnsi="Calibri Light" w:cs="Calibri Light"/>
          <w:i/>
          <w:iCs/>
          <w:sz w:val="24"/>
          <w:szCs w:val="24"/>
        </w:rPr>
        <w:t>Nadwa Jurnal Pendidikan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14</w:t>
      </w:r>
      <w:r w:rsidRPr="00E8670C">
        <w:rPr>
          <w:rFonts w:ascii="Calibri Light" w:hAnsi="Calibri Light" w:cs="Calibri Light"/>
          <w:sz w:val="24"/>
          <w:szCs w:val="24"/>
        </w:rPr>
        <w:t>(1), 199–222. https://doi.org/10.21580/nw.2020.14.1.5766</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Husni, H., Zulfan, Z., Afrizal, T., Nurarafah, N., &amp; Sumiadi, S. (2022). Religious Diversity and its Legal Problems. </w:t>
      </w:r>
      <w:r w:rsidRPr="00E8670C">
        <w:rPr>
          <w:rFonts w:ascii="Calibri Light" w:hAnsi="Calibri Light" w:cs="Calibri Light"/>
          <w:i/>
          <w:iCs/>
          <w:sz w:val="24"/>
          <w:szCs w:val="24"/>
        </w:rPr>
        <w:t>Journal Research of Social, Science, Economics, and Management</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w:t>
      </w:r>
      <w:r w:rsidRPr="00E8670C">
        <w:rPr>
          <w:rFonts w:ascii="Calibri Light" w:hAnsi="Calibri Light" w:cs="Calibri Light"/>
          <w:sz w:val="24"/>
          <w:szCs w:val="24"/>
        </w:rPr>
        <w:t>(9). https://doi.org/10.36418/jrssem.v1i9.149</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Ikhwan, N., &amp; Burhanuddin. (2024).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Dan Peran Pembelajaran Bahasa Arab Dalam Perubahan Sosial. </w:t>
      </w:r>
      <w:r w:rsidRPr="00E8670C">
        <w:rPr>
          <w:rFonts w:ascii="Calibri Light" w:hAnsi="Calibri Light" w:cs="Calibri Light"/>
          <w:i/>
          <w:iCs/>
          <w:sz w:val="24"/>
          <w:szCs w:val="24"/>
        </w:rPr>
        <w:t>Jkomdis Jurnal Ilmu Komunikasi Dan Media Sosial</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(1), 48–60. https://doi.org/10.47233/jkomdis.v4i1.1430</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Inayatillah, I., Kamaruddin, K., &amp; Anzaikhan, M. A. M. (2022). The History of Moderate Islam in Indonesia and Its Influence on the Content of National Education. </w:t>
      </w:r>
      <w:r w:rsidRPr="00E8670C">
        <w:rPr>
          <w:rFonts w:ascii="Calibri Light" w:hAnsi="Calibri Light" w:cs="Calibri Light"/>
          <w:i/>
          <w:iCs/>
          <w:sz w:val="24"/>
          <w:szCs w:val="24"/>
        </w:rPr>
        <w:t>Journal of Al-Tamaddun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17</w:t>
      </w:r>
      <w:r w:rsidRPr="00E8670C">
        <w:rPr>
          <w:rFonts w:ascii="Calibri Light" w:hAnsi="Calibri Light" w:cs="Calibri Light"/>
          <w:sz w:val="24"/>
          <w:szCs w:val="24"/>
        </w:rPr>
        <w:t>(2). http://dx.doi.org/10.22452/jat­.vol17­no2.17</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Iqbal, M. (2019). Dualism System of Higher Education in Indonesia BT - Proceedings of the International Conference on Educational Sciences and Teacher Profession (ICETeP 2018). </w:t>
      </w:r>
      <w:r w:rsidRPr="00E8670C">
        <w:rPr>
          <w:rFonts w:ascii="Calibri Light" w:hAnsi="Calibri Light" w:cs="Calibri Light"/>
          <w:i/>
          <w:iCs/>
          <w:sz w:val="24"/>
          <w:szCs w:val="24"/>
        </w:rPr>
        <w:t>Proceedings of the International Conference on Educational Sciences and Teacher Profession (ICETeP 2018)</w:t>
      </w:r>
      <w:r w:rsidRPr="00E8670C">
        <w:rPr>
          <w:rFonts w:ascii="Calibri Light" w:hAnsi="Calibri Light" w:cs="Calibri Light"/>
          <w:sz w:val="24"/>
          <w:szCs w:val="24"/>
        </w:rPr>
        <w:t>, 136–140. https://doi.org/10.2991/icetep-18.2019.33</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Irwandi, I., Saad, D., Rais, Z., Toni, H., Nazirman, N., &amp; Jemkhairil, J. (2023).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and Religious Harmony, Harmony in the Nation and State. </w:t>
      </w:r>
      <w:r w:rsidRPr="00E8670C">
        <w:rPr>
          <w:rFonts w:ascii="Calibri Light" w:hAnsi="Calibri Light" w:cs="Calibri Light"/>
          <w:i/>
          <w:iCs/>
          <w:sz w:val="24"/>
          <w:szCs w:val="24"/>
        </w:rPr>
        <w:t xml:space="preserve">Jurnal </w:t>
      </w:r>
      <w:r w:rsidRPr="00E8670C" w:rsidR="00A052EF">
        <w:rPr>
          <w:rFonts w:ascii="Calibri Light" w:hAnsi="Calibri Light" w:cs="Calibri Light"/>
          <w:i/>
          <w:iCs/>
          <w:sz w:val="24"/>
          <w:szCs w:val="24"/>
        </w:rPr>
        <w:t>Da’wah</w:t>
      </w:r>
      <w:r w:rsidRPr="00E8670C">
        <w:rPr>
          <w:rFonts w:ascii="Calibri Light" w:hAnsi="Calibri Light" w:cs="Calibri Light"/>
          <w:i/>
          <w:iCs/>
          <w:sz w:val="24"/>
          <w:szCs w:val="24"/>
        </w:rPr>
        <w:t xml:space="preserve"> Dan Komunikasi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8</w:t>
      </w:r>
      <w:r w:rsidRPr="00E8670C">
        <w:rPr>
          <w:rFonts w:ascii="Calibri Light" w:hAnsi="Calibri Light" w:cs="Calibri Light"/>
          <w:sz w:val="24"/>
          <w:szCs w:val="24"/>
        </w:rPr>
        <w:t>(2), 309. https://doi.org/10.29240/jdk.v8i2.8752</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Karimullah, S. S. (2023).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for Social Justice: Creating Awareness of Social Issues through a Religious Approach. </w:t>
      </w:r>
      <w:r w:rsidRPr="00E8670C">
        <w:rPr>
          <w:rFonts w:ascii="Calibri Light" w:hAnsi="Calibri Light" w:cs="Calibri Light"/>
          <w:i/>
          <w:iCs/>
          <w:sz w:val="24"/>
          <w:szCs w:val="24"/>
        </w:rPr>
        <w:t xml:space="preserve">Jurnal </w:t>
      </w:r>
      <w:r w:rsidRPr="00E8670C" w:rsidR="00A052EF">
        <w:rPr>
          <w:rFonts w:ascii="Calibri Light" w:hAnsi="Calibri Light" w:cs="Calibri Light"/>
          <w:i/>
          <w:iCs/>
          <w:sz w:val="24"/>
          <w:szCs w:val="24"/>
        </w:rPr>
        <w:t>Da’wah</w:t>
      </w:r>
      <w:r w:rsidRPr="00E8670C">
        <w:rPr>
          <w:rFonts w:ascii="Calibri Light" w:hAnsi="Calibri Light" w:cs="Calibri Light"/>
          <w:i/>
          <w:iCs/>
          <w:sz w:val="24"/>
          <w:szCs w:val="24"/>
        </w:rPr>
        <w:t xml:space="preserve"> Risalah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34</w:t>
      </w:r>
      <w:r w:rsidRPr="00E8670C">
        <w:rPr>
          <w:rFonts w:ascii="Calibri Light" w:hAnsi="Calibri Light" w:cs="Calibri Light"/>
          <w:sz w:val="24"/>
          <w:szCs w:val="24"/>
        </w:rPr>
        <w:t>(2). https://doi.org/10.24014/jdr.v34i2.25373</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Kusmanto, H., Prayitno, H. J., Sofiana, I., &amp; Jamaluddin, N. (2021). Persuasion Action Strategies in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Discourse on Social Media in the Global Communication Era. </w:t>
      </w:r>
      <w:r w:rsidRPr="00E8670C">
        <w:rPr>
          <w:rFonts w:ascii="Calibri Light" w:hAnsi="Calibri Light" w:cs="Calibri Light"/>
          <w:i/>
          <w:iCs/>
          <w:sz w:val="24"/>
          <w:szCs w:val="24"/>
        </w:rPr>
        <w:t>Language Circle Journal of Language and Literature</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15</w:t>
      </w:r>
      <w:r w:rsidRPr="00E8670C">
        <w:rPr>
          <w:rFonts w:ascii="Calibri Light" w:hAnsi="Calibri Light" w:cs="Calibri Light"/>
          <w:sz w:val="24"/>
          <w:szCs w:val="24"/>
        </w:rPr>
        <w:t>(2), 219–228. https://doi.org/10.15294/lc.v15i2.26285</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Lengauer, D. (2018). Sharing Semangat Taqwa: Social Media and Digital Islamic Socialities in Bandung. </w:t>
      </w:r>
      <w:r w:rsidRPr="00E8670C">
        <w:rPr>
          <w:rFonts w:ascii="Calibri Light" w:hAnsi="Calibri Light" w:cs="Calibri Light"/>
          <w:i/>
          <w:iCs/>
          <w:sz w:val="24"/>
          <w:szCs w:val="24"/>
        </w:rPr>
        <w:t>Indonesia and the Malay World</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46</w:t>
      </w:r>
      <w:r w:rsidRPr="00E8670C">
        <w:rPr>
          <w:rFonts w:ascii="Calibri Light" w:hAnsi="Calibri Light" w:cs="Calibri Light"/>
          <w:sz w:val="24"/>
          <w:szCs w:val="24"/>
        </w:rPr>
        <w:t>(134), 5–23. https://doi.org/10.1080/13639811.2018.1415276</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Lintang, L. C., Martufi, A., &amp; Ouwerker, J. W. (2021). The Alternative Concepts of Blasphemy Law in Indonesia: Legal Comparison with Ireland and Canada. </w:t>
      </w:r>
      <w:r w:rsidRPr="00E8670C">
        <w:rPr>
          <w:rFonts w:ascii="Calibri Light" w:hAnsi="Calibri Light" w:cs="Calibri Light"/>
          <w:i/>
          <w:iCs/>
          <w:sz w:val="24"/>
          <w:szCs w:val="24"/>
        </w:rPr>
        <w:t>Bestuur</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9</w:t>
      </w:r>
      <w:r w:rsidRPr="00E8670C">
        <w:rPr>
          <w:rFonts w:ascii="Calibri Light" w:hAnsi="Calibri Light" w:cs="Calibri Light"/>
          <w:sz w:val="24"/>
          <w:szCs w:val="24"/>
        </w:rPr>
        <w:t>(1), 13–25. https://doi.org/10.20961/bestuur.v9i1.51632</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Mahasin, M. Z., Rochwulaningsih, Y., &amp; Sulistiyono, S. T. (2021). Ecological Mapping for the Development of Salt Production Centres in Indonesia During the Dutch Colonial Era. </w:t>
      </w:r>
      <w:r w:rsidRPr="00E8670C">
        <w:rPr>
          <w:rFonts w:ascii="Calibri Light" w:hAnsi="Calibri Light" w:cs="Calibri Light"/>
          <w:i/>
          <w:iCs/>
          <w:sz w:val="24"/>
          <w:szCs w:val="24"/>
        </w:rPr>
        <w:t>E3S Web of Conferences; The 6th International Conference on Energy, Environment, Epidemiology, and Information System (ICENIS 2021)</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317</w:t>
      </w:r>
      <w:r w:rsidRPr="00E8670C">
        <w:rPr>
          <w:rFonts w:ascii="Calibri Light" w:hAnsi="Calibri Light" w:cs="Calibri Light"/>
          <w:sz w:val="24"/>
          <w:szCs w:val="24"/>
        </w:rPr>
        <w:t>(7), 04024. https://doi.org/10.1051/e3sconf/202131704024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Maryance, M., Alvio, W., Irawan, B., Assoburu, S., &amp; Zulaiha, H. (2023). The Role of the Principal in Rohis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Activities in Schools. </w:t>
      </w:r>
      <w:r w:rsidRPr="00E8670C">
        <w:rPr>
          <w:rFonts w:ascii="Calibri Light" w:hAnsi="Calibri Light" w:cs="Calibri Light"/>
          <w:i/>
          <w:iCs/>
          <w:sz w:val="24"/>
          <w:szCs w:val="24"/>
        </w:rPr>
        <w:t>Sustainable Jurnal Kajian Mutu Pendidikan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(2), 602–607. https://doi.org/10.32923/kjmp.v6i2.4068</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Miles, M. B., Huberman, A. M., &amp; Saldaña, J. (2014). </w:t>
      </w:r>
      <w:r w:rsidRPr="00E8670C">
        <w:rPr>
          <w:rFonts w:ascii="Calibri Light" w:hAnsi="Calibri Light" w:cs="Calibri Light"/>
          <w:i/>
          <w:iCs/>
          <w:sz w:val="24"/>
          <w:szCs w:val="24"/>
        </w:rPr>
        <w:t>Qualitative Data Analysis: A Methods Sourcebook (3rd ed.)</w:t>
      </w:r>
      <w:r w:rsidRPr="00E8670C">
        <w:rPr>
          <w:rFonts w:ascii="Calibri Light" w:hAnsi="Calibri Light" w:cs="Calibri Light"/>
          <w:sz w:val="24"/>
          <w:szCs w:val="24"/>
        </w:rPr>
        <w:t>. New York: SAGE Publications.</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Muhammad, F., &amp; Irwan. (2023). Diseminasi Komunikasi Politik Islam Dan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Era Konvergensi Media Digital. </w:t>
      </w:r>
      <w:r w:rsidRPr="00E8670C">
        <w:rPr>
          <w:rFonts w:ascii="Calibri Light" w:hAnsi="Calibri Light" w:cs="Calibri Light"/>
          <w:i/>
          <w:iCs/>
          <w:sz w:val="24"/>
          <w:szCs w:val="24"/>
        </w:rPr>
        <w:t xml:space="preserve">Jurnal </w:t>
      </w:r>
      <w:r w:rsidRPr="00E8670C" w:rsidR="00A052EF">
        <w:rPr>
          <w:rFonts w:ascii="Calibri Light" w:hAnsi="Calibri Light" w:cs="Calibri Light"/>
          <w:i/>
          <w:iCs/>
          <w:sz w:val="24"/>
          <w:szCs w:val="24"/>
        </w:rPr>
        <w:t>Da’wah</w:t>
      </w:r>
      <w:r w:rsidRPr="00E8670C">
        <w:rPr>
          <w:rFonts w:ascii="Calibri Light" w:hAnsi="Calibri Light" w:cs="Calibri Light"/>
          <w:i/>
          <w:iCs/>
          <w:sz w:val="24"/>
          <w:szCs w:val="24"/>
        </w:rPr>
        <w:t xml:space="preserve"> Tabligh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24</w:t>
      </w:r>
      <w:r w:rsidRPr="00E8670C">
        <w:rPr>
          <w:rFonts w:ascii="Calibri Light" w:hAnsi="Calibri Light" w:cs="Calibri Light"/>
          <w:sz w:val="24"/>
          <w:szCs w:val="24"/>
        </w:rPr>
        <w:t>(1). https://doi.org/10.24252/jdt.v24i1.41657</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Muhammad, H., &amp; Sari, N. P. (2021). Implementation of the Synergy of Transformational-Servant Leadership Character in Islamic Boarding School. </w:t>
      </w:r>
      <w:r w:rsidRPr="00E8670C">
        <w:rPr>
          <w:rFonts w:ascii="Calibri Light" w:hAnsi="Calibri Light" w:cs="Calibri Light"/>
          <w:i/>
          <w:iCs/>
          <w:sz w:val="24"/>
          <w:szCs w:val="24"/>
        </w:rPr>
        <w:t>Journal of Leadership in Organizations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w:t>
      </w:r>
      <w:r w:rsidRPr="00E8670C">
        <w:rPr>
          <w:rFonts w:ascii="Calibri Light" w:hAnsi="Calibri Light" w:cs="Calibri Light"/>
          <w:sz w:val="24"/>
          <w:szCs w:val="24"/>
        </w:rPr>
        <w:t>(2). https://doi.org/10.22146/jlo.65642</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Muhdi. (2023). Strengthening Movement Ideology through the Management of Campus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Institutions. </w:t>
      </w:r>
      <w:r w:rsidRPr="00E8670C">
        <w:rPr>
          <w:rFonts w:ascii="Calibri Light" w:hAnsi="Calibri Light" w:cs="Calibri Light"/>
          <w:i/>
          <w:iCs/>
          <w:sz w:val="24"/>
          <w:szCs w:val="24"/>
        </w:rPr>
        <w:t>Al-Tanzim Jurnal Manajemen Pendidikan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w:t>
      </w:r>
      <w:r w:rsidRPr="00E8670C">
        <w:rPr>
          <w:rFonts w:ascii="Calibri Light" w:hAnsi="Calibri Light" w:cs="Calibri Light"/>
          <w:sz w:val="24"/>
          <w:szCs w:val="24"/>
        </w:rPr>
        <w:t>(3). https://doi.org/10.33650/al-tanzim.v7i3.5244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Murray, M. D., &amp; De Sanctis, C. H. (2015). </w:t>
      </w:r>
      <w:r w:rsidRPr="00E8670C">
        <w:rPr>
          <w:rFonts w:ascii="Calibri Light" w:hAnsi="Calibri Light" w:cs="Calibri Light"/>
          <w:i/>
          <w:iCs/>
          <w:sz w:val="24"/>
          <w:szCs w:val="24"/>
        </w:rPr>
        <w:t>Legal research methods (Second edition)</w:t>
      </w:r>
      <w:r w:rsidRPr="00E8670C">
        <w:rPr>
          <w:rFonts w:ascii="Calibri Light" w:hAnsi="Calibri Light" w:cs="Calibri Light"/>
          <w:sz w:val="24"/>
          <w:szCs w:val="24"/>
        </w:rPr>
        <w:t>. Foundation Press.</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Mustakif, M. K., &amp; Mulyati, M. (2019). Sarekat Dagang Islam Sdi (1905-1912): Between the Savagery of Vereenigde Oostindische Compagnie (Voc) and the Independence of Indonesia. </w:t>
      </w:r>
      <w:r w:rsidRPr="00E8670C">
        <w:rPr>
          <w:rFonts w:ascii="Calibri Light" w:hAnsi="Calibri Light" w:cs="Calibri Light"/>
          <w:i/>
          <w:iCs/>
          <w:sz w:val="24"/>
          <w:szCs w:val="24"/>
        </w:rPr>
        <w:t>International Journal of Nusantara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w:t>
      </w:r>
      <w:r w:rsidRPr="00E8670C">
        <w:rPr>
          <w:rFonts w:ascii="Calibri Light" w:hAnsi="Calibri Light" w:cs="Calibri Light"/>
          <w:sz w:val="24"/>
          <w:szCs w:val="24"/>
        </w:rPr>
        <w:t>(1), 1–17. https://doi.org/10.15575/ijni.v7i1.4807</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Mustika, R., Nishigori, H., Ronokusumo, S., &amp; Scherpbier, A. (2019). The Odyssey of Medical Education in Indonesia,. </w:t>
      </w:r>
      <w:r w:rsidRPr="00E8670C">
        <w:rPr>
          <w:rFonts w:ascii="Calibri Light" w:hAnsi="Calibri Light" w:cs="Calibri Light"/>
          <w:i/>
          <w:iCs/>
          <w:sz w:val="24"/>
          <w:szCs w:val="24"/>
        </w:rPr>
        <w:t>The Asia Pacific Scholar</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(1), 4–8. https://doi.org/10.29060/TAPS.2019-4-1/GP1077</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Nasir, M., &amp; Rijal, M. (2021). Keeping the Middle Path: Mainstreaming Religious Moderation through Islamic Higher Education Institutions in Indonesia. </w:t>
      </w:r>
      <w:r w:rsidRPr="00E8670C">
        <w:rPr>
          <w:rFonts w:ascii="Calibri Light" w:hAnsi="Calibri Light" w:cs="Calibri Light"/>
          <w:i/>
          <w:iCs/>
          <w:sz w:val="24"/>
          <w:szCs w:val="24"/>
        </w:rPr>
        <w:t>Ndonesian Journal of Islam and Muslim Societies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11</w:t>
      </w:r>
      <w:r w:rsidRPr="00E8670C">
        <w:rPr>
          <w:rFonts w:ascii="Calibri Light" w:hAnsi="Calibri Light" w:cs="Calibri Light"/>
          <w:sz w:val="24"/>
          <w:szCs w:val="24"/>
        </w:rPr>
        <w:t>(2), 213–241. https://doi.org/10.18326/ijims.v11i2.213-241</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Nasution, M. S. A., Syam, S., Matsum, H., Siregar, P. A., &amp; Dayu, W. (2022). Hifz Al-Din (Maintaining Religion) and Hifz Al-Ummah (Developing National Integration): Resistance of Muslim Youth to Non-Muslim Leader Candidates in Election. </w:t>
      </w:r>
      <w:r w:rsidRPr="00E8670C">
        <w:rPr>
          <w:rFonts w:ascii="Calibri Light" w:hAnsi="Calibri Light" w:cs="Calibri Light"/>
          <w:i/>
          <w:iCs/>
          <w:sz w:val="24"/>
          <w:szCs w:val="24"/>
        </w:rPr>
        <w:t>HTS Teologiese Studies / Theological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78</w:t>
      </w:r>
      <w:r w:rsidRPr="00E8670C">
        <w:rPr>
          <w:rFonts w:ascii="Calibri Light" w:hAnsi="Calibri Light" w:cs="Calibri Light"/>
          <w:sz w:val="24"/>
          <w:szCs w:val="24"/>
        </w:rPr>
        <w:t>(4). https://doi.org/10.4102/hts.v78i4.7526</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Octaviani, A. (2022). From Cafe to the Mosque: The Construction of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Digital Communication of Shift Community. </w:t>
      </w:r>
      <w:r w:rsidRPr="00E8670C">
        <w:rPr>
          <w:rFonts w:ascii="Calibri Light" w:hAnsi="Calibri Light" w:cs="Calibri Light"/>
          <w:i/>
          <w:iCs/>
          <w:sz w:val="24"/>
          <w:szCs w:val="24"/>
        </w:rPr>
        <w:t>Dimas Jurnal Pemikiran Agama Untuk Pemberdayaan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21</w:t>
      </w:r>
      <w:r w:rsidRPr="00E8670C">
        <w:rPr>
          <w:rFonts w:ascii="Calibri Light" w:hAnsi="Calibri Light" w:cs="Calibri Light"/>
          <w:sz w:val="24"/>
          <w:szCs w:val="24"/>
        </w:rPr>
        <w:t>(2), 275–296. https://doi.org/10.21580/dms.2021.212.9429</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Pajarianto, H., Pribadi, I., &amp; Sari, P. (2022). Tolerance between Religions through the Role of Local Wisdom and Religious Moderation. </w:t>
      </w:r>
      <w:r w:rsidRPr="00E8670C">
        <w:rPr>
          <w:rFonts w:ascii="Calibri Light" w:hAnsi="Calibri Light" w:cs="Calibri Light"/>
          <w:i/>
          <w:iCs/>
          <w:sz w:val="24"/>
          <w:szCs w:val="24"/>
        </w:rPr>
        <w:t>HTS Teologiese Studies / Theological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78</w:t>
      </w:r>
      <w:r w:rsidRPr="00E8670C">
        <w:rPr>
          <w:rFonts w:ascii="Calibri Light" w:hAnsi="Calibri Light" w:cs="Calibri Light"/>
          <w:sz w:val="24"/>
          <w:szCs w:val="24"/>
        </w:rPr>
        <w:t>(4). https://doi.org/10.4102/hts.v78i4.7043</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Pratama, A. I., Rusman, D., &amp; Zahir, M. (2022). Educational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Strategy for Increasing Religious Activities. </w:t>
      </w:r>
      <w:r w:rsidRPr="00E8670C">
        <w:rPr>
          <w:rFonts w:ascii="Calibri Light" w:hAnsi="Calibri Light" w:cs="Calibri Light"/>
          <w:i/>
          <w:iCs/>
          <w:sz w:val="24"/>
          <w:szCs w:val="24"/>
        </w:rPr>
        <w:t>Atthulab Islamic Religion Teaching and Learning Journal</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w:t>
      </w:r>
      <w:r w:rsidRPr="00E8670C">
        <w:rPr>
          <w:rFonts w:ascii="Calibri Light" w:hAnsi="Calibri Light" w:cs="Calibri Light"/>
          <w:sz w:val="24"/>
          <w:szCs w:val="24"/>
        </w:rPr>
        <w:t>(2), 131–140. https://doi.org/10.15575/ath.v7i2.20901</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Protschky, S. (2008). Seductive Landscapes: Gender, Race and European Representations of Nature in the Dutch East Indies During the Late Colonial Period. </w:t>
      </w:r>
      <w:r w:rsidRPr="00E8670C">
        <w:rPr>
          <w:rFonts w:ascii="Calibri Light" w:hAnsi="Calibri Light" w:cs="Calibri Light"/>
          <w:i/>
          <w:iCs/>
          <w:sz w:val="24"/>
          <w:szCs w:val="24"/>
        </w:rPr>
        <w:t>Gender &amp; History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20</w:t>
      </w:r>
      <w:r w:rsidRPr="00E8670C">
        <w:rPr>
          <w:rFonts w:ascii="Calibri Light" w:hAnsi="Calibri Light" w:cs="Calibri Light"/>
          <w:sz w:val="24"/>
          <w:szCs w:val="24"/>
        </w:rPr>
        <w:t>(2). https://doi.org/10.1111/j.1468-0424.2008.00530.x</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Putra, I. E., Holtz, P., &amp; Rufaedah, A. (2018). Who is to blame, the victims or the perpetrators? A study to understand a series of violence targeting the accused heretic group Ahmadiyya. </w:t>
      </w:r>
      <w:r w:rsidRPr="00E8670C">
        <w:rPr>
          <w:rFonts w:ascii="Calibri Light" w:hAnsi="Calibri Light" w:cs="Calibri Light"/>
          <w:i/>
          <w:iCs/>
          <w:sz w:val="24"/>
          <w:szCs w:val="24"/>
        </w:rPr>
        <w:t>Psychology of Religion and Spirituality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10</w:t>
      </w:r>
      <w:r w:rsidRPr="00E8670C">
        <w:rPr>
          <w:rFonts w:ascii="Calibri Light" w:hAnsi="Calibri Light" w:cs="Calibri Light"/>
          <w:sz w:val="24"/>
          <w:szCs w:val="24"/>
        </w:rPr>
        <w:t>(2), 166–173. https://doi.org/10.1037/rel0000186</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Putra, I. E., Wagner, W., Holtz, P., &amp; Rufaedah, A. (2021). Accounting for a Riot: Religious Identity, Denying One’s Prejudice, and the Tool of Blasphemy. </w:t>
      </w:r>
      <w:r w:rsidRPr="00E8670C">
        <w:rPr>
          <w:rFonts w:ascii="Calibri Light" w:hAnsi="Calibri Light" w:cs="Calibri Light"/>
          <w:i/>
          <w:iCs/>
          <w:sz w:val="24"/>
          <w:szCs w:val="24"/>
        </w:rPr>
        <w:t>Journal of Social and Political Psychology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9</w:t>
      </w:r>
      <w:r w:rsidRPr="00E8670C">
        <w:rPr>
          <w:rFonts w:ascii="Calibri Light" w:hAnsi="Calibri Light" w:cs="Calibri Light"/>
          <w:sz w:val="24"/>
          <w:szCs w:val="24"/>
        </w:rPr>
        <w:t>(1), 69–85. https://doi.org/10.5964/jspp.5565</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Qarni, W., Syahnan, M., Harahap, I., Nasution, S., &amp; Fithriani, R. (2019). Verbal and Nonverbal Factors Influencing the Success of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Communication By Ustadz Abdul Somad. </w:t>
      </w:r>
      <w:r w:rsidRPr="00E8670C">
        <w:rPr>
          <w:rFonts w:ascii="Calibri Light" w:hAnsi="Calibri Light" w:cs="Calibri Light"/>
          <w:i/>
          <w:iCs/>
          <w:sz w:val="24"/>
          <w:szCs w:val="24"/>
        </w:rPr>
        <w:t>KnE Social Sciences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w:t>
      </w:r>
      <w:r w:rsidRPr="00E8670C">
        <w:rPr>
          <w:rFonts w:ascii="Calibri Light" w:hAnsi="Calibri Light" w:cs="Calibri Light"/>
          <w:sz w:val="24"/>
          <w:szCs w:val="24"/>
        </w:rPr>
        <w:t>(19), 804–812. https://doi.org/10.18502/kss.v3i19.4906</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Qornain, D. (2022). Fostering Islamic Education: Embracing Multicultural Islamic Religious Education Values. </w:t>
      </w:r>
      <w:r w:rsidRPr="00E8670C">
        <w:rPr>
          <w:rFonts w:ascii="Calibri Light" w:hAnsi="Calibri Light" w:cs="Calibri Light"/>
          <w:i/>
          <w:iCs/>
          <w:sz w:val="24"/>
          <w:szCs w:val="24"/>
        </w:rPr>
        <w:t>Jurnal Islam Nusantara</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(2). https://doi.org/10.33852/jurnalnu.v6i2.339</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Rachmanto, A. F. (2023). The Formation of Islamic Parties in Post-Independence Indonesia. </w:t>
      </w:r>
      <w:r w:rsidRPr="00E8670C">
        <w:rPr>
          <w:rFonts w:ascii="Calibri Light" w:hAnsi="Calibri Light" w:cs="Calibri Light"/>
          <w:i/>
          <w:iCs/>
          <w:sz w:val="24"/>
          <w:szCs w:val="24"/>
        </w:rPr>
        <w:t>Jsi Jurnal Sejarah Islam</w:t>
      </w:r>
      <w:r w:rsidRPr="00E8670C">
        <w:rPr>
          <w:rFonts w:ascii="Calibri Light" w:hAnsi="Calibri Light" w:cs="Calibri Light"/>
          <w:sz w:val="24"/>
          <w:szCs w:val="24"/>
        </w:rPr>
        <w:t>. https://doi.org/10.240­90/jsij.v2­i02.8213</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Rahmah, S., &amp; Aslamiah, R. (2023). Understanding the Urgency of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of Islam in the Context of Peace in the Nuances of Pluralism in Indonesia. </w:t>
      </w:r>
      <w:r w:rsidRPr="00E8670C">
        <w:rPr>
          <w:rFonts w:ascii="Calibri Light" w:hAnsi="Calibri Light" w:cs="Calibri Light"/>
          <w:i/>
          <w:iCs/>
          <w:sz w:val="24"/>
          <w:szCs w:val="24"/>
        </w:rPr>
        <w:t>International Research Journal of Management It and Social Sciences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10</w:t>
      </w:r>
      <w:r w:rsidRPr="00E8670C">
        <w:rPr>
          <w:rFonts w:ascii="Calibri Light" w:hAnsi="Calibri Light" w:cs="Calibri Light"/>
          <w:sz w:val="24"/>
          <w:szCs w:val="24"/>
        </w:rPr>
        <w:t>(2), 110–121. https://doi.org/10.21744/irjmis.v10n2.2295</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Regus, M. (2020). Interreligious Conflicts in Post-Authoritarian Indonesia: Assumptions, Causes, and Implications. </w:t>
      </w:r>
      <w:r w:rsidRPr="00E8670C">
        <w:rPr>
          <w:rFonts w:ascii="Calibri Light" w:hAnsi="Calibri Light" w:cs="Calibri Light"/>
          <w:i/>
          <w:iCs/>
          <w:sz w:val="24"/>
          <w:szCs w:val="24"/>
        </w:rPr>
        <w:t>Jurnal Politik</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5</w:t>
      </w:r>
      <w:r w:rsidRPr="00E8670C">
        <w:rPr>
          <w:rFonts w:ascii="Calibri Light" w:hAnsi="Calibri Light" w:cs="Calibri Light"/>
          <w:sz w:val="24"/>
          <w:szCs w:val="24"/>
        </w:rPr>
        <w:t>(2). https://doi.org/10.7454/jp.v5i2.1013</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Ridwan, A. (2016). Colonial Politics of Power and Cultural Identity Development of Islamic Education Vis-a-Vis European Education in the Netherlands East Indies Periods. </w:t>
      </w:r>
      <w:r w:rsidRPr="00E8670C">
        <w:rPr>
          <w:rFonts w:ascii="Calibri Light" w:hAnsi="Calibri Light" w:cs="Calibri Light"/>
          <w:i/>
          <w:iCs/>
          <w:sz w:val="24"/>
          <w:szCs w:val="24"/>
        </w:rPr>
        <w:t>Marâji`: Jurnal Ilmu Keislaman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w:t>
      </w:r>
      <w:r w:rsidRPr="00E8670C">
        <w:rPr>
          <w:rFonts w:ascii="Calibri Light" w:hAnsi="Calibri Light" w:cs="Calibri Light"/>
          <w:sz w:val="24"/>
          <w:szCs w:val="24"/>
        </w:rPr>
        <w:t>(2), 227–247. https://www.neliti.com/id/publications/148289/colonial-politics-of-power-and-cultural-identity-development-of-islamic-educatio#cite</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Ridwan, A. (2020). The Dynamics of Pesantren Leadership from the Dutch Ethical Policy to the Reformation Periods. </w:t>
      </w:r>
      <w:r w:rsidRPr="00E8670C">
        <w:rPr>
          <w:rFonts w:ascii="Calibri Light" w:hAnsi="Calibri Light" w:cs="Calibri Light"/>
          <w:i/>
          <w:iCs/>
          <w:sz w:val="24"/>
          <w:szCs w:val="24"/>
        </w:rPr>
        <w:t>Epistemé: Jurnal Pengembangan Ilmu Keislaman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15</w:t>
      </w:r>
      <w:r w:rsidRPr="00E8670C">
        <w:rPr>
          <w:rFonts w:ascii="Calibri Light" w:hAnsi="Calibri Light" w:cs="Calibri Light"/>
          <w:sz w:val="24"/>
          <w:szCs w:val="24"/>
        </w:rPr>
        <w:t>(2). https://doi.org/10.21274/epis.2020.15.02.365-400</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Rosidin, D. N., Amalia, M., Sa’dudin, I., &amp; Safitri, E. (2022). Muslim Social Movements in Cirebon and the Emergence of National Resistance Movements Against the Dutch Colonial Government in the Early 20th Century Indonesia. </w:t>
      </w:r>
      <w:r w:rsidRPr="00E8670C">
        <w:rPr>
          <w:rFonts w:ascii="Calibri Light" w:hAnsi="Calibri Light" w:cs="Calibri Light"/>
          <w:i/>
          <w:iCs/>
          <w:sz w:val="24"/>
          <w:szCs w:val="24"/>
        </w:rPr>
        <w:t>Journal of Asian Social Science Research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(1), 63–86. https://doi.org/10.15575/jassr.v4i1.64</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Saefudin, A., Munip, A., &amp; Ulfa, K. L. (2021). Internalization of Multicultural-Based Islamic Education: Sunni-Shia Synergy in Banjaran Bangsri Village, Jepara. </w:t>
      </w:r>
      <w:r w:rsidRPr="00E8670C">
        <w:rPr>
          <w:rFonts w:ascii="Calibri Light" w:hAnsi="Calibri Light" w:cs="Calibri Light"/>
          <w:i/>
          <w:iCs/>
          <w:sz w:val="24"/>
          <w:szCs w:val="24"/>
        </w:rPr>
        <w:t>Edukasia Jurnal Penelitian Pendidikan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16</w:t>
      </w:r>
      <w:r w:rsidRPr="00E8670C">
        <w:rPr>
          <w:rFonts w:ascii="Calibri Light" w:hAnsi="Calibri Light" w:cs="Calibri Light"/>
          <w:sz w:val="24"/>
          <w:szCs w:val="24"/>
        </w:rPr>
        <w:t>(1), 37–56. http://dx.doi.org/10.21043/edukasia.v16i1.8803</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Saputra, R., &amp; Islamiyah, U. H. (2019).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Strategy through Google Search Engine Optimization. </w:t>
      </w:r>
      <w:r w:rsidRPr="00E8670C">
        <w:rPr>
          <w:rFonts w:ascii="Calibri Light" w:hAnsi="Calibri Light" w:cs="Calibri Light"/>
          <w:i/>
          <w:iCs/>
          <w:sz w:val="24"/>
          <w:szCs w:val="24"/>
        </w:rPr>
        <w:t>Islam Universalia International Journal of Islamic Studies and Social Sciences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w:t>
      </w:r>
      <w:r w:rsidRPr="00E8670C">
        <w:rPr>
          <w:rFonts w:ascii="Calibri Light" w:hAnsi="Calibri Light" w:cs="Calibri Light"/>
          <w:sz w:val="24"/>
          <w:szCs w:val="24"/>
        </w:rPr>
        <w:t>(1), 19–41. https://doi.org/10.56613/islam-universalia.v1i1.111</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Silvianetri, S., Irman, I., Rajab, K., Zulamri, Z., Zubaidah, Z., &amp; Zulfikar, Z. (2022). The Effectiveness of Islamic Counseling as a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Approach to increase the Religious Awareness of Ex-Prostitute. </w:t>
      </w:r>
      <w:r w:rsidRPr="00E8670C">
        <w:rPr>
          <w:rFonts w:ascii="Calibri Light" w:hAnsi="Calibri Light" w:cs="Calibri Light"/>
          <w:i/>
          <w:iCs/>
          <w:sz w:val="24"/>
          <w:szCs w:val="24"/>
        </w:rPr>
        <w:t xml:space="preserve">Jurnal </w:t>
      </w:r>
      <w:r w:rsidRPr="00E8670C" w:rsidR="00A052EF">
        <w:rPr>
          <w:rFonts w:ascii="Calibri Light" w:hAnsi="Calibri Light" w:cs="Calibri Light"/>
          <w:i/>
          <w:iCs/>
          <w:sz w:val="24"/>
          <w:szCs w:val="24"/>
        </w:rPr>
        <w:t>Da’wah</w:t>
      </w:r>
      <w:r w:rsidRPr="00E8670C">
        <w:rPr>
          <w:rFonts w:ascii="Calibri Light" w:hAnsi="Calibri Light" w:cs="Calibri Light"/>
          <w:i/>
          <w:iCs/>
          <w:sz w:val="24"/>
          <w:szCs w:val="24"/>
        </w:rPr>
        <w:t xml:space="preserve"> Risalah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33</w:t>
      </w:r>
      <w:r w:rsidRPr="00E8670C">
        <w:rPr>
          <w:rFonts w:ascii="Calibri Light" w:hAnsi="Calibri Light" w:cs="Calibri Light"/>
          <w:sz w:val="24"/>
          <w:szCs w:val="24"/>
        </w:rPr>
        <w:t>(1). https://doi.org/10.24014/jdr.v33i1.15879</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Suradi, A. (2022). The Social, Political, and Cultural Perspective of Islamic Education in Palembang Malay: A Continuous Evaluation from the Dutch Colonial Period to Today. </w:t>
      </w:r>
      <w:r w:rsidRPr="00E8670C">
        <w:rPr>
          <w:rFonts w:ascii="Calibri Light" w:hAnsi="Calibri Light" w:cs="Calibri Light"/>
          <w:i/>
          <w:iCs/>
          <w:sz w:val="24"/>
          <w:szCs w:val="24"/>
        </w:rPr>
        <w:t>Journal of Ethnic and Cultural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9</w:t>
      </w:r>
      <w:r w:rsidRPr="00E8670C">
        <w:rPr>
          <w:rFonts w:ascii="Calibri Light" w:hAnsi="Calibri Light" w:cs="Calibri Light"/>
          <w:sz w:val="24"/>
          <w:szCs w:val="24"/>
        </w:rPr>
        <w:t>(3), 56–71. https://doi.org/10.29333/ejecs/1200</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Tyson, A. (2020). Blasphemy and Judicial Legitimacy in Indonesia. </w:t>
      </w:r>
      <w:r w:rsidRPr="00E8670C">
        <w:rPr>
          <w:rFonts w:ascii="Calibri Light" w:hAnsi="Calibri Light" w:cs="Calibri Light"/>
          <w:i/>
          <w:iCs/>
          <w:sz w:val="24"/>
          <w:szCs w:val="24"/>
        </w:rPr>
        <w:t>Politics and Religion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14</w:t>
      </w:r>
      <w:r w:rsidRPr="00E8670C">
        <w:rPr>
          <w:rFonts w:ascii="Calibri Light" w:hAnsi="Calibri Light" w:cs="Calibri Light"/>
          <w:sz w:val="24"/>
          <w:szCs w:val="24"/>
        </w:rPr>
        <w:t>(1), 182–205. https://doi.org/10.1017/S1755048319000427</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Wibisono, S., Louis, W. R., &amp; Jetten, J. (2019). The Role of Religious Fundamentalism in the Intersection of National and Religious Identities. </w:t>
      </w:r>
      <w:r w:rsidRPr="00E8670C">
        <w:rPr>
          <w:rFonts w:ascii="Calibri Light" w:hAnsi="Calibri Light" w:cs="Calibri Light"/>
          <w:i/>
          <w:iCs/>
          <w:sz w:val="24"/>
          <w:szCs w:val="24"/>
        </w:rPr>
        <w:t>Journal of Pacific Rim Psychology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13</w:t>
      </w:r>
      <w:r w:rsidRPr="00E8670C">
        <w:rPr>
          <w:rFonts w:ascii="Calibri Light" w:hAnsi="Calibri Light" w:cs="Calibri Light"/>
          <w:sz w:val="24"/>
          <w:szCs w:val="24"/>
        </w:rPr>
        <w:t>. https://doi.org/10.1017/prp.2018.25</w:t>
      </w:r>
    </w:p>
    <w:p w:rsidR="002F3F4C" w:rsidRPr="00E8670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rPr>
      </w:pPr>
      <w:r w:rsidRPr="00E8670C">
        <w:rPr>
          <w:rFonts w:ascii="Calibri Light" w:hAnsi="Calibri Light" w:cs="Calibri Light"/>
          <w:sz w:val="24"/>
          <w:szCs w:val="24"/>
        </w:rPr>
        <w:t xml:space="preserve">Yuliasih, M., &amp; Rahyu, T. (2022). </w:t>
      </w:r>
      <w:r w:rsidRPr="00E8670C" w:rsidR="00A052EF">
        <w:rPr>
          <w:rFonts w:ascii="Calibri Light" w:hAnsi="Calibri Light" w:cs="Calibri Light"/>
          <w:i/>
          <w:iCs/>
          <w:sz w:val="24"/>
          <w:szCs w:val="24"/>
        </w:rPr>
        <w:t>Da’wah</w:t>
      </w:r>
      <w:r w:rsidRPr="00E8670C">
        <w:rPr>
          <w:rFonts w:ascii="Calibri Light" w:hAnsi="Calibri Light" w:cs="Calibri Light"/>
          <w:sz w:val="24"/>
          <w:szCs w:val="24"/>
        </w:rPr>
        <w:t xml:space="preserve"> Strategy in Preventing Apostasy in Cisantana Village, Cigugur District, Kuningan District. </w:t>
      </w:r>
      <w:r w:rsidRPr="00E8670C">
        <w:rPr>
          <w:rFonts w:ascii="Calibri Light" w:hAnsi="Calibri Light" w:cs="Calibri Light"/>
          <w:i/>
          <w:iCs/>
          <w:sz w:val="24"/>
          <w:szCs w:val="24"/>
        </w:rPr>
        <w:t>Jurnal Bina Ummat: Membina Dan Membentengi Ummat</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5</w:t>
      </w:r>
      <w:r w:rsidRPr="00E8670C">
        <w:rPr>
          <w:rFonts w:ascii="Calibri Light" w:hAnsi="Calibri Light" w:cs="Calibri Light"/>
          <w:sz w:val="24"/>
          <w:szCs w:val="24"/>
        </w:rPr>
        <w:t>(2), 115–125. https://doi.org/10.38214/jurnalbinaummatstidnatsir.v5i2.150</w:t>
      </w:r>
    </w:p>
    <w:p w:rsidR="006538D6" w:rsidRPr="00540F02" w:rsidP="00E8670C">
      <w:pPr>
        <w:pStyle w:val="ListParagraph"/>
        <w:tabs>
          <w:tab w:val="left" w:pos="1134"/>
        </w:tabs>
        <w:spacing w:before="120" w:after="120" w:line="240" w:lineRule="auto"/>
        <w:ind w:left="1134"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Sect="004C4A9F">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pgNumType w:start="9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4549875</wp:posOffset>
              </wp:positionH>
              <wp:positionV relativeFrom="paragraph">
                <wp:posOffset>-66474</wp:posOffset>
              </wp:positionV>
              <wp:extent cx="1221573" cy="278130"/>
              <wp:effectExtent l="0" t="0" r="17145" b="26670"/>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21573" cy="278130"/>
                      </a:xfrm>
                      <a:prstGeom prst="rect">
                        <a:avLst/>
                      </a:prstGeom>
                      <a:solidFill>
                        <a:srgbClr val="FFFFFF"/>
                      </a:solidFill>
                      <a:ln w="9525">
                        <a:solidFill>
                          <a:srgbClr val="FFFFFF"/>
                        </a:solidFill>
                        <a:miter lim="800000"/>
                        <a:headEnd/>
                        <a:tailEnd/>
                      </a:ln>
                    </wps:spPr>
                    <wps:txbx>
                      <w:txbxContent>
                        <w:p w:rsidR="00122F5F" w:rsidRPr="00122F5F" w:rsidP="00122F5F">
                          <w:pPr>
                            <w:jc w:val="center"/>
                            <w:rPr>
                              <w:rFonts w:ascii="Calibri" w:hAnsi="Calibri" w:cs="Calibri"/>
                              <w:sz w:val="16"/>
                              <w:szCs w:val="16"/>
                            </w:rPr>
                          </w:pPr>
                          <w:r w:rsidRPr="00653DBC">
                            <w:rPr>
                              <w:rFonts w:ascii="Calibri" w:hAnsi="Calibri" w:cs="Calibri"/>
                              <w:sz w:val="16"/>
                              <w:szCs w:val="16"/>
                            </w:rPr>
                            <w:t>Volume 3, Issue 2,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96.2pt;height:21.9pt;margin-top:-5.25pt;margin-left:358.2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pPr>
                      <w:jc w:val="center"/>
                      <w:rPr>
                        <w:rFonts w:ascii="Calibri" w:hAnsi="Calibri" w:cs="Calibri"/>
                        <w:sz w:val="16"/>
                        <w:szCs w:val="16"/>
                      </w:rPr>
                    </w:pPr>
                    <w:r w:rsidRPr="00653DBC">
                      <w:rPr>
                        <w:rFonts w:ascii="Calibri" w:hAnsi="Calibri" w:cs="Calibri"/>
                        <w:sz w:val="16"/>
                        <w:szCs w:val="16"/>
                      </w:rPr>
                      <w:t>Volume 3, Issue 2, 2024</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BE7BB6" w:rsidR="00BE7BB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4585970</wp:posOffset>
              </wp:positionH>
              <wp:positionV relativeFrom="paragraph">
                <wp:posOffset>-66474</wp:posOffset>
              </wp:positionV>
              <wp:extent cx="1185478" cy="278130"/>
              <wp:effectExtent l="0" t="0" r="15240" b="26670"/>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85478" cy="278130"/>
                      </a:xfrm>
                      <a:prstGeom prst="rect">
                        <a:avLst/>
                      </a:prstGeom>
                      <a:solidFill>
                        <a:srgbClr val="FFFFFF"/>
                      </a:solidFill>
                      <a:ln w="9525">
                        <a:solidFill>
                          <a:srgbClr val="FFFFFF"/>
                        </a:solidFill>
                        <a:miter lim="800000"/>
                        <a:headEnd/>
                        <a:tailEnd/>
                      </a:ln>
                    </wps:spPr>
                    <wps:txbx>
                      <w:txbxContent>
                        <w:p w:rsidR="0008220C" w:rsidRPr="00122F5F" w:rsidP="0008220C">
                          <w:pPr>
                            <w:jc w:val="center"/>
                            <w:rPr>
                              <w:rFonts w:ascii="Calibri" w:hAnsi="Calibri" w:cs="Calibri"/>
                              <w:sz w:val="16"/>
                              <w:szCs w:val="16"/>
                            </w:rPr>
                          </w:pPr>
                          <w:r w:rsidRPr="00653DBC">
                            <w:rPr>
                              <w:rFonts w:ascii="Calibri" w:hAnsi="Calibri" w:cs="Calibri"/>
                              <w:sz w:val="16"/>
                              <w:szCs w:val="16"/>
                            </w:rPr>
                            <w:t>Volume 3, Issue 2,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93.35pt;height:21.9pt;margin-top:-5.25pt;margin-left:361.1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pPr>
                      <w:jc w:val="center"/>
                      <w:rPr>
                        <w:rFonts w:ascii="Calibri" w:hAnsi="Calibri" w:cs="Calibri"/>
                        <w:sz w:val="16"/>
                        <w:szCs w:val="16"/>
                      </w:rPr>
                    </w:pPr>
                    <w:r w:rsidRPr="00653DBC">
                      <w:rPr>
                        <w:rFonts w:ascii="Calibri" w:hAnsi="Calibri" w:cs="Calibri"/>
                        <w:sz w:val="16"/>
                        <w:szCs w:val="16"/>
                      </w:rPr>
                      <w:t>Volume 3, Issue 2, 2024</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BE7BB6" w:rsidR="00BE7BB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4517791</wp:posOffset>
              </wp:positionH>
              <wp:positionV relativeFrom="paragraph">
                <wp:posOffset>-66474</wp:posOffset>
              </wp:positionV>
              <wp:extent cx="1253657" cy="278130"/>
              <wp:effectExtent l="0" t="0" r="22860" b="26670"/>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53657" cy="278130"/>
                      </a:xfrm>
                      <a:prstGeom prst="rect">
                        <a:avLst/>
                      </a:prstGeom>
                      <a:solidFill>
                        <a:srgbClr val="FFFFFF"/>
                      </a:solidFill>
                      <a:ln w="9525">
                        <a:solidFill>
                          <a:srgbClr val="FFFFFF"/>
                        </a:solidFill>
                        <a:miter lim="800000"/>
                        <a:headEnd/>
                        <a:tailEnd/>
                      </a:ln>
                    </wps:spPr>
                    <wps:txbx>
                      <w:txbxContent>
                        <w:p w:rsidR="00122F5F" w:rsidRPr="00540F02" w:rsidP="00122F5F">
                          <w:pPr>
                            <w:jc w:val="center"/>
                            <w:rPr>
                              <w:rFonts w:ascii="Calibri" w:hAnsi="Calibri" w:cs="Calibri"/>
                              <w:sz w:val="16"/>
                              <w:szCs w:val="16"/>
                            </w:rPr>
                          </w:pPr>
                          <w:r w:rsidRPr="00653DBC">
                            <w:rPr>
                              <w:rFonts w:ascii="Calibri" w:hAnsi="Calibri" w:cs="Calibri"/>
                              <w:sz w:val="16"/>
                              <w:szCs w:val="16"/>
                            </w:rPr>
                            <w:t>Volume 3, Issue 2,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98.7pt;height:21.9pt;margin-top:-5.25pt;margin-left:355.7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pPr>
                      <w:jc w:val="center"/>
                      <w:rPr>
                        <w:rFonts w:ascii="Calibri" w:hAnsi="Calibri" w:cs="Calibri"/>
                        <w:sz w:val="16"/>
                        <w:szCs w:val="16"/>
                      </w:rPr>
                    </w:pPr>
                    <w:r w:rsidRPr="00653DBC">
                      <w:rPr>
                        <w:rFonts w:ascii="Calibri" w:hAnsi="Calibri" w:cs="Calibri"/>
                        <w:sz w:val="16"/>
                        <w:szCs w:val="16"/>
                      </w:rPr>
                      <w:t>Volume 3, Issue 2, 2024</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BE7BB6" w:rsidR="00BE7BB6">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Pr="00A052EF" w:rsid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Pr="00A052EF" w:rsid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P="00122F5F">
    <w:pPr>
      <w:pStyle w:val="Header"/>
      <w:rPr>
        <w:sz w:val="16"/>
        <w:szCs w:val="16"/>
      </w:rPr>
    </w:pPr>
  </w:p>
  <w:p w:rsidR="00AA4AE4" w:rsidP="00122F5F">
    <w:pPr>
      <w:pStyle w:val="Header"/>
      <w:rPr>
        <w:sz w:val="16"/>
        <w:szCs w:val="16"/>
      </w:rPr>
    </w:pPr>
  </w:p>
  <w:p w:rsidR="00122F5F" w:rsidRPr="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Pr="00A052EF" w:rsid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Pr="00A052EF" w:rsid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P="00540F02">
    <w:pPr>
      <w:pStyle w:val="Header"/>
      <w:rPr>
        <w:sz w:val="16"/>
        <w:szCs w:val="16"/>
      </w:rPr>
    </w:pPr>
  </w:p>
  <w:p w:rsidR="00540F02" w:rsidP="00540F02">
    <w:pPr>
      <w:pStyle w:val="Header"/>
      <w:rPr>
        <w:sz w:val="16"/>
        <w:szCs w:val="16"/>
      </w:rPr>
    </w:pPr>
  </w:p>
  <w:p w:rsidR="00AA4AE4" w:rsidRPr="00540F02"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Pr="00A052EF" w:rsid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Pr="00A052EF" w:rsid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pPr>
      <w:pStyle w:val="Header"/>
      <w:rPr>
        <w:sz w:val="16"/>
        <w:szCs w:val="16"/>
      </w:rPr>
    </w:pPr>
  </w:p>
  <w:p w:rsidR="00FF1D30">
    <w:pPr>
      <w:pStyle w:val="Header"/>
      <w:rPr>
        <w:sz w:val="16"/>
        <w:szCs w:val="16"/>
      </w:rPr>
    </w:pPr>
  </w:p>
  <w:p w:rsidR="00FF1D30" w:rsidRPr="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45D83945"/>
    <w:multiLevelType w:val="hybridMultilevel"/>
    <w:tmpl w:val="AAA651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9">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0">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2">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6">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nsid w:val="788F5AE9"/>
    <w:multiLevelType w:val="hybridMultilevel"/>
    <w:tmpl w:val="D48A44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0">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1321812285">
    <w:abstractNumId w:val="14"/>
  </w:num>
  <w:num w:numId="2" w16cid:durableId="907301833">
    <w:abstractNumId w:val="8"/>
  </w:num>
  <w:num w:numId="3" w16cid:durableId="804087445">
    <w:abstractNumId w:val="9"/>
  </w:num>
  <w:num w:numId="4" w16cid:durableId="2078941557">
    <w:abstractNumId w:val="23"/>
  </w:num>
  <w:num w:numId="5" w16cid:durableId="1940212263">
    <w:abstractNumId w:val="22"/>
  </w:num>
  <w:num w:numId="6" w16cid:durableId="1234193152">
    <w:abstractNumId w:val="21"/>
  </w:num>
  <w:num w:numId="7" w16cid:durableId="909459908">
    <w:abstractNumId w:val="29"/>
  </w:num>
  <w:num w:numId="8" w16cid:durableId="357658376">
    <w:abstractNumId w:val="15"/>
  </w:num>
  <w:num w:numId="9" w16cid:durableId="623317507">
    <w:abstractNumId w:val="24"/>
  </w:num>
  <w:num w:numId="10" w16cid:durableId="389814406">
    <w:abstractNumId w:val="25"/>
  </w:num>
  <w:num w:numId="11" w16cid:durableId="123892847">
    <w:abstractNumId w:val="11"/>
  </w:num>
  <w:num w:numId="12" w16cid:durableId="257182459">
    <w:abstractNumId w:val="19"/>
  </w:num>
  <w:num w:numId="13" w16cid:durableId="1922714627">
    <w:abstractNumId w:val="7"/>
  </w:num>
  <w:num w:numId="14" w16cid:durableId="1488206768">
    <w:abstractNumId w:val="0"/>
  </w:num>
  <w:num w:numId="15" w16cid:durableId="1449591902">
    <w:abstractNumId w:val="30"/>
  </w:num>
  <w:num w:numId="16" w16cid:durableId="693657514">
    <w:abstractNumId w:val="20"/>
  </w:num>
  <w:num w:numId="17" w16cid:durableId="24673114">
    <w:abstractNumId w:val="28"/>
  </w:num>
  <w:num w:numId="18" w16cid:durableId="1173959810">
    <w:abstractNumId w:val="26"/>
  </w:num>
  <w:num w:numId="19" w16cid:durableId="373429618">
    <w:abstractNumId w:val="18"/>
  </w:num>
  <w:num w:numId="20" w16cid:durableId="1210071723">
    <w:abstractNumId w:val="5"/>
  </w:num>
  <w:num w:numId="21" w16cid:durableId="299459964">
    <w:abstractNumId w:val="1"/>
  </w:num>
  <w:num w:numId="22" w16cid:durableId="442917460">
    <w:abstractNumId w:val="12"/>
  </w:num>
  <w:num w:numId="23" w16cid:durableId="1477380780">
    <w:abstractNumId w:val="2"/>
  </w:num>
  <w:num w:numId="24" w16cid:durableId="1921668762">
    <w:abstractNumId w:val="3"/>
  </w:num>
  <w:num w:numId="25" w16cid:durableId="1123037900">
    <w:abstractNumId w:val="4"/>
  </w:num>
  <w:num w:numId="26" w16cid:durableId="1981810411">
    <w:abstractNumId w:val="10"/>
  </w:num>
  <w:num w:numId="27" w16cid:durableId="430786644">
    <w:abstractNumId w:val="13"/>
  </w:num>
  <w:num w:numId="28" w16cid:durableId="803347489">
    <w:abstractNumId w:val="6"/>
  </w:num>
  <w:num w:numId="29" w16cid:durableId="1877691176">
    <w:abstractNumId w:val="16"/>
  </w:num>
  <w:num w:numId="30" w16cid:durableId="1783722283">
    <w:abstractNumId w:val="17"/>
  </w:num>
  <w:num w:numId="31" w16cid:durableId="368258927">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D2DAC"/>
    <w:rsid w:val="00003189"/>
    <w:rsid w:val="00005ED9"/>
    <w:rsid w:val="0000610E"/>
    <w:rsid w:val="000061FF"/>
    <w:rsid w:val="00010DEE"/>
    <w:rsid w:val="000243A3"/>
    <w:rsid w:val="00024881"/>
    <w:rsid w:val="0002569B"/>
    <w:rsid w:val="000417D3"/>
    <w:rsid w:val="000475BE"/>
    <w:rsid w:val="00055FC4"/>
    <w:rsid w:val="0006191D"/>
    <w:rsid w:val="00066AC1"/>
    <w:rsid w:val="00076F8C"/>
    <w:rsid w:val="0008220C"/>
    <w:rsid w:val="00084DD6"/>
    <w:rsid w:val="000877EE"/>
    <w:rsid w:val="000A0B41"/>
    <w:rsid w:val="000A2548"/>
    <w:rsid w:val="000B0038"/>
    <w:rsid w:val="000B0CE5"/>
    <w:rsid w:val="000B59CD"/>
    <w:rsid w:val="000C3688"/>
    <w:rsid w:val="000C6543"/>
    <w:rsid w:val="000E1F30"/>
    <w:rsid w:val="000E31DC"/>
    <w:rsid w:val="000F66AA"/>
    <w:rsid w:val="00103AFF"/>
    <w:rsid w:val="00110D78"/>
    <w:rsid w:val="00116ED8"/>
    <w:rsid w:val="00117792"/>
    <w:rsid w:val="00122F5F"/>
    <w:rsid w:val="00123EF2"/>
    <w:rsid w:val="001245CB"/>
    <w:rsid w:val="0013783B"/>
    <w:rsid w:val="00141946"/>
    <w:rsid w:val="00144C1C"/>
    <w:rsid w:val="001578E9"/>
    <w:rsid w:val="00162A30"/>
    <w:rsid w:val="00165813"/>
    <w:rsid w:val="00171D19"/>
    <w:rsid w:val="00173196"/>
    <w:rsid w:val="0018288D"/>
    <w:rsid w:val="00187357"/>
    <w:rsid w:val="001A07A8"/>
    <w:rsid w:val="001B3613"/>
    <w:rsid w:val="001C2739"/>
    <w:rsid w:val="001C3D6C"/>
    <w:rsid w:val="001C7BDA"/>
    <w:rsid w:val="001D54B5"/>
    <w:rsid w:val="001D5E03"/>
    <w:rsid w:val="001D7DEE"/>
    <w:rsid w:val="001E02DA"/>
    <w:rsid w:val="001E2AAA"/>
    <w:rsid w:val="001F5FDC"/>
    <w:rsid w:val="0020406B"/>
    <w:rsid w:val="0020676E"/>
    <w:rsid w:val="002132FC"/>
    <w:rsid w:val="00216CB6"/>
    <w:rsid w:val="00217D1E"/>
    <w:rsid w:val="00223090"/>
    <w:rsid w:val="00224082"/>
    <w:rsid w:val="00234C2D"/>
    <w:rsid w:val="00237BC8"/>
    <w:rsid w:val="00241B8D"/>
    <w:rsid w:val="00251164"/>
    <w:rsid w:val="00253D8A"/>
    <w:rsid w:val="00260D64"/>
    <w:rsid w:val="002632DB"/>
    <w:rsid w:val="002676D3"/>
    <w:rsid w:val="00271DA6"/>
    <w:rsid w:val="0027200A"/>
    <w:rsid w:val="00274990"/>
    <w:rsid w:val="002845BE"/>
    <w:rsid w:val="00287EDB"/>
    <w:rsid w:val="00295FB9"/>
    <w:rsid w:val="002961FA"/>
    <w:rsid w:val="002A293E"/>
    <w:rsid w:val="002A4E05"/>
    <w:rsid w:val="002C2FAC"/>
    <w:rsid w:val="002D0F54"/>
    <w:rsid w:val="002D130D"/>
    <w:rsid w:val="002D1D04"/>
    <w:rsid w:val="002D2DAC"/>
    <w:rsid w:val="002E0452"/>
    <w:rsid w:val="002E695D"/>
    <w:rsid w:val="002F3F4C"/>
    <w:rsid w:val="002F4D18"/>
    <w:rsid w:val="002F6172"/>
    <w:rsid w:val="00301FEB"/>
    <w:rsid w:val="00303D42"/>
    <w:rsid w:val="0030640D"/>
    <w:rsid w:val="00312D76"/>
    <w:rsid w:val="00334520"/>
    <w:rsid w:val="00334792"/>
    <w:rsid w:val="003363F0"/>
    <w:rsid w:val="00336A9A"/>
    <w:rsid w:val="00337B03"/>
    <w:rsid w:val="0034128C"/>
    <w:rsid w:val="00362CBC"/>
    <w:rsid w:val="00381B26"/>
    <w:rsid w:val="00382478"/>
    <w:rsid w:val="00386F26"/>
    <w:rsid w:val="00387148"/>
    <w:rsid w:val="00387C94"/>
    <w:rsid w:val="003948B0"/>
    <w:rsid w:val="00395535"/>
    <w:rsid w:val="003A029A"/>
    <w:rsid w:val="003B28D6"/>
    <w:rsid w:val="003C40CE"/>
    <w:rsid w:val="003C482F"/>
    <w:rsid w:val="003C5369"/>
    <w:rsid w:val="003E1185"/>
    <w:rsid w:val="00400BB8"/>
    <w:rsid w:val="00404A89"/>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2013"/>
    <w:rsid w:val="004863B6"/>
    <w:rsid w:val="00486707"/>
    <w:rsid w:val="0048722D"/>
    <w:rsid w:val="004926FD"/>
    <w:rsid w:val="004928B8"/>
    <w:rsid w:val="00497A78"/>
    <w:rsid w:val="004A19B5"/>
    <w:rsid w:val="004A4564"/>
    <w:rsid w:val="004A68CB"/>
    <w:rsid w:val="004B08D8"/>
    <w:rsid w:val="004B0E60"/>
    <w:rsid w:val="004C15A0"/>
    <w:rsid w:val="004C4A9F"/>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0FE1"/>
    <w:rsid w:val="005611F1"/>
    <w:rsid w:val="005626AA"/>
    <w:rsid w:val="005635B4"/>
    <w:rsid w:val="00571CFE"/>
    <w:rsid w:val="00591DE5"/>
    <w:rsid w:val="0059236C"/>
    <w:rsid w:val="005A4F69"/>
    <w:rsid w:val="005C14AA"/>
    <w:rsid w:val="005C643D"/>
    <w:rsid w:val="005D4A0D"/>
    <w:rsid w:val="005E7673"/>
    <w:rsid w:val="006035FA"/>
    <w:rsid w:val="006052AE"/>
    <w:rsid w:val="00611411"/>
    <w:rsid w:val="0061613E"/>
    <w:rsid w:val="0062129F"/>
    <w:rsid w:val="00622926"/>
    <w:rsid w:val="0062388D"/>
    <w:rsid w:val="006352D0"/>
    <w:rsid w:val="006419D1"/>
    <w:rsid w:val="00642F0F"/>
    <w:rsid w:val="006538D6"/>
    <w:rsid w:val="00653DBC"/>
    <w:rsid w:val="00654B07"/>
    <w:rsid w:val="00674CB5"/>
    <w:rsid w:val="00680536"/>
    <w:rsid w:val="006902BB"/>
    <w:rsid w:val="00691D58"/>
    <w:rsid w:val="006A7DFF"/>
    <w:rsid w:val="006B0510"/>
    <w:rsid w:val="006B2D02"/>
    <w:rsid w:val="006B6E0F"/>
    <w:rsid w:val="006C34EE"/>
    <w:rsid w:val="006C65C4"/>
    <w:rsid w:val="006C6EBD"/>
    <w:rsid w:val="006C7730"/>
    <w:rsid w:val="006D6149"/>
    <w:rsid w:val="006D782E"/>
    <w:rsid w:val="006E2F83"/>
    <w:rsid w:val="006E7FC3"/>
    <w:rsid w:val="006F411A"/>
    <w:rsid w:val="00704378"/>
    <w:rsid w:val="00706127"/>
    <w:rsid w:val="00707398"/>
    <w:rsid w:val="007169EC"/>
    <w:rsid w:val="00727B9E"/>
    <w:rsid w:val="00741058"/>
    <w:rsid w:val="00755AB4"/>
    <w:rsid w:val="007616AD"/>
    <w:rsid w:val="00761E7C"/>
    <w:rsid w:val="007636FC"/>
    <w:rsid w:val="007816FC"/>
    <w:rsid w:val="00781D8B"/>
    <w:rsid w:val="0079311F"/>
    <w:rsid w:val="007933FE"/>
    <w:rsid w:val="00796577"/>
    <w:rsid w:val="00796A75"/>
    <w:rsid w:val="007A2AA8"/>
    <w:rsid w:val="007A5A78"/>
    <w:rsid w:val="007A62B7"/>
    <w:rsid w:val="007A65BF"/>
    <w:rsid w:val="007B6823"/>
    <w:rsid w:val="007C0010"/>
    <w:rsid w:val="007C4A8B"/>
    <w:rsid w:val="007D5BA1"/>
    <w:rsid w:val="007E508F"/>
    <w:rsid w:val="007F02FB"/>
    <w:rsid w:val="007F37D6"/>
    <w:rsid w:val="007F422E"/>
    <w:rsid w:val="00802718"/>
    <w:rsid w:val="00802990"/>
    <w:rsid w:val="00802A96"/>
    <w:rsid w:val="00810811"/>
    <w:rsid w:val="008157AA"/>
    <w:rsid w:val="00815993"/>
    <w:rsid w:val="008208BB"/>
    <w:rsid w:val="0082272E"/>
    <w:rsid w:val="008418A7"/>
    <w:rsid w:val="00842358"/>
    <w:rsid w:val="00852EC7"/>
    <w:rsid w:val="0085484D"/>
    <w:rsid w:val="00862178"/>
    <w:rsid w:val="00862DDA"/>
    <w:rsid w:val="00863A78"/>
    <w:rsid w:val="00874EB7"/>
    <w:rsid w:val="008765A5"/>
    <w:rsid w:val="008823EC"/>
    <w:rsid w:val="00882CAF"/>
    <w:rsid w:val="0088746C"/>
    <w:rsid w:val="00891322"/>
    <w:rsid w:val="00891EA7"/>
    <w:rsid w:val="008940D8"/>
    <w:rsid w:val="008B23F8"/>
    <w:rsid w:val="008B4BA9"/>
    <w:rsid w:val="008B7A0F"/>
    <w:rsid w:val="008C302B"/>
    <w:rsid w:val="008C3DC2"/>
    <w:rsid w:val="008C45DE"/>
    <w:rsid w:val="008C71B2"/>
    <w:rsid w:val="008D0F02"/>
    <w:rsid w:val="008D41DD"/>
    <w:rsid w:val="008E554D"/>
    <w:rsid w:val="008F3342"/>
    <w:rsid w:val="00902F9C"/>
    <w:rsid w:val="00906AC7"/>
    <w:rsid w:val="00911A24"/>
    <w:rsid w:val="009206DD"/>
    <w:rsid w:val="009276FB"/>
    <w:rsid w:val="00936811"/>
    <w:rsid w:val="0094019C"/>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69F5"/>
    <w:rsid w:val="009D38B6"/>
    <w:rsid w:val="009D7AA9"/>
    <w:rsid w:val="009E2468"/>
    <w:rsid w:val="009E3624"/>
    <w:rsid w:val="009E4EBA"/>
    <w:rsid w:val="009F091C"/>
    <w:rsid w:val="009F2D64"/>
    <w:rsid w:val="009F409C"/>
    <w:rsid w:val="009F6F7B"/>
    <w:rsid w:val="00A03126"/>
    <w:rsid w:val="00A052EF"/>
    <w:rsid w:val="00A13315"/>
    <w:rsid w:val="00A175E3"/>
    <w:rsid w:val="00A27B34"/>
    <w:rsid w:val="00A37C4B"/>
    <w:rsid w:val="00A43778"/>
    <w:rsid w:val="00A4558F"/>
    <w:rsid w:val="00A50B27"/>
    <w:rsid w:val="00A549F9"/>
    <w:rsid w:val="00A562A0"/>
    <w:rsid w:val="00A5630B"/>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50BF"/>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E7BB6"/>
    <w:rsid w:val="00C02E08"/>
    <w:rsid w:val="00C03879"/>
    <w:rsid w:val="00C10C09"/>
    <w:rsid w:val="00C11C42"/>
    <w:rsid w:val="00C152F9"/>
    <w:rsid w:val="00C1756D"/>
    <w:rsid w:val="00C21420"/>
    <w:rsid w:val="00C26170"/>
    <w:rsid w:val="00C420B8"/>
    <w:rsid w:val="00C4604B"/>
    <w:rsid w:val="00C50A65"/>
    <w:rsid w:val="00C50F21"/>
    <w:rsid w:val="00C549E7"/>
    <w:rsid w:val="00C6051D"/>
    <w:rsid w:val="00C65813"/>
    <w:rsid w:val="00C66FC0"/>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4F7A"/>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2B59"/>
    <w:rsid w:val="00E30D6B"/>
    <w:rsid w:val="00E30E14"/>
    <w:rsid w:val="00E35BFD"/>
    <w:rsid w:val="00E36AA2"/>
    <w:rsid w:val="00E439CB"/>
    <w:rsid w:val="00E46E84"/>
    <w:rsid w:val="00E5640B"/>
    <w:rsid w:val="00E65AF8"/>
    <w:rsid w:val="00E73641"/>
    <w:rsid w:val="00E75F6E"/>
    <w:rsid w:val="00E77C4D"/>
    <w:rsid w:val="00E8670C"/>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957F5"/>
    <w:rsid w:val="00FA3FD1"/>
    <w:rsid w:val="00FB2A93"/>
    <w:rsid w:val="00FB4D6C"/>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216CA0A0"/>
  <w15:docId w15:val="{01AD3617-E679-4666-AD0A-F1654C28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10.5758/ijls.2022.1" TargetMode="External" /><Relationship Id="rId7" Type="http://schemas.openxmlformats.org/officeDocument/2006/relationships/hyperlink" Target="https://creativecommons.org/licenses/by/4.0/" TargetMode="External" /><Relationship Id="rId8" Type="http://schemas.openxmlformats.org/officeDocument/2006/relationships/header" Target="header1.xml" /><Relationship Id="rId9" Type="http://schemas.openxmlformats.org/officeDocument/2006/relationships/header" Target="header2.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9608A-B58F-417D-A295-0FA33C4B7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20</Pages>
  <Words>21894</Words>
  <Characters>124800</Characters>
  <Application>Microsoft Office Word</Application>
  <DocSecurity>0</DocSecurity>
  <Lines>1040</Lines>
  <Paragraphs>292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146402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D</cp:lastModifiedBy>
  <cp:revision>38</cp:revision>
  <cp:lastPrinted>2008-11-01T04:52:00Z</cp:lastPrinted>
  <dcterms:created xsi:type="dcterms:W3CDTF">2023-02-02T21:36:00Z</dcterms:created>
  <dcterms:modified xsi:type="dcterms:W3CDTF">2025-01-03T22:01:00Z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https://csl.mendeley.com/styles/475823531/apa</vt:lpwstr>
  </property>
  <property fmtid="{D5CDD505-2E9C-101B-9397-08002B2CF9AE}" pid="6" name="Mendeley Recent Style Id 2_1">
    <vt:lpwstr>http://www.zotero.org/styles/apa</vt:lpwstr>
  </property>
  <property fmtid="{D5CDD505-2E9C-101B-9397-08002B2CF9AE}" pid="7" name="Mendeley Recent Style Id 3_1">
    <vt:lpwstr>http://www.zotero.org/styles/harvard-cite-them-right</vt:lpwstr>
  </property>
  <property fmtid="{D5CDD505-2E9C-101B-9397-08002B2CF9AE}" pid="8" name="Mendeley Recent Style Id 4_1">
    <vt:lpwstr>http://www.zotero.org/styles/harvard1</vt:lpwstr>
  </property>
  <property fmtid="{D5CDD505-2E9C-101B-9397-08002B2CF9AE}" pid="9" name="Mendeley Recent Style Id 5_1">
    <vt:lpwstr>http://www.zotero.org/styles/ieee</vt:lpwstr>
  </property>
  <property fmtid="{D5CDD505-2E9C-101B-9397-08002B2CF9AE}" pid="10" name="Mendeley Recent Style Id 6_1">
    <vt:lpwstr>http://www.zotero.org/styles/modern-humanities-research-association</vt:lpwstr>
  </property>
  <property fmtid="{D5CDD505-2E9C-101B-9397-08002B2CF9AE}" pid="11" name="Mendeley Recent Style Id 7_1">
    <vt:lpwstr>http://www.zotero.org/styles/modern-language-association</vt:lpwstr>
  </property>
  <property fmtid="{D5CDD505-2E9C-101B-9397-08002B2CF9AE}" pid="12" name="Mendeley Recent Style Id 8_1">
    <vt:lpwstr>http://www.zotero.org/styles/turabian-fullnote-bibliography</vt:lpwstr>
  </property>
  <property fmtid="{D5CDD505-2E9C-101B-9397-08002B2CF9AE}" pid="13" name="Mendeley Recent Style Id 9_1">
    <vt:lpwstr>http://www.zotero.org/styles/universitas-negeri-semarang-fakultas-matematika-dan-ilmu-pengetahuan-alam</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 - Mincho Slavov</vt:lpwstr>
  </property>
  <property fmtid="{D5CDD505-2E9C-101B-9397-08002B2CF9AE}" pid="16" name="Mendeley Recent Style Name 2_1">
    <vt:lpwstr>American Psychological Association 7th edition</vt:lpwstr>
  </property>
  <property fmtid="{D5CDD505-2E9C-101B-9397-08002B2CF9AE}" pid="17" name="Mendeley Recent Style Name 3_1">
    <vt:lpwstr>Cite Them Right 11th edition - Harvard</vt:lpwstr>
  </property>
  <property fmtid="{D5CDD505-2E9C-101B-9397-08002B2CF9AE}" pid="18" name="Mendeley Recent Style Name 4_1">
    <vt:lpwstr>Harvard reference format 1 (deprecated)</vt:lpwstr>
  </property>
  <property fmtid="{D5CDD505-2E9C-101B-9397-08002B2CF9AE}" pid="19" name="Mendeley Recent Style Name 5_1">
    <vt:lpwstr>IEEE</vt:lpwstr>
  </property>
  <property fmtid="{D5CDD505-2E9C-101B-9397-08002B2CF9AE}" pid="20" name="Mendeley Recent Style Name 6_1">
    <vt:lpwstr>Modern Humanities Research Association 3rd edition (note with bibliography)</vt:lpwstr>
  </property>
  <property fmtid="{D5CDD505-2E9C-101B-9397-08002B2CF9AE}" pid="21" name="Mendeley Recent Style Name 7_1">
    <vt:lpwstr>Modern Language Association 9th edition</vt:lpwstr>
  </property>
  <property fmtid="{D5CDD505-2E9C-101B-9397-08002B2CF9AE}" pid="22" name="Mendeley Recent Style Name 8_1">
    <vt:lpwstr>Turabian 8th edition (full note)</vt:lpwstr>
  </property>
  <property fmtid="{D5CDD505-2E9C-101B-9397-08002B2CF9AE}" pid="23" name="Mendeley Recent Style Name 9_1">
    <vt:lpwstr>Universitas Negeri Semarang - Fakultas Matematika dan Ilmu Pengetahuan Alam (Bahasa Indonesia)</vt:lpwstr>
  </property>
  <property fmtid="{D5CDD505-2E9C-101B-9397-08002B2CF9AE}" pid="24" name="Mendeley Unique User Id_1">
    <vt:lpwstr>f285d1e5-942b-34af-b2d8-037c9d4fd42c</vt:lpwstr>
  </property>
</Properties>
</file>